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3EE" w:rsidRPr="005F43EE" w:rsidRDefault="005F43EE" w:rsidP="005F43EE">
      <w:pPr>
        <w:widowControl/>
        <w:spacing w:line="360" w:lineRule="auto"/>
        <w:jc w:val="center"/>
        <w:rPr>
          <w:rFonts w:ascii="Arial" w:eastAsia="Calibri" w:hAnsi="Arial" w:cs="Arial"/>
          <w:bCs/>
          <w:color w:val="000000" w:themeColor="text1"/>
          <w:sz w:val="28"/>
          <w:szCs w:val="22"/>
          <w:lang w:eastAsia="en-US"/>
        </w:rPr>
      </w:pPr>
      <w:r w:rsidRPr="005F43EE">
        <w:rPr>
          <w:rFonts w:ascii="Arial" w:eastAsia="Calibri" w:hAnsi="Arial" w:cs="Arial"/>
          <w:bCs/>
          <w:color w:val="000000" w:themeColor="text1"/>
          <w:sz w:val="28"/>
          <w:szCs w:val="22"/>
          <w:lang w:eastAsia="en-US"/>
        </w:rPr>
        <w:t>МЕЖГОСУДАРСТВЕННОЕ ОБРАЗОВАТЕЛЬНОЕ УЧРЕЖДЕНИЕ ВЫСШЕГО ОБРАЗОВАНИЯ</w:t>
      </w:r>
    </w:p>
    <w:p w:rsidR="003C3F9D" w:rsidRPr="005F43EE" w:rsidRDefault="005F43EE" w:rsidP="005F43EE">
      <w:pPr>
        <w:widowControl/>
        <w:spacing w:line="360" w:lineRule="auto"/>
        <w:jc w:val="center"/>
        <w:rPr>
          <w:rFonts w:ascii="Arial" w:eastAsia="Calibri" w:hAnsi="Arial" w:cs="Arial"/>
          <w:bCs/>
          <w:color w:val="000000" w:themeColor="text1"/>
          <w:sz w:val="28"/>
          <w:szCs w:val="22"/>
          <w:lang w:eastAsia="en-US"/>
        </w:rPr>
      </w:pPr>
      <w:r w:rsidRPr="005F43EE">
        <w:rPr>
          <w:rFonts w:ascii="Arial" w:eastAsia="Calibri" w:hAnsi="Arial" w:cs="Arial"/>
          <w:bCs/>
          <w:color w:val="000000" w:themeColor="text1"/>
          <w:sz w:val="28"/>
          <w:szCs w:val="22"/>
          <w:lang w:eastAsia="en-US"/>
        </w:rPr>
        <w:t>«РОС</w:t>
      </w:r>
      <w:r>
        <w:rPr>
          <w:rFonts w:ascii="Arial" w:eastAsia="Calibri" w:hAnsi="Arial" w:cs="Arial"/>
          <w:bCs/>
          <w:color w:val="000000" w:themeColor="text1"/>
          <w:sz w:val="28"/>
          <w:szCs w:val="22"/>
          <w:lang w:eastAsia="en-US"/>
        </w:rPr>
        <w:t xml:space="preserve">СИЙСКО-ТАДЖИКСКИЙ (СЛАВЯНСКИЙ) </w:t>
      </w:r>
      <w:r w:rsidRPr="005F43EE">
        <w:rPr>
          <w:rFonts w:ascii="Arial" w:eastAsia="Calibri" w:hAnsi="Arial" w:cs="Arial"/>
          <w:bCs/>
          <w:color w:val="000000" w:themeColor="text1"/>
          <w:sz w:val="28"/>
          <w:szCs w:val="22"/>
          <w:lang w:eastAsia="en-US"/>
        </w:rPr>
        <w:t>УНИВЕРСИТЕТ»</w:t>
      </w:r>
    </w:p>
    <w:p w:rsidR="003C3F9D" w:rsidRPr="005F43EE" w:rsidRDefault="003C3F9D" w:rsidP="005F43EE">
      <w:pPr>
        <w:widowControl/>
        <w:spacing w:line="360" w:lineRule="auto"/>
        <w:jc w:val="center"/>
        <w:rPr>
          <w:rFonts w:ascii="Arial" w:eastAsia="Calibri" w:hAnsi="Arial" w:cs="Arial"/>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A33940" w:rsidP="003C3F9D">
      <w:pPr>
        <w:widowControl/>
        <w:jc w:val="center"/>
        <w:rPr>
          <w:rFonts w:ascii="Arial" w:eastAsia="Calibri" w:hAnsi="Arial" w:cs="Arial"/>
          <w:b/>
          <w:bCs/>
          <w:color w:val="000000" w:themeColor="text1"/>
          <w:sz w:val="80"/>
          <w:szCs w:val="80"/>
          <w:lang w:eastAsia="en-US"/>
        </w:rPr>
      </w:pPr>
      <w:r w:rsidRPr="00DA76A7">
        <w:rPr>
          <w:rFonts w:ascii="Arial" w:eastAsia="Arial Unicode MS" w:hAnsi="Arial" w:cs="Arial"/>
          <w:b/>
          <w:color w:val="000000" w:themeColor="text1"/>
          <w:sz w:val="80"/>
          <w:szCs w:val="80"/>
        </w:rPr>
        <w:t>АКТУАЛЬНЫЕ ВОПРОСЫ ЮРИСПРУДЕНЦИИ</w:t>
      </w:r>
    </w:p>
    <w:p w:rsidR="003C3F9D" w:rsidRPr="00DA76A7" w:rsidRDefault="003C3F9D" w:rsidP="003C3F9D">
      <w:pPr>
        <w:widowControl/>
        <w:jc w:val="center"/>
        <w:rPr>
          <w:rFonts w:ascii="Arial" w:eastAsia="Calibri" w:hAnsi="Arial" w:cs="Arial"/>
          <w:b/>
          <w:bCs/>
          <w:color w:val="000000" w:themeColor="text1"/>
          <w:sz w:val="22"/>
          <w:szCs w:val="22"/>
          <w:lang w:eastAsia="en-US"/>
        </w:rPr>
      </w:pPr>
    </w:p>
    <w:p w:rsidR="003C3F9D" w:rsidRPr="00DA76A7" w:rsidRDefault="003C3F9D" w:rsidP="003C3F9D">
      <w:pPr>
        <w:widowControl/>
        <w:jc w:val="center"/>
        <w:outlineLvl w:val="0"/>
        <w:rPr>
          <w:rFonts w:ascii="Arial" w:eastAsia="Calibri" w:hAnsi="Arial" w:cs="Arial"/>
          <w:color w:val="000000" w:themeColor="text1"/>
          <w:lang w:eastAsia="en-US"/>
        </w:rPr>
      </w:pPr>
      <w:r w:rsidRPr="00DA76A7">
        <w:rPr>
          <w:rFonts w:ascii="Arial" w:eastAsia="Calibri" w:hAnsi="Arial" w:cs="Arial"/>
          <w:b/>
          <w:bCs/>
          <w:color w:val="000000" w:themeColor="text1"/>
          <w:szCs w:val="22"/>
          <w:lang w:eastAsia="en-US"/>
        </w:rPr>
        <w:t>Пятая Международная студенческая научно-практическая конференция</w:t>
      </w:r>
    </w:p>
    <w:p w:rsidR="003C3F9D" w:rsidRPr="00DA76A7" w:rsidRDefault="003C3F9D" w:rsidP="003C3F9D">
      <w:pPr>
        <w:widowControl/>
        <w:jc w:val="center"/>
        <w:rPr>
          <w:rFonts w:ascii="Arial" w:eastAsia="Calibri" w:hAnsi="Arial" w:cs="Arial"/>
          <w:color w:val="000000" w:themeColor="text1"/>
          <w:lang w:eastAsia="en-US"/>
        </w:rPr>
      </w:pPr>
      <w:r w:rsidRPr="00DA76A7">
        <w:rPr>
          <w:rFonts w:ascii="Arial" w:eastAsia="Calibri" w:hAnsi="Arial" w:cs="Arial"/>
          <w:b/>
          <w:bCs/>
          <w:color w:val="000000" w:themeColor="text1"/>
          <w:lang w:eastAsia="en-US"/>
        </w:rPr>
        <w:t>(Душанбе, 27 апреля 2018 г.)</w:t>
      </w:r>
    </w:p>
    <w:p w:rsidR="003C3F9D" w:rsidRPr="00DA76A7" w:rsidRDefault="003C3F9D" w:rsidP="003C3F9D">
      <w:pPr>
        <w:widowControl/>
        <w:jc w:val="center"/>
        <w:rPr>
          <w:rFonts w:ascii="Arial" w:eastAsia="Calibri" w:hAnsi="Arial" w:cs="Arial"/>
          <w:color w:val="000000" w:themeColor="text1"/>
          <w:szCs w:val="22"/>
          <w:lang w:eastAsia="en-US"/>
        </w:rPr>
      </w:pPr>
      <w:r w:rsidRPr="00DA76A7">
        <w:rPr>
          <w:rFonts w:ascii="Arial" w:eastAsia="Calibri" w:hAnsi="Arial" w:cs="Arial"/>
          <w:color w:val="000000" w:themeColor="text1"/>
          <w:szCs w:val="22"/>
          <w:lang w:eastAsia="en-US"/>
        </w:rPr>
        <w:t>Сборник докладов</w:t>
      </w: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3C3F9D" w:rsidP="005F43EE">
      <w:pPr>
        <w:widowControl/>
        <w:rPr>
          <w:rFonts w:ascii="Arial" w:eastAsia="Calibri" w:hAnsi="Arial" w:cs="Arial"/>
          <w:color w:val="000000" w:themeColor="text1"/>
          <w:sz w:val="22"/>
          <w:szCs w:val="22"/>
          <w:lang w:eastAsia="en-US"/>
        </w:rPr>
      </w:pPr>
      <w:bookmarkStart w:id="0" w:name="_GoBack"/>
      <w:bookmarkEnd w:id="0"/>
    </w:p>
    <w:p w:rsidR="003C3F9D" w:rsidRDefault="003C3F9D" w:rsidP="00616DAD">
      <w:pPr>
        <w:widowControl/>
        <w:rPr>
          <w:rFonts w:ascii="Arial" w:eastAsia="Calibri" w:hAnsi="Arial" w:cs="Arial"/>
          <w:color w:val="000000" w:themeColor="text1"/>
          <w:sz w:val="22"/>
          <w:szCs w:val="22"/>
          <w:lang w:eastAsia="en-US"/>
        </w:rPr>
      </w:pPr>
    </w:p>
    <w:p w:rsidR="006430F6" w:rsidRPr="00DA76A7" w:rsidRDefault="006430F6" w:rsidP="00616DAD">
      <w:pPr>
        <w:widowControl/>
        <w:rPr>
          <w:rFonts w:ascii="Arial" w:eastAsia="Calibri" w:hAnsi="Arial" w:cs="Arial"/>
          <w:color w:val="000000" w:themeColor="text1"/>
          <w:sz w:val="22"/>
          <w:szCs w:val="22"/>
          <w:lang w:eastAsia="en-US"/>
        </w:rPr>
      </w:pPr>
    </w:p>
    <w:p w:rsidR="003C3F9D" w:rsidRPr="00DA76A7" w:rsidRDefault="003C3F9D" w:rsidP="003C3F9D">
      <w:pPr>
        <w:widowControl/>
        <w:jc w:val="center"/>
        <w:rPr>
          <w:rFonts w:ascii="Arial" w:eastAsia="Calibri" w:hAnsi="Arial" w:cs="Arial"/>
          <w:color w:val="000000" w:themeColor="text1"/>
          <w:sz w:val="22"/>
          <w:szCs w:val="22"/>
          <w:lang w:eastAsia="en-US"/>
        </w:rPr>
      </w:pPr>
    </w:p>
    <w:p w:rsidR="003C3F9D" w:rsidRPr="00DA76A7" w:rsidRDefault="00250909" w:rsidP="003C3F9D">
      <w:pPr>
        <w:widowControl/>
        <w:jc w:val="center"/>
        <w:outlineLvl w:val="0"/>
        <w:rPr>
          <w:rFonts w:ascii="Arial" w:eastAsia="Calibri" w:hAnsi="Arial" w:cs="Arial"/>
          <w:color w:val="000000" w:themeColor="text1"/>
          <w:sz w:val="22"/>
          <w:szCs w:val="22"/>
          <w:lang w:eastAsia="en-US"/>
        </w:rPr>
      </w:pPr>
      <w:r>
        <w:rPr>
          <w:rFonts w:ascii="Arial" w:eastAsia="Calibri" w:hAnsi="Arial" w:cs="Arial"/>
          <w:color w:val="000000" w:themeColor="text1"/>
          <w:sz w:val="22"/>
          <w:szCs w:val="22"/>
          <w:lang w:eastAsia="en-US"/>
        </w:rPr>
        <w:t>Душанбе - 2018</w:t>
      </w:r>
    </w:p>
    <w:p w:rsidR="003C3F9D" w:rsidRPr="00DA76A7" w:rsidRDefault="003C3F9D" w:rsidP="003C3F9D">
      <w:pPr>
        <w:widowControl/>
        <w:outlineLvl w:val="0"/>
        <w:rPr>
          <w:rFonts w:ascii="Arial" w:eastAsia="Calibri" w:hAnsi="Arial" w:cs="Arial"/>
          <w:color w:val="000000" w:themeColor="text1"/>
          <w:sz w:val="22"/>
          <w:szCs w:val="22"/>
          <w:lang w:eastAsia="en-US"/>
        </w:rPr>
      </w:pPr>
      <w:r w:rsidRPr="00DA76A7">
        <w:rPr>
          <w:rFonts w:ascii="Arial" w:eastAsia="Calibri" w:hAnsi="Arial" w:cs="Arial"/>
          <w:b/>
          <w:bCs/>
          <w:color w:val="000000" w:themeColor="text1"/>
          <w:sz w:val="22"/>
          <w:szCs w:val="22"/>
          <w:lang w:eastAsia="en-US"/>
        </w:rPr>
        <w:lastRenderedPageBreak/>
        <w:t xml:space="preserve">УДК 340 </w:t>
      </w:r>
    </w:p>
    <w:p w:rsidR="003C3F9D" w:rsidRPr="00DA76A7" w:rsidRDefault="003C3F9D" w:rsidP="003C3F9D">
      <w:pPr>
        <w:widowControl/>
        <w:rPr>
          <w:rFonts w:ascii="Arial" w:eastAsia="Calibri" w:hAnsi="Arial" w:cs="Arial"/>
          <w:color w:val="000000" w:themeColor="text1"/>
          <w:sz w:val="22"/>
          <w:szCs w:val="22"/>
          <w:lang w:eastAsia="en-US"/>
        </w:rPr>
      </w:pPr>
    </w:p>
    <w:p w:rsidR="003C3F9D" w:rsidRPr="00DA76A7" w:rsidRDefault="003C3F9D" w:rsidP="003C3F9D">
      <w:pPr>
        <w:widowControl/>
        <w:rPr>
          <w:rFonts w:ascii="Arial" w:eastAsia="Calibri" w:hAnsi="Arial" w:cs="Arial"/>
          <w:color w:val="000000" w:themeColor="text1"/>
          <w:sz w:val="22"/>
          <w:szCs w:val="22"/>
          <w:lang w:eastAsia="en-US"/>
        </w:rPr>
      </w:pPr>
    </w:p>
    <w:p w:rsidR="003C3F9D" w:rsidRPr="00DA76A7" w:rsidRDefault="003C3F9D" w:rsidP="003C3F9D">
      <w:pPr>
        <w:widowControl/>
        <w:rPr>
          <w:rFonts w:ascii="Arial" w:eastAsia="Calibri" w:hAnsi="Arial" w:cs="Arial"/>
          <w:color w:val="000000" w:themeColor="text1"/>
          <w:sz w:val="22"/>
          <w:szCs w:val="22"/>
          <w:lang w:eastAsia="en-US"/>
        </w:rPr>
      </w:pPr>
    </w:p>
    <w:p w:rsidR="003C3F9D" w:rsidRPr="00DA76A7" w:rsidRDefault="003C3F9D" w:rsidP="003C3F9D">
      <w:pPr>
        <w:widowControl/>
        <w:jc w:val="both"/>
        <w:rPr>
          <w:rFonts w:ascii="Arial" w:hAnsi="Arial" w:cs="Arial"/>
          <w:color w:val="000000" w:themeColor="text1"/>
          <w:sz w:val="22"/>
          <w:szCs w:val="22"/>
        </w:rPr>
      </w:pPr>
      <w:r w:rsidRPr="00DA76A7">
        <w:rPr>
          <w:rFonts w:ascii="Arial" w:eastAsia="Arial Unicode MS" w:hAnsi="Arial" w:cs="Arial"/>
          <w:color w:val="000000" w:themeColor="text1"/>
          <w:sz w:val="22"/>
          <w:szCs w:val="22"/>
        </w:rPr>
        <w:t>Актуальные вопросы юриспруденции</w:t>
      </w:r>
      <w:r w:rsidRPr="00DA76A7">
        <w:rPr>
          <w:rFonts w:ascii="Arial" w:hAnsi="Arial" w:cs="Arial"/>
          <w:color w:val="000000" w:themeColor="text1"/>
          <w:sz w:val="22"/>
          <w:szCs w:val="22"/>
        </w:rPr>
        <w:t xml:space="preserve">: материалы Пятой Международной </w:t>
      </w:r>
      <w:r w:rsidRPr="002173CB">
        <w:rPr>
          <w:rFonts w:ascii="Arial" w:hAnsi="Arial" w:cs="Arial"/>
          <w:color w:val="000000" w:themeColor="text1"/>
          <w:sz w:val="22"/>
          <w:szCs w:val="22"/>
        </w:rPr>
        <w:t xml:space="preserve">научно-практической конференции </w:t>
      </w:r>
      <w:r w:rsidRPr="002173CB">
        <w:rPr>
          <w:rFonts w:ascii="Arial" w:eastAsia="Calibri" w:hAnsi="Arial" w:cs="Arial"/>
          <w:color w:val="000000" w:themeColor="text1"/>
          <w:sz w:val="22"/>
          <w:szCs w:val="22"/>
          <w:lang w:eastAsia="en-US"/>
        </w:rPr>
        <w:t xml:space="preserve">(Душанбе, 27 апреля 2018 г.). – Душанбе: РТСУ, 2018. – </w:t>
      </w:r>
      <w:r w:rsidR="008855E2">
        <w:rPr>
          <w:rFonts w:ascii="Arial" w:eastAsia="Calibri" w:hAnsi="Arial" w:cs="Arial"/>
          <w:color w:val="000000" w:themeColor="text1"/>
          <w:sz w:val="22"/>
          <w:szCs w:val="22"/>
          <w:lang w:eastAsia="en-US"/>
        </w:rPr>
        <w:t>71</w:t>
      </w:r>
      <w:r w:rsidR="002173CB" w:rsidRPr="002173CB">
        <w:rPr>
          <w:rFonts w:ascii="Arial" w:eastAsia="Calibri" w:hAnsi="Arial" w:cs="Arial"/>
          <w:color w:val="000000" w:themeColor="text1"/>
          <w:sz w:val="22"/>
          <w:szCs w:val="22"/>
          <w:lang w:eastAsia="en-US"/>
        </w:rPr>
        <w:t>5</w:t>
      </w:r>
      <w:r w:rsidR="0057418F" w:rsidRPr="002173CB">
        <w:rPr>
          <w:rFonts w:ascii="Arial" w:eastAsia="Calibri" w:hAnsi="Arial" w:cs="Arial"/>
          <w:color w:val="000000" w:themeColor="text1"/>
          <w:sz w:val="22"/>
          <w:szCs w:val="22"/>
          <w:lang w:eastAsia="en-US"/>
        </w:rPr>
        <w:t xml:space="preserve"> </w:t>
      </w:r>
      <w:r w:rsidRPr="002173CB">
        <w:rPr>
          <w:rFonts w:ascii="Arial" w:eastAsia="Calibri" w:hAnsi="Arial" w:cs="Arial"/>
          <w:color w:val="000000" w:themeColor="text1"/>
          <w:sz w:val="22"/>
          <w:szCs w:val="22"/>
          <w:lang w:eastAsia="en-US"/>
        </w:rPr>
        <w:t>с.</w:t>
      </w: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rPr>
          <w:rFonts w:ascii="Arial" w:eastAsia="Calibri" w:hAnsi="Arial" w:cs="Arial"/>
          <w:bCs/>
          <w:color w:val="000000" w:themeColor="text1"/>
          <w:sz w:val="22"/>
          <w:szCs w:val="22"/>
          <w:lang w:eastAsia="en-US"/>
        </w:rPr>
      </w:pPr>
      <w:r w:rsidRPr="00DA76A7">
        <w:rPr>
          <w:rFonts w:ascii="Arial" w:eastAsia="Calibri" w:hAnsi="Arial" w:cs="Arial"/>
          <w:b/>
          <w:bCs/>
          <w:color w:val="000000" w:themeColor="text1"/>
          <w:sz w:val="22"/>
          <w:szCs w:val="22"/>
          <w:lang w:eastAsia="en-US"/>
        </w:rPr>
        <w:t xml:space="preserve">Главный редактор: </w:t>
      </w:r>
      <w:r w:rsidRPr="00DA76A7">
        <w:rPr>
          <w:rFonts w:ascii="Arial" w:eastAsia="Calibri" w:hAnsi="Arial" w:cs="Arial"/>
          <w:bCs/>
          <w:color w:val="000000" w:themeColor="text1"/>
          <w:sz w:val="22"/>
          <w:szCs w:val="22"/>
          <w:lang w:eastAsia="en-US"/>
        </w:rPr>
        <w:t>Н.Н. Салихов, доктор филологических наук, профессор</w:t>
      </w:r>
    </w:p>
    <w:p w:rsidR="003C3F9D" w:rsidRPr="00DA76A7" w:rsidRDefault="003C3F9D" w:rsidP="003C3F9D">
      <w:pPr>
        <w:widowControl/>
        <w:rPr>
          <w:rFonts w:ascii="Arial" w:eastAsia="Calibri" w:hAnsi="Arial" w:cs="Arial"/>
          <w:bCs/>
          <w:color w:val="000000" w:themeColor="text1"/>
          <w:sz w:val="22"/>
          <w:szCs w:val="22"/>
          <w:lang w:eastAsia="en-US"/>
        </w:rPr>
      </w:pPr>
      <w:r w:rsidRPr="00DA76A7">
        <w:rPr>
          <w:rFonts w:ascii="Arial" w:eastAsia="Calibri" w:hAnsi="Arial" w:cs="Arial"/>
          <w:b/>
          <w:bCs/>
          <w:color w:val="000000" w:themeColor="text1"/>
          <w:sz w:val="22"/>
          <w:szCs w:val="22"/>
          <w:lang w:eastAsia="en-US"/>
        </w:rPr>
        <w:t>Редакционная коллегия</w:t>
      </w:r>
      <w:r w:rsidRPr="00DA76A7">
        <w:rPr>
          <w:rFonts w:ascii="Arial" w:eastAsia="Calibri" w:hAnsi="Arial" w:cs="Arial"/>
          <w:bCs/>
          <w:color w:val="000000" w:themeColor="text1"/>
          <w:sz w:val="22"/>
          <w:szCs w:val="22"/>
          <w:lang w:eastAsia="en-US"/>
        </w:rPr>
        <w:t xml:space="preserve">: </w:t>
      </w:r>
    </w:p>
    <w:p w:rsidR="003C3F9D" w:rsidRPr="00DA76A7" w:rsidRDefault="003C3F9D" w:rsidP="003C3F9D">
      <w:pPr>
        <w:widowControl/>
        <w:rPr>
          <w:rFonts w:ascii="Arial" w:eastAsia="Calibri" w:hAnsi="Arial" w:cs="Arial"/>
          <w:bCs/>
          <w:color w:val="000000" w:themeColor="text1"/>
          <w:sz w:val="22"/>
          <w:szCs w:val="22"/>
          <w:lang w:eastAsia="en-US"/>
        </w:rPr>
      </w:pPr>
      <w:r w:rsidRPr="00DA76A7">
        <w:rPr>
          <w:rFonts w:ascii="Arial" w:eastAsia="Calibri" w:hAnsi="Arial" w:cs="Arial"/>
          <w:color w:val="000000" w:themeColor="text1"/>
          <w:sz w:val="22"/>
          <w:szCs w:val="22"/>
          <w:lang w:eastAsia="en-US"/>
        </w:rPr>
        <w:t xml:space="preserve">Х.Дж. Шамбезода, </w:t>
      </w:r>
      <w:r w:rsidRPr="00DA76A7">
        <w:rPr>
          <w:rFonts w:ascii="Arial" w:eastAsia="Calibri" w:hAnsi="Arial" w:cs="Arial"/>
          <w:bCs/>
          <w:color w:val="000000" w:themeColor="text1"/>
          <w:sz w:val="22"/>
          <w:szCs w:val="22"/>
          <w:lang w:eastAsia="en-US"/>
        </w:rPr>
        <w:t>доктор филологических наук, профессор (зам.главного редактора);</w:t>
      </w:r>
    </w:p>
    <w:p w:rsidR="003C3F9D" w:rsidRPr="00DA76A7" w:rsidRDefault="003C3F9D" w:rsidP="003C3F9D">
      <w:pPr>
        <w:widowControl/>
        <w:rPr>
          <w:rFonts w:ascii="Arial" w:eastAsia="Calibri" w:hAnsi="Arial" w:cs="Arial"/>
          <w:bCs/>
          <w:color w:val="000000" w:themeColor="text1"/>
          <w:sz w:val="22"/>
          <w:szCs w:val="22"/>
          <w:lang w:eastAsia="en-US"/>
        </w:rPr>
      </w:pPr>
      <w:r w:rsidRPr="00DA76A7">
        <w:rPr>
          <w:rFonts w:ascii="Arial" w:eastAsia="Calibri" w:hAnsi="Arial" w:cs="Arial"/>
          <w:bCs/>
          <w:color w:val="000000" w:themeColor="text1"/>
          <w:sz w:val="22"/>
          <w:szCs w:val="22"/>
          <w:lang w:eastAsia="en-US"/>
        </w:rPr>
        <w:t>З.И. Исмоилова, кандидат юридических наук (ответственный секретарь);</w:t>
      </w: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А.В. Золотухин, доктор юридических наук, доцент;</w:t>
      </w: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С.Ю. Алимов, доктор юридических наук,</w:t>
      </w:r>
      <w:r w:rsidRPr="00DA76A7">
        <w:rPr>
          <w:rFonts w:ascii="Arial" w:eastAsia="Calibri" w:hAnsi="Arial" w:cs="Arial"/>
          <w:bCs/>
          <w:color w:val="000000" w:themeColor="text1"/>
          <w:sz w:val="22"/>
          <w:szCs w:val="22"/>
          <w:lang w:eastAsia="en-US"/>
        </w:rPr>
        <w:t xml:space="preserve"> доцент</w:t>
      </w:r>
      <w:r w:rsidRPr="00DA76A7">
        <w:rPr>
          <w:rFonts w:ascii="Arial" w:eastAsia="Calibri" w:hAnsi="Arial" w:cs="Arial"/>
          <w:color w:val="000000" w:themeColor="text1"/>
          <w:sz w:val="22"/>
          <w:szCs w:val="22"/>
          <w:lang w:eastAsia="en-US"/>
        </w:rPr>
        <w:t>;</w:t>
      </w: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Т.И. Султонова, доктор юридических наук, доцент;</w:t>
      </w: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Х.Т. Носиров, доктор юридических наук, доцент;</w:t>
      </w: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В.А. Абдухамитов, доктор юридических наук, доцент;</w:t>
      </w: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Ш.С. Хамроев, кандидат юридических наук, доцент;</w:t>
      </w: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Н.М. Имомова, кандидат юридических наук;</w:t>
      </w: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bCs/>
          <w:color w:val="000000" w:themeColor="text1"/>
          <w:sz w:val="22"/>
          <w:szCs w:val="22"/>
          <w:lang w:eastAsia="en-US"/>
        </w:rPr>
        <w:t xml:space="preserve">Ф.М. Аминова, </w:t>
      </w:r>
      <w:r w:rsidRPr="00DA76A7">
        <w:rPr>
          <w:rFonts w:ascii="Arial" w:eastAsia="Calibri" w:hAnsi="Arial" w:cs="Arial"/>
          <w:color w:val="000000" w:themeColor="text1"/>
          <w:sz w:val="22"/>
          <w:szCs w:val="22"/>
          <w:lang w:eastAsia="en-US"/>
        </w:rPr>
        <w:t>кандидат юридических наук;</w:t>
      </w:r>
    </w:p>
    <w:p w:rsidR="003C3F9D" w:rsidRPr="00DA76A7" w:rsidRDefault="003C3F9D" w:rsidP="003C3F9D">
      <w:pPr>
        <w:widowControl/>
        <w:rPr>
          <w:rFonts w:ascii="Arial" w:eastAsia="Calibri" w:hAnsi="Arial" w:cs="Arial"/>
          <w:bCs/>
          <w:color w:val="000000" w:themeColor="text1"/>
          <w:sz w:val="22"/>
          <w:szCs w:val="22"/>
          <w:lang w:eastAsia="en-US"/>
        </w:rPr>
      </w:pPr>
      <w:r w:rsidRPr="00DA76A7">
        <w:rPr>
          <w:rFonts w:ascii="Arial" w:eastAsia="Calibri" w:hAnsi="Arial" w:cs="Arial"/>
          <w:color w:val="000000" w:themeColor="text1"/>
          <w:sz w:val="22"/>
          <w:szCs w:val="22"/>
          <w:lang w:eastAsia="en-US"/>
        </w:rPr>
        <w:t>П.И. Мирзоев, кандидат юридических наук.</w:t>
      </w:r>
    </w:p>
    <w:p w:rsidR="003C3F9D" w:rsidRPr="00DA76A7" w:rsidRDefault="003C3F9D" w:rsidP="003C3F9D">
      <w:pPr>
        <w:widowControl/>
        <w:rPr>
          <w:rFonts w:ascii="Arial" w:eastAsia="Calibri" w:hAnsi="Arial" w:cs="Arial"/>
          <w:bCs/>
          <w:color w:val="000000" w:themeColor="text1"/>
          <w:sz w:val="22"/>
          <w:szCs w:val="22"/>
          <w:lang w:eastAsia="en-US"/>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 xml:space="preserve">Рецензенты: </w:t>
      </w:r>
    </w:p>
    <w:p w:rsidR="003C3F9D" w:rsidRPr="00DA76A7" w:rsidRDefault="003C3F9D" w:rsidP="003C3F9D">
      <w:pPr>
        <w:widowControl/>
        <w:jc w:val="both"/>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д.ю.н., доцент, зав. кафедрой предпринимательского права РТСУ Т.И. Султонова</w:t>
      </w:r>
    </w:p>
    <w:p w:rsidR="003C3F9D" w:rsidRPr="00DA76A7" w:rsidRDefault="00F90174" w:rsidP="003C3F9D">
      <w:pPr>
        <w:widowControl/>
        <w:jc w:val="both"/>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 xml:space="preserve">к.ю.н., доцент </w:t>
      </w:r>
      <w:r w:rsidR="003C3F9D" w:rsidRPr="00DA76A7">
        <w:rPr>
          <w:rFonts w:ascii="Arial" w:eastAsia="Calibri" w:hAnsi="Arial" w:cs="Arial"/>
          <w:color w:val="000000" w:themeColor="text1"/>
          <w:sz w:val="22"/>
          <w:szCs w:val="22"/>
          <w:lang w:eastAsia="en-US"/>
        </w:rPr>
        <w:t>кафедр</w:t>
      </w:r>
      <w:r w:rsidRPr="00DA76A7">
        <w:rPr>
          <w:rFonts w:ascii="Arial" w:eastAsia="Calibri" w:hAnsi="Arial" w:cs="Arial"/>
          <w:color w:val="000000" w:themeColor="text1"/>
          <w:sz w:val="22"/>
          <w:szCs w:val="22"/>
          <w:lang w:eastAsia="en-US"/>
        </w:rPr>
        <w:t xml:space="preserve">ы гражданского </w:t>
      </w:r>
      <w:r w:rsidR="003C3F9D" w:rsidRPr="00DA76A7">
        <w:rPr>
          <w:rFonts w:ascii="Arial" w:eastAsia="Calibri" w:hAnsi="Arial" w:cs="Arial"/>
          <w:color w:val="000000" w:themeColor="text1"/>
          <w:sz w:val="22"/>
          <w:szCs w:val="22"/>
          <w:lang w:eastAsia="en-US"/>
        </w:rPr>
        <w:t xml:space="preserve">права ТНУ </w:t>
      </w:r>
      <w:r w:rsidRPr="00DA76A7">
        <w:rPr>
          <w:rFonts w:ascii="Arial" w:eastAsia="Calibri" w:hAnsi="Arial" w:cs="Arial"/>
          <w:color w:val="000000" w:themeColor="text1"/>
          <w:sz w:val="22"/>
          <w:szCs w:val="22"/>
          <w:lang w:eastAsia="en-US"/>
        </w:rPr>
        <w:t>К.Ш. Курбонов</w:t>
      </w: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В сборнике представлены научные статьи, доклады</w:t>
      </w:r>
      <w:r w:rsidR="008C6ED2" w:rsidRPr="00DA76A7">
        <w:rPr>
          <w:rFonts w:ascii="Arial" w:eastAsia="Calibri" w:hAnsi="Arial" w:cs="Arial"/>
          <w:color w:val="000000" w:themeColor="text1"/>
          <w:sz w:val="22"/>
          <w:szCs w:val="22"/>
          <w:lang w:eastAsia="en-US"/>
        </w:rPr>
        <w:t xml:space="preserve"> </w:t>
      </w:r>
      <w:r w:rsidR="008C6ED2" w:rsidRPr="00DA76A7">
        <w:rPr>
          <w:rFonts w:ascii="Arial" w:hAnsi="Arial" w:cs="Arial"/>
          <w:color w:val="000000" w:themeColor="text1"/>
          <w:sz w:val="22"/>
          <w:szCs w:val="22"/>
        </w:rPr>
        <w:t>аспирантов, студентов и магистрантов</w:t>
      </w:r>
      <w:r w:rsidRPr="00DA76A7">
        <w:rPr>
          <w:rFonts w:ascii="Arial" w:eastAsia="Calibri" w:hAnsi="Arial" w:cs="Arial"/>
          <w:color w:val="000000" w:themeColor="text1"/>
          <w:sz w:val="22"/>
          <w:szCs w:val="22"/>
          <w:lang w:eastAsia="en-US"/>
        </w:rPr>
        <w:t xml:space="preserve">, в которых рассматривается широкий круг актуальных вопросов конституционного, гражданского, предпринимательского и уголовного права, а также уголовного и гражданского процесса. </w:t>
      </w: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 xml:space="preserve">Сборник предназначен для аспирантов, студентов, магистрантов юридических специальностей, преподавателей высших учебных заведений и всех, интересующихся современными правовыми проблемами. </w:t>
      </w:r>
    </w:p>
    <w:p w:rsidR="003C3F9D" w:rsidRPr="00DA76A7" w:rsidRDefault="003C3F9D" w:rsidP="003C3F9D">
      <w:pPr>
        <w:widowControl/>
        <w:rPr>
          <w:rFonts w:ascii="Arial" w:hAnsi="Arial" w:cs="Arial"/>
          <w:color w:val="000000" w:themeColor="text1"/>
          <w:sz w:val="22"/>
          <w:szCs w:val="22"/>
        </w:rPr>
      </w:pPr>
    </w:p>
    <w:p w:rsidR="003C3F9D" w:rsidRPr="00DA76A7" w:rsidRDefault="003C3F9D" w:rsidP="003C3F9D">
      <w:pPr>
        <w:widowControl/>
        <w:rPr>
          <w:rFonts w:ascii="Arial" w:eastAsia="Calibri" w:hAnsi="Arial" w:cs="Arial"/>
          <w:b/>
          <w:bCs/>
          <w:color w:val="000000" w:themeColor="text1"/>
          <w:sz w:val="22"/>
          <w:szCs w:val="22"/>
          <w:lang w:eastAsia="en-US"/>
        </w:rPr>
      </w:pPr>
    </w:p>
    <w:p w:rsidR="003C3F9D" w:rsidRPr="00DA76A7" w:rsidRDefault="003C3F9D" w:rsidP="003C3F9D">
      <w:pPr>
        <w:widowControl/>
        <w:ind w:firstLine="567"/>
        <w:rPr>
          <w:rFonts w:ascii="Arial" w:eastAsia="Calibri" w:hAnsi="Arial" w:cs="Arial"/>
          <w:color w:val="000000" w:themeColor="text1"/>
          <w:sz w:val="22"/>
          <w:szCs w:val="22"/>
          <w:lang w:eastAsia="en-US"/>
        </w:rPr>
      </w:pPr>
    </w:p>
    <w:p w:rsidR="003C3F9D" w:rsidRPr="00DA76A7" w:rsidRDefault="003C3F9D" w:rsidP="003C3F9D">
      <w:pPr>
        <w:widowControl/>
        <w:ind w:firstLine="567"/>
        <w:rPr>
          <w:rFonts w:ascii="Arial" w:eastAsia="Calibri" w:hAnsi="Arial" w:cs="Arial"/>
          <w:color w:val="000000" w:themeColor="text1"/>
          <w:sz w:val="22"/>
          <w:szCs w:val="22"/>
          <w:lang w:eastAsia="en-US"/>
        </w:rPr>
      </w:pPr>
    </w:p>
    <w:p w:rsidR="003C3F9D" w:rsidRPr="00DA76A7" w:rsidRDefault="003C3F9D" w:rsidP="003C3F9D">
      <w:pPr>
        <w:widowControl/>
        <w:ind w:firstLine="567"/>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 xml:space="preserve">Составители: </w:t>
      </w:r>
    </w:p>
    <w:p w:rsidR="003C3F9D" w:rsidRPr="00DA76A7" w:rsidRDefault="003C3F9D" w:rsidP="003C3F9D">
      <w:pPr>
        <w:widowControl/>
        <w:ind w:firstLine="567"/>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 xml:space="preserve">д.ю.н., доцент Золотухин А.В. </w:t>
      </w:r>
    </w:p>
    <w:p w:rsidR="003C3F9D" w:rsidRPr="00DA76A7" w:rsidRDefault="003C3F9D" w:rsidP="003C3F9D">
      <w:pPr>
        <w:widowControl/>
        <w:ind w:firstLine="567"/>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 xml:space="preserve">к.ю.н., Исмоилова З.И. </w:t>
      </w:r>
    </w:p>
    <w:p w:rsidR="003C3F9D" w:rsidRPr="00DA76A7" w:rsidRDefault="003C3F9D" w:rsidP="003C3F9D">
      <w:pPr>
        <w:widowControl/>
        <w:jc w:val="both"/>
        <w:rPr>
          <w:rFonts w:ascii="Arial" w:eastAsia="Calibri" w:hAnsi="Arial" w:cs="Arial"/>
          <w:color w:val="000000" w:themeColor="text1"/>
          <w:sz w:val="22"/>
          <w:szCs w:val="22"/>
          <w:lang w:eastAsia="en-US"/>
        </w:rPr>
      </w:pPr>
    </w:p>
    <w:p w:rsidR="003C3F9D" w:rsidRPr="00DA76A7" w:rsidRDefault="003C3F9D" w:rsidP="003C3F9D">
      <w:pPr>
        <w:widowControl/>
        <w:ind w:firstLine="567"/>
        <w:jc w:val="right"/>
        <w:rPr>
          <w:rFonts w:ascii="Arial" w:eastAsia="Calibri" w:hAnsi="Arial" w:cs="Arial"/>
          <w:color w:val="000000" w:themeColor="text1"/>
          <w:sz w:val="22"/>
          <w:szCs w:val="22"/>
          <w:lang w:eastAsia="en-US"/>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Рекомендовано к печати РИС РТСУ</w:t>
      </w: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p>
    <w:p w:rsidR="003C3F9D" w:rsidRPr="00DA76A7" w:rsidRDefault="003C3F9D" w:rsidP="003C3F9D">
      <w:pPr>
        <w:widowControl/>
        <w:ind w:firstLine="567"/>
        <w:jc w:val="right"/>
        <w:rPr>
          <w:rFonts w:ascii="Arial" w:eastAsia="Calibri" w:hAnsi="Arial" w:cs="Arial"/>
          <w:color w:val="000000" w:themeColor="text1"/>
          <w:sz w:val="22"/>
          <w:szCs w:val="22"/>
          <w:lang w:eastAsia="en-US"/>
        </w:rPr>
      </w:pPr>
    </w:p>
    <w:p w:rsidR="003C3F9D" w:rsidRPr="00DA76A7" w:rsidRDefault="003C3F9D" w:rsidP="00616DAD">
      <w:pPr>
        <w:widowControl/>
        <w:rPr>
          <w:rFonts w:ascii="Arial" w:eastAsia="Calibri" w:hAnsi="Arial" w:cs="Arial"/>
          <w:color w:val="000000" w:themeColor="text1"/>
          <w:sz w:val="22"/>
          <w:szCs w:val="22"/>
          <w:lang w:eastAsia="en-US"/>
        </w:rPr>
      </w:pPr>
    </w:p>
    <w:p w:rsidR="003C3F9D" w:rsidRDefault="003C3F9D" w:rsidP="003C3F9D">
      <w:pPr>
        <w:widowControl/>
        <w:rPr>
          <w:rFonts w:ascii="Arial" w:eastAsia="Calibri" w:hAnsi="Arial" w:cs="Arial"/>
          <w:color w:val="000000" w:themeColor="text1"/>
          <w:sz w:val="22"/>
          <w:szCs w:val="22"/>
          <w:lang w:eastAsia="en-US"/>
        </w:rPr>
      </w:pPr>
    </w:p>
    <w:p w:rsidR="006430F6" w:rsidRPr="00DA76A7" w:rsidRDefault="006430F6" w:rsidP="003C3F9D">
      <w:pPr>
        <w:widowControl/>
        <w:rPr>
          <w:rFonts w:ascii="Arial" w:eastAsia="Calibri" w:hAnsi="Arial" w:cs="Arial"/>
          <w:color w:val="000000" w:themeColor="text1"/>
          <w:sz w:val="22"/>
          <w:szCs w:val="22"/>
          <w:lang w:eastAsia="en-US"/>
        </w:rPr>
      </w:pPr>
    </w:p>
    <w:p w:rsidR="003C3F9D" w:rsidRPr="00DA76A7" w:rsidRDefault="003C3F9D" w:rsidP="003C3F9D">
      <w:pPr>
        <w:widowControl/>
        <w:ind w:firstLine="567"/>
        <w:jc w:val="right"/>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 xml:space="preserve">© Юридический факультет </w:t>
      </w:r>
    </w:p>
    <w:p w:rsidR="003C3F9D" w:rsidRPr="00DA76A7" w:rsidRDefault="003C3F9D" w:rsidP="003C3F9D">
      <w:pPr>
        <w:ind w:firstLine="567"/>
        <w:jc w:val="right"/>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Российско-Таджикский (Славянский) университет – 201</w:t>
      </w:r>
      <w:r w:rsidR="0054571D" w:rsidRPr="00DA76A7">
        <w:rPr>
          <w:rFonts w:ascii="Arial" w:eastAsia="Calibri" w:hAnsi="Arial" w:cs="Arial"/>
          <w:color w:val="000000" w:themeColor="text1"/>
          <w:sz w:val="22"/>
          <w:szCs w:val="22"/>
          <w:lang w:eastAsia="en-US"/>
        </w:rPr>
        <w:t>8</w:t>
      </w:r>
    </w:p>
    <w:p w:rsidR="003C3F9D" w:rsidRPr="00DA76A7" w:rsidRDefault="003C3F9D" w:rsidP="003C3F9D">
      <w:pPr>
        <w:widowControl/>
        <w:autoSpaceDE/>
        <w:autoSpaceDN/>
        <w:adjustRightInd/>
        <w:jc w:val="center"/>
        <w:rPr>
          <w:rFonts w:ascii="Arial" w:hAnsi="Arial" w:cs="Arial"/>
          <w:color w:val="000000" w:themeColor="text1"/>
          <w:sz w:val="22"/>
          <w:szCs w:val="22"/>
        </w:rPr>
      </w:pPr>
      <w:r w:rsidRPr="00DA76A7">
        <w:rPr>
          <w:rFonts w:ascii="Arial" w:hAnsi="Arial" w:cs="Arial"/>
          <w:b/>
          <w:bCs/>
          <w:color w:val="000000" w:themeColor="text1"/>
          <w:sz w:val="22"/>
          <w:szCs w:val="22"/>
        </w:rPr>
        <w:t>Перечень требований к оформлению материалов и условия представления статей для публикации</w:t>
      </w:r>
    </w:p>
    <w:p w:rsidR="003C3F9D" w:rsidRPr="00DA76A7" w:rsidRDefault="003C3F9D" w:rsidP="003C3F9D">
      <w:pPr>
        <w:pStyle w:val="a4"/>
        <w:jc w:val="center"/>
        <w:rPr>
          <w:rFonts w:ascii="Arial" w:hAnsi="Arial" w:cs="Arial"/>
          <w:b/>
          <w:color w:val="000000" w:themeColor="text1"/>
          <w:sz w:val="22"/>
          <w:szCs w:val="22"/>
        </w:rPr>
      </w:pPr>
    </w:p>
    <w:p w:rsidR="003C3F9D" w:rsidRPr="00DA76A7" w:rsidRDefault="003C3F9D" w:rsidP="003C3F9D">
      <w:pPr>
        <w:pStyle w:val="a4"/>
        <w:numPr>
          <w:ilvl w:val="0"/>
          <w:numId w:val="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Материалы для публикации принимаются только в электронном варианте и в объёме не более 10 страниц.</w:t>
      </w:r>
    </w:p>
    <w:p w:rsidR="003C3F9D" w:rsidRPr="00DA76A7" w:rsidRDefault="003C3F9D" w:rsidP="003C3F9D">
      <w:pPr>
        <w:pStyle w:val="a6"/>
        <w:numPr>
          <w:ilvl w:val="0"/>
          <w:numId w:val="2"/>
        </w:numPr>
        <w:tabs>
          <w:tab w:val="left" w:pos="851"/>
        </w:tabs>
        <w:spacing w:after="0" w:line="240" w:lineRule="auto"/>
        <w:ind w:left="0" w:firstLine="567"/>
        <w:rPr>
          <w:rFonts w:ascii="Arial" w:hAnsi="Arial" w:cs="Arial"/>
          <w:color w:val="000000" w:themeColor="text1"/>
        </w:rPr>
      </w:pPr>
      <w:r w:rsidRPr="00DA76A7">
        <w:rPr>
          <w:rFonts w:ascii="Arial" w:hAnsi="Arial" w:cs="Arial"/>
          <w:color w:val="000000" w:themeColor="text1"/>
        </w:rPr>
        <w:t>Плата с авторов за публикацию статей не взимается.</w:t>
      </w:r>
    </w:p>
    <w:p w:rsidR="003C3F9D" w:rsidRPr="00DA76A7" w:rsidRDefault="003C3F9D" w:rsidP="003C3F9D">
      <w:pPr>
        <w:pStyle w:val="a4"/>
        <w:numPr>
          <w:ilvl w:val="0"/>
          <w:numId w:val="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Автор (авторы) в соответствии с приведенными ниже требованиями дол</w:t>
      </w:r>
      <w:r w:rsidRPr="00DA76A7">
        <w:rPr>
          <w:rFonts w:ascii="Arial" w:hAnsi="Arial" w:cs="Arial"/>
          <w:color w:val="000000" w:themeColor="text1"/>
          <w:sz w:val="22"/>
          <w:szCs w:val="22"/>
        </w:rPr>
        <w:softHyphen/>
        <w:t xml:space="preserve">жен оформить статью: </w:t>
      </w:r>
    </w:p>
    <w:p w:rsidR="003C3F9D" w:rsidRPr="00DA76A7" w:rsidRDefault="003C3F9D" w:rsidP="003C3F9D">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поля: верхнее, нижнее, левое, правое – 2 см.</w:t>
      </w:r>
    </w:p>
    <w:p w:rsidR="003C3F9D" w:rsidRPr="00DA76A7" w:rsidRDefault="003C3F9D" w:rsidP="003C3F9D">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текст: текстовый редактор MS WORD, шрифт - Times New Roman, размер – 12; стиль – обычный; интервал – одинарный; отступ – 1,00; выравнивание – по ширине; верхний и нижний колонтитулы – 1,25 см.</w:t>
      </w:r>
    </w:p>
    <w:p w:rsidR="003C3F9D" w:rsidRPr="00DA76A7" w:rsidRDefault="003C3F9D" w:rsidP="003C3F9D">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порядок расположения текста: </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первая строка – название статьи </w:t>
      </w:r>
      <w:r w:rsidRPr="00DA76A7">
        <w:rPr>
          <w:rFonts w:ascii="Arial" w:hAnsi="Arial" w:cs="Arial"/>
          <w:b/>
          <w:color w:val="000000" w:themeColor="text1"/>
          <w:sz w:val="22"/>
          <w:szCs w:val="22"/>
        </w:rPr>
        <w:t>ЗАГЛАВНЫМИ БУКВАМИ</w:t>
      </w:r>
      <w:r w:rsidRPr="00DA76A7">
        <w:rPr>
          <w:rFonts w:ascii="Arial" w:hAnsi="Arial" w:cs="Arial"/>
          <w:color w:val="000000" w:themeColor="text1"/>
          <w:sz w:val="22"/>
          <w:szCs w:val="22"/>
        </w:rPr>
        <w:t xml:space="preserve"> жирным шрифтом - выравнивание по центру; </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вторая строка – интервал; </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третья строка - Ф.И.О. автора(ов) полностью (жирный шрифт) (выравнивание по  центру). Каждый автор указывается в отдельной строке.</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четвёртая строка – ученая степень и ученое звание автора (выравнивание по  центру); </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пятая строка - полное название организации - место работы автора в именительном падеже. Если все авторы статьи работают в одном учреждении, можно не указывать место работы каждого автора отдельно (выравнивание по центру);</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шестая и седьмая строка –  почтовый индекс, страна, город, телефон для контактов с авторами статьи (можно один на всех), адрес электронной почты для каждого автора (выравнивание по центру);</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восьмая строка - интервал;</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девятая строка – название статьи на английском языке </w:t>
      </w:r>
      <w:r w:rsidRPr="00DA76A7">
        <w:rPr>
          <w:rFonts w:ascii="Arial" w:hAnsi="Arial" w:cs="Arial"/>
          <w:b/>
          <w:color w:val="000000" w:themeColor="text1"/>
          <w:sz w:val="22"/>
          <w:szCs w:val="22"/>
        </w:rPr>
        <w:t>ЗАГЛАВНЫМИ БУКВАМИ</w:t>
      </w:r>
      <w:r w:rsidRPr="00DA76A7">
        <w:rPr>
          <w:rFonts w:ascii="Arial" w:hAnsi="Arial" w:cs="Arial"/>
          <w:color w:val="000000" w:themeColor="text1"/>
          <w:sz w:val="22"/>
          <w:szCs w:val="22"/>
        </w:rPr>
        <w:t xml:space="preserve"> жирным шрифтом - выравнивание по центру; </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далее та же информация об авторе повторяется на английском языке (выравнивание по центру);</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далее а</w:t>
      </w:r>
      <w:r w:rsidRPr="00DA76A7">
        <w:rPr>
          <w:rFonts w:ascii="Arial" w:hAnsi="Arial" w:cs="Arial"/>
          <w:bCs/>
          <w:color w:val="000000" w:themeColor="text1"/>
          <w:sz w:val="22"/>
          <w:szCs w:val="22"/>
        </w:rPr>
        <w:t>ннотация на русском и английском языке</w:t>
      </w:r>
      <w:r w:rsidRPr="00DA76A7">
        <w:rPr>
          <w:rFonts w:ascii="Arial" w:hAnsi="Arial" w:cs="Arial"/>
          <w:color w:val="000000" w:themeColor="text1"/>
          <w:sz w:val="22"/>
          <w:szCs w:val="22"/>
        </w:rPr>
        <w:t> не более 600 знаков (считая с пробелами) для аннотации на каждом языке (выравнивание по ширине);</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далее к</w:t>
      </w:r>
      <w:r w:rsidRPr="00DA76A7">
        <w:rPr>
          <w:rFonts w:ascii="Arial" w:hAnsi="Arial" w:cs="Arial"/>
          <w:bCs/>
          <w:color w:val="000000" w:themeColor="text1"/>
          <w:sz w:val="22"/>
          <w:szCs w:val="22"/>
        </w:rPr>
        <w:t>лючевые слова</w:t>
      </w:r>
      <w:r w:rsidRPr="00DA76A7">
        <w:rPr>
          <w:rFonts w:ascii="Arial" w:hAnsi="Arial" w:cs="Arial"/>
          <w:color w:val="000000" w:themeColor="text1"/>
          <w:sz w:val="22"/>
          <w:szCs w:val="22"/>
        </w:rPr>
        <w:t> (приводятся на русском и английском языках) отделяются друг от друга точкой запятой (выравнивание по ширине);</w:t>
      </w:r>
    </w:p>
    <w:p w:rsidR="003C3F9D" w:rsidRPr="00DA76A7" w:rsidRDefault="003C3F9D" w:rsidP="003C3F9D">
      <w:pPr>
        <w:pStyle w:val="a4"/>
        <w:numPr>
          <w:ilvl w:val="0"/>
          <w:numId w:val="1"/>
        </w:numPr>
        <w:tabs>
          <w:tab w:val="decimal" w:pos="851"/>
          <w:tab w:val="decimal"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после пропущенной строки печатается основной текст статьи (выравнивание по ширине). </w:t>
      </w:r>
    </w:p>
    <w:p w:rsidR="003C3F9D" w:rsidRPr="00DA76A7" w:rsidRDefault="003C3F9D" w:rsidP="003C3F9D">
      <w:pPr>
        <w:pStyle w:val="a4"/>
        <w:tabs>
          <w:tab w:val="decimal" w:pos="851"/>
          <w:tab w:val="decimal" w:pos="993"/>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ab/>
        <w:t xml:space="preserve">4. Ссылки на список литературы в тексте обязательны и оформляются после приведенной цитаты: [3, 12], где первая цифра - номер источника в списке литературы, вторая - страница. Подстрочные сноски не допускаются. </w:t>
      </w:r>
    </w:p>
    <w:p w:rsidR="003C3F9D" w:rsidRPr="00DA76A7" w:rsidRDefault="003C3F9D" w:rsidP="003C3F9D">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5. Список литературы выполняется по ГОСТ 7.0.5-2008 и располагается в конце статьи после слова «Список литературы»; сначала указываются нормативные источники в иерархичном порядке, затем – научная и учебная литература. Список оформляется в алфавитном порядке. </w:t>
      </w:r>
    </w:p>
    <w:p w:rsidR="003C3F9D" w:rsidRPr="00DA76A7" w:rsidRDefault="003C3F9D" w:rsidP="003C3F9D">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6. Встречающиеся в тексте условные обозначения и сокращения должны быть раскрыты при первом появлении их в тексте. </w:t>
      </w:r>
    </w:p>
    <w:p w:rsidR="003C3F9D" w:rsidRPr="00DA76A7" w:rsidRDefault="003C3F9D" w:rsidP="003C3F9D">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Номера страниц – не ставить.</w:t>
      </w:r>
    </w:p>
    <w:p w:rsidR="003C3F9D" w:rsidRPr="00DA76A7" w:rsidRDefault="003C3F9D" w:rsidP="003C3F9D">
      <w:pPr>
        <w:pStyle w:val="a4"/>
        <w:ind w:firstLine="567"/>
        <w:jc w:val="both"/>
        <w:rPr>
          <w:rFonts w:ascii="Arial" w:hAnsi="Arial" w:cs="Arial"/>
          <w:color w:val="000000" w:themeColor="text1"/>
          <w:sz w:val="22"/>
          <w:szCs w:val="22"/>
        </w:rPr>
      </w:pPr>
    </w:p>
    <w:p w:rsidR="003C3F9D" w:rsidRPr="00DA76A7" w:rsidRDefault="003C3F9D" w:rsidP="003C3F9D">
      <w:pPr>
        <w:pStyle w:val="a4"/>
        <w:jc w:val="center"/>
        <w:rPr>
          <w:rFonts w:ascii="Arial" w:hAnsi="Arial" w:cs="Arial"/>
          <w:b/>
          <w:color w:val="000000" w:themeColor="text1"/>
          <w:sz w:val="22"/>
          <w:szCs w:val="22"/>
        </w:rPr>
      </w:pPr>
    </w:p>
    <w:p w:rsidR="003C3F9D" w:rsidRPr="00DA76A7" w:rsidRDefault="003C3F9D" w:rsidP="003C3F9D">
      <w:pPr>
        <w:widowControl/>
        <w:ind w:firstLine="567"/>
        <w:jc w:val="both"/>
        <w:rPr>
          <w:rFonts w:ascii="Arial" w:eastAsia="Calibri" w:hAnsi="Arial" w:cs="Arial"/>
          <w:color w:val="000000" w:themeColor="text1"/>
          <w:sz w:val="22"/>
          <w:szCs w:val="22"/>
          <w:lang w:eastAsia="en-US"/>
        </w:rPr>
      </w:pPr>
      <w:r w:rsidRPr="00DA76A7">
        <w:rPr>
          <w:rFonts w:ascii="Arial" w:eastAsia="Calibri" w:hAnsi="Arial" w:cs="Arial"/>
          <w:color w:val="000000" w:themeColor="text1"/>
          <w:sz w:val="22"/>
          <w:szCs w:val="22"/>
          <w:lang w:eastAsia="en-US"/>
        </w:rPr>
        <w:t xml:space="preserve">Полную ответственность за содержание материалов несут авторы публикаций. </w:t>
      </w:r>
    </w:p>
    <w:p w:rsidR="008855E2" w:rsidRDefault="008855E2">
      <w:pPr>
        <w:widowControl/>
        <w:autoSpaceDE/>
        <w:autoSpaceDN/>
        <w:adjustRightInd/>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3C3F9D" w:rsidRPr="00DA76A7" w:rsidRDefault="003C3F9D" w:rsidP="0054571D">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СОДЕРЖАНИЕ</w:t>
      </w:r>
    </w:p>
    <w:p w:rsidR="0054571D" w:rsidRPr="00DA76A7" w:rsidRDefault="0054571D" w:rsidP="0054571D">
      <w:pPr>
        <w:pStyle w:val="a4"/>
        <w:jc w:val="both"/>
        <w:rPr>
          <w:rFonts w:ascii="Arial" w:hAnsi="Arial" w:cs="Arial"/>
          <w:b/>
          <w:color w:val="000000" w:themeColor="text1"/>
          <w:sz w:val="22"/>
          <w:szCs w:val="22"/>
        </w:rPr>
      </w:pPr>
    </w:p>
    <w:p w:rsidR="00C61DF5" w:rsidRPr="00246CED" w:rsidRDefault="00C61DF5" w:rsidP="001956B1">
      <w:pPr>
        <w:pStyle w:val="a4"/>
        <w:tabs>
          <w:tab w:val="clear" w:pos="4677"/>
          <w:tab w:val="clear" w:pos="9355"/>
          <w:tab w:val="right" w:pos="9072"/>
        </w:tabs>
        <w:rPr>
          <w:rFonts w:ascii="Arial" w:hAnsi="Arial" w:cs="Arial"/>
          <w:color w:val="000000" w:themeColor="text1"/>
          <w:sz w:val="22"/>
          <w:szCs w:val="22"/>
        </w:rPr>
      </w:pPr>
      <w:r w:rsidRPr="00DA76A7">
        <w:rPr>
          <w:rFonts w:ascii="Arial" w:hAnsi="Arial" w:cs="Arial"/>
          <w:b/>
          <w:color w:val="000000" w:themeColor="text1"/>
          <w:sz w:val="22"/>
          <w:szCs w:val="22"/>
        </w:rPr>
        <w:t>ПРЕДИСЛОВИЕ</w:t>
      </w:r>
      <w:r w:rsidR="006430F6" w:rsidRPr="008855E2">
        <w:rPr>
          <w:rFonts w:ascii="Arial" w:hAnsi="Arial" w:cs="Arial"/>
          <w:b/>
          <w:color w:val="000000" w:themeColor="text1"/>
          <w:sz w:val="22"/>
          <w:szCs w:val="22"/>
          <w:u w:val="dotted"/>
        </w:rPr>
        <w:tab/>
      </w:r>
      <w:r w:rsidR="00246CED" w:rsidRPr="00246CED">
        <w:rPr>
          <w:rFonts w:ascii="Arial" w:hAnsi="Arial" w:cs="Arial"/>
          <w:color w:val="000000" w:themeColor="text1"/>
          <w:sz w:val="22"/>
          <w:szCs w:val="22"/>
        </w:rPr>
        <w:t>17</w:t>
      </w:r>
    </w:p>
    <w:p w:rsidR="009A0BBE" w:rsidRPr="00DA76A7" w:rsidRDefault="009A0BBE" w:rsidP="0054571D">
      <w:pPr>
        <w:pStyle w:val="a4"/>
        <w:jc w:val="center"/>
        <w:rPr>
          <w:rFonts w:ascii="Arial" w:hAnsi="Arial" w:cs="Arial"/>
          <w:b/>
          <w:color w:val="000000" w:themeColor="text1"/>
          <w:sz w:val="22"/>
          <w:szCs w:val="22"/>
        </w:rPr>
      </w:pPr>
    </w:p>
    <w:p w:rsidR="006430F6" w:rsidRDefault="0054571D" w:rsidP="0054571D">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СЕКЦИЯ АКТУАЛЬНЫЕ ПРОБЛЕМЫ МЕЖДУНАРОДНОГО ПУБЛИЧНОГО </w:t>
      </w:r>
    </w:p>
    <w:p w:rsidR="0054571D" w:rsidRPr="00DA76A7" w:rsidRDefault="0054571D" w:rsidP="0054571D">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И ЧАСТНОГО ПРАВА</w:t>
      </w:r>
    </w:p>
    <w:p w:rsidR="00064810" w:rsidRPr="00DA76A7" w:rsidRDefault="00064810" w:rsidP="001B6671">
      <w:pPr>
        <w:pStyle w:val="a6"/>
        <w:tabs>
          <w:tab w:val="right" w:pos="9072"/>
        </w:tabs>
        <w:spacing w:after="0" w:line="240" w:lineRule="auto"/>
        <w:ind w:left="426" w:right="849" w:hanging="426"/>
        <w:jc w:val="both"/>
        <w:rPr>
          <w:rFonts w:ascii="Arial" w:hAnsi="Arial" w:cs="Arial"/>
          <w:color w:val="000000" w:themeColor="text1"/>
        </w:rPr>
      </w:pP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 xml:space="preserve">Абдулкаюм Р. </w:t>
      </w:r>
      <w:r w:rsidRPr="00DA76A7">
        <w:rPr>
          <w:rFonts w:ascii="Arial" w:hAnsi="Arial" w:cs="Arial"/>
          <w:color w:val="000000" w:themeColor="text1"/>
          <w:sz w:val="22"/>
          <w:szCs w:val="22"/>
        </w:rPr>
        <w:t>Проблемы правового регулирования международного усыновления в Российской Федерации</w:t>
      </w:r>
      <w:r w:rsidR="006430F6" w:rsidRPr="008855E2">
        <w:rPr>
          <w:rFonts w:ascii="Arial" w:hAnsi="Arial" w:cs="Arial"/>
          <w:color w:val="000000" w:themeColor="text1"/>
          <w:sz w:val="22"/>
          <w:szCs w:val="22"/>
          <w:u w:val="dotted"/>
        </w:rPr>
        <w:tab/>
      </w:r>
      <w:r w:rsidR="00246CED">
        <w:rPr>
          <w:rFonts w:ascii="Arial" w:hAnsi="Arial" w:cs="Arial"/>
          <w:color w:val="000000" w:themeColor="text1"/>
          <w:sz w:val="22"/>
          <w:szCs w:val="22"/>
        </w:rPr>
        <w:t>19</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Абдуллоев Р.З.</w:t>
      </w:r>
      <w:r w:rsidRPr="00DA76A7">
        <w:rPr>
          <w:rFonts w:ascii="Arial" w:hAnsi="Arial" w:cs="Arial"/>
          <w:color w:val="000000" w:themeColor="text1"/>
          <w:sz w:val="22"/>
          <w:szCs w:val="22"/>
        </w:rPr>
        <w:t xml:space="preserve"> Развитие международного сотрудничества в области правового регулирования банковской деятельности</w:t>
      </w:r>
      <w:r w:rsidR="006430F6" w:rsidRPr="008855E2">
        <w:rPr>
          <w:rFonts w:ascii="Arial" w:hAnsi="Arial" w:cs="Arial"/>
          <w:b/>
          <w:color w:val="000000" w:themeColor="text1"/>
          <w:sz w:val="22"/>
          <w:szCs w:val="22"/>
          <w:u w:val="dotted"/>
        </w:rPr>
        <w:tab/>
      </w:r>
      <w:r w:rsidR="00246CED">
        <w:rPr>
          <w:rFonts w:ascii="Arial" w:hAnsi="Arial" w:cs="Arial"/>
          <w:color w:val="000000" w:themeColor="text1"/>
          <w:sz w:val="22"/>
          <w:szCs w:val="22"/>
        </w:rPr>
        <w:t>23</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Абдурасулов А.</w:t>
      </w:r>
      <w:r w:rsidR="00BC7FC8" w:rsidRPr="00DA76A7">
        <w:rPr>
          <w:rFonts w:ascii="Arial" w:hAnsi="Arial" w:cs="Arial"/>
          <w:b/>
          <w:color w:val="000000" w:themeColor="text1"/>
          <w:sz w:val="22"/>
          <w:szCs w:val="22"/>
        </w:rPr>
        <w:t>Д</w:t>
      </w:r>
      <w:r w:rsidRPr="00DA76A7">
        <w:rPr>
          <w:rFonts w:ascii="Arial" w:hAnsi="Arial" w:cs="Arial"/>
          <w:b/>
          <w:color w:val="000000" w:themeColor="text1"/>
          <w:sz w:val="22"/>
          <w:szCs w:val="22"/>
        </w:rPr>
        <w:t>.</w:t>
      </w:r>
      <w:r w:rsidRPr="00DA76A7">
        <w:rPr>
          <w:rFonts w:ascii="Arial" w:hAnsi="Arial" w:cs="Arial"/>
          <w:color w:val="000000" w:themeColor="text1"/>
          <w:sz w:val="22"/>
          <w:szCs w:val="22"/>
        </w:rPr>
        <w:t xml:space="preserve"> Территориальные споры в международном праве: механизмы и принципы разрешения</w:t>
      </w:r>
      <w:r w:rsidR="006430F6" w:rsidRPr="008855E2">
        <w:rPr>
          <w:rFonts w:ascii="Arial" w:hAnsi="Arial" w:cs="Arial"/>
          <w:b/>
          <w:color w:val="000000" w:themeColor="text1"/>
          <w:sz w:val="22"/>
          <w:szCs w:val="22"/>
          <w:u w:val="dotted"/>
        </w:rPr>
        <w:tab/>
      </w:r>
      <w:r w:rsidR="00246CED">
        <w:rPr>
          <w:rFonts w:ascii="Arial" w:hAnsi="Arial" w:cs="Arial"/>
          <w:color w:val="000000" w:themeColor="text1"/>
          <w:sz w:val="22"/>
          <w:szCs w:val="22"/>
        </w:rPr>
        <w:t>27</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Абдурасулов Ш.М.</w:t>
      </w:r>
      <w:r w:rsidRPr="00DA76A7">
        <w:rPr>
          <w:rFonts w:ascii="Arial" w:hAnsi="Arial" w:cs="Arial"/>
          <w:color w:val="000000" w:themeColor="text1"/>
          <w:sz w:val="22"/>
          <w:szCs w:val="22"/>
        </w:rPr>
        <w:t xml:space="preserve"> Некоторые аспекты внешней политики Республики Таджикистан на современном этапе</w:t>
      </w:r>
      <w:r w:rsidR="006430F6" w:rsidRPr="008855E2">
        <w:rPr>
          <w:rFonts w:ascii="Arial" w:hAnsi="Arial" w:cs="Arial"/>
          <w:color w:val="000000" w:themeColor="text1"/>
          <w:sz w:val="22"/>
          <w:szCs w:val="22"/>
          <w:u w:val="dotted"/>
        </w:rPr>
        <w:tab/>
      </w:r>
      <w:r w:rsidR="00246CED">
        <w:rPr>
          <w:rFonts w:ascii="Arial" w:hAnsi="Arial" w:cs="Arial"/>
          <w:color w:val="000000" w:themeColor="text1"/>
          <w:sz w:val="22"/>
          <w:szCs w:val="22"/>
        </w:rPr>
        <w:t>30</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Азизов Ф.Х.</w:t>
      </w:r>
      <w:r w:rsidRPr="00DA76A7">
        <w:rPr>
          <w:rFonts w:ascii="Arial" w:hAnsi="Arial" w:cs="Arial"/>
          <w:color w:val="000000" w:themeColor="text1"/>
          <w:sz w:val="22"/>
          <w:szCs w:val="22"/>
        </w:rPr>
        <w:t xml:space="preserve"> Основные коллизионные принципы, применяемые к обязательствам из недобросовестной конкуренции</w:t>
      </w:r>
      <w:r w:rsidR="006430F6" w:rsidRPr="008855E2">
        <w:rPr>
          <w:rFonts w:ascii="Arial" w:hAnsi="Arial" w:cs="Arial"/>
          <w:b/>
          <w:color w:val="000000" w:themeColor="text1"/>
          <w:sz w:val="22"/>
          <w:szCs w:val="22"/>
          <w:u w:val="dotted"/>
        </w:rPr>
        <w:tab/>
      </w:r>
      <w:r w:rsidR="00246CED" w:rsidRPr="00246CED">
        <w:rPr>
          <w:rFonts w:ascii="Arial" w:hAnsi="Arial" w:cs="Arial"/>
          <w:color w:val="000000" w:themeColor="text1"/>
          <w:sz w:val="22"/>
          <w:szCs w:val="22"/>
        </w:rPr>
        <w:t>34</w:t>
      </w:r>
    </w:p>
    <w:p w:rsidR="00064810" w:rsidRPr="00DA76A7" w:rsidRDefault="00064810" w:rsidP="00F4275A">
      <w:pPr>
        <w:pStyle w:val="11"/>
        <w:tabs>
          <w:tab w:val="right" w:pos="9072"/>
        </w:tabs>
        <w:spacing w:line="240" w:lineRule="auto"/>
        <w:ind w:left="426" w:right="849" w:hanging="426"/>
        <w:jc w:val="both"/>
        <w:rPr>
          <w:rFonts w:eastAsia="Times New Roman"/>
          <w:color w:val="000000" w:themeColor="text1"/>
        </w:rPr>
      </w:pPr>
      <w:r w:rsidRPr="00DA76A7">
        <w:rPr>
          <w:b/>
          <w:color w:val="000000" w:themeColor="text1"/>
        </w:rPr>
        <w:t>Акопян В.Г.</w:t>
      </w:r>
      <w:r w:rsidRPr="00DA76A7">
        <w:rPr>
          <w:color w:val="000000" w:themeColor="text1"/>
        </w:rPr>
        <w:t xml:space="preserve"> </w:t>
      </w:r>
      <w:r w:rsidRPr="00DA76A7">
        <w:rPr>
          <w:rFonts w:eastAsia="Times New Roman"/>
          <w:color w:val="000000" w:themeColor="text1"/>
        </w:rPr>
        <w:t>Проблема наблюдения за работниками в правовых позициях европейского суда по правам человека</w:t>
      </w:r>
      <w:r w:rsidR="006430F6" w:rsidRPr="008855E2">
        <w:rPr>
          <w:rFonts w:eastAsia="Times New Roman"/>
          <w:color w:val="000000" w:themeColor="text1"/>
          <w:u w:val="dotted"/>
        </w:rPr>
        <w:tab/>
      </w:r>
      <w:r w:rsidR="00CB11CD">
        <w:rPr>
          <w:rFonts w:eastAsia="Times New Roman"/>
          <w:color w:val="000000" w:themeColor="text1"/>
        </w:rPr>
        <w:t>38</w:t>
      </w:r>
    </w:p>
    <w:p w:rsidR="00064810" w:rsidRPr="00DA76A7" w:rsidRDefault="00064810" w:rsidP="00F4275A">
      <w:pPr>
        <w:shd w:val="clear" w:color="auto" w:fill="FFFFFF"/>
        <w:tabs>
          <w:tab w:val="right" w:pos="9072"/>
        </w:tabs>
        <w:ind w:left="426" w:right="849" w:hanging="426"/>
        <w:jc w:val="both"/>
        <w:rPr>
          <w:rFonts w:ascii="Arial" w:hAnsi="Arial" w:cs="Arial"/>
          <w:bCs/>
          <w:color w:val="000000" w:themeColor="text1"/>
          <w:sz w:val="22"/>
          <w:szCs w:val="22"/>
        </w:rPr>
      </w:pPr>
      <w:r w:rsidRPr="00DA76A7">
        <w:rPr>
          <w:rFonts w:ascii="Arial" w:hAnsi="Arial" w:cs="Arial"/>
          <w:b/>
          <w:bCs/>
          <w:color w:val="000000" w:themeColor="text1"/>
          <w:sz w:val="22"/>
          <w:szCs w:val="22"/>
        </w:rPr>
        <w:t xml:space="preserve">Ахунджанов Э.П. </w:t>
      </w:r>
      <w:r w:rsidRPr="00DA76A7">
        <w:rPr>
          <w:rFonts w:ascii="Arial" w:hAnsi="Arial" w:cs="Arial"/>
          <w:bCs/>
          <w:color w:val="000000" w:themeColor="text1"/>
          <w:sz w:val="22"/>
          <w:szCs w:val="22"/>
        </w:rPr>
        <w:t>Вопросы правового регулирования международной перевозки пассажира и багажа в железнодорожном транспорте</w:t>
      </w:r>
      <w:r w:rsidR="006430F6" w:rsidRPr="008855E2">
        <w:rPr>
          <w:rFonts w:ascii="Arial" w:hAnsi="Arial" w:cs="Arial"/>
          <w:bCs/>
          <w:color w:val="000000" w:themeColor="text1"/>
          <w:sz w:val="22"/>
          <w:szCs w:val="22"/>
          <w:u w:val="dotted"/>
        </w:rPr>
        <w:tab/>
      </w:r>
      <w:r w:rsidR="00CB11CD">
        <w:rPr>
          <w:rFonts w:ascii="Arial" w:hAnsi="Arial" w:cs="Arial"/>
          <w:bCs/>
          <w:color w:val="000000" w:themeColor="text1"/>
          <w:sz w:val="22"/>
          <w:szCs w:val="22"/>
        </w:rPr>
        <w:t>41</w:t>
      </w:r>
    </w:p>
    <w:p w:rsidR="00064810" w:rsidRPr="00DA76A7" w:rsidRDefault="00064810" w:rsidP="00F4275A">
      <w:pPr>
        <w:tabs>
          <w:tab w:val="right" w:pos="9072"/>
        </w:tabs>
        <w:ind w:left="426" w:right="849" w:hanging="426"/>
        <w:jc w:val="both"/>
        <w:rPr>
          <w:rFonts w:ascii="Arial" w:hAnsi="Arial" w:cs="Arial"/>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Ашурова Ф.З.</w:t>
      </w:r>
      <w:r w:rsidRPr="00DA76A7">
        <w:rPr>
          <w:rFonts w:ascii="Arial" w:hAnsi="Arial" w:cs="Arial"/>
          <w:color w:val="000000" w:themeColor="text1"/>
          <w:sz w:val="22"/>
          <w:szCs w:val="22"/>
          <w:shd w:val="clear" w:color="auto" w:fill="FFFFFF"/>
        </w:rPr>
        <w:t xml:space="preserve"> Управление верховного комиссара ООН по делам беженцев: история, задачи и структура</w:t>
      </w:r>
      <w:r w:rsidR="006430F6" w:rsidRPr="008855E2">
        <w:rPr>
          <w:rFonts w:ascii="Arial" w:hAnsi="Arial" w:cs="Arial"/>
          <w:color w:val="000000" w:themeColor="text1"/>
          <w:sz w:val="22"/>
          <w:szCs w:val="22"/>
          <w:u w:val="dotted"/>
          <w:shd w:val="clear" w:color="auto" w:fill="FFFFFF"/>
        </w:rPr>
        <w:tab/>
      </w:r>
      <w:r w:rsidR="00246CED">
        <w:rPr>
          <w:rFonts w:ascii="Arial" w:hAnsi="Arial" w:cs="Arial"/>
          <w:color w:val="000000" w:themeColor="text1"/>
          <w:sz w:val="22"/>
          <w:szCs w:val="22"/>
          <w:shd w:val="clear" w:color="auto" w:fill="FFFFFF"/>
        </w:rPr>
        <w:t>46</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 xml:space="preserve">Бехрузи А. </w:t>
      </w:r>
      <w:r w:rsidRPr="00DA76A7">
        <w:rPr>
          <w:rFonts w:ascii="Arial" w:hAnsi="Arial" w:cs="Arial"/>
          <w:color w:val="000000" w:themeColor="text1"/>
          <w:sz w:val="22"/>
          <w:szCs w:val="22"/>
        </w:rPr>
        <w:t>О понятии международного воздушного сообщения</w:t>
      </w:r>
      <w:r w:rsidR="006430F6" w:rsidRPr="008855E2">
        <w:rPr>
          <w:rFonts w:ascii="Arial" w:hAnsi="Arial" w:cs="Arial"/>
          <w:color w:val="000000" w:themeColor="text1"/>
          <w:sz w:val="22"/>
          <w:szCs w:val="22"/>
          <w:u w:val="dotted"/>
        </w:rPr>
        <w:tab/>
      </w:r>
      <w:r w:rsidR="00246CED">
        <w:rPr>
          <w:rFonts w:ascii="Arial" w:hAnsi="Arial" w:cs="Arial"/>
          <w:color w:val="000000" w:themeColor="text1"/>
          <w:sz w:val="22"/>
          <w:szCs w:val="22"/>
        </w:rPr>
        <w:t>50</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Бехрузи А.</w:t>
      </w:r>
      <w:r w:rsidRPr="00DA76A7">
        <w:rPr>
          <w:rFonts w:ascii="Arial" w:hAnsi="Arial" w:cs="Arial"/>
          <w:color w:val="000000" w:themeColor="text1"/>
          <w:sz w:val="22"/>
          <w:szCs w:val="22"/>
        </w:rPr>
        <w:t xml:space="preserve"> Чикагская конвенция о международной гражданской авиации 1944 г. - основной акт международного воздушного права</w:t>
      </w:r>
      <w:r w:rsidR="006430F6" w:rsidRPr="008855E2">
        <w:rPr>
          <w:rFonts w:ascii="Arial" w:hAnsi="Arial" w:cs="Arial"/>
          <w:color w:val="000000" w:themeColor="text1"/>
          <w:sz w:val="22"/>
          <w:szCs w:val="22"/>
          <w:u w:val="dotted"/>
        </w:rPr>
        <w:tab/>
      </w:r>
      <w:r w:rsidR="00CB11CD">
        <w:rPr>
          <w:rFonts w:ascii="Arial" w:hAnsi="Arial" w:cs="Arial"/>
          <w:color w:val="000000" w:themeColor="text1"/>
          <w:sz w:val="22"/>
          <w:szCs w:val="22"/>
        </w:rPr>
        <w:t>52</w:t>
      </w:r>
    </w:p>
    <w:p w:rsidR="00064810" w:rsidRPr="00DA76A7" w:rsidRDefault="00064810" w:rsidP="00F4275A">
      <w:pPr>
        <w:pStyle w:val="ac"/>
        <w:tabs>
          <w:tab w:val="right" w:pos="9072"/>
        </w:tabs>
        <w:ind w:left="426" w:right="849" w:hanging="426"/>
        <w:jc w:val="both"/>
        <w:rPr>
          <w:rFonts w:ascii="Arial" w:hAnsi="Arial" w:cs="Arial"/>
          <w:color w:val="000000" w:themeColor="text1"/>
        </w:rPr>
      </w:pPr>
      <w:r w:rsidRPr="00DA76A7">
        <w:rPr>
          <w:rFonts w:ascii="Arial" w:hAnsi="Arial" w:cs="Arial"/>
          <w:b/>
          <w:color w:val="000000" w:themeColor="text1"/>
        </w:rPr>
        <w:t>Валиходжаева Н.М.</w:t>
      </w:r>
      <w:r w:rsidRPr="00DA76A7">
        <w:rPr>
          <w:rFonts w:ascii="Arial" w:hAnsi="Arial" w:cs="Arial"/>
          <w:color w:val="000000" w:themeColor="text1"/>
        </w:rPr>
        <w:t xml:space="preserve"> Международные стандарты труда</w:t>
      </w:r>
      <w:r w:rsidR="006430F6" w:rsidRPr="008855E2">
        <w:rPr>
          <w:rFonts w:ascii="Arial" w:hAnsi="Arial" w:cs="Arial"/>
          <w:color w:val="000000" w:themeColor="text1"/>
          <w:u w:val="dotted"/>
        </w:rPr>
        <w:tab/>
      </w:r>
      <w:r w:rsidR="001141B9">
        <w:rPr>
          <w:rFonts w:ascii="Arial" w:hAnsi="Arial" w:cs="Arial"/>
          <w:color w:val="000000" w:themeColor="text1"/>
        </w:rPr>
        <w:t>55</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Дадобаева Н.С.</w:t>
      </w:r>
      <w:r w:rsidRPr="00DA76A7">
        <w:rPr>
          <w:rFonts w:ascii="Arial" w:hAnsi="Arial" w:cs="Arial"/>
          <w:color w:val="000000" w:themeColor="text1"/>
          <w:sz w:val="22"/>
          <w:szCs w:val="22"/>
        </w:rPr>
        <w:t xml:space="preserve"> Автономия воли сторон и выбор применимого права в международном коммерческом арбитраже</w:t>
      </w:r>
      <w:r w:rsidR="006430F6" w:rsidRPr="008855E2">
        <w:rPr>
          <w:rFonts w:ascii="Arial" w:hAnsi="Arial" w:cs="Arial"/>
          <w:color w:val="000000" w:themeColor="text1"/>
          <w:sz w:val="22"/>
          <w:szCs w:val="22"/>
          <w:u w:val="dotted"/>
        </w:rPr>
        <w:tab/>
      </w:r>
      <w:r w:rsidR="00246CED">
        <w:rPr>
          <w:rFonts w:ascii="Arial" w:hAnsi="Arial" w:cs="Arial"/>
          <w:color w:val="000000" w:themeColor="text1"/>
          <w:sz w:val="22"/>
          <w:szCs w:val="22"/>
        </w:rPr>
        <w:t>61</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Джурахонов Б.А.</w:t>
      </w:r>
      <w:r w:rsidRPr="00DA76A7">
        <w:rPr>
          <w:rFonts w:ascii="Arial" w:hAnsi="Arial" w:cs="Arial"/>
          <w:color w:val="000000" w:themeColor="text1"/>
          <w:sz w:val="22"/>
          <w:szCs w:val="22"/>
        </w:rPr>
        <w:t xml:space="preserve"> Унификация международного частного права</w:t>
      </w:r>
      <w:r w:rsidR="006430F6" w:rsidRPr="008855E2">
        <w:rPr>
          <w:rFonts w:ascii="Arial" w:hAnsi="Arial" w:cs="Arial"/>
          <w:color w:val="000000" w:themeColor="text1"/>
          <w:sz w:val="22"/>
          <w:szCs w:val="22"/>
          <w:u w:val="dotted"/>
        </w:rPr>
        <w:tab/>
      </w:r>
      <w:r w:rsidR="001141B9">
        <w:rPr>
          <w:rFonts w:ascii="Arial" w:hAnsi="Arial" w:cs="Arial"/>
          <w:color w:val="000000" w:themeColor="text1"/>
          <w:sz w:val="22"/>
          <w:szCs w:val="22"/>
        </w:rPr>
        <w:t>64</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Дядькова Ю.А.</w:t>
      </w:r>
      <w:r w:rsidRPr="00DA76A7">
        <w:rPr>
          <w:rFonts w:ascii="Arial" w:hAnsi="Arial" w:cs="Arial"/>
          <w:color w:val="000000" w:themeColor="text1"/>
          <w:sz w:val="22"/>
          <w:szCs w:val="22"/>
        </w:rPr>
        <w:t xml:space="preserve"> </w:t>
      </w:r>
      <w:r w:rsidRPr="00DA76A7">
        <w:rPr>
          <w:rFonts w:ascii="Arial" w:hAnsi="Arial" w:cs="Arial"/>
          <w:caps/>
          <w:color w:val="000000" w:themeColor="text1"/>
          <w:sz w:val="22"/>
          <w:szCs w:val="22"/>
        </w:rPr>
        <w:t>о</w:t>
      </w:r>
      <w:r w:rsidRPr="00DA76A7">
        <w:rPr>
          <w:rFonts w:ascii="Arial" w:hAnsi="Arial" w:cs="Arial"/>
          <w:color w:val="000000" w:themeColor="text1"/>
          <w:sz w:val="22"/>
          <w:szCs w:val="22"/>
        </w:rPr>
        <w:t>б имплементации международных договоров в сфере иностранных инвестиций в национальном законодательстве Российской Федерации</w:t>
      </w:r>
      <w:r w:rsidR="006430F6" w:rsidRPr="008855E2">
        <w:rPr>
          <w:rFonts w:ascii="Arial" w:hAnsi="Arial" w:cs="Arial"/>
          <w:color w:val="000000" w:themeColor="text1"/>
          <w:sz w:val="22"/>
          <w:szCs w:val="22"/>
          <w:u w:val="dotted"/>
        </w:rPr>
        <w:tab/>
      </w:r>
      <w:r w:rsidR="001141B9">
        <w:rPr>
          <w:rFonts w:ascii="Arial" w:hAnsi="Arial" w:cs="Arial"/>
          <w:color w:val="000000" w:themeColor="text1"/>
          <w:sz w:val="22"/>
          <w:szCs w:val="22"/>
        </w:rPr>
        <w:t>67</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Истамов У.Б. К</w:t>
      </w:r>
      <w:r w:rsidRPr="00DA76A7">
        <w:rPr>
          <w:rFonts w:ascii="Arial" w:hAnsi="Arial" w:cs="Arial"/>
          <w:color w:val="000000" w:themeColor="text1"/>
          <w:sz w:val="22"/>
          <w:szCs w:val="22"/>
        </w:rPr>
        <w:t xml:space="preserve"> вопросу об источниках коллизионно-правового регулирования алиментных отношений родителей и детей</w:t>
      </w:r>
      <w:r w:rsidR="006430F6" w:rsidRPr="008855E2">
        <w:rPr>
          <w:rFonts w:ascii="Arial" w:hAnsi="Arial" w:cs="Arial"/>
          <w:color w:val="000000" w:themeColor="text1"/>
          <w:sz w:val="22"/>
          <w:szCs w:val="22"/>
          <w:u w:val="dotted"/>
        </w:rPr>
        <w:tab/>
      </w:r>
      <w:r w:rsidR="001141B9">
        <w:rPr>
          <w:rFonts w:ascii="Arial" w:hAnsi="Arial" w:cs="Arial"/>
          <w:color w:val="000000" w:themeColor="text1"/>
          <w:sz w:val="22"/>
          <w:szCs w:val="22"/>
        </w:rPr>
        <w:t>72</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Курбанов Ф.Б.</w:t>
      </w:r>
      <w:r w:rsidRPr="00DA76A7">
        <w:rPr>
          <w:rFonts w:ascii="Arial" w:hAnsi="Arial" w:cs="Arial"/>
          <w:color w:val="000000" w:themeColor="text1"/>
          <w:sz w:val="22"/>
          <w:szCs w:val="22"/>
        </w:rPr>
        <w:t xml:space="preserve"> Перспективы и особенности борьбы с международным терроризмом в контексте непризнанных государств</w:t>
      </w:r>
      <w:r w:rsidR="006430F6" w:rsidRPr="008855E2">
        <w:rPr>
          <w:rFonts w:ascii="Arial" w:hAnsi="Arial" w:cs="Arial"/>
          <w:color w:val="000000" w:themeColor="text1"/>
          <w:sz w:val="22"/>
          <w:szCs w:val="22"/>
          <w:u w:val="dotted"/>
        </w:rPr>
        <w:tab/>
      </w:r>
      <w:r w:rsidR="001141B9">
        <w:rPr>
          <w:rFonts w:ascii="Arial" w:hAnsi="Arial" w:cs="Arial"/>
          <w:color w:val="000000" w:themeColor="text1"/>
          <w:sz w:val="22"/>
          <w:szCs w:val="22"/>
        </w:rPr>
        <w:t>75</w:t>
      </w:r>
    </w:p>
    <w:p w:rsidR="00064810" w:rsidRPr="00DA76A7" w:rsidRDefault="00064810" w:rsidP="00F4275A">
      <w:pPr>
        <w:tabs>
          <w:tab w:val="right" w:pos="9072"/>
        </w:tabs>
        <w:ind w:left="426" w:right="849" w:hanging="426"/>
        <w:jc w:val="both"/>
        <w:rPr>
          <w:rFonts w:ascii="Arial" w:hAnsi="Arial" w:cs="Arial"/>
          <w:color w:val="000000" w:themeColor="text1"/>
          <w:sz w:val="22"/>
          <w:szCs w:val="22"/>
          <w:lang w:val="uk-UA"/>
        </w:rPr>
      </w:pPr>
      <w:r w:rsidRPr="00DA76A7">
        <w:rPr>
          <w:rFonts w:ascii="Arial" w:hAnsi="Arial" w:cs="Arial"/>
          <w:b/>
          <w:color w:val="000000" w:themeColor="text1"/>
          <w:sz w:val="22"/>
          <w:szCs w:val="22"/>
        </w:rPr>
        <w:t>Мамадалиева М.С.</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uk-UA"/>
        </w:rPr>
        <w:t>Торговые представительства Республики Таджикистан как отдельный субъект международного экономического права</w:t>
      </w:r>
      <w:r w:rsidR="006430F6" w:rsidRPr="008855E2">
        <w:rPr>
          <w:rFonts w:ascii="Arial" w:hAnsi="Arial" w:cs="Arial"/>
          <w:color w:val="000000" w:themeColor="text1"/>
          <w:sz w:val="22"/>
          <w:szCs w:val="22"/>
          <w:u w:val="dotted"/>
        </w:rPr>
        <w:tab/>
      </w:r>
      <w:r w:rsidR="00891FA8">
        <w:rPr>
          <w:rFonts w:ascii="Arial" w:hAnsi="Arial" w:cs="Arial"/>
          <w:color w:val="000000" w:themeColor="text1"/>
          <w:sz w:val="22"/>
          <w:szCs w:val="22"/>
          <w:lang w:val="uk-UA"/>
        </w:rPr>
        <w:t>81</w:t>
      </w:r>
    </w:p>
    <w:p w:rsidR="00064810" w:rsidRPr="00DA76A7" w:rsidRDefault="00064810" w:rsidP="00F4275A">
      <w:pPr>
        <w:tabs>
          <w:tab w:val="right" w:pos="9072"/>
        </w:tabs>
        <w:ind w:left="426" w:right="849" w:hanging="426"/>
        <w:jc w:val="both"/>
        <w:rPr>
          <w:rFonts w:ascii="Arial" w:hAnsi="Arial" w:cs="Arial"/>
          <w:color w:val="000000" w:themeColor="text1"/>
          <w:sz w:val="22"/>
          <w:szCs w:val="22"/>
          <w:lang w:val="uk-UA"/>
        </w:rPr>
      </w:pPr>
      <w:r w:rsidRPr="00DA76A7">
        <w:rPr>
          <w:rFonts w:ascii="Arial" w:hAnsi="Arial" w:cs="Arial"/>
          <w:b/>
          <w:color w:val="000000" w:themeColor="text1"/>
          <w:sz w:val="22"/>
          <w:szCs w:val="22"/>
        </w:rPr>
        <w:t>Мамадалиева М.С.</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uk-UA"/>
        </w:rPr>
        <w:t>Участие Таджикистана в международных экономических отношениях в рамках СНГ</w:t>
      </w:r>
      <w:r w:rsidR="006430F6" w:rsidRPr="008855E2">
        <w:rPr>
          <w:rFonts w:ascii="Arial" w:hAnsi="Arial" w:cs="Arial"/>
          <w:color w:val="000000" w:themeColor="text1"/>
          <w:sz w:val="22"/>
          <w:szCs w:val="22"/>
          <w:u w:val="dotted"/>
        </w:rPr>
        <w:tab/>
      </w:r>
      <w:r w:rsidR="001141B9">
        <w:rPr>
          <w:rFonts w:ascii="Arial" w:hAnsi="Arial" w:cs="Arial"/>
          <w:color w:val="000000" w:themeColor="text1"/>
          <w:sz w:val="22"/>
          <w:szCs w:val="22"/>
          <w:lang w:val="uk-UA"/>
        </w:rPr>
        <w:t>83</w:t>
      </w:r>
    </w:p>
    <w:p w:rsidR="00064810" w:rsidRPr="00DA76A7" w:rsidRDefault="00064810" w:rsidP="00F4275A">
      <w:pPr>
        <w:pStyle w:val="ac"/>
        <w:tabs>
          <w:tab w:val="right" w:pos="9072"/>
        </w:tabs>
        <w:ind w:left="426" w:right="849" w:hanging="426"/>
        <w:jc w:val="both"/>
        <w:rPr>
          <w:rFonts w:ascii="Arial" w:hAnsi="Arial" w:cs="Arial"/>
          <w:color w:val="000000" w:themeColor="text1"/>
        </w:rPr>
      </w:pPr>
      <w:r w:rsidRPr="00DA76A7">
        <w:rPr>
          <w:rFonts w:ascii="Arial" w:hAnsi="Arial" w:cs="Arial"/>
          <w:b/>
          <w:color w:val="000000" w:themeColor="text1"/>
          <w:shd w:val="clear" w:color="auto" w:fill="FFFFFF"/>
        </w:rPr>
        <w:t>Маматкулова А.</w:t>
      </w:r>
      <w:r w:rsidRPr="00DA76A7">
        <w:rPr>
          <w:rFonts w:ascii="Arial" w:hAnsi="Arial" w:cs="Arial"/>
          <w:b/>
          <w:color w:val="000000" w:themeColor="text1"/>
        </w:rPr>
        <w:t>О.</w:t>
      </w:r>
      <w:r w:rsidRPr="00DA76A7">
        <w:rPr>
          <w:rFonts w:ascii="Arial" w:hAnsi="Arial" w:cs="Arial"/>
          <w:color w:val="000000" w:themeColor="text1"/>
        </w:rPr>
        <w:t xml:space="preserve"> Институт инвестирования как форма осуществления вложений в Таджикистане</w:t>
      </w:r>
      <w:r w:rsidR="006430F6" w:rsidRPr="008855E2">
        <w:rPr>
          <w:rFonts w:ascii="Arial" w:hAnsi="Arial" w:cs="Arial"/>
          <w:color w:val="000000" w:themeColor="text1"/>
          <w:u w:val="dotted"/>
        </w:rPr>
        <w:tab/>
      </w:r>
      <w:r w:rsidR="001141B9">
        <w:rPr>
          <w:rFonts w:ascii="Arial" w:hAnsi="Arial" w:cs="Arial"/>
          <w:color w:val="000000" w:themeColor="text1"/>
        </w:rPr>
        <w:t>85</w:t>
      </w:r>
    </w:p>
    <w:p w:rsidR="00064810" w:rsidRPr="00DA76A7" w:rsidRDefault="00064810" w:rsidP="00F4275A">
      <w:pPr>
        <w:pStyle w:val="22"/>
        <w:shd w:val="clear" w:color="auto" w:fill="auto"/>
        <w:tabs>
          <w:tab w:val="right" w:pos="9072"/>
        </w:tabs>
        <w:spacing w:after="0" w:line="240" w:lineRule="auto"/>
        <w:ind w:left="426" w:right="849" w:hanging="426"/>
        <w:jc w:val="both"/>
        <w:rPr>
          <w:rFonts w:ascii="Arial" w:hAnsi="Arial" w:cs="Arial"/>
          <w:color w:val="000000" w:themeColor="text1"/>
          <w:sz w:val="22"/>
          <w:szCs w:val="22"/>
          <w:lang w:eastAsia="ru-RU" w:bidi="ru-RU"/>
        </w:rPr>
      </w:pPr>
      <w:r w:rsidRPr="00DA76A7">
        <w:rPr>
          <w:rFonts w:ascii="Arial" w:eastAsia="Calibri" w:hAnsi="Arial" w:cs="Arial"/>
          <w:b/>
          <w:color w:val="000000" w:themeColor="text1"/>
          <w:sz w:val="22"/>
          <w:szCs w:val="22"/>
        </w:rPr>
        <w:t>Меликова З</w:t>
      </w:r>
      <w:r w:rsidRPr="00DA76A7">
        <w:rPr>
          <w:rFonts w:ascii="Arial" w:hAnsi="Arial" w:cs="Arial"/>
          <w:b/>
          <w:color w:val="000000" w:themeColor="text1"/>
          <w:sz w:val="22"/>
          <w:szCs w:val="22"/>
        </w:rPr>
        <w:t>.</w:t>
      </w:r>
      <w:r w:rsidRPr="00DA76A7">
        <w:rPr>
          <w:rFonts w:ascii="Arial" w:eastAsia="Calibri" w:hAnsi="Arial" w:cs="Arial"/>
          <w:b/>
          <w:color w:val="000000" w:themeColor="text1"/>
          <w:sz w:val="22"/>
          <w:szCs w:val="22"/>
        </w:rPr>
        <w:t>З</w:t>
      </w:r>
      <w:r w:rsidRPr="00DA76A7">
        <w:rPr>
          <w:rFonts w:ascii="Arial" w:hAnsi="Arial" w:cs="Arial"/>
          <w:b/>
          <w:color w:val="000000" w:themeColor="text1"/>
          <w:sz w:val="22"/>
          <w:szCs w:val="22"/>
        </w:rPr>
        <w:t>.</w:t>
      </w:r>
      <w:r w:rsidRPr="00DA76A7">
        <w:rPr>
          <w:rFonts w:ascii="Arial" w:hAnsi="Arial" w:cs="Arial"/>
          <w:color w:val="000000" w:themeColor="text1"/>
          <w:sz w:val="22"/>
          <w:szCs w:val="22"/>
          <w:lang w:eastAsia="ru-RU" w:bidi="ru-RU"/>
        </w:rPr>
        <w:t xml:space="preserve"> Роль реадмиссии в международно-правовом регулировании процессов незаконной миграции</w:t>
      </w:r>
      <w:r w:rsidR="006430F6" w:rsidRPr="008855E2">
        <w:rPr>
          <w:rFonts w:ascii="Arial" w:hAnsi="Arial" w:cs="Arial"/>
          <w:color w:val="000000" w:themeColor="text1"/>
          <w:sz w:val="22"/>
          <w:szCs w:val="22"/>
          <w:u w:val="dotted"/>
        </w:rPr>
        <w:tab/>
      </w:r>
      <w:r w:rsidR="001141B9">
        <w:rPr>
          <w:rFonts w:ascii="Arial" w:hAnsi="Arial" w:cs="Arial"/>
          <w:color w:val="000000" w:themeColor="text1"/>
          <w:sz w:val="22"/>
          <w:szCs w:val="22"/>
          <w:lang w:eastAsia="ru-RU" w:bidi="ru-RU"/>
        </w:rPr>
        <w:t>88</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Назарова С.А.</w:t>
      </w:r>
      <w:r w:rsidRPr="00DA76A7">
        <w:rPr>
          <w:rFonts w:ascii="Arial" w:hAnsi="Arial" w:cs="Arial"/>
          <w:color w:val="000000" w:themeColor="text1"/>
          <w:sz w:val="22"/>
          <w:szCs w:val="22"/>
        </w:rPr>
        <w:t xml:space="preserve"> Место представительства Республики Таджикистан при международных организациях в системе органов внешних сношений</w:t>
      </w:r>
      <w:r w:rsidR="006430F6" w:rsidRPr="008855E2">
        <w:rPr>
          <w:rFonts w:ascii="Arial" w:hAnsi="Arial" w:cs="Arial"/>
          <w:color w:val="000000" w:themeColor="text1"/>
          <w:sz w:val="22"/>
          <w:szCs w:val="22"/>
          <w:u w:val="dotted"/>
        </w:rPr>
        <w:tab/>
      </w:r>
      <w:r w:rsidR="001141B9">
        <w:rPr>
          <w:rFonts w:ascii="Arial" w:hAnsi="Arial" w:cs="Arial"/>
          <w:color w:val="000000" w:themeColor="text1"/>
          <w:sz w:val="22"/>
          <w:szCs w:val="22"/>
        </w:rPr>
        <w:t>90</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Некхох Д.М.</w:t>
      </w:r>
      <w:r w:rsidRPr="00DA76A7">
        <w:rPr>
          <w:rFonts w:ascii="Arial" w:hAnsi="Arial" w:cs="Arial"/>
          <w:color w:val="000000" w:themeColor="text1"/>
          <w:sz w:val="22"/>
          <w:szCs w:val="22"/>
        </w:rPr>
        <w:t xml:space="preserve"> К вопросу о международно-правовой квалификации вооруженного конфликта в Таджикистане </w:t>
      </w:r>
      <w:r w:rsidR="006430F6" w:rsidRPr="008855E2">
        <w:rPr>
          <w:rFonts w:ascii="Arial" w:hAnsi="Arial" w:cs="Arial"/>
          <w:color w:val="000000" w:themeColor="text1"/>
          <w:sz w:val="22"/>
          <w:szCs w:val="22"/>
          <w:u w:val="dotted"/>
        </w:rPr>
        <w:tab/>
      </w:r>
      <w:r w:rsidR="001141B9">
        <w:rPr>
          <w:rFonts w:ascii="Arial" w:hAnsi="Arial" w:cs="Arial"/>
          <w:color w:val="000000" w:themeColor="text1"/>
          <w:sz w:val="22"/>
          <w:szCs w:val="22"/>
        </w:rPr>
        <w:t>93</w:t>
      </w:r>
    </w:p>
    <w:p w:rsidR="00064810" w:rsidRPr="00DA76A7" w:rsidRDefault="00064810" w:rsidP="00F4275A">
      <w:pPr>
        <w:pStyle w:val="a6"/>
        <w:tabs>
          <w:tab w:val="right" w:pos="9072"/>
        </w:tabs>
        <w:spacing w:after="0" w:line="240" w:lineRule="auto"/>
        <w:ind w:left="426" w:right="849" w:hanging="426"/>
        <w:jc w:val="both"/>
        <w:rPr>
          <w:rFonts w:ascii="Arial" w:hAnsi="Arial" w:cs="Arial"/>
          <w:color w:val="000000" w:themeColor="text1"/>
        </w:rPr>
      </w:pPr>
      <w:r w:rsidRPr="00DA76A7">
        <w:rPr>
          <w:rFonts w:ascii="Arial" w:hAnsi="Arial" w:cs="Arial"/>
          <w:b/>
          <w:color w:val="000000" w:themeColor="text1"/>
        </w:rPr>
        <w:t>Одинаев С.Н.</w:t>
      </w:r>
      <w:r w:rsidRPr="00DA76A7">
        <w:rPr>
          <w:rFonts w:ascii="Arial" w:hAnsi="Arial" w:cs="Arial"/>
          <w:color w:val="000000" w:themeColor="text1"/>
        </w:rPr>
        <w:t xml:space="preserve"> Принципы деятельности международного уголовного суда</w:t>
      </w:r>
      <w:r w:rsidR="006430F6" w:rsidRPr="008855E2">
        <w:rPr>
          <w:rFonts w:ascii="Arial" w:hAnsi="Arial" w:cs="Arial"/>
          <w:color w:val="000000" w:themeColor="text1"/>
          <w:u w:val="dotted"/>
        </w:rPr>
        <w:tab/>
      </w:r>
      <w:r w:rsidRPr="00DA76A7">
        <w:rPr>
          <w:rFonts w:ascii="Arial" w:hAnsi="Arial" w:cs="Arial"/>
          <w:color w:val="000000" w:themeColor="text1"/>
        </w:rPr>
        <w:t xml:space="preserve"> </w:t>
      </w:r>
      <w:r w:rsidR="001141B9">
        <w:rPr>
          <w:rFonts w:ascii="Arial" w:hAnsi="Arial" w:cs="Arial"/>
          <w:color w:val="000000" w:themeColor="text1"/>
        </w:rPr>
        <w:t>97</w:t>
      </w:r>
    </w:p>
    <w:p w:rsidR="00064810" w:rsidRPr="00DA76A7" w:rsidRDefault="00064810" w:rsidP="00F4275A">
      <w:pPr>
        <w:pStyle w:val="a6"/>
        <w:tabs>
          <w:tab w:val="right" w:pos="9072"/>
        </w:tabs>
        <w:spacing w:after="0" w:line="240" w:lineRule="auto"/>
        <w:ind w:left="426" w:right="849" w:hanging="426"/>
        <w:jc w:val="both"/>
        <w:rPr>
          <w:rFonts w:ascii="Arial" w:hAnsi="Arial" w:cs="Arial"/>
          <w:color w:val="000000" w:themeColor="text1"/>
        </w:rPr>
      </w:pPr>
      <w:r w:rsidRPr="00DA76A7">
        <w:rPr>
          <w:rFonts w:ascii="Arial" w:hAnsi="Arial" w:cs="Arial"/>
          <w:b/>
          <w:color w:val="000000" w:themeColor="text1"/>
        </w:rPr>
        <w:t>Одинаев С.Н.</w:t>
      </w:r>
      <w:r w:rsidRPr="00DA76A7">
        <w:rPr>
          <w:rFonts w:ascii="Arial" w:hAnsi="Arial" w:cs="Arial"/>
          <w:color w:val="000000" w:themeColor="text1"/>
        </w:rPr>
        <w:t xml:space="preserve"> Сравнительный анализ римского статута международного уголовного суда и национальных законодательств государств СНГ</w:t>
      </w:r>
      <w:r w:rsidR="006430F6" w:rsidRPr="008855E2">
        <w:rPr>
          <w:rFonts w:ascii="Arial" w:hAnsi="Arial" w:cs="Arial"/>
          <w:color w:val="000000" w:themeColor="text1"/>
          <w:u w:val="dotted"/>
        </w:rPr>
        <w:tab/>
      </w:r>
      <w:r w:rsidR="001141B9">
        <w:rPr>
          <w:rFonts w:ascii="Arial" w:hAnsi="Arial" w:cs="Arial"/>
          <w:color w:val="000000" w:themeColor="text1"/>
        </w:rPr>
        <w:t>100</w:t>
      </w:r>
    </w:p>
    <w:p w:rsidR="00064810" w:rsidRPr="00DA76A7" w:rsidRDefault="00064810" w:rsidP="00F4275A">
      <w:pPr>
        <w:pStyle w:val="a6"/>
        <w:tabs>
          <w:tab w:val="right" w:pos="9072"/>
        </w:tabs>
        <w:spacing w:after="0" w:line="240" w:lineRule="auto"/>
        <w:ind w:left="426" w:right="849" w:hanging="426"/>
        <w:jc w:val="both"/>
        <w:rPr>
          <w:rFonts w:ascii="Arial" w:hAnsi="Arial" w:cs="Arial"/>
          <w:color w:val="000000" w:themeColor="text1"/>
        </w:rPr>
      </w:pPr>
      <w:r w:rsidRPr="00DA76A7">
        <w:rPr>
          <w:rFonts w:ascii="Arial" w:hAnsi="Arial" w:cs="Arial"/>
          <w:b/>
          <w:color w:val="000000" w:themeColor="text1"/>
        </w:rPr>
        <w:t xml:space="preserve">Полещук О.О. </w:t>
      </w:r>
      <w:r w:rsidRPr="00DA76A7">
        <w:rPr>
          <w:rFonts w:ascii="Arial" w:hAnsi="Arial" w:cs="Arial"/>
          <w:color w:val="000000" w:themeColor="text1"/>
        </w:rPr>
        <w:t>Роль главы государства и аппарата Президента в нормотворческой деятельности: опыт Республики Беларусь и Республики Таджикистан</w:t>
      </w:r>
      <w:r w:rsidR="006430F6" w:rsidRPr="008855E2">
        <w:rPr>
          <w:rFonts w:ascii="Arial" w:hAnsi="Arial" w:cs="Arial"/>
          <w:color w:val="000000" w:themeColor="text1"/>
          <w:u w:val="dotted"/>
        </w:rPr>
        <w:tab/>
      </w:r>
      <w:r w:rsidR="001141B9">
        <w:rPr>
          <w:rFonts w:ascii="Arial" w:hAnsi="Arial" w:cs="Arial"/>
          <w:color w:val="000000" w:themeColor="text1"/>
        </w:rPr>
        <w:t>104</w:t>
      </w:r>
    </w:p>
    <w:p w:rsidR="00064810" w:rsidRPr="00DA76A7" w:rsidRDefault="00064810" w:rsidP="00F4275A">
      <w:pPr>
        <w:pStyle w:val="a6"/>
        <w:tabs>
          <w:tab w:val="right" w:pos="9072"/>
        </w:tabs>
        <w:spacing w:after="0" w:line="240" w:lineRule="auto"/>
        <w:ind w:left="426" w:right="849" w:hanging="426"/>
        <w:jc w:val="both"/>
        <w:rPr>
          <w:rFonts w:ascii="Arial" w:hAnsi="Arial" w:cs="Arial"/>
          <w:color w:val="000000" w:themeColor="text1"/>
        </w:rPr>
      </w:pPr>
      <w:r w:rsidRPr="00DA76A7">
        <w:rPr>
          <w:rFonts w:ascii="Arial" w:hAnsi="Arial" w:cs="Arial"/>
          <w:b/>
          <w:color w:val="000000" w:themeColor="text1"/>
        </w:rPr>
        <w:t xml:space="preserve">Поляков Н.В. </w:t>
      </w:r>
      <w:r w:rsidRPr="00DA76A7">
        <w:rPr>
          <w:rFonts w:ascii="Arial" w:hAnsi="Arial" w:cs="Arial"/>
          <w:color w:val="000000" w:themeColor="text1"/>
          <w:shd w:val="clear" w:color="auto" w:fill="FFFFFF"/>
        </w:rPr>
        <w:t>К</w:t>
      </w:r>
      <w:r w:rsidRPr="00DA76A7">
        <w:rPr>
          <w:rFonts w:ascii="Arial" w:hAnsi="Arial" w:cs="Arial"/>
          <w:b/>
          <w:color w:val="000000" w:themeColor="text1"/>
          <w:shd w:val="clear" w:color="auto" w:fill="FFFFFF"/>
        </w:rPr>
        <w:t xml:space="preserve"> </w:t>
      </w:r>
      <w:r w:rsidRPr="00DA76A7">
        <w:rPr>
          <w:rFonts w:ascii="Arial" w:hAnsi="Arial" w:cs="Arial"/>
          <w:color w:val="000000" w:themeColor="text1"/>
          <w:shd w:val="clear" w:color="auto" w:fill="FFFFFF"/>
        </w:rPr>
        <w:t>вопросу о защите прав мигрантов в решениях высших судов Российской Федерации</w:t>
      </w:r>
      <w:r w:rsidR="006430F6" w:rsidRPr="008855E2">
        <w:rPr>
          <w:rFonts w:ascii="Arial" w:hAnsi="Arial" w:cs="Arial"/>
          <w:color w:val="000000" w:themeColor="text1"/>
          <w:u w:val="dotted"/>
        </w:rPr>
        <w:tab/>
      </w:r>
      <w:r w:rsidR="004708E5">
        <w:rPr>
          <w:rFonts w:ascii="Arial" w:hAnsi="Arial" w:cs="Arial"/>
          <w:color w:val="000000" w:themeColor="text1"/>
          <w:shd w:val="clear" w:color="auto" w:fill="FFFFFF"/>
        </w:rPr>
        <w:t>113</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Раджабова М.Б.</w:t>
      </w:r>
      <w:r w:rsidRPr="00DA76A7">
        <w:rPr>
          <w:rFonts w:ascii="Arial" w:hAnsi="Arial" w:cs="Arial"/>
          <w:color w:val="000000" w:themeColor="text1"/>
          <w:sz w:val="22"/>
          <w:szCs w:val="22"/>
        </w:rPr>
        <w:t xml:space="preserve"> Правовая характеристика смешанных договоров</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115</w:t>
      </w:r>
    </w:p>
    <w:p w:rsidR="00064810" w:rsidRPr="00DA76A7" w:rsidRDefault="00064810" w:rsidP="00F4275A">
      <w:pPr>
        <w:tabs>
          <w:tab w:val="left" w:pos="3819"/>
          <w:tab w:val="center" w:pos="5031"/>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Рахимов А.К.</w:t>
      </w:r>
      <w:r w:rsidRPr="00DA76A7">
        <w:rPr>
          <w:rFonts w:ascii="Arial" w:hAnsi="Arial" w:cs="Arial"/>
          <w:color w:val="000000" w:themeColor="text1"/>
          <w:sz w:val="22"/>
          <w:szCs w:val="22"/>
        </w:rPr>
        <w:t xml:space="preserve"> Система  индивидуальных обращений в рамках ООН</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118</w:t>
      </w:r>
    </w:p>
    <w:p w:rsidR="00064810" w:rsidRPr="00DA76A7" w:rsidRDefault="00064810" w:rsidP="00F4275A">
      <w:pPr>
        <w:keepNext/>
        <w:tabs>
          <w:tab w:val="right" w:pos="9072"/>
        </w:tabs>
        <w:suppressAutoHyphens/>
        <w:ind w:left="426" w:right="849" w:hanging="426"/>
        <w:contextualSpacing/>
        <w:jc w:val="both"/>
        <w:outlineLvl w:val="0"/>
        <w:rPr>
          <w:rFonts w:ascii="Arial" w:hAnsi="Arial" w:cs="Arial"/>
          <w:bCs/>
          <w:color w:val="000000" w:themeColor="text1"/>
          <w:kern w:val="32"/>
          <w:sz w:val="22"/>
          <w:szCs w:val="22"/>
          <w:lang w:bidi="en-US"/>
        </w:rPr>
      </w:pPr>
      <w:r w:rsidRPr="00DA76A7">
        <w:rPr>
          <w:rFonts w:ascii="Arial" w:hAnsi="Arial" w:cs="Arial"/>
          <w:b/>
          <w:bCs/>
          <w:color w:val="000000" w:themeColor="text1"/>
          <w:kern w:val="32"/>
          <w:sz w:val="22"/>
          <w:szCs w:val="22"/>
          <w:lang w:bidi="en-US"/>
        </w:rPr>
        <w:t>Рахимов К.Х.</w:t>
      </w:r>
      <w:r w:rsidRPr="00DA76A7">
        <w:rPr>
          <w:rFonts w:ascii="Arial" w:hAnsi="Arial" w:cs="Arial"/>
          <w:bCs/>
          <w:color w:val="000000" w:themeColor="text1"/>
          <w:kern w:val="32"/>
          <w:sz w:val="22"/>
          <w:szCs w:val="22"/>
          <w:lang w:bidi="en-US"/>
        </w:rPr>
        <w:t xml:space="preserve"> Векторы дальнейшего развития Шанхайской организации сотрудничества (ШОС) по нейтрализации современных вызовов и угроз международной безопасности</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121</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Ризоев И.И.</w:t>
      </w:r>
      <w:r w:rsidRPr="00DA76A7">
        <w:rPr>
          <w:rFonts w:ascii="Arial" w:hAnsi="Arial" w:cs="Arial"/>
          <w:color w:val="000000" w:themeColor="text1"/>
          <w:sz w:val="22"/>
          <w:szCs w:val="22"/>
        </w:rPr>
        <w:t xml:space="preserve"> Международно-правовые основы  формирования внутреннего рынка Европейского Союза</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130</w:t>
      </w:r>
    </w:p>
    <w:p w:rsidR="00064810" w:rsidRPr="00DA76A7" w:rsidRDefault="00064810" w:rsidP="00F4275A">
      <w:pPr>
        <w:tabs>
          <w:tab w:val="right" w:pos="9072"/>
        </w:tabs>
        <w:ind w:left="426" w:right="849" w:hanging="426"/>
        <w:jc w:val="both"/>
        <w:rPr>
          <w:rFonts w:ascii="Arial" w:hAnsi="Arial" w:cs="Arial"/>
          <w:color w:val="000000" w:themeColor="text1"/>
          <w:sz w:val="22"/>
          <w:szCs w:val="22"/>
          <w:shd w:val="clear" w:color="auto" w:fill="FFFFFF"/>
        </w:rPr>
      </w:pPr>
      <w:r w:rsidRPr="00DA76A7">
        <w:rPr>
          <w:rFonts w:ascii="Arial" w:hAnsi="Arial" w:cs="Arial"/>
          <w:b/>
          <w:color w:val="000000" w:themeColor="text1"/>
          <w:sz w:val="22"/>
          <w:szCs w:val="22"/>
        </w:rPr>
        <w:t>Ризоев И.И.</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Порядок реализации принципа свободного передвижения товаров во внутреннем рынке Европейского Союза</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shd w:val="clear" w:color="auto" w:fill="FFFFFF"/>
        </w:rPr>
        <w:t>135</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eastAsia="Calibri" w:hAnsi="Arial" w:cs="Arial"/>
          <w:b/>
          <w:color w:val="000000" w:themeColor="text1"/>
          <w:sz w:val="22"/>
          <w:szCs w:val="22"/>
        </w:rPr>
        <w:t>Рустамова Н.Д.</w:t>
      </w:r>
      <w:r w:rsidRPr="00DA76A7">
        <w:rPr>
          <w:rFonts w:ascii="Arial" w:eastAsia="Calibri"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Роль международных организаций в формировании международно-правовых основ деятельности оффшорных финансовых центров</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140</w:t>
      </w:r>
    </w:p>
    <w:p w:rsidR="00064810" w:rsidRPr="00DA76A7" w:rsidRDefault="00064810" w:rsidP="00F4275A">
      <w:pPr>
        <w:tabs>
          <w:tab w:val="right" w:pos="9072"/>
        </w:tabs>
        <w:ind w:left="426" w:right="849" w:hanging="426"/>
        <w:jc w:val="both"/>
        <w:rPr>
          <w:rFonts w:ascii="Arial" w:hAnsi="Arial" w:cs="Arial"/>
          <w:color w:val="000000" w:themeColor="text1"/>
          <w:sz w:val="22"/>
          <w:szCs w:val="22"/>
          <w:lang w:bidi="ru-RU"/>
        </w:rPr>
      </w:pPr>
      <w:r w:rsidRPr="00DA76A7">
        <w:rPr>
          <w:rFonts w:ascii="Arial" w:eastAsia="Calibri" w:hAnsi="Arial" w:cs="Arial"/>
          <w:b/>
          <w:color w:val="000000" w:themeColor="text1"/>
          <w:sz w:val="22"/>
          <w:szCs w:val="22"/>
        </w:rPr>
        <w:t>Рустамова Н.Д.</w:t>
      </w:r>
      <w:r w:rsidRPr="00DA76A7">
        <w:rPr>
          <w:rFonts w:ascii="Arial" w:eastAsia="Calibri" w:hAnsi="Arial" w:cs="Arial"/>
          <w:color w:val="000000" w:themeColor="text1"/>
          <w:sz w:val="22"/>
          <w:szCs w:val="22"/>
        </w:rPr>
        <w:t xml:space="preserve"> </w:t>
      </w:r>
      <w:r w:rsidRPr="00DA76A7">
        <w:rPr>
          <w:rFonts w:ascii="Arial" w:hAnsi="Arial" w:cs="Arial"/>
          <w:color w:val="000000" w:themeColor="text1"/>
          <w:sz w:val="22"/>
          <w:szCs w:val="22"/>
          <w:lang w:bidi="ru-RU"/>
        </w:rPr>
        <w:t>Теоретико-методологические аспекты оценки роли оффшорного бизнеса и генезис правовых механизмов управления мировой экономикой</w:t>
      </w:r>
      <w:r w:rsidR="006430F6" w:rsidRPr="008855E2">
        <w:rPr>
          <w:rFonts w:ascii="Arial" w:hAnsi="Arial" w:cs="Arial"/>
          <w:color w:val="000000" w:themeColor="text1"/>
          <w:sz w:val="22"/>
          <w:szCs w:val="22"/>
          <w:u w:val="dotted"/>
          <w:lang w:bidi="ru-RU"/>
        </w:rPr>
        <w:tab/>
      </w:r>
      <w:r w:rsidR="004708E5">
        <w:rPr>
          <w:rFonts w:ascii="Arial" w:hAnsi="Arial" w:cs="Arial"/>
          <w:color w:val="000000" w:themeColor="text1"/>
          <w:sz w:val="22"/>
          <w:szCs w:val="22"/>
          <w:lang w:bidi="ru-RU"/>
        </w:rPr>
        <w:t>143</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Сайфуллоев С.Р.</w:t>
      </w:r>
      <w:r w:rsidRPr="00DA76A7">
        <w:rPr>
          <w:rFonts w:ascii="Arial" w:hAnsi="Arial" w:cs="Arial"/>
          <w:color w:val="000000" w:themeColor="text1"/>
          <w:sz w:val="22"/>
          <w:szCs w:val="22"/>
        </w:rPr>
        <w:t xml:space="preserve"> Основные направления внешней политики Европейского Союза</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147</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Саломов Б.И.</w:t>
      </w:r>
      <w:r w:rsidRPr="00DA76A7">
        <w:rPr>
          <w:rFonts w:ascii="Arial" w:hAnsi="Arial" w:cs="Arial"/>
          <w:color w:val="000000" w:themeColor="text1"/>
          <w:sz w:val="22"/>
          <w:szCs w:val="22"/>
        </w:rPr>
        <w:t xml:space="preserve"> Влияние международных норм о труде несовершеннолетних на национальное законодательств</w:t>
      </w:r>
      <w:r w:rsidRPr="00DA76A7">
        <w:rPr>
          <w:rFonts w:ascii="Arial" w:hAnsi="Arial" w:cs="Arial"/>
          <w:b/>
          <w:color w:val="000000" w:themeColor="text1"/>
          <w:sz w:val="22"/>
          <w:szCs w:val="22"/>
        </w:rPr>
        <w:t>о</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150</w:t>
      </w:r>
    </w:p>
    <w:p w:rsidR="00064810" w:rsidRPr="00DA76A7" w:rsidRDefault="00064810" w:rsidP="00F4275A">
      <w:pPr>
        <w:pStyle w:val="a6"/>
        <w:tabs>
          <w:tab w:val="right" w:pos="9072"/>
        </w:tabs>
        <w:spacing w:after="0" w:line="240" w:lineRule="auto"/>
        <w:ind w:left="426" w:right="849" w:hanging="426"/>
        <w:jc w:val="both"/>
        <w:rPr>
          <w:rFonts w:ascii="Arial" w:hAnsi="Arial" w:cs="Arial"/>
          <w:color w:val="000000" w:themeColor="text1"/>
        </w:rPr>
      </w:pPr>
      <w:r w:rsidRPr="00DA76A7">
        <w:rPr>
          <w:rFonts w:ascii="Arial" w:hAnsi="Arial" w:cs="Arial"/>
          <w:b/>
          <w:color w:val="000000" w:themeColor="text1"/>
        </w:rPr>
        <w:t>Сатторов С.М.</w:t>
      </w:r>
      <w:r w:rsidRPr="00DA76A7">
        <w:rPr>
          <w:rFonts w:ascii="Arial" w:hAnsi="Arial" w:cs="Arial"/>
          <w:color w:val="000000" w:themeColor="text1"/>
        </w:rPr>
        <w:t xml:space="preserve"> Правовые основания для реализации полномочий Европейского Союза</w:t>
      </w:r>
      <w:r w:rsidR="006430F6" w:rsidRPr="008855E2">
        <w:rPr>
          <w:rFonts w:ascii="Arial" w:hAnsi="Arial" w:cs="Arial"/>
          <w:color w:val="000000" w:themeColor="text1"/>
          <w:u w:val="dotted"/>
        </w:rPr>
        <w:tab/>
      </w:r>
      <w:r w:rsidR="004708E5">
        <w:rPr>
          <w:rFonts w:ascii="Arial" w:hAnsi="Arial" w:cs="Arial"/>
          <w:color w:val="000000" w:themeColor="text1"/>
        </w:rPr>
        <w:t>153</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Сатторов Х.Т.</w:t>
      </w:r>
      <w:r w:rsidRPr="00DA76A7">
        <w:rPr>
          <w:rFonts w:ascii="Arial" w:hAnsi="Arial" w:cs="Arial"/>
          <w:color w:val="000000" w:themeColor="text1"/>
          <w:sz w:val="22"/>
          <w:szCs w:val="22"/>
        </w:rPr>
        <w:t xml:space="preserve"> Нормативно-правовое регулирование транспортного обеспечения международной торговли</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156</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Сатторов Х.Т.</w:t>
      </w:r>
      <w:r w:rsidRPr="00DA76A7">
        <w:rPr>
          <w:rFonts w:ascii="Arial" w:hAnsi="Arial" w:cs="Arial"/>
          <w:color w:val="000000" w:themeColor="text1"/>
          <w:sz w:val="22"/>
          <w:szCs w:val="22"/>
        </w:rPr>
        <w:t xml:space="preserve"> Транспортное обеспечение как основа развития международной торговли (правовой аспект)</w:t>
      </w:r>
      <w:r w:rsidR="001A6A6A" w:rsidRPr="00DA76A7">
        <w:rPr>
          <w:rFonts w:ascii="Arial" w:hAnsi="Arial" w:cs="Arial"/>
          <w:b/>
          <w:color w:val="000000" w:themeColor="text1"/>
          <w:sz w:val="22"/>
          <w:szCs w:val="22"/>
        </w:rPr>
        <w:t xml:space="preserve"> </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159</w:t>
      </w:r>
    </w:p>
    <w:p w:rsidR="00064810" w:rsidRPr="00DA76A7" w:rsidRDefault="00064810" w:rsidP="00F4275A">
      <w:pPr>
        <w:tabs>
          <w:tab w:val="right" w:pos="9072"/>
        </w:tabs>
        <w:ind w:left="426" w:right="849" w:hanging="426"/>
        <w:jc w:val="both"/>
        <w:rPr>
          <w:rFonts w:ascii="Arial" w:eastAsia="Times New Roman CYR" w:hAnsi="Arial" w:cs="Arial"/>
          <w:color w:val="000000" w:themeColor="text1"/>
          <w:sz w:val="22"/>
          <w:szCs w:val="22"/>
        </w:rPr>
      </w:pPr>
      <w:r w:rsidRPr="00DA76A7">
        <w:rPr>
          <w:rFonts w:ascii="Arial" w:eastAsia="Times New Roman CYR" w:hAnsi="Arial" w:cs="Arial"/>
          <w:b/>
          <w:color w:val="000000" w:themeColor="text1"/>
          <w:sz w:val="22"/>
          <w:szCs w:val="22"/>
        </w:rPr>
        <w:t>Таджидинова Ф.Ф.</w:t>
      </w:r>
      <w:r w:rsidRPr="00DA76A7">
        <w:rPr>
          <w:rFonts w:ascii="Arial" w:eastAsia="Times New Roman CYR" w:hAnsi="Arial" w:cs="Arial"/>
          <w:color w:val="000000" w:themeColor="text1"/>
          <w:sz w:val="22"/>
          <w:szCs w:val="22"/>
        </w:rPr>
        <w:t xml:space="preserve"> Международно-правовые аспекты защиты прав женщин</w:t>
      </w:r>
      <w:r w:rsidR="006430F6" w:rsidRPr="008855E2">
        <w:rPr>
          <w:rFonts w:ascii="Arial" w:eastAsia="Times New Roman CYR" w:hAnsi="Arial" w:cs="Arial"/>
          <w:color w:val="000000" w:themeColor="text1"/>
          <w:sz w:val="22"/>
          <w:szCs w:val="22"/>
          <w:u w:val="dotted"/>
        </w:rPr>
        <w:tab/>
      </w:r>
      <w:r w:rsidR="004708E5">
        <w:rPr>
          <w:rFonts w:ascii="Arial" w:eastAsia="Times New Roman CYR" w:hAnsi="Arial" w:cs="Arial"/>
          <w:color w:val="000000" w:themeColor="text1"/>
          <w:sz w:val="22"/>
          <w:szCs w:val="22"/>
        </w:rPr>
        <w:t>162</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Усенов Д.И.</w:t>
      </w:r>
      <w:r w:rsidRPr="00DA76A7">
        <w:rPr>
          <w:rFonts w:ascii="Arial" w:hAnsi="Arial" w:cs="Arial"/>
          <w:color w:val="000000" w:themeColor="text1"/>
          <w:sz w:val="22"/>
          <w:szCs w:val="22"/>
        </w:rPr>
        <w:t xml:space="preserve"> Место и роль Таджикистана в  работе Шанхайской организации сотрудничества</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165</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Хайдарзода Дж.М.</w:t>
      </w:r>
      <w:r w:rsidRPr="00DA76A7">
        <w:rPr>
          <w:rFonts w:ascii="Arial" w:hAnsi="Arial" w:cs="Arial"/>
          <w:color w:val="000000" w:themeColor="text1"/>
          <w:sz w:val="22"/>
          <w:szCs w:val="22"/>
        </w:rPr>
        <w:t xml:space="preserve"> Роль Агентства по борьбе с наркотиками и Министерства внутренних дел  Республики Таджикистан в международном сотрудничестве по борьбе с наркотиками</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167</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Шакиров Б.А.</w:t>
      </w:r>
      <w:r w:rsidRPr="00DA76A7">
        <w:rPr>
          <w:rFonts w:ascii="Arial" w:hAnsi="Arial" w:cs="Arial"/>
          <w:color w:val="000000" w:themeColor="text1"/>
          <w:sz w:val="22"/>
          <w:szCs w:val="22"/>
        </w:rPr>
        <w:t xml:space="preserve"> Международно-правовые вопросы сотрудничества Республики Таджикистан с Организацией объединенных наций</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169</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Шелеверст О.С.</w:t>
      </w:r>
      <w:r w:rsidRPr="00DA76A7">
        <w:rPr>
          <w:rFonts w:ascii="Arial" w:hAnsi="Arial" w:cs="Arial"/>
          <w:color w:val="000000" w:themeColor="text1"/>
          <w:sz w:val="22"/>
          <w:szCs w:val="22"/>
        </w:rPr>
        <w:t xml:space="preserve"> Присоединение России к Монреальской конвенции: преимущества и недостатки</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173</w:t>
      </w:r>
    </w:p>
    <w:p w:rsidR="00064810" w:rsidRPr="00DA76A7" w:rsidRDefault="00064810" w:rsidP="00F4275A">
      <w:pPr>
        <w:pStyle w:val="a4"/>
        <w:tabs>
          <w:tab w:val="clear" w:pos="9355"/>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Шукуров А.Т.</w:t>
      </w:r>
      <w:r w:rsidRPr="00DA76A7">
        <w:rPr>
          <w:rFonts w:ascii="Arial" w:hAnsi="Arial" w:cs="Arial"/>
          <w:color w:val="000000" w:themeColor="text1"/>
          <w:sz w:val="22"/>
          <w:szCs w:val="22"/>
        </w:rPr>
        <w:t xml:space="preserve"> Международный контроль в области защиты прав человека</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176</w:t>
      </w:r>
    </w:p>
    <w:p w:rsidR="00064810" w:rsidRPr="00DA76A7" w:rsidRDefault="00064810"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Юлдошева А.Р.</w:t>
      </w:r>
      <w:r w:rsidRPr="00DA76A7">
        <w:rPr>
          <w:rFonts w:ascii="Arial" w:hAnsi="Arial" w:cs="Arial"/>
          <w:color w:val="000000" w:themeColor="text1"/>
          <w:sz w:val="22"/>
          <w:szCs w:val="22"/>
        </w:rPr>
        <w:t xml:space="preserve"> Сравнительно-правовой анализ механизмов защиты прав детей в международном праве и национальном законодательстве Российской Федерации</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180</w:t>
      </w:r>
    </w:p>
    <w:p w:rsidR="0054571D" w:rsidRPr="00DA76A7" w:rsidRDefault="0054571D" w:rsidP="00F4275A">
      <w:pPr>
        <w:pStyle w:val="a4"/>
        <w:tabs>
          <w:tab w:val="right" w:pos="8505"/>
        </w:tabs>
        <w:ind w:left="426" w:right="-2" w:hanging="426"/>
        <w:jc w:val="both"/>
        <w:rPr>
          <w:rFonts w:ascii="Arial" w:hAnsi="Arial" w:cs="Arial"/>
          <w:color w:val="000000" w:themeColor="text1"/>
          <w:sz w:val="22"/>
          <w:szCs w:val="22"/>
        </w:rPr>
      </w:pPr>
    </w:p>
    <w:p w:rsidR="0054571D" w:rsidRPr="00DA76A7" w:rsidRDefault="0054571D" w:rsidP="00F4275A">
      <w:pPr>
        <w:pStyle w:val="a4"/>
        <w:tabs>
          <w:tab w:val="right" w:pos="8505"/>
        </w:tabs>
        <w:ind w:left="426" w:right="-2" w:hanging="426"/>
        <w:jc w:val="center"/>
        <w:rPr>
          <w:rFonts w:ascii="Arial" w:hAnsi="Arial" w:cs="Arial"/>
          <w:b/>
          <w:color w:val="000000" w:themeColor="text1"/>
          <w:sz w:val="22"/>
          <w:szCs w:val="22"/>
        </w:rPr>
      </w:pPr>
      <w:r w:rsidRPr="00DA76A7">
        <w:rPr>
          <w:rFonts w:ascii="Arial" w:hAnsi="Arial" w:cs="Arial"/>
          <w:b/>
          <w:color w:val="000000" w:themeColor="text1"/>
          <w:sz w:val="22"/>
          <w:szCs w:val="22"/>
        </w:rPr>
        <w:t>СЕКЦИЯ АКТУАЛЬНЫЕ ПРОБЛЕМЫ ГРАЖДАНСКОГО, ПРЕДПРИНИМАТЕЛЬСКОГО ПРАВА И ГРАЖДАНСКОГО ПРОЦЕССА</w:t>
      </w:r>
    </w:p>
    <w:p w:rsidR="001B6671" w:rsidRPr="00DA76A7" w:rsidRDefault="001B6671" w:rsidP="00F4275A">
      <w:pPr>
        <w:pStyle w:val="a4"/>
        <w:tabs>
          <w:tab w:val="right" w:pos="9072"/>
        </w:tabs>
        <w:ind w:left="426" w:right="849" w:hanging="426"/>
        <w:jc w:val="both"/>
        <w:rPr>
          <w:rFonts w:ascii="Arial" w:hAnsi="Arial" w:cs="Arial"/>
          <w:color w:val="000000" w:themeColor="text1"/>
          <w:sz w:val="22"/>
          <w:szCs w:val="22"/>
        </w:rPr>
      </w:pPr>
    </w:p>
    <w:p w:rsidR="001B6671" w:rsidRPr="00DA76A7" w:rsidRDefault="001B6671" w:rsidP="00F4275A">
      <w:pPr>
        <w:tabs>
          <w:tab w:val="right" w:pos="9072"/>
        </w:tabs>
        <w:ind w:left="426" w:right="849" w:hanging="426"/>
        <w:jc w:val="both"/>
        <w:rPr>
          <w:rFonts w:ascii="Arial" w:eastAsia="Calibri" w:hAnsi="Arial" w:cs="Arial"/>
          <w:color w:val="000000" w:themeColor="text1"/>
          <w:sz w:val="22"/>
          <w:szCs w:val="22"/>
        </w:rPr>
      </w:pPr>
      <w:r w:rsidRPr="00DA76A7">
        <w:rPr>
          <w:rFonts w:ascii="Arial" w:hAnsi="Arial" w:cs="Arial"/>
          <w:b/>
          <w:color w:val="000000" w:themeColor="text1"/>
          <w:sz w:val="22"/>
          <w:szCs w:val="22"/>
          <w:lang w:eastAsia="ar-SA"/>
        </w:rPr>
        <w:t>Абдурахманова Г.А.</w:t>
      </w:r>
      <w:r w:rsidRPr="00DA76A7">
        <w:rPr>
          <w:rFonts w:ascii="Arial" w:hAnsi="Arial" w:cs="Arial"/>
          <w:color w:val="000000" w:themeColor="text1"/>
          <w:sz w:val="22"/>
          <w:szCs w:val="22"/>
          <w:lang w:eastAsia="ar-SA"/>
        </w:rPr>
        <w:t xml:space="preserve"> </w:t>
      </w:r>
      <w:r w:rsidRPr="00DA76A7">
        <w:rPr>
          <w:rFonts w:ascii="Arial" w:eastAsia="Calibri" w:hAnsi="Arial" w:cs="Arial"/>
          <w:color w:val="000000" w:themeColor="text1"/>
          <w:sz w:val="22"/>
          <w:szCs w:val="22"/>
        </w:rPr>
        <w:t>К вопросу о договорном режиме имущества супругов</w:t>
      </w:r>
      <w:r w:rsidR="006430F6" w:rsidRPr="008855E2">
        <w:rPr>
          <w:rFonts w:ascii="Arial" w:eastAsia="Calibri" w:hAnsi="Arial" w:cs="Arial"/>
          <w:color w:val="000000" w:themeColor="text1"/>
          <w:sz w:val="22"/>
          <w:szCs w:val="22"/>
          <w:u w:val="dotted"/>
        </w:rPr>
        <w:tab/>
      </w:r>
      <w:r w:rsidR="004708E5">
        <w:rPr>
          <w:rFonts w:ascii="Arial" w:eastAsia="Calibri" w:hAnsi="Arial" w:cs="Arial"/>
          <w:color w:val="000000" w:themeColor="text1"/>
          <w:sz w:val="22"/>
          <w:szCs w:val="22"/>
        </w:rPr>
        <w:t>186</w:t>
      </w:r>
    </w:p>
    <w:p w:rsidR="001B6671" w:rsidRPr="00DA76A7" w:rsidRDefault="001B6671" w:rsidP="00F4275A">
      <w:pPr>
        <w:tabs>
          <w:tab w:val="right" w:pos="9072"/>
        </w:tabs>
        <w:ind w:left="426" w:right="849" w:hanging="426"/>
        <w:jc w:val="both"/>
        <w:rPr>
          <w:rFonts w:ascii="Arial" w:hAnsi="Arial" w:cs="Arial"/>
          <w:bCs/>
          <w:noProof/>
          <w:color w:val="000000" w:themeColor="text1"/>
          <w:kern w:val="32"/>
          <w:sz w:val="22"/>
          <w:szCs w:val="22"/>
        </w:rPr>
      </w:pPr>
      <w:r w:rsidRPr="00DA76A7">
        <w:rPr>
          <w:rFonts w:ascii="Arial" w:hAnsi="Arial" w:cs="Arial"/>
          <w:b/>
          <w:color w:val="000000" w:themeColor="text1"/>
          <w:sz w:val="22"/>
          <w:szCs w:val="22"/>
          <w:lang w:eastAsia="ar-SA"/>
        </w:rPr>
        <w:t>Абдурахманова Г.А.</w:t>
      </w:r>
      <w:r w:rsidRPr="00DA76A7">
        <w:rPr>
          <w:rFonts w:ascii="Arial" w:hAnsi="Arial" w:cs="Arial"/>
          <w:color w:val="000000" w:themeColor="text1"/>
          <w:sz w:val="22"/>
          <w:szCs w:val="22"/>
          <w:lang w:eastAsia="ar-SA"/>
        </w:rPr>
        <w:t xml:space="preserve"> </w:t>
      </w:r>
      <w:r w:rsidRPr="00DA76A7">
        <w:rPr>
          <w:rFonts w:ascii="Arial" w:hAnsi="Arial" w:cs="Arial"/>
          <w:bCs/>
          <w:noProof/>
          <w:color w:val="000000" w:themeColor="text1"/>
          <w:kern w:val="32"/>
          <w:sz w:val="22"/>
          <w:szCs w:val="22"/>
        </w:rPr>
        <w:t>О владении, пользовании и распоряжении общим имуществом супругов</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191</w:t>
      </w:r>
    </w:p>
    <w:p w:rsidR="001B6671" w:rsidRPr="00DA76A7" w:rsidRDefault="001B6671" w:rsidP="00F4275A">
      <w:pPr>
        <w:tabs>
          <w:tab w:val="left" w:pos="851"/>
          <w:tab w:val="right" w:pos="9072"/>
        </w:tabs>
        <w:ind w:left="426" w:right="849" w:hanging="426"/>
        <w:jc w:val="both"/>
        <w:rPr>
          <w:rFonts w:ascii="Arial" w:eastAsia="Calibri" w:hAnsi="Arial" w:cs="Arial"/>
          <w:color w:val="000000" w:themeColor="text1"/>
          <w:sz w:val="22"/>
          <w:szCs w:val="22"/>
        </w:rPr>
      </w:pPr>
      <w:r w:rsidRPr="00DA76A7">
        <w:rPr>
          <w:rFonts w:ascii="Arial" w:eastAsia="Calibri" w:hAnsi="Arial" w:cs="Arial"/>
          <w:b/>
          <w:color w:val="000000" w:themeColor="text1"/>
          <w:sz w:val="22"/>
          <w:szCs w:val="22"/>
        </w:rPr>
        <w:t>Азизов К.Р.</w:t>
      </w:r>
      <w:r w:rsidRPr="00DA76A7">
        <w:rPr>
          <w:rFonts w:ascii="Arial" w:eastAsia="Calibri" w:hAnsi="Arial" w:cs="Arial"/>
          <w:color w:val="000000" w:themeColor="text1"/>
          <w:sz w:val="22"/>
          <w:szCs w:val="22"/>
        </w:rPr>
        <w:t xml:space="preserve"> </w:t>
      </w:r>
      <w:r w:rsidRPr="00DA76A7">
        <w:rPr>
          <w:rFonts w:ascii="Arial" w:hAnsi="Arial" w:cs="Arial"/>
          <w:color w:val="000000" w:themeColor="text1"/>
          <w:sz w:val="22"/>
          <w:szCs w:val="22"/>
        </w:rPr>
        <w:t>Классификация объединения корпораций</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195</w:t>
      </w:r>
    </w:p>
    <w:p w:rsidR="001B6671" w:rsidRPr="00DA76A7" w:rsidRDefault="001B6671" w:rsidP="00F4275A">
      <w:pPr>
        <w:tabs>
          <w:tab w:val="left" w:pos="851"/>
          <w:tab w:val="right" w:pos="9072"/>
        </w:tabs>
        <w:ind w:left="426" w:right="849" w:hanging="426"/>
        <w:jc w:val="both"/>
        <w:rPr>
          <w:rFonts w:ascii="Arial" w:hAnsi="Arial" w:cs="Arial"/>
          <w:color w:val="000000" w:themeColor="text1"/>
          <w:sz w:val="22"/>
          <w:szCs w:val="22"/>
        </w:rPr>
      </w:pPr>
      <w:r w:rsidRPr="00DA76A7">
        <w:rPr>
          <w:rFonts w:ascii="Arial" w:eastAsia="Calibri" w:hAnsi="Arial" w:cs="Arial"/>
          <w:b/>
          <w:color w:val="000000" w:themeColor="text1"/>
          <w:sz w:val="22"/>
          <w:szCs w:val="22"/>
        </w:rPr>
        <w:t>Азизов К.Р.</w:t>
      </w:r>
      <w:r w:rsidRPr="00DA76A7">
        <w:rPr>
          <w:rFonts w:ascii="Arial" w:eastAsia="Calibri" w:hAnsi="Arial" w:cs="Arial"/>
          <w:color w:val="000000" w:themeColor="text1"/>
          <w:sz w:val="22"/>
          <w:szCs w:val="22"/>
        </w:rPr>
        <w:t xml:space="preserve"> </w:t>
      </w:r>
      <w:r w:rsidRPr="00DA76A7">
        <w:rPr>
          <w:rFonts w:ascii="Arial" w:hAnsi="Arial" w:cs="Arial"/>
          <w:color w:val="000000" w:themeColor="text1"/>
          <w:sz w:val="22"/>
          <w:szCs w:val="22"/>
        </w:rPr>
        <w:t>Понятие объединения корпораций</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200</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bCs/>
          <w:color w:val="000000" w:themeColor="text1"/>
          <w:sz w:val="22"/>
          <w:szCs w:val="22"/>
        </w:rPr>
        <w:t>Азизова М.А.</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Некоторые вопросы  истории развития семейного права</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208</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Алимова Ф.А.</w:t>
      </w:r>
      <w:r w:rsidRPr="00DA76A7">
        <w:rPr>
          <w:rFonts w:ascii="Arial" w:hAnsi="Arial" w:cs="Arial"/>
          <w:color w:val="000000" w:themeColor="text1"/>
          <w:sz w:val="22"/>
          <w:szCs w:val="22"/>
        </w:rPr>
        <w:t xml:space="preserve"> Абсолютные и относительные гражданские правоотношения</w:t>
      </w:r>
      <w:r w:rsidR="006430F6" w:rsidRPr="008855E2">
        <w:rPr>
          <w:rFonts w:ascii="Arial" w:hAnsi="Arial" w:cs="Arial"/>
          <w:color w:val="000000" w:themeColor="text1"/>
          <w:sz w:val="22"/>
          <w:szCs w:val="22"/>
          <w:u w:val="dotted"/>
        </w:rPr>
        <w:tab/>
      </w:r>
      <w:r w:rsidR="004708E5">
        <w:rPr>
          <w:rFonts w:ascii="Arial" w:hAnsi="Arial" w:cs="Arial"/>
          <w:color w:val="000000" w:themeColor="text1"/>
          <w:sz w:val="22"/>
          <w:szCs w:val="22"/>
        </w:rPr>
        <w:t>211</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lang w:bidi="ru-RU"/>
        </w:rPr>
        <w:t>Базарова Н.А.</w:t>
      </w:r>
      <w:r w:rsidRPr="00DA76A7">
        <w:rPr>
          <w:rFonts w:ascii="Arial" w:hAnsi="Arial" w:cs="Arial"/>
          <w:color w:val="000000" w:themeColor="text1"/>
          <w:sz w:val="22"/>
          <w:szCs w:val="22"/>
          <w:lang w:bidi="ru-RU"/>
        </w:rPr>
        <w:t xml:space="preserve"> </w:t>
      </w:r>
      <w:r w:rsidRPr="00DA76A7">
        <w:rPr>
          <w:rFonts w:ascii="Arial" w:hAnsi="Arial" w:cs="Arial"/>
          <w:color w:val="000000" w:themeColor="text1"/>
          <w:sz w:val="22"/>
          <w:szCs w:val="22"/>
        </w:rPr>
        <w:t>Долевая множественность в гражданском праве Российской Федерации</w:t>
      </w:r>
      <w:r w:rsidR="006430F6" w:rsidRPr="008855E2">
        <w:rPr>
          <w:rFonts w:ascii="Arial" w:hAnsi="Arial" w:cs="Arial"/>
          <w:color w:val="000000" w:themeColor="text1"/>
          <w:sz w:val="22"/>
          <w:szCs w:val="22"/>
          <w:u w:val="dotted"/>
        </w:rPr>
        <w:tab/>
      </w:r>
      <w:r w:rsidR="00D45FB5">
        <w:rPr>
          <w:rFonts w:ascii="Arial" w:hAnsi="Arial" w:cs="Arial"/>
          <w:color w:val="000000" w:themeColor="text1"/>
          <w:sz w:val="22"/>
          <w:szCs w:val="22"/>
        </w:rPr>
        <w:t>213</w:t>
      </w:r>
    </w:p>
    <w:p w:rsidR="001B6671" w:rsidRPr="00DA76A7" w:rsidRDefault="001B6671" w:rsidP="00F4275A">
      <w:pPr>
        <w:tabs>
          <w:tab w:val="right" w:pos="9072"/>
        </w:tabs>
        <w:ind w:left="426" w:right="849" w:hanging="426"/>
        <w:jc w:val="both"/>
        <w:rPr>
          <w:rFonts w:ascii="Arial" w:hAnsi="Arial" w:cs="Arial"/>
          <w:color w:val="000000" w:themeColor="text1"/>
          <w:sz w:val="22"/>
          <w:szCs w:val="22"/>
          <w:lang w:bidi="ru-RU"/>
        </w:rPr>
      </w:pPr>
      <w:r w:rsidRPr="00DA76A7">
        <w:rPr>
          <w:rFonts w:ascii="Arial" w:hAnsi="Arial" w:cs="Arial"/>
          <w:b/>
          <w:color w:val="000000" w:themeColor="text1"/>
          <w:sz w:val="22"/>
          <w:szCs w:val="22"/>
          <w:lang w:bidi="ru-RU"/>
        </w:rPr>
        <w:t>Базарова Н.А.</w:t>
      </w:r>
      <w:r w:rsidRPr="00DA76A7">
        <w:rPr>
          <w:rFonts w:ascii="Arial" w:hAnsi="Arial" w:cs="Arial"/>
          <w:color w:val="000000" w:themeColor="text1"/>
          <w:sz w:val="22"/>
          <w:szCs w:val="22"/>
          <w:lang w:bidi="ru-RU"/>
        </w:rPr>
        <w:t xml:space="preserve"> Понятие гражданско-правового обязательства</w:t>
      </w:r>
      <w:r w:rsidR="006430F6" w:rsidRPr="008855E2">
        <w:rPr>
          <w:rFonts w:ascii="Arial" w:hAnsi="Arial" w:cs="Arial"/>
          <w:color w:val="000000" w:themeColor="text1"/>
          <w:sz w:val="22"/>
          <w:szCs w:val="22"/>
          <w:u w:val="dotted"/>
          <w:lang w:bidi="ru-RU"/>
        </w:rPr>
        <w:tab/>
      </w:r>
      <w:r w:rsidR="00D45FB5">
        <w:rPr>
          <w:rFonts w:ascii="Arial" w:hAnsi="Arial" w:cs="Arial"/>
          <w:color w:val="000000" w:themeColor="text1"/>
          <w:sz w:val="22"/>
          <w:szCs w:val="22"/>
          <w:lang w:bidi="ru-RU"/>
        </w:rPr>
        <w:t>216</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Бободжонов О.Ш.</w:t>
      </w:r>
      <w:r w:rsidRPr="00DA76A7">
        <w:rPr>
          <w:rFonts w:ascii="Arial" w:hAnsi="Arial" w:cs="Arial"/>
          <w:color w:val="000000" w:themeColor="text1"/>
          <w:sz w:val="22"/>
          <w:szCs w:val="22"/>
        </w:rPr>
        <w:t xml:space="preserve"> Деньги как объект гражданских прав</w:t>
      </w:r>
      <w:r w:rsidR="006430F6" w:rsidRPr="008855E2">
        <w:rPr>
          <w:rFonts w:ascii="Arial" w:hAnsi="Arial" w:cs="Arial"/>
          <w:color w:val="000000" w:themeColor="text1"/>
          <w:sz w:val="22"/>
          <w:szCs w:val="22"/>
          <w:u w:val="dotted"/>
        </w:rPr>
        <w:tab/>
      </w:r>
      <w:r w:rsidR="00D45FB5">
        <w:rPr>
          <w:rFonts w:ascii="Arial" w:hAnsi="Arial" w:cs="Arial"/>
          <w:color w:val="000000" w:themeColor="text1"/>
          <w:sz w:val="22"/>
          <w:szCs w:val="22"/>
        </w:rPr>
        <w:t>218</w:t>
      </w:r>
    </w:p>
    <w:p w:rsidR="001B6671" w:rsidRPr="00DA76A7" w:rsidRDefault="001B6671" w:rsidP="00F4275A">
      <w:pPr>
        <w:pStyle w:val="a9"/>
        <w:tabs>
          <w:tab w:val="right" w:pos="9072"/>
        </w:tabs>
        <w:ind w:left="426" w:right="849" w:hanging="426"/>
        <w:rPr>
          <w:rFonts w:ascii="Arial" w:hAnsi="Arial" w:cs="Arial"/>
          <w:color w:val="000000" w:themeColor="text1"/>
          <w:lang w:val="ru-RU"/>
        </w:rPr>
      </w:pPr>
      <w:r w:rsidRPr="00DA76A7">
        <w:rPr>
          <w:rFonts w:ascii="Arial" w:hAnsi="Arial" w:cs="Arial"/>
          <w:b/>
          <w:color w:val="000000" w:themeColor="text1"/>
          <w:lang w:val="ru-RU"/>
        </w:rPr>
        <w:t>Бобоев Н.Х.</w:t>
      </w:r>
      <w:r w:rsidRPr="00DA76A7">
        <w:rPr>
          <w:rFonts w:ascii="Arial" w:hAnsi="Arial" w:cs="Arial"/>
          <w:color w:val="000000" w:themeColor="text1"/>
          <w:lang w:val="ru-RU"/>
        </w:rPr>
        <w:t xml:space="preserve"> Виды гражданско-правовой ответственности</w:t>
      </w:r>
      <w:r w:rsidR="006430F6" w:rsidRPr="008855E2">
        <w:rPr>
          <w:rFonts w:ascii="Arial" w:hAnsi="Arial" w:cs="Arial"/>
          <w:color w:val="000000" w:themeColor="text1"/>
          <w:u w:val="dotted"/>
          <w:lang w:val="ru-RU"/>
        </w:rPr>
        <w:tab/>
      </w:r>
      <w:r w:rsidR="00D45FB5">
        <w:rPr>
          <w:rFonts w:ascii="Arial" w:hAnsi="Arial" w:cs="Arial"/>
          <w:color w:val="000000" w:themeColor="text1"/>
          <w:lang w:val="ru-RU"/>
        </w:rPr>
        <w:t>221</w:t>
      </w:r>
    </w:p>
    <w:p w:rsidR="001B6671" w:rsidRPr="00DA76A7" w:rsidRDefault="001B6671" w:rsidP="00F4275A">
      <w:pPr>
        <w:pStyle w:val="a9"/>
        <w:tabs>
          <w:tab w:val="right" w:pos="9072"/>
        </w:tabs>
        <w:ind w:left="426" w:right="849" w:hanging="426"/>
        <w:rPr>
          <w:rFonts w:ascii="Arial" w:hAnsi="Arial" w:cs="Arial"/>
          <w:color w:val="000000" w:themeColor="text1"/>
          <w:lang w:val="ru-RU"/>
        </w:rPr>
      </w:pPr>
      <w:r w:rsidRPr="00DA76A7">
        <w:rPr>
          <w:rFonts w:ascii="Arial" w:hAnsi="Arial" w:cs="Arial"/>
          <w:b/>
          <w:color w:val="000000" w:themeColor="text1"/>
          <w:lang w:val="ru-RU"/>
        </w:rPr>
        <w:t>Бобоев Н.Х.</w:t>
      </w:r>
      <w:r w:rsidRPr="00DA76A7">
        <w:rPr>
          <w:rFonts w:ascii="Arial" w:hAnsi="Arial" w:cs="Arial"/>
          <w:color w:val="000000" w:themeColor="text1"/>
          <w:lang w:val="ru-RU"/>
        </w:rPr>
        <w:t xml:space="preserve"> Гражданско-правовая ответственность юридических лиц</w:t>
      </w:r>
      <w:r w:rsidR="006430F6" w:rsidRPr="008855E2">
        <w:rPr>
          <w:rFonts w:ascii="Arial" w:hAnsi="Arial" w:cs="Arial"/>
          <w:color w:val="000000" w:themeColor="text1"/>
          <w:u w:val="dotted"/>
          <w:lang w:val="ru-RU"/>
        </w:rPr>
        <w:tab/>
      </w:r>
      <w:r w:rsidR="00D45FB5">
        <w:rPr>
          <w:rFonts w:ascii="Arial" w:hAnsi="Arial" w:cs="Arial"/>
          <w:color w:val="000000" w:themeColor="text1"/>
          <w:lang w:val="ru-RU"/>
        </w:rPr>
        <w:t>224</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Болдырева К.Н.</w:t>
      </w:r>
      <w:r w:rsidRPr="00DA76A7">
        <w:rPr>
          <w:rFonts w:ascii="Arial" w:hAnsi="Arial" w:cs="Arial"/>
          <w:color w:val="000000" w:themeColor="text1"/>
          <w:sz w:val="22"/>
          <w:szCs w:val="22"/>
        </w:rPr>
        <w:t xml:space="preserve"> Правовое регулирование товарных знаков в Республике Таджикистан</w:t>
      </w:r>
      <w:r w:rsidR="006430F6" w:rsidRPr="008855E2">
        <w:rPr>
          <w:rFonts w:ascii="Arial" w:hAnsi="Arial" w:cs="Arial"/>
          <w:color w:val="000000" w:themeColor="text1"/>
          <w:sz w:val="22"/>
          <w:szCs w:val="22"/>
          <w:u w:val="dotted"/>
        </w:rPr>
        <w:tab/>
      </w:r>
      <w:r w:rsidR="00D45FB5">
        <w:rPr>
          <w:rFonts w:ascii="Arial" w:hAnsi="Arial" w:cs="Arial"/>
          <w:color w:val="000000" w:themeColor="text1"/>
          <w:sz w:val="22"/>
          <w:szCs w:val="22"/>
        </w:rPr>
        <w:t>228</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Боровицкий А.А.</w:t>
      </w:r>
      <w:r w:rsidRPr="00DA76A7">
        <w:rPr>
          <w:rFonts w:ascii="Arial" w:hAnsi="Arial" w:cs="Arial"/>
          <w:color w:val="000000" w:themeColor="text1"/>
          <w:sz w:val="22"/>
          <w:szCs w:val="22"/>
        </w:rPr>
        <w:t xml:space="preserve"> Формы защиты авторских прав в Республике Таджикистана на современном этапе</w:t>
      </w:r>
      <w:r w:rsidR="006430F6" w:rsidRPr="008855E2">
        <w:rPr>
          <w:rFonts w:ascii="Arial" w:hAnsi="Arial" w:cs="Arial"/>
          <w:color w:val="000000" w:themeColor="text1"/>
          <w:sz w:val="22"/>
          <w:szCs w:val="22"/>
          <w:u w:val="dotted"/>
        </w:rPr>
        <w:tab/>
      </w:r>
      <w:r w:rsidR="00D45FB5">
        <w:rPr>
          <w:rFonts w:ascii="Arial" w:hAnsi="Arial" w:cs="Arial"/>
          <w:color w:val="000000" w:themeColor="text1"/>
          <w:sz w:val="22"/>
          <w:szCs w:val="22"/>
        </w:rPr>
        <w:t>232</w:t>
      </w:r>
    </w:p>
    <w:p w:rsidR="001B6671" w:rsidRPr="00DA76A7" w:rsidRDefault="001B6671" w:rsidP="00F4275A">
      <w:pPr>
        <w:tabs>
          <w:tab w:val="right" w:pos="9072"/>
        </w:tabs>
        <w:ind w:left="426" w:right="849" w:hanging="426"/>
        <w:jc w:val="both"/>
        <w:rPr>
          <w:rStyle w:val="ab"/>
          <w:rFonts w:ascii="Arial" w:hAnsi="Arial" w:cs="Arial"/>
          <w:b w:val="0"/>
          <w:color w:val="000000" w:themeColor="text1"/>
          <w:sz w:val="22"/>
          <w:szCs w:val="22"/>
        </w:rPr>
      </w:pPr>
      <w:r w:rsidRPr="00DA76A7">
        <w:rPr>
          <w:rStyle w:val="ab"/>
          <w:rFonts w:ascii="Arial" w:hAnsi="Arial" w:cs="Arial"/>
          <w:color w:val="000000" w:themeColor="text1"/>
          <w:sz w:val="22"/>
          <w:szCs w:val="22"/>
        </w:rPr>
        <w:t>Ваньян Д.А.</w:t>
      </w:r>
      <w:r w:rsidRPr="00DA76A7">
        <w:rPr>
          <w:rStyle w:val="ab"/>
          <w:rFonts w:ascii="Arial" w:hAnsi="Arial" w:cs="Arial"/>
          <w:b w:val="0"/>
          <w:color w:val="000000" w:themeColor="text1"/>
          <w:sz w:val="22"/>
          <w:szCs w:val="22"/>
        </w:rPr>
        <w:t xml:space="preserve"> Актуальные проблемы семейного права</w:t>
      </w:r>
      <w:r w:rsidR="006430F6" w:rsidRPr="008855E2">
        <w:rPr>
          <w:rFonts w:ascii="Arial" w:hAnsi="Arial" w:cs="Arial"/>
          <w:color w:val="000000" w:themeColor="text1"/>
          <w:sz w:val="22"/>
          <w:szCs w:val="22"/>
          <w:u w:val="dotted"/>
        </w:rPr>
        <w:tab/>
      </w:r>
      <w:r w:rsidR="00D45FB5">
        <w:rPr>
          <w:rStyle w:val="ab"/>
          <w:rFonts w:ascii="Arial" w:hAnsi="Arial" w:cs="Arial"/>
          <w:b w:val="0"/>
          <w:color w:val="000000" w:themeColor="text1"/>
          <w:sz w:val="22"/>
          <w:szCs w:val="22"/>
        </w:rPr>
        <w:t>235</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Гампикян К.А.</w:t>
      </w:r>
      <w:r w:rsidRPr="00DA76A7">
        <w:rPr>
          <w:rFonts w:ascii="Arial" w:hAnsi="Arial" w:cs="Arial"/>
          <w:color w:val="000000" w:themeColor="text1"/>
          <w:sz w:val="22"/>
          <w:szCs w:val="22"/>
        </w:rPr>
        <w:t xml:space="preserve"> Особенности урегулирования страховых случаев по </w:t>
      </w:r>
      <w:r w:rsidR="00E16DFB" w:rsidRPr="00DA76A7">
        <w:rPr>
          <w:rFonts w:ascii="Arial" w:hAnsi="Arial" w:cs="Arial"/>
          <w:color w:val="000000" w:themeColor="text1"/>
          <w:sz w:val="22"/>
          <w:szCs w:val="22"/>
        </w:rPr>
        <w:t>КАСКО</w:t>
      </w:r>
      <w:r w:rsidRPr="00DA76A7">
        <w:rPr>
          <w:rFonts w:ascii="Arial" w:hAnsi="Arial" w:cs="Arial"/>
          <w:color w:val="000000" w:themeColor="text1"/>
          <w:sz w:val="22"/>
          <w:szCs w:val="22"/>
        </w:rPr>
        <w:t xml:space="preserve"> за рубежом</w:t>
      </w:r>
      <w:r w:rsidR="006430F6" w:rsidRPr="008855E2">
        <w:rPr>
          <w:rFonts w:ascii="Arial" w:hAnsi="Arial" w:cs="Arial"/>
          <w:b/>
          <w:color w:val="000000" w:themeColor="text1"/>
          <w:sz w:val="22"/>
          <w:szCs w:val="22"/>
          <w:u w:val="dotted"/>
        </w:rPr>
        <w:tab/>
      </w:r>
      <w:r w:rsidR="00D45FB5" w:rsidRPr="00D45FB5">
        <w:rPr>
          <w:rFonts w:ascii="Arial" w:hAnsi="Arial" w:cs="Arial"/>
          <w:color w:val="000000" w:themeColor="text1"/>
          <w:sz w:val="22"/>
          <w:szCs w:val="22"/>
          <w:u w:val="dotted"/>
        </w:rPr>
        <w:t>2</w:t>
      </w:r>
      <w:r w:rsidR="00D45FB5">
        <w:rPr>
          <w:rFonts w:ascii="Arial" w:hAnsi="Arial" w:cs="Arial"/>
          <w:color w:val="000000" w:themeColor="text1"/>
          <w:sz w:val="22"/>
          <w:szCs w:val="22"/>
        </w:rPr>
        <w:t>37</w:t>
      </w:r>
    </w:p>
    <w:p w:rsidR="001B6671" w:rsidRPr="00DA76A7" w:rsidRDefault="001B6671" w:rsidP="00F4275A">
      <w:pPr>
        <w:tabs>
          <w:tab w:val="right" w:pos="9072"/>
        </w:tabs>
        <w:ind w:left="426" w:right="849" w:hanging="426"/>
        <w:jc w:val="both"/>
        <w:rPr>
          <w:rFonts w:ascii="Arial" w:hAnsi="Arial" w:cs="Arial"/>
          <w:bCs/>
          <w:color w:val="000000" w:themeColor="text1"/>
          <w:sz w:val="22"/>
          <w:szCs w:val="22"/>
        </w:rPr>
      </w:pPr>
      <w:r w:rsidRPr="00DA76A7">
        <w:rPr>
          <w:rFonts w:ascii="Arial" w:hAnsi="Arial" w:cs="Arial"/>
          <w:b/>
          <w:bCs/>
          <w:color w:val="000000" w:themeColor="text1"/>
          <w:sz w:val="22"/>
          <w:szCs w:val="22"/>
        </w:rPr>
        <w:t>Гафурова Г.Б.</w:t>
      </w:r>
      <w:r w:rsidRPr="00DA76A7">
        <w:rPr>
          <w:rFonts w:ascii="Arial" w:hAnsi="Arial" w:cs="Arial"/>
          <w:bCs/>
          <w:color w:val="000000" w:themeColor="text1"/>
          <w:sz w:val="22"/>
          <w:szCs w:val="22"/>
        </w:rPr>
        <w:t xml:space="preserve"> Понятие расчётных обязательств в гражданском праве</w:t>
      </w:r>
      <w:r w:rsidR="006430F6" w:rsidRPr="008855E2">
        <w:rPr>
          <w:rFonts w:ascii="Arial" w:hAnsi="Arial" w:cs="Arial"/>
          <w:bCs/>
          <w:color w:val="000000" w:themeColor="text1"/>
          <w:sz w:val="22"/>
          <w:szCs w:val="22"/>
          <w:u w:val="dotted"/>
        </w:rPr>
        <w:tab/>
      </w:r>
      <w:r w:rsidR="00D45FB5">
        <w:rPr>
          <w:rFonts w:ascii="Arial" w:hAnsi="Arial" w:cs="Arial"/>
          <w:bCs/>
          <w:color w:val="000000" w:themeColor="text1"/>
          <w:sz w:val="22"/>
          <w:szCs w:val="22"/>
        </w:rPr>
        <w:t>241</w:t>
      </w:r>
    </w:p>
    <w:p w:rsidR="001B6671" w:rsidRPr="00DA76A7" w:rsidRDefault="001B6671" w:rsidP="00F4275A">
      <w:pPr>
        <w:tabs>
          <w:tab w:val="right" w:pos="9072"/>
        </w:tabs>
        <w:ind w:left="426" w:right="849" w:hanging="426"/>
        <w:jc w:val="both"/>
        <w:rPr>
          <w:rFonts w:ascii="Arial" w:hAnsi="Arial" w:cs="Arial"/>
          <w:color w:val="000000" w:themeColor="text1"/>
          <w:sz w:val="22"/>
          <w:szCs w:val="22"/>
          <w:lang w:val="tg-Cyrl-TJ"/>
        </w:rPr>
      </w:pPr>
      <w:r w:rsidRPr="00DA76A7">
        <w:rPr>
          <w:rFonts w:ascii="Arial" w:hAnsi="Arial" w:cs="Arial"/>
          <w:b/>
          <w:color w:val="000000" w:themeColor="text1"/>
          <w:sz w:val="22"/>
          <w:szCs w:val="22"/>
          <w:lang w:val="tg-Cyrl-TJ"/>
        </w:rPr>
        <w:t>Гоибова М.С.</w:t>
      </w:r>
      <w:r w:rsidRPr="00DA76A7">
        <w:rPr>
          <w:rFonts w:ascii="Arial" w:hAnsi="Arial" w:cs="Arial"/>
          <w:color w:val="000000" w:themeColor="text1"/>
          <w:sz w:val="22"/>
          <w:szCs w:val="22"/>
          <w:lang w:val="tg-Cyrl-TJ"/>
        </w:rPr>
        <w:t xml:space="preserve"> Правовая природа акции</w:t>
      </w:r>
      <w:r w:rsidR="006430F6" w:rsidRPr="008855E2">
        <w:rPr>
          <w:rFonts w:ascii="Arial" w:hAnsi="Arial" w:cs="Arial"/>
          <w:color w:val="000000" w:themeColor="text1"/>
          <w:sz w:val="22"/>
          <w:szCs w:val="22"/>
          <w:u w:val="dotted"/>
        </w:rPr>
        <w:tab/>
      </w:r>
      <w:r w:rsidR="00D45FB5">
        <w:rPr>
          <w:rFonts w:ascii="Arial" w:hAnsi="Arial" w:cs="Arial"/>
          <w:color w:val="000000" w:themeColor="text1"/>
          <w:sz w:val="22"/>
          <w:szCs w:val="22"/>
          <w:lang w:val="tg-Cyrl-TJ"/>
        </w:rPr>
        <w:t>244</w:t>
      </w:r>
    </w:p>
    <w:p w:rsidR="001B6671" w:rsidRPr="00DA76A7" w:rsidRDefault="001B6671" w:rsidP="00F4275A">
      <w:pPr>
        <w:tabs>
          <w:tab w:val="left" w:pos="993"/>
          <w:tab w:val="right" w:pos="9072"/>
        </w:tabs>
        <w:ind w:left="426" w:right="849" w:hanging="426"/>
        <w:jc w:val="both"/>
        <w:rPr>
          <w:rFonts w:ascii="Arial" w:hAnsi="Arial" w:cs="Arial"/>
          <w:color w:val="000000" w:themeColor="text1"/>
          <w:sz w:val="22"/>
          <w:szCs w:val="22"/>
          <w:lang w:val="tg-Cyrl-TJ"/>
        </w:rPr>
      </w:pPr>
      <w:r w:rsidRPr="00DA76A7">
        <w:rPr>
          <w:rFonts w:ascii="Arial" w:hAnsi="Arial" w:cs="Arial"/>
          <w:b/>
          <w:color w:val="000000" w:themeColor="text1"/>
          <w:sz w:val="22"/>
          <w:szCs w:val="22"/>
          <w:lang w:val="tg-Cyrl-TJ"/>
        </w:rPr>
        <w:t>Давтов Б.Р.</w:t>
      </w:r>
      <w:r w:rsidRPr="00DA76A7">
        <w:rPr>
          <w:rFonts w:ascii="Arial" w:hAnsi="Arial" w:cs="Arial"/>
          <w:color w:val="000000" w:themeColor="text1"/>
          <w:sz w:val="22"/>
          <w:szCs w:val="22"/>
          <w:lang w:val="tg-Cyrl-TJ"/>
        </w:rPr>
        <w:t xml:space="preserve"> Форма кредитного договора в ближайшем будещем</w:t>
      </w:r>
      <w:r w:rsidR="006430F6" w:rsidRPr="008855E2">
        <w:rPr>
          <w:rFonts w:ascii="Arial" w:hAnsi="Arial" w:cs="Arial"/>
          <w:color w:val="000000" w:themeColor="text1"/>
          <w:sz w:val="22"/>
          <w:szCs w:val="22"/>
          <w:u w:val="dotted"/>
          <w:lang w:val="tg-Cyrl-TJ"/>
        </w:rPr>
        <w:tab/>
      </w:r>
      <w:r w:rsidR="00D45FB5">
        <w:rPr>
          <w:rFonts w:ascii="Arial" w:hAnsi="Arial" w:cs="Arial"/>
          <w:color w:val="000000" w:themeColor="text1"/>
          <w:sz w:val="22"/>
          <w:szCs w:val="22"/>
          <w:lang w:val="tg-Cyrl-TJ"/>
        </w:rPr>
        <w:t>247</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Евтушенко В.А.</w:t>
      </w:r>
      <w:r w:rsidRPr="00DA76A7">
        <w:rPr>
          <w:rFonts w:ascii="Arial" w:hAnsi="Arial" w:cs="Arial"/>
          <w:color w:val="000000" w:themeColor="text1"/>
          <w:sz w:val="22"/>
          <w:szCs w:val="22"/>
        </w:rPr>
        <w:t xml:space="preserve"> Правовое регулирование предпринимательской деятельности иностранных компаний на территории Российской Федерации</w:t>
      </w:r>
      <w:r w:rsidR="006430F6" w:rsidRPr="008855E2">
        <w:rPr>
          <w:rFonts w:ascii="Arial" w:hAnsi="Arial" w:cs="Arial"/>
          <w:color w:val="000000" w:themeColor="text1"/>
          <w:sz w:val="22"/>
          <w:szCs w:val="22"/>
          <w:u w:val="dotted"/>
        </w:rPr>
        <w:tab/>
      </w:r>
      <w:r w:rsidR="00D45FB5">
        <w:rPr>
          <w:rFonts w:ascii="Arial" w:hAnsi="Arial" w:cs="Arial"/>
          <w:color w:val="000000" w:themeColor="text1"/>
          <w:sz w:val="22"/>
          <w:szCs w:val="22"/>
        </w:rPr>
        <w:t>249</w:t>
      </w:r>
    </w:p>
    <w:p w:rsidR="001B6671" w:rsidRPr="00DA76A7" w:rsidRDefault="001B6671" w:rsidP="00F4275A">
      <w:pPr>
        <w:tabs>
          <w:tab w:val="right" w:pos="9072"/>
        </w:tabs>
        <w:ind w:left="426" w:right="849" w:hanging="426"/>
        <w:jc w:val="both"/>
        <w:rPr>
          <w:rFonts w:ascii="Arial" w:hAnsi="Arial" w:cs="Arial"/>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Епифанова Е.И.</w:t>
      </w:r>
      <w:r w:rsidRPr="00DA76A7">
        <w:rPr>
          <w:rFonts w:ascii="Arial" w:hAnsi="Arial" w:cs="Arial"/>
          <w:color w:val="000000" w:themeColor="text1"/>
          <w:sz w:val="22"/>
          <w:szCs w:val="22"/>
          <w:shd w:val="clear" w:color="auto" w:fill="FFFFFF"/>
        </w:rPr>
        <w:t xml:space="preserve"> Правовые последствия признания отцовства недействительным</w:t>
      </w:r>
      <w:r w:rsidR="001A4917" w:rsidRPr="008855E2">
        <w:rPr>
          <w:rFonts w:ascii="Arial" w:hAnsi="Arial" w:cs="Arial"/>
          <w:color w:val="000000" w:themeColor="text1"/>
          <w:sz w:val="22"/>
          <w:szCs w:val="22"/>
          <w:u w:val="dotted"/>
          <w:shd w:val="clear" w:color="auto" w:fill="FFFFFF"/>
        </w:rPr>
        <w:tab/>
      </w:r>
      <w:r w:rsidR="00D45FB5">
        <w:rPr>
          <w:rFonts w:ascii="Arial" w:hAnsi="Arial" w:cs="Arial"/>
          <w:color w:val="000000" w:themeColor="text1"/>
          <w:sz w:val="22"/>
          <w:szCs w:val="22"/>
        </w:rPr>
        <w:t>253</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Желтова В.А.</w:t>
      </w:r>
      <w:r w:rsidRPr="00DA76A7">
        <w:rPr>
          <w:rFonts w:ascii="Arial" w:hAnsi="Arial" w:cs="Arial"/>
          <w:color w:val="000000" w:themeColor="text1"/>
          <w:sz w:val="22"/>
          <w:szCs w:val="22"/>
        </w:rPr>
        <w:t xml:space="preserve"> Некоторые вопросы об облигации в гражданском праве Республики Таджикистан</w:t>
      </w:r>
      <w:r w:rsidR="006430F6" w:rsidRPr="008855E2">
        <w:rPr>
          <w:rFonts w:ascii="Arial" w:hAnsi="Arial" w:cs="Arial"/>
          <w:color w:val="000000" w:themeColor="text1"/>
          <w:sz w:val="22"/>
          <w:szCs w:val="22"/>
          <w:u w:val="dotted"/>
        </w:rPr>
        <w:tab/>
      </w:r>
      <w:r w:rsidR="00D45FB5">
        <w:rPr>
          <w:rFonts w:ascii="Arial" w:hAnsi="Arial" w:cs="Arial"/>
          <w:color w:val="000000" w:themeColor="text1"/>
          <w:sz w:val="22"/>
          <w:szCs w:val="22"/>
        </w:rPr>
        <w:t>255</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Зайнутдинова З.З.</w:t>
      </w:r>
      <w:r w:rsidRPr="00DA76A7">
        <w:rPr>
          <w:rFonts w:ascii="Arial" w:hAnsi="Arial" w:cs="Arial"/>
          <w:color w:val="000000" w:themeColor="text1"/>
          <w:sz w:val="22"/>
          <w:szCs w:val="22"/>
        </w:rPr>
        <w:t xml:space="preserve"> Проблемы </w:t>
      </w:r>
      <w:r w:rsidRPr="00DA76A7">
        <w:rPr>
          <w:rFonts w:ascii="Arial" w:hAnsi="Arial" w:cs="Arial"/>
          <w:bCs/>
          <w:color w:val="000000" w:themeColor="text1"/>
          <w:sz w:val="22"/>
          <w:szCs w:val="22"/>
        </w:rPr>
        <w:t>процедуры усыновления (удочерения)</w:t>
      </w:r>
      <w:r w:rsidRPr="00DA76A7">
        <w:rPr>
          <w:rFonts w:ascii="Arial" w:hAnsi="Arial" w:cs="Arial"/>
          <w:color w:val="000000" w:themeColor="text1"/>
          <w:sz w:val="22"/>
          <w:szCs w:val="22"/>
        </w:rPr>
        <w:t xml:space="preserve"> в Республике Таджикистан</w:t>
      </w:r>
      <w:r w:rsidR="006430F6" w:rsidRPr="008855E2">
        <w:rPr>
          <w:rFonts w:ascii="Arial" w:hAnsi="Arial" w:cs="Arial"/>
          <w:color w:val="000000" w:themeColor="text1"/>
          <w:sz w:val="22"/>
          <w:szCs w:val="22"/>
          <w:u w:val="dotted"/>
        </w:rPr>
        <w:tab/>
      </w:r>
      <w:r w:rsidR="00542B0A" w:rsidRPr="00542B0A">
        <w:rPr>
          <w:rFonts w:ascii="Arial" w:hAnsi="Arial" w:cs="Arial"/>
          <w:color w:val="000000" w:themeColor="text1"/>
          <w:sz w:val="22"/>
          <w:szCs w:val="22"/>
        </w:rPr>
        <w:t>258</w:t>
      </w:r>
    </w:p>
    <w:p w:rsidR="004D0299" w:rsidRPr="00DA76A7" w:rsidRDefault="004D0299" w:rsidP="006430F6">
      <w:pPr>
        <w:tabs>
          <w:tab w:val="right" w:pos="9072"/>
          <w:tab w:val="right" w:pos="9355"/>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Захаркина А.В.</w:t>
      </w:r>
      <w:r w:rsidRPr="00DA76A7">
        <w:rPr>
          <w:rFonts w:ascii="Arial" w:hAnsi="Arial" w:cs="Arial"/>
          <w:color w:val="000000" w:themeColor="text1"/>
          <w:sz w:val="22"/>
          <w:szCs w:val="22"/>
        </w:rPr>
        <w:t xml:space="preserve"> Надлежащее исполнение сложных обязательств, содержащихся в завещании</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262</w:t>
      </w:r>
    </w:p>
    <w:p w:rsidR="004D0299" w:rsidRPr="00DA76A7" w:rsidRDefault="004D0299" w:rsidP="00F4275A">
      <w:pPr>
        <w:tabs>
          <w:tab w:val="right" w:pos="9072"/>
        </w:tabs>
        <w:ind w:left="426" w:right="849" w:hanging="426"/>
        <w:jc w:val="both"/>
        <w:rPr>
          <w:rFonts w:ascii="Arial" w:eastAsia="Calibri" w:hAnsi="Arial" w:cs="Arial"/>
          <w:color w:val="000000" w:themeColor="text1"/>
          <w:sz w:val="22"/>
          <w:szCs w:val="22"/>
        </w:rPr>
      </w:pPr>
      <w:r w:rsidRPr="00DA76A7">
        <w:rPr>
          <w:rFonts w:ascii="Arial" w:hAnsi="Arial" w:cs="Arial"/>
          <w:b/>
          <w:color w:val="000000" w:themeColor="text1"/>
          <w:sz w:val="22"/>
          <w:szCs w:val="22"/>
        </w:rPr>
        <w:t>Зоолшоева Ж.Л.</w:t>
      </w:r>
      <w:r w:rsidRPr="00DA76A7">
        <w:rPr>
          <w:rFonts w:ascii="Arial" w:hAnsi="Arial" w:cs="Arial"/>
          <w:color w:val="000000" w:themeColor="text1"/>
          <w:sz w:val="22"/>
          <w:szCs w:val="22"/>
        </w:rPr>
        <w:t xml:space="preserve"> К Вопросу о понятии туристской деятельности как вида предпринимательской деятельности</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268</w:t>
      </w:r>
    </w:p>
    <w:p w:rsidR="004D0299" w:rsidRPr="00DA76A7" w:rsidRDefault="004D0299"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Зухурзода Д.Ш.</w:t>
      </w:r>
      <w:r w:rsidRPr="00DA76A7">
        <w:rPr>
          <w:rFonts w:ascii="Arial" w:hAnsi="Arial" w:cs="Arial"/>
          <w:color w:val="000000" w:themeColor="text1"/>
          <w:sz w:val="22"/>
          <w:szCs w:val="22"/>
        </w:rPr>
        <w:t xml:space="preserve"> Проблемы гражданско-правовой ответственности органов местного самоуправления за нанесенный вред по законодательству Республики Таджикистан</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272</w:t>
      </w:r>
    </w:p>
    <w:p w:rsidR="004D0299" w:rsidRPr="00DA76A7" w:rsidRDefault="004D0299"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Измайлов В.И.</w:t>
      </w:r>
      <w:r w:rsidRPr="00DA76A7">
        <w:rPr>
          <w:rFonts w:ascii="Arial" w:hAnsi="Arial" w:cs="Arial"/>
          <w:color w:val="000000" w:themeColor="text1"/>
          <w:sz w:val="22"/>
          <w:szCs w:val="22"/>
        </w:rPr>
        <w:t xml:space="preserve"> </w:t>
      </w:r>
      <w:r w:rsidRPr="00DA76A7">
        <w:rPr>
          <w:rFonts w:ascii="Arial" w:hAnsi="Arial" w:cs="Arial"/>
          <w:caps/>
          <w:color w:val="000000" w:themeColor="text1"/>
          <w:sz w:val="22"/>
          <w:szCs w:val="22"/>
        </w:rPr>
        <w:t>Р</w:t>
      </w:r>
      <w:r w:rsidRPr="00DA76A7">
        <w:rPr>
          <w:rFonts w:ascii="Arial" w:hAnsi="Arial" w:cs="Arial"/>
          <w:color w:val="000000" w:themeColor="text1"/>
          <w:sz w:val="22"/>
          <w:szCs w:val="22"/>
        </w:rPr>
        <w:t>оль процедуры медиации при расторжении брака</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278</w:t>
      </w:r>
    </w:p>
    <w:p w:rsidR="004D0299" w:rsidRPr="00DA76A7" w:rsidRDefault="004D0299"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lang w:val="kk-KZ"/>
        </w:rPr>
        <w:t>Иминов Ф</w:t>
      </w:r>
      <w:r w:rsidRPr="00DA76A7">
        <w:rPr>
          <w:rFonts w:ascii="Arial" w:hAnsi="Arial" w:cs="Arial"/>
          <w:b/>
          <w:color w:val="000000" w:themeColor="text1"/>
          <w:sz w:val="22"/>
          <w:szCs w:val="22"/>
        </w:rPr>
        <w:t xml:space="preserve">.Х. </w:t>
      </w:r>
      <w:r w:rsidRPr="00DA76A7">
        <w:rPr>
          <w:rFonts w:ascii="Arial" w:hAnsi="Arial" w:cs="Arial"/>
          <w:color w:val="000000" w:themeColor="text1"/>
          <w:sz w:val="22"/>
          <w:szCs w:val="22"/>
        </w:rPr>
        <w:t>Правовое регулирование хранения по законодательству Республики Казахстан</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284</w:t>
      </w:r>
    </w:p>
    <w:p w:rsidR="004D0299" w:rsidRPr="00DA76A7" w:rsidRDefault="004D0299" w:rsidP="006430F6">
      <w:pPr>
        <w:tabs>
          <w:tab w:val="right" w:pos="9072"/>
          <w:tab w:val="left" w:pos="10992"/>
          <w:tab w:val="left" w:pos="11908"/>
          <w:tab w:val="left" w:pos="12824"/>
          <w:tab w:val="left" w:pos="13740"/>
          <w:tab w:val="left" w:pos="14656"/>
        </w:tabs>
        <w:ind w:left="426" w:right="849" w:hanging="426"/>
        <w:jc w:val="both"/>
        <w:rPr>
          <w:rFonts w:ascii="Arial" w:hAnsi="Arial" w:cs="Arial"/>
          <w:bCs/>
          <w:color w:val="000000" w:themeColor="text1"/>
          <w:sz w:val="22"/>
          <w:szCs w:val="22"/>
        </w:rPr>
      </w:pPr>
      <w:r w:rsidRPr="00DA76A7">
        <w:rPr>
          <w:rFonts w:ascii="Arial" w:hAnsi="Arial" w:cs="Arial"/>
          <w:b/>
          <w:bCs/>
          <w:color w:val="000000" w:themeColor="text1"/>
          <w:sz w:val="22"/>
          <w:szCs w:val="22"/>
        </w:rPr>
        <w:t>Исмаилов С.Ш.</w:t>
      </w:r>
      <w:r w:rsidR="00F4275A" w:rsidRPr="00DA76A7">
        <w:rPr>
          <w:rFonts w:ascii="Arial" w:hAnsi="Arial" w:cs="Arial"/>
          <w:bCs/>
          <w:color w:val="000000" w:themeColor="text1"/>
          <w:sz w:val="22"/>
          <w:szCs w:val="22"/>
        </w:rPr>
        <w:t xml:space="preserve"> Об</w:t>
      </w:r>
      <w:r w:rsidRPr="00DA76A7">
        <w:rPr>
          <w:rFonts w:ascii="Arial" w:hAnsi="Arial" w:cs="Arial"/>
          <w:bCs/>
          <w:color w:val="000000" w:themeColor="text1"/>
          <w:sz w:val="22"/>
          <w:szCs w:val="22"/>
        </w:rPr>
        <w:t xml:space="preserve"> </w:t>
      </w:r>
      <w:r w:rsidR="00F4275A" w:rsidRPr="00DA76A7">
        <w:rPr>
          <w:rFonts w:ascii="Arial" w:hAnsi="Arial" w:cs="Arial"/>
          <w:bCs/>
          <w:color w:val="000000" w:themeColor="text1"/>
          <w:sz w:val="22"/>
          <w:szCs w:val="22"/>
        </w:rPr>
        <w:t>о</w:t>
      </w:r>
      <w:r w:rsidRPr="00DA76A7">
        <w:rPr>
          <w:rFonts w:ascii="Arial" w:hAnsi="Arial" w:cs="Arial"/>
          <w:bCs/>
          <w:color w:val="000000" w:themeColor="text1"/>
          <w:sz w:val="22"/>
          <w:szCs w:val="22"/>
        </w:rPr>
        <w:t>собенностях правовой характеристики индивидуального предпринимательства</w:t>
      </w:r>
      <w:r w:rsidR="006430F6" w:rsidRPr="008855E2">
        <w:rPr>
          <w:rFonts w:ascii="Arial" w:hAnsi="Arial" w:cs="Arial"/>
          <w:color w:val="000000" w:themeColor="text1"/>
          <w:sz w:val="22"/>
          <w:szCs w:val="22"/>
          <w:u w:val="dotted"/>
        </w:rPr>
        <w:tab/>
      </w:r>
      <w:r w:rsidR="00542B0A">
        <w:rPr>
          <w:rFonts w:ascii="Arial" w:hAnsi="Arial" w:cs="Arial"/>
          <w:bCs/>
          <w:color w:val="000000" w:themeColor="text1"/>
          <w:sz w:val="22"/>
          <w:szCs w:val="22"/>
        </w:rPr>
        <w:t>287</w:t>
      </w:r>
    </w:p>
    <w:p w:rsidR="001B6671" w:rsidRPr="00DA76A7" w:rsidRDefault="001B6671" w:rsidP="00F4275A">
      <w:pPr>
        <w:tabs>
          <w:tab w:val="left" w:pos="916"/>
          <w:tab w:val="left" w:pos="1832"/>
          <w:tab w:val="left" w:pos="2748"/>
          <w:tab w:val="left" w:pos="3664"/>
          <w:tab w:val="left" w:pos="4580"/>
          <w:tab w:val="left" w:pos="5496"/>
          <w:tab w:val="left" w:pos="6412"/>
          <w:tab w:val="left" w:pos="7328"/>
          <w:tab w:val="left" w:pos="8244"/>
          <w:tab w:val="right" w:pos="9072"/>
          <w:tab w:val="left" w:pos="9160"/>
          <w:tab w:val="left" w:pos="10076"/>
          <w:tab w:val="left" w:pos="10992"/>
          <w:tab w:val="left" w:pos="11908"/>
          <w:tab w:val="left" w:pos="12824"/>
          <w:tab w:val="left" w:pos="13740"/>
          <w:tab w:val="left" w:pos="14656"/>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Кабиров С.О.</w:t>
      </w:r>
      <w:r w:rsidRPr="00DA76A7">
        <w:rPr>
          <w:rFonts w:ascii="Arial" w:hAnsi="Arial" w:cs="Arial"/>
          <w:color w:val="000000" w:themeColor="text1"/>
          <w:sz w:val="22"/>
          <w:szCs w:val="22"/>
        </w:rPr>
        <w:t xml:space="preserve"> Правовая характеристика хозяйственных товариществ и обществ</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294</w:t>
      </w:r>
    </w:p>
    <w:p w:rsidR="001B6671" w:rsidRPr="00DA76A7" w:rsidRDefault="001B6671" w:rsidP="006430F6">
      <w:pPr>
        <w:tabs>
          <w:tab w:val="right" w:pos="9072"/>
        </w:tabs>
        <w:ind w:left="426" w:right="849" w:hanging="426"/>
        <w:jc w:val="both"/>
        <w:rPr>
          <w:rFonts w:ascii="Arial" w:hAnsi="Arial" w:cs="Arial"/>
          <w:bCs/>
          <w:color w:val="000000" w:themeColor="text1"/>
          <w:sz w:val="22"/>
          <w:szCs w:val="22"/>
        </w:rPr>
      </w:pPr>
      <w:r w:rsidRPr="00DA76A7">
        <w:rPr>
          <w:rFonts w:ascii="Arial" w:hAnsi="Arial" w:cs="Arial"/>
          <w:b/>
          <w:color w:val="000000" w:themeColor="text1"/>
          <w:sz w:val="22"/>
          <w:szCs w:val="22"/>
        </w:rPr>
        <w:t>Кабиров С.О.</w:t>
      </w: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rPr>
        <w:t>Правовой режим полных товариществ в гражданском праве Республики Таджикистан</w:t>
      </w:r>
      <w:r w:rsidR="006430F6" w:rsidRPr="008855E2">
        <w:rPr>
          <w:rFonts w:ascii="Arial" w:hAnsi="Arial" w:cs="Arial"/>
          <w:color w:val="000000" w:themeColor="text1"/>
          <w:sz w:val="22"/>
          <w:szCs w:val="22"/>
          <w:u w:val="dotted"/>
        </w:rPr>
        <w:tab/>
      </w:r>
      <w:r w:rsidR="00542B0A">
        <w:rPr>
          <w:rFonts w:ascii="Arial" w:hAnsi="Arial" w:cs="Arial"/>
          <w:bCs/>
          <w:color w:val="000000" w:themeColor="text1"/>
          <w:sz w:val="22"/>
          <w:szCs w:val="22"/>
        </w:rPr>
        <w:t>299</w:t>
      </w:r>
    </w:p>
    <w:p w:rsidR="001B6671" w:rsidRPr="00DA76A7" w:rsidRDefault="001B6671" w:rsidP="00F4275A">
      <w:pPr>
        <w:tabs>
          <w:tab w:val="right" w:pos="9072"/>
        </w:tabs>
        <w:ind w:left="426" w:right="849" w:hanging="426"/>
        <w:jc w:val="both"/>
        <w:rPr>
          <w:rFonts w:ascii="Arial" w:eastAsia="Calibri" w:hAnsi="Arial" w:cs="Arial"/>
          <w:color w:val="000000" w:themeColor="text1"/>
          <w:sz w:val="22"/>
          <w:szCs w:val="22"/>
        </w:rPr>
      </w:pPr>
      <w:r w:rsidRPr="00DA76A7">
        <w:rPr>
          <w:rFonts w:ascii="Arial" w:hAnsi="Arial" w:cs="Arial"/>
          <w:b/>
          <w:color w:val="000000" w:themeColor="text1"/>
          <w:sz w:val="22"/>
          <w:szCs w:val="22"/>
          <w:lang w:eastAsia="ar-SA"/>
        </w:rPr>
        <w:t>Каримова О.М.</w:t>
      </w:r>
      <w:r w:rsidRPr="00DA76A7">
        <w:rPr>
          <w:rFonts w:ascii="Arial" w:hAnsi="Arial" w:cs="Arial"/>
          <w:color w:val="000000" w:themeColor="text1"/>
          <w:sz w:val="22"/>
          <w:szCs w:val="22"/>
          <w:lang w:eastAsia="ar-SA"/>
        </w:rPr>
        <w:t xml:space="preserve"> </w:t>
      </w:r>
      <w:r w:rsidRPr="00DA76A7">
        <w:rPr>
          <w:rFonts w:ascii="Arial" w:eastAsia="Calibri" w:hAnsi="Arial" w:cs="Arial"/>
          <w:color w:val="000000" w:themeColor="text1"/>
          <w:sz w:val="22"/>
          <w:szCs w:val="22"/>
        </w:rPr>
        <w:t>К вопросу о правовом положении женщин в семье</w:t>
      </w:r>
      <w:r w:rsidR="006430F6" w:rsidRPr="008855E2">
        <w:rPr>
          <w:rFonts w:ascii="Arial" w:eastAsia="Calibri" w:hAnsi="Arial" w:cs="Arial"/>
          <w:color w:val="000000" w:themeColor="text1"/>
          <w:sz w:val="22"/>
          <w:szCs w:val="22"/>
          <w:u w:val="dotted"/>
        </w:rPr>
        <w:tab/>
      </w:r>
      <w:r w:rsidR="00542B0A">
        <w:rPr>
          <w:rFonts w:ascii="Arial" w:eastAsia="Calibri" w:hAnsi="Arial" w:cs="Arial"/>
          <w:color w:val="000000" w:themeColor="text1"/>
          <w:sz w:val="22"/>
          <w:szCs w:val="22"/>
        </w:rPr>
        <w:t>303</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Каримова Т.М.</w:t>
      </w:r>
      <w:r w:rsidRPr="00DA76A7">
        <w:rPr>
          <w:rFonts w:ascii="Arial" w:hAnsi="Arial" w:cs="Arial"/>
          <w:color w:val="000000" w:themeColor="text1"/>
          <w:sz w:val="22"/>
          <w:szCs w:val="22"/>
        </w:rPr>
        <w:t xml:space="preserve"> Организационно-правовые формы некоммерческих организаций по законодательству Республики Таджикистан и Российской Федерации</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307</w:t>
      </w:r>
    </w:p>
    <w:p w:rsidR="001B6671" w:rsidRPr="00DA76A7" w:rsidRDefault="001B6671" w:rsidP="00F4275A">
      <w:pPr>
        <w:pStyle w:val="ConsPlusNormal"/>
        <w:widowControl/>
        <w:tabs>
          <w:tab w:val="right" w:pos="9072"/>
        </w:tabs>
        <w:ind w:left="426" w:right="849" w:hanging="426"/>
        <w:jc w:val="both"/>
        <w:rPr>
          <w:color w:val="000000" w:themeColor="text1"/>
          <w:sz w:val="22"/>
          <w:szCs w:val="22"/>
        </w:rPr>
      </w:pPr>
      <w:r w:rsidRPr="00DA76A7">
        <w:rPr>
          <w:b/>
          <w:color w:val="000000" w:themeColor="text1"/>
          <w:sz w:val="22"/>
          <w:szCs w:val="22"/>
        </w:rPr>
        <w:t>Кароматуллои Р.</w:t>
      </w:r>
      <w:r w:rsidRPr="00DA76A7">
        <w:rPr>
          <w:color w:val="000000" w:themeColor="text1"/>
          <w:sz w:val="22"/>
          <w:szCs w:val="22"/>
        </w:rPr>
        <w:t xml:space="preserve"> Гражданско-правовая ответственность по солидарному обязательству</w:t>
      </w:r>
      <w:r w:rsidR="006430F6" w:rsidRPr="008855E2">
        <w:rPr>
          <w:color w:val="000000" w:themeColor="text1"/>
          <w:sz w:val="22"/>
          <w:szCs w:val="22"/>
          <w:u w:val="dotted"/>
        </w:rPr>
        <w:tab/>
      </w:r>
      <w:r w:rsidR="00542B0A">
        <w:rPr>
          <w:color w:val="000000" w:themeColor="text1"/>
          <w:sz w:val="22"/>
          <w:szCs w:val="22"/>
        </w:rPr>
        <w:t>312</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Кароматуллои Р.</w:t>
      </w:r>
      <w:r w:rsidRPr="00DA76A7">
        <w:rPr>
          <w:rFonts w:ascii="Arial" w:hAnsi="Arial" w:cs="Arial"/>
          <w:color w:val="000000" w:themeColor="text1"/>
          <w:sz w:val="22"/>
          <w:szCs w:val="22"/>
        </w:rPr>
        <w:t xml:space="preserve"> К вопросу о видах обязательств с множественностью лиц</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315</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Киёмов Ф.М.</w:t>
      </w:r>
      <w:r w:rsidRPr="00DA76A7">
        <w:rPr>
          <w:rFonts w:ascii="Arial" w:hAnsi="Arial" w:cs="Arial"/>
          <w:color w:val="000000" w:themeColor="text1"/>
          <w:sz w:val="22"/>
          <w:szCs w:val="22"/>
        </w:rPr>
        <w:t xml:space="preserve"> К вопросу об основании гражданско-правовой ответственности предпринимателей</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317</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Козиенков В.И.</w:t>
      </w:r>
      <w:r w:rsidRPr="00DA76A7">
        <w:rPr>
          <w:rFonts w:ascii="Arial" w:hAnsi="Arial" w:cs="Arial"/>
          <w:color w:val="000000" w:themeColor="text1"/>
          <w:sz w:val="22"/>
          <w:szCs w:val="22"/>
        </w:rPr>
        <w:t xml:space="preserve"> Проблемы гражданско-правовой защиты имущественных интересов личности</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320</w:t>
      </w:r>
    </w:p>
    <w:p w:rsidR="001B6671" w:rsidRPr="00DA76A7" w:rsidRDefault="001B6671" w:rsidP="006430F6">
      <w:pPr>
        <w:pStyle w:val="a4"/>
        <w:tabs>
          <w:tab w:val="clear" w:pos="4677"/>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Королькова А.А.</w:t>
      </w:r>
      <w:r w:rsidRPr="00DA76A7">
        <w:rPr>
          <w:rFonts w:ascii="Arial" w:hAnsi="Arial" w:cs="Arial"/>
          <w:color w:val="000000" w:themeColor="text1"/>
          <w:sz w:val="22"/>
          <w:szCs w:val="22"/>
        </w:rPr>
        <w:t xml:space="preserve"> К вопросу о принадлежности денежной суммы, переданной в качестве обеспечительного платежа</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323</w:t>
      </w:r>
    </w:p>
    <w:p w:rsidR="001B6671" w:rsidRPr="00DA76A7" w:rsidRDefault="001B6671" w:rsidP="00F4275A">
      <w:pPr>
        <w:pStyle w:val="Standard"/>
        <w:tabs>
          <w:tab w:val="right" w:pos="9072"/>
        </w:tabs>
        <w:ind w:left="426" w:right="849" w:hanging="426"/>
        <w:jc w:val="both"/>
        <w:rPr>
          <w:rFonts w:ascii="Arial" w:hAnsi="Arial" w:cs="Arial"/>
          <w:bCs/>
          <w:color w:val="000000" w:themeColor="text1"/>
          <w:sz w:val="22"/>
          <w:szCs w:val="22"/>
          <w:lang w:val="ru-RU"/>
        </w:rPr>
      </w:pPr>
      <w:r w:rsidRPr="00DA76A7">
        <w:rPr>
          <w:rFonts w:ascii="Arial" w:hAnsi="Arial" w:cs="Arial"/>
          <w:b/>
          <w:bCs/>
          <w:iCs/>
          <w:color w:val="000000" w:themeColor="text1"/>
          <w:sz w:val="22"/>
          <w:szCs w:val="22"/>
          <w:lang w:val="ru-RU"/>
        </w:rPr>
        <w:t>Кочура А.С.</w:t>
      </w:r>
      <w:r w:rsidRPr="00DA76A7">
        <w:rPr>
          <w:rFonts w:ascii="Arial" w:hAnsi="Arial" w:cs="Arial"/>
          <w:bCs/>
          <w:iCs/>
          <w:color w:val="000000" w:themeColor="text1"/>
          <w:sz w:val="22"/>
          <w:szCs w:val="22"/>
          <w:lang w:val="ru-RU"/>
        </w:rPr>
        <w:t xml:space="preserve"> </w:t>
      </w:r>
      <w:r w:rsidRPr="00DA76A7">
        <w:rPr>
          <w:rFonts w:ascii="Arial" w:hAnsi="Arial" w:cs="Arial"/>
          <w:bCs/>
          <w:color w:val="000000" w:themeColor="text1"/>
          <w:sz w:val="22"/>
          <w:szCs w:val="22"/>
          <w:lang w:val="ru-RU"/>
        </w:rPr>
        <w:t>Современные проблемы злоупотребления правом: сложность применения в теории и правоприменительной практике</w:t>
      </w:r>
      <w:r w:rsidR="006430F6" w:rsidRPr="008855E2">
        <w:rPr>
          <w:rFonts w:ascii="Arial" w:hAnsi="Arial" w:cs="Arial"/>
          <w:bCs/>
          <w:color w:val="000000" w:themeColor="text1"/>
          <w:sz w:val="22"/>
          <w:szCs w:val="22"/>
          <w:u w:val="dotted"/>
          <w:lang w:val="ru-RU"/>
        </w:rPr>
        <w:tab/>
      </w:r>
      <w:r w:rsidR="00542B0A">
        <w:rPr>
          <w:rFonts w:ascii="Arial" w:hAnsi="Arial" w:cs="Arial"/>
          <w:bCs/>
          <w:color w:val="000000" w:themeColor="text1"/>
          <w:sz w:val="22"/>
          <w:szCs w:val="22"/>
          <w:lang w:val="ru-RU"/>
        </w:rPr>
        <w:t>329</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bCs/>
          <w:color w:val="000000" w:themeColor="text1"/>
          <w:sz w:val="22"/>
          <w:szCs w:val="22"/>
        </w:rPr>
        <w:t>Курбанова М.И.</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К вопросу о заключении брака в Республике  Таджикистан</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333</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Курбонализода Н.Ш.,</w:t>
      </w:r>
      <w:r w:rsidRPr="00DA76A7">
        <w:rPr>
          <w:rFonts w:ascii="Arial" w:hAnsi="Arial" w:cs="Arial"/>
          <w:color w:val="000000" w:themeColor="text1"/>
          <w:sz w:val="22"/>
          <w:szCs w:val="22"/>
        </w:rPr>
        <w:t xml:space="preserve"> </w:t>
      </w:r>
      <w:r w:rsidRPr="00DA76A7">
        <w:rPr>
          <w:rFonts w:ascii="Arial" w:hAnsi="Arial" w:cs="Arial"/>
          <w:b/>
          <w:color w:val="000000" w:themeColor="text1"/>
          <w:sz w:val="22"/>
          <w:szCs w:val="22"/>
          <w:shd w:val="clear" w:color="auto" w:fill="FFFFFF"/>
        </w:rPr>
        <w:t>Азиззода М.И.</w:t>
      </w:r>
      <w:r w:rsidRPr="00DA76A7">
        <w:rPr>
          <w:rFonts w:ascii="Arial" w:hAnsi="Arial" w:cs="Arial"/>
          <w:color w:val="000000" w:themeColor="text1"/>
          <w:sz w:val="22"/>
          <w:szCs w:val="22"/>
        </w:rPr>
        <w:t xml:space="preserve"> Об источниках гражданской правосубъектности несовершеннолетних в информационной сфере</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336</w:t>
      </w:r>
    </w:p>
    <w:p w:rsidR="001B6671" w:rsidRPr="00DA76A7" w:rsidRDefault="001B6671" w:rsidP="00F4275A">
      <w:pPr>
        <w:tabs>
          <w:tab w:val="right" w:pos="9072"/>
        </w:tabs>
        <w:ind w:left="426" w:right="849" w:hanging="426"/>
        <w:jc w:val="both"/>
        <w:rPr>
          <w:rFonts w:ascii="Arial" w:hAnsi="Arial" w:cs="Arial"/>
          <w:bCs/>
          <w:color w:val="000000" w:themeColor="text1"/>
          <w:sz w:val="22"/>
          <w:szCs w:val="22"/>
        </w:rPr>
      </w:pPr>
      <w:r w:rsidRPr="00DA76A7">
        <w:rPr>
          <w:rFonts w:ascii="Arial" w:hAnsi="Arial" w:cs="Arial"/>
          <w:b/>
          <w:color w:val="000000" w:themeColor="text1"/>
          <w:sz w:val="22"/>
          <w:szCs w:val="22"/>
        </w:rPr>
        <w:t>Махмудова М.Э.</w:t>
      </w: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rPr>
        <w:t>Значение договора коммерческой концессии в современных условиях</w:t>
      </w:r>
      <w:r w:rsidR="006430F6" w:rsidRPr="008855E2">
        <w:rPr>
          <w:rFonts w:ascii="Arial" w:hAnsi="Arial" w:cs="Arial"/>
          <w:color w:val="000000" w:themeColor="text1"/>
          <w:sz w:val="22"/>
          <w:szCs w:val="22"/>
          <w:u w:val="dotted"/>
        </w:rPr>
        <w:tab/>
      </w:r>
      <w:r w:rsidR="00542B0A">
        <w:rPr>
          <w:rFonts w:ascii="Arial" w:hAnsi="Arial" w:cs="Arial"/>
          <w:bCs/>
          <w:color w:val="000000" w:themeColor="text1"/>
          <w:sz w:val="22"/>
          <w:szCs w:val="22"/>
        </w:rPr>
        <w:t>340</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Мустафина А.Ю.</w:t>
      </w:r>
      <w:r w:rsidRPr="00DA76A7">
        <w:rPr>
          <w:rFonts w:ascii="Arial" w:hAnsi="Arial" w:cs="Arial"/>
          <w:color w:val="000000" w:themeColor="text1"/>
          <w:sz w:val="22"/>
          <w:szCs w:val="22"/>
        </w:rPr>
        <w:t xml:space="preserve"> Природные ресурсы как объекты гражданского права</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342</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Назримадов Т.К.</w:t>
      </w:r>
      <w:r w:rsidRPr="00DA76A7">
        <w:rPr>
          <w:rFonts w:ascii="Arial" w:hAnsi="Arial" w:cs="Arial"/>
          <w:color w:val="000000" w:themeColor="text1"/>
          <w:sz w:val="22"/>
          <w:szCs w:val="22"/>
        </w:rPr>
        <w:t xml:space="preserve"> О некоторых аспектах страхования договорной ответственности</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344</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Николаева Л.В.</w:t>
      </w:r>
      <w:r w:rsidRPr="00DA76A7">
        <w:rPr>
          <w:rFonts w:ascii="Arial" w:hAnsi="Arial" w:cs="Arial"/>
          <w:color w:val="000000" w:themeColor="text1"/>
          <w:sz w:val="22"/>
          <w:szCs w:val="22"/>
        </w:rPr>
        <w:t xml:space="preserve"> Срок исковой давности: теория и практика применения</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348</w:t>
      </w:r>
    </w:p>
    <w:p w:rsidR="001B6671" w:rsidRPr="00DA76A7" w:rsidRDefault="001B6671" w:rsidP="00F4275A">
      <w:pPr>
        <w:shd w:val="clear" w:color="auto" w:fill="FFFFFF"/>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Ниятбеков Дж.С.</w:t>
      </w:r>
      <w:r w:rsidRPr="00DA76A7">
        <w:rPr>
          <w:rFonts w:ascii="Arial" w:hAnsi="Arial" w:cs="Arial"/>
          <w:color w:val="000000" w:themeColor="text1"/>
          <w:sz w:val="22"/>
          <w:szCs w:val="22"/>
        </w:rPr>
        <w:t xml:space="preserve"> К вопросу о понятии банковской деятельности</w:t>
      </w:r>
      <w:r w:rsidR="006430F6" w:rsidRPr="008855E2">
        <w:rPr>
          <w:rFonts w:ascii="Arial" w:hAnsi="Arial" w:cs="Arial"/>
          <w:color w:val="000000" w:themeColor="text1"/>
          <w:sz w:val="22"/>
          <w:szCs w:val="22"/>
          <w:u w:val="dotted"/>
        </w:rPr>
        <w:tab/>
      </w:r>
      <w:r w:rsidR="00542B0A">
        <w:rPr>
          <w:rFonts w:ascii="Arial" w:hAnsi="Arial" w:cs="Arial"/>
          <w:color w:val="000000" w:themeColor="text1"/>
          <w:sz w:val="22"/>
          <w:szCs w:val="22"/>
        </w:rPr>
        <w:t>351</w:t>
      </w:r>
    </w:p>
    <w:p w:rsidR="001B6671" w:rsidRPr="00DA76A7" w:rsidRDefault="001B6671" w:rsidP="00F4275A">
      <w:pPr>
        <w:shd w:val="clear" w:color="auto" w:fill="FFFFFF"/>
        <w:tabs>
          <w:tab w:val="right" w:pos="9072"/>
        </w:tabs>
        <w:ind w:left="426" w:right="849" w:hanging="426"/>
        <w:jc w:val="both"/>
        <w:rPr>
          <w:rFonts w:ascii="Arial" w:hAnsi="Arial" w:cs="Arial"/>
          <w:color w:val="000000" w:themeColor="text1"/>
          <w:spacing w:val="-2"/>
          <w:sz w:val="22"/>
          <w:szCs w:val="22"/>
        </w:rPr>
      </w:pPr>
      <w:r w:rsidRPr="00DA76A7">
        <w:rPr>
          <w:rFonts w:ascii="Arial" w:hAnsi="Arial" w:cs="Arial"/>
          <w:b/>
          <w:color w:val="000000" w:themeColor="text1"/>
          <w:sz w:val="22"/>
          <w:szCs w:val="22"/>
        </w:rPr>
        <w:t>Ниятбеков Дж.С.</w:t>
      </w:r>
      <w:r w:rsidRPr="00DA76A7">
        <w:rPr>
          <w:rFonts w:ascii="Arial" w:hAnsi="Arial" w:cs="Arial"/>
          <w:color w:val="000000" w:themeColor="text1"/>
          <w:sz w:val="22"/>
          <w:szCs w:val="22"/>
        </w:rPr>
        <w:t xml:space="preserve"> </w:t>
      </w:r>
      <w:r w:rsidRPr="00DA76A7">
        <w:rPr>
          <w:rFonts w:ascii="Arial" w:hAnsi="Arial" w:cs="Arial"/>
          <w:color w:val="000000" w:themeColor="text1"/>
          <w:spacing w:val="-2"/>
          <w:sz w:val="22"/>
          <w:szCs w:val="22"/>
        </w:rPr>
        <w:t>Понятие и виды кредитных организаций в Республике Таджикистан</w:t>
      </w:r>
      <w:r w:rsidR="006430F6" w:rsidRPr="008855E2">
        <w:rPr>
          <w:rFonts w:ascii="Arial" w:hAnsi="Arial" w:cs="Arial"/>
          <w:color w:val="000000" w:themeColor="text1"/>
          <w:sz w:val="22"/>
          <w:szCs w:val="22"/>
          <w:u w:val="dotted"/>
        </w:rPr>
        <w:tab/>
      </w:r>
      <w:r w:rsidR="00542B0A">
        <w:rPr>
          <w:rFonts w:ascii="Arial" w:hAnsi="Arial" w:cs="Arial"/>
          <w:color w:val="000000" w:themeColor="text1"/>
          <w:spacing w:val="-2"/>
          <w:sz w:val="22"/>
          <w:szCs w:val="22"/>
        </w:rPr>
        <w:t>353</w:t>
      </w:r>
    </w:p>
    <w:p w:rsidR="001B6671" w:rsidRPr="00DA76A7" w:rsidRDefault="001B6671" w:rsidP="00F4275A">
      <w:pPr>
        <w:tabs>
          <w:tab w:val="right" w:pos="9072"/>
        </w:tabs>
        <w:ind w:left="426" w:right="849" w:hanging="426"/>
        <w:jc w:val="both"/>
        <w:textAlignment w:val="baseline"/>
        <w:outlineLvl w:val="1"/>
        <w:rPr>
          <w:rFonts w:ascii="Arial" w:hAnsi="Arial" w:cs="Arial"/>
          <w:bCs/>
          <w:color w:val="000000" w:themeColor="text1"/>
          <w:sz w:val="22"/>
          <w:szCs w:val="22"/>
        </w:rPr>
      </w:pPr>
      <w:r w:rsidRPr="00DA76A7">
        <w:rPr>
          <w:rFonts w:ascii="Arial" w:hAnsi="Arial" w:cs="Arial"/>
          <w:b/>
          <w:bCs/>
          <w:color w:val="000000" w:themeColor="text1"/>
          <w:sz w:val="22"/>
          <w:szCs w:val="22"/>
        </w:rPr>
        <w:t>Орлов А.Д.</w:t>
      </w:r>
      <w:r w:rsidRPr="00DA76A7">
        <w:rPr>
          <w:rFonts w:ascii="Arial" w:hAnsi="Arial" w:cs="Arial"/>
          <w:bCs/>
          <w:color w:val="000000" w:themeColor="text1"/>
          <w:sz w:val="22"/>
          <w:szCs w:val="22"/>
        </w:rPr>
        <w:t xml:space="preserve"> Понятие гражданско-правовой ответственности</w:t>
      </w:r>
      <w:r w:rsidR="006430F6" w:rsidRPr="008855E2">
        <w:rPr>
          <w:rFonts w:ascii="Arial" w:hAnsi="Arial" w:cs="Arial"/>
          <w:color w:val="000000" w:themeColor="text1"/>
          <w:sz w:val="22"/>
          <w:szCs w:val="22"/>
          <w:u w:val="dotted"/>
        </w:rPr>
        <w:tab/>
      </w:r>
      <w:r w:rsidR="00330989">
        <w:rPr>
          <w:rFonts w:ascii="Arial" w:hAnsi="Arial" w:cs="Arial"/>
          <w:bCs/>
          <w:color w:val="000000" w:themeColor="text1"/>
          <w:sz w:val="22"/>
          <w:szCs w:val="22"/>
        </w:rPr>
        <w:t>356</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Пестов М.М.</w:t>
      </w:r>
      <w:r w:rsidRPr="00DA76A7">
        <w:rPr>
          <w:rFonts w:ascii="Arial" w:hAnsi="Arial" w:cs="Arial"/>
          <w:color w:val="000000" w:themeColor="text1"/>
          <w:sz w:val="22"/>
          <w:szCs w:val="22"/>
        </w:rPr>
        <w:t xml:space="preserve"> Кауза сделки в гражданском праве: историко-компаративный анализ и перспективы развития</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358</w:t>
      </w:r>
    </w:p>
    <w:p w:rsidR="001B6671" w:rsidRPr="00DA76A7" w:rsidRDefault="001B6671" w:rsidP="00F4275A">
      <w:pPr>
        <w:shd w:val="clear" w:color="auto" w:fill="FFFFFF"/>
        <w:tabs>
          <w:tab w:val="right" w:pos="9072"/>
        </w:tabs>
        <w:ind w:left="426" w:right="849" w:hanging="426"/>
        <w:jc w:val="both"/>
        <w:rPr>
          <w:rFonts w:ascii="Arial" w:hAnsi="Arial" w:cs="Arial"/>
          <w:caps/>
          <w:color w:val="000000" w:themeColor="text1"/>
          <w:sz w:val="22"/>
          <w:szCs w:val="22"/>
        </w:rPr>
      </w:pPr>
      <w:r w:rsidRPr="00DA76A7">
        <w:rPr>
          <w:rFonts w:ascii="Arial" w:hAnsi="Arial" w:cs="Arial"/>
          <w:b/>
          <w:color w:val="000000" w:themeColor="text1"/>
          <w:sz w:val="22"/>
          <w:szCs w:val="22"/>
        </w:rPr>
        <w:t>Побережный С.Г.</w:t>
      </w:r>
      <w:r w:rsidRPr="00DA76A7">
        <w:rPr>
          <w:rFonts w:ascii="Arial" w:hAnsi="Arial" w:cs="Arial"/>
          <w:color w:val="000000" w:themeColor="text1"/>
          <w:sz w:val="22"/>
          <w:szCs w:val="22"/>
        </w:rPr>
        <w:t xml:space="preserve"> </w:t>
      </w:r>
      <w:r w:rsidRPr="00DA76A7">
        <w:rPr>
          <w:rFonts w:ascii="Arial" w:hAnsi="Arial" w:cs="Arial"/>
          <w:caps/>
          <w:color w:val="000000" w:themeColor="text1"/>
          <w:sz w:val="22"/>
          <w:szCs w:val="22"/>
        </w:rPr>
        <w:t>о</w:t>
      </w:r>
      <w:r w:rsidRPr="00DA76A7">
        <w:rPr>
          <w:rFonts w:ascii="Arial" w:hAnsi="Arial" w:cs="Arial"/>
          <w:color w:val="000000" w:themeColor="text1"/>
          <w:sz w:val="22"/>
          <w:szCs w:val="22"/>
        </w:rPr>
        <w:t>собенности содержания права собственности супругов на общее имущество</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365</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Style w:val="s1"/>
          <w:rFonts w:ascii="Arial" w:eastAsia="Calibri" w:hAnsi="Arial" w:cs="Arial"/>
          <w:b/>
          <w:bCs/>
          <w:color w:val="000000" w:themeColor="text1"/>
          <w:sz w:val="22"/>
          <w:szCs w:val="22"/>
        </w:rPr>
        <w:t>Прокофьев Н.А.</w:t>
      </w:r>
      <w:r w:rsidRPr="00DA76A7">
        <w:rPr>
          <w:rStyle w:val="s1"/>
          <w:rFonts w:ascii="Arial" w:eastAsia="Calibri" w:hAnsi="Arial" w:cs="Arial"/>
          <w:bCs/>
          <w:color w:val="000000" w:themeColor="text1"/>
          <w:sz w:val="22"/>
          <w:szCs w:val="22"/>
        </w:rPr>
        <w:t xml:space="preserve"> </w:t>
      </w:r>
      <w:r w:rsidRPr="00DA76A7">
        <w:rPr>
          <w:rFonts w:ascii="Arial" w:hAnsi="Arial" w:cs="Arial"/>
          <w:color w:val="000000" w:themeColor="text1"/>
          <w:sz w:val="22"/>
          <w:szCs w:val="22"/>
        </w:rPr>
        <w:t>Роль хозяйственного кодекса при создании механизма устойчивого социально-экономического развития стран СНГ</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370</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Рахимова М.З.</w:t>
      </w:r>
      <w:r w:rsidRPr="00DA76A7">
        <w:rPr>
          <w:rFonts w:ascii="Arial" w:hAnsi="Arial" w:cs="Arial"/>
          <w:color w:val="000000" w:themeColor="text1"/>
          <w:sz w:val="22"/>
          <w:szCs w:val="22"/>
        </w:rPr>
        <w:t xml:space="preserve"> Понятие и признаки договора банковского вклада</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375</w:t>
      </w:r>
    </w:p>
    <w:p w:rsidR="001B6671" w:rsidRPr="00DA76A7" w:rsidRDefault="001B6671" w:rsidP="006430F6">
      <w:pPr>
        <w:pStyle w:val="a4"/>
        <w:tabs>
          <w:tab w:val="clear" w:pos="4677"/>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Рахматуллозода Х.Н.</w:t>
      </w:r>
      <w:r w:rsidRPr="00DA76A7">
        <w:rPr>
          <w:rFonts w:ascii="Arial" w:hAnsi="Arial" w:cs="Arial"/>
          <w:color w:val="000000" w:themeColor="text1"/>
          <w:sz w:val="22"/>
          <w:szCs w:val="22"/>
        </w:rPr>
        <w:t xml:space="preserve"> Дееспoсoбнoсть юридическoгo лицa – глaвнaя сoстaвнaя чaсть егo прaвoспoсoбнoсти</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377</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Рахматуллозода Х.Н.</w:t>
      </w:r>
      <w:r w:rsidRPr="00DA76A7">
        <w:rPr>
          <w:rFonts w:ascii="Arial" w:hAnsi="Arial" w:cs="Arial"/>
          <w:color w:val="000000" w:themeColor="text1"/>
          <w:sz w:val="22"/>
          <w:szCs w:val="22"/>
        </w:rPr>
        <w:t xml:space="preserve"> Понятие и виды правоспособности юридического лица</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381</w:t>
      </w:r>
    </w:p>
    <w:p w:rsidR="00A10FA2" w:rsidRPr="00DA76A7" w:rsidRDefault="001B6671" w:rsidP="00F4275A">
      <w:pPr>
        <w:shd w:val="clear" w:color="auto" w:fill="FFFFFF"/>
        <w:tabs>
          <w:tab w:val="right" w:pos="9072"/>
        </w:tabs>
        <w:ind w:left="426" w:right="849" w:hanging="426"/>
        <w:contextualSpacing/>
        <w:jc w:val="both"/>
        <w:outlineLvl w:val="1"/>
        <w:rPr>
          <w:rFonts w:ascii="Arial" w:hAnsi="Arial" w:cs="Arial"/>
          <w:bCs/>
          <w:color w:val="000000" w:themeColor="text1"/>
          <w:sz w:val="22"/>
          <w:szCs w:val="22"/>
        </w:rPr>
      </w:pPr>
      <w:r w:rsidRPr="00DA76A7">
        <w:rPr>
          <w:rFonts w:ascii="Arial" w:hAnsi="Arial" w:cs="Arial"/>
          <w:b/>
          <w:bCs/>
          <w:color w:val="000000" w:themeColor="text1"/>
          <w:sz w:val="22"/>
          <w:szCs w:val="22"/>
        </w:rPr>
        <w:t>Рахмон Г.К.</w:t>
      </w:r>
      <w:r w:rsidRPr="00DA76A7">
        <w:rPr>
          <w:rFonts w:ascii="Arial" w:hAnsi="Arial" w:cs="Arial"/>
          <w:bCs/>
          <w:color w:val="000000" w:themeColor="text1"/>
          <w:sz w:val="22"/>
          <w:szCs w:val="22"/>
        </w:rPr>
        <w:t xml:space="preserve"> </w:t>
      </w:r>
      <w:r w:rsidR="00A10FA2" w:rsidRPr="00DA76A7">
        <w:rPr>
          <w:rFonts w:ascii="Arial" w:hAnsi="Arial" w:cs="Arial"/>
          <w:bCs/>
          <w:color w:val="000000" w:themeColor="text1"/>
          <w:sz w:val="22"/>
          <w:szCs w:val="22"/>
        </w:rPr>
        <w:t>Анализ законодательства Российской Федерации, Республики Таджикистан, стран СНГ и Балтии  по вопросам усыновления (удочерения)</w:t>
      </w:r>
      <w:r w:rsidR="006430F6" w:rsidRPr="008855E2">
        <w:rPr>
          <w:rFonts w:ascii="Arial" w:hAnsi="Arial" w:cs="Arial"/>
          <w:bCs/>
          <w:color w:val="000000" w:themeColor="text1"/>
          <w:sz w:val="22"/>
          <w:szCs w:val="22"/>
          <w:u w:val="dotted"/>
        </w:rPr>
        <w:tab/>
      </w:r>
      <w:r w:rsidR="00330989">
        <w:rPr>
          <w:rFonts w:ascii="Arial" w:hAnsi="Arial" w:cs="Arial"/>
          <w:bCs/>
          <w:color w:val="000000" w:themeColor="text1"/>
          <w:sz w:val="22"/>
          <w:szCs w:val="22"/>
        </w:rPr>
        <w:t>388</w:t>
      </w:r>
    </w:p>
    <w:p w:rsidR="001B6671" w:rsidRPr="00DA76A7" w:rsidRDefault="001B6671" w:rsidP="00F4275A">
      <w:pPr>
        <w:shd w:val="clear" w:color="auto" w:fill="FFFFFF"/>
        <w:tabs>
          <w:tab w:val="right" w:pos="9072"/>
        </w:tabs>
        <w:ind w:left="426" w:right="849" w:hanging="426"/>
        <w:contextualSpacing/>
        <w:jc w:val="both"/>
        <w:outlineLvl w:val="1"/>
        <w:rPr>
          <w:rFonts w:ascii="Arial" w:hAnsi="Arial" w:cs="Arial"/>
          <w:color w:val="000000" w:themeColor="text1"/>
          <w:sz w:val="22"/>
          <w:szCs w:val="22"/>
        </w:rPr>
      </w:pPr>
      <w:r w:rsidRPr="00DA76A7">
        <w:rPr>
          <w:rFonts w:ascii="Arial" w:hAnsi="Arial" w:cs="Arial"/>
          <w:b/>
          <w:color w:val="000000" w:themeColor="text1"/>
          <w:sz w:val="22"/>
          <w:szCs w:val="22"/>
        </w:rPr>
        <w:t>Рязанова А.М.</w:t>
      </w:r>
      <w:r w:rsidRPr="00DA76A7">
        <w:rPr>
          <w:rFonts w:ascii="Arial" w:hAnsi="Arial" w:cs="Arial"/>
          <w:color w:val="000000" w:themeColor="text1"/>
          <w:sz w:val="22"/>
          <w:szCs w:val="22"/>
        </w:rPr>
        <w:t xml:space="preserve"> Отличительные черты ограниченных вещных прав в системе права Российской Федерации</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394</w:t>
      </w:r>
    </w:p>
    <w:p w:rsidR="001A4917" w:rsidRDefault="001B6671" w:rsidP="006430F6">
      <w:pPr>
        <w:tabs>
          <w:tab w:val="right" w:pos="9072"/>
        </w:tabs>
        <w:ind w:left="426" w:right="-2" w:hanging="426"/>
        <w:jc w:val="both"/>
        <w:rPr>
          <w:rFonts w:ascii="Arial" w:hAnsi="Arial" w:cs="Arial"/>
          <w:color w:val="000000" w:themeColor="text1"/>
          <w:sz w:val="22"/>
          <w:szCs w:val="22"/>
        </w:rPr>
      </w:pPr>
      <w:r w:rsidRPr="00DA76A7">
        <w:rPr>
          <w:rFonts w:ascii="Arial" w:hAnsi="Arial" w:cs="Arial"/>
          <w:b/>
          <w:color w:val="000000" w:themeColor="text1"/>
          <w:sz w:val="22"/>
          <w:szCs w:val="22"/>
        </w:rPr>
        <w:t>Саидов И.Д.</w:t>
      </w:r>
      <w:r w:rsidRPr="00DA76A7">
        <w:rPr>
          <w:rFonts w:ascii="Arial" w:hAnsi="Arial" w:cs="Arial"/>
          <w:color w:val="000000" w:themeColor="text1"/>
          <w:sz w:val="22"/>
          <w:szCs w:val="22"/>
        </w:rPr>
        <w:t xml:space="preserve"> Содержание договора ипотеки</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397</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Сидыкова Н.Н.</w:t>
      </w:r>
      <w:r w:rsidRPr="00DA76A7">
        <w:rPr>
          <w:rFonts w:ascii="Arial" w:hAnsi="Arial" w:cs="Arial"/>
          <w:color w:val="000000" w:themeColor="text1"/>
          <w:sz w:val="22"/>
          <w:szCs w:val="22"/>
        </w:rPr>
        <w:t xml:space="preserve"> </w:t>
      </w:r>
      <w:r w:rsidR="00A46E7B">
        <w:rPr>
          <w:rFonts w:ascii="Arial" w:hAnsi="Arial" w:cs="Arial"/>
          <w:color w:val="000000" w:themeColor="text1"/>
          <w:sz w:val="22"/>
          <w:szCs w:val="22"/>
          <w:lang w:val="tg-Cyrl-TJ"/>
        </w:rPr>
        <w:t>Договор купли-</w:t>
      </w:r>
      <w:r w:rsidRPr="00DA76A7">
        <w:rPr>
          <w:rFonts w:ascii="Arial" w:hAnsi="Arial" w:cs="Arial"/>
          <w:color w:val="000000" w:themeColor="text1"/>
          <w:sz w:val="22"/>
          <w:szCs w:val="22"/>
          <w:lang w:val="tg-Cyrl-TJ"/>
        </w:rPr>
        <w:t>продажи права пол</w:t>
      </w:r>
      <w:r w:rsidRPr="00DA76A7">
        <w:rPr>
          <w:rFonts w:ascii="Arial" w:hAnsi="Arial" w:cs="Arial"/>
          <w:color w:val="000000" w:themeColor="text1"/>
          <w:sz w:val="22"/>
          <w:szCs w:val="22"/>
        </w:rPr>
        <w:t>ьзования землями сельскохозяйственного назначения в Республике Таджикистан</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400</w:t>
      </w:r>
    </w:p>
    <w:p w:rsidR="001B6671" w:rsidRPr="00DA76A7" w:rsidRDefault="001B6671" w:rsidP="00F4275A">
      <w:pPr>
        <w:pStyle w:val="a7"/>
        <w:shd w:val="clear" w:color="auto" w:fill="FFFFFF"/>
        <w:tabs>
          <w:tab w:val="right" w:pos="9072"/>
        </w:tabs>
        <w:spacing w:before="0" w:beforeAutospacing="0" w:after="0" w:afterAutospacing="0"/>
        <w:ind w:left="426" w:right="849" w:hanging="426"/>
        <w:contextualSpacing/>
        <w:jc w:val="both"/>
        <w:rPr>
          <w:rFonts w:ascii="Arial" w:hAnsi="Arial" w:cs="Arial"/>
          <w:color w:val="000000" w:themeColor="text1"/>
          <w:sz w:val="22"/>
          <w:szCs w:val="22"/>
        </w:rPr>
      </w:pPr>
      <w:r w:rsidRPr="00DA76A7">
        <w:rPr>
          <w:rFonts w:ascii="Arial" w:hAnsi="Arial" w:cs="Arial"/>
          <w:b/>
          <w:color w:val="000000" w:themeColor="text1"/>
          <w:sz w:val="22"/>
          <w:szCs w:val="22"/>
        </w:rPr>
        <w:t>Сизо Т.С.</w:t>
      </w:r>
      <w:r w:rsidRPr="00DA76A7">
        <w:rPr>
          <w:rFonts w:ascii="Arial" w:hAnsi="Arial" w:cs="Arial"/>
          <w:color w:val="000000" w:themeColor="text1"/>
          <w:sz w:val="22"/>
          <w:szCs w:val="22"/>
        </w:rPr>
        <w:t xml:space="preserve"> Ноу-хау как объект интеллектуальной собственности в</w:t>
      </w:r>
      <w:r w:rsidR="00F4275A" w:rsidRPr="00DA76A7">
        <w:rPr>
          <w:rFonts w:ascii="Arial" w:hAnsi="Arial" w:cs="Arial"/>
          <w:color w:val="000000" w:themeColor="text1"/>
          <w:sz w:val="22"/>
          <w:szCs w:val="22"/>
        </w:rPr>
        <w:t>о</w:t>
      </w:r>
      <w:r w:rsidRPr="00DA76A7">
        <w:rPr>
          <w:rFonts w:ascii="Arial" w:hAnsi="Arial" w:cs="Arial"/>
          <w:color w:val="000000" w:themeColor="text1"/>
          <w:sz w:val="22"/>
          <w:szCs w:val="22"/>
        </w:rPr>
        <w:t xml:space="preserve"> франчайзинге</w:t>
      </w:r>
      <w:r w:rsidR="00250C23" w:rsidRPr="00DA76A7">
        <w:rPr>
          <w:rFonts w:ascii="Arial" w:hAnsi="Arial" w:cs="Arial"/>
          <w:color w:val="000000" w:themeColor="text1"/>
          <w:sz w:val="22"/>
          <w:szCs w:val="22"/>
        </w:rPr>
        <w:t>..</w:t>
      </w:r>
      <w:r w:rsidR="001A6A6A"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404</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Сыкало М.А.</w:t>
      </w:r>
      <w:r w:rsidRPr="00DA76A7">
        <w:rPr>
          <w:rFonts w:ascii="Arial" w:hAnsi="Arial" w:cs="Arial"/>
          <w:color w:val="000000" w:themeColor="text1"/>
          <w:sz w:val="22"/>
          <w:szCs w:val="22"/>
        </w:rPr>
        <w:t xml:space="preserve"> Защита прав детей в рекламной деятельности: проблемы и перспективы развития</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408</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Трапезникова А.И.</w:t>
      </w:r>
      <w:r w:rsidRPr="00DA76A7">
        <w:rPr>
          <w:rFonts w:ascii="Arial" w:hAnsi="Arial" w:cs="Arial"/>
          <w:color w:val="000000" w:themeColor="text1"/>
          <w:sz w:val="22"/>
          <w:szCs w:val="22"/>
        </w:rPr>
        <w:t xml:space="preserve"> Проблема определения понятия «собственность» в современной юридической науке</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412</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Третьякова К.Ю.</w:t>
      </w:r>
      <w:r w:rsidRPr="00DA76A7">
        <w:rPr>
          <w:rFonts w:ascii="Arial" w:hAnsi="Arial" w:cs="Arial"/>
          <w:color w:val="000000" w:themeColor="text1"/>
          <w:sz w:val="22"/>
          <w:szCs w:val="22"/>
        </w:rPr>
        <w:t xml:space="preserve"> Представительная функция законодательного органа государственной власти субъекта Российской Федерации</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414</w:t>
      </w:r>
    </w:p>
    <w:p w:rsidR="001B6671" w:rsidRPr="00DA76A7" w:rsidRDefault="001B6671" w:rsidP="00F4275A">
      <w:pPr>
        <w:tabs>
          <w:tab w:val="right" w:pos="9072"/>
        </w:tabs>
        <w:ind w:left="426" w:right="849" w:hanging="426"/>
        <w:jc w:val="both"/>
        <w:rPr>
          <w:rFonts w:ascii="Arial" w:hAnsi="Arial" w:cs="Arial"/>
          <w:bCs/>
          <w:color w:val="000000" w:themeColor="text1"/>
          <w:sz w:val="22"/>
          <w:szCs w:val="22"/>
        </w:rPr>
      </w:pPr>
      <w:r w:rsidRPr="00DA76A7">
        <w:rPr>
          <w:rFonts w:ascii="Arial" w:hAnsi="Arial" w:cs="Arial"/>
          <w:b/>
          <w:color w:val="000000" w:themeColor="text1"/>
          <w:sz w:val="22"/>
          <w:szCs w:val="22"/>
        </w:rPr>
        <w:t>Хайдарова Н.А.</w:t>
      </w: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rPr>
        <w:t>К вопросу о возможности компенсации морального вреда юридическим лицам</w:t>
      </w:r>
      <w:r w:rsidR="006430F6" w:rsidRPr="008855E2">
        <w:rPr>
          <w:rFonts w:ascii="Arial" w:hAnsi="Arial" w:cs="Arial"/>
          <w:color w:val="000000" w:themeColor="text1"/>
          <w:sz w:val="22"/>
          <w:szCs w:val="22"/>
          <w:u w:val="dotted"/>
        </w:rPr>
        <w:tab/>
      </w:r>
      <w:r w:rsidR="00330989">
        <w:rPr>
          <w:rFonts w:ascii="Arial" w:hAnsi="Arial" w:cs="Arial"/>
          <w:bCs/>
          <w:color w:val="000000" w:themeColor="text1"/>
          <w:sz w:val="22"/>
          <w:szCs w:val="22"/>
        </w:rPr>
        <w:t>417</w:t>
      </w:r>
    </w:p>
    <w:p w:rsidR="001B6671" w:rsidRPr="00DA76A7" w:rsidRDefault="001B6671" w:rsidP="00F4275A">
      <w:pPr>
        <w:tabs>
          <w:tab w:val="right" w:pos="9072"/>
        </w:tabs>
        <w:ind w:left="426" w:right="849" w:hanging="426"/>
        <w:jc w:val="both"/>
        <w:rPr>
          <w:rFonts w:ascii="Arial" w:hAnsi="Arial" w:cs="Arial"/>
          <w:color w:val="000000" w:themeColor="text1"/>
          <w:sz w:val="22"/>
          <w:szCs w:val="22"/>
        </w:rPr>
      </w:pPr>
      <w:r w:rsidRPr="00DA76A7">
        <w:rPr>
          <w:rFonts w:ascii="Arial" w:hAnsi="Arial" w:cs="Arial"/>
          <w:b/>
          <w:color w:val="000000" w:themeColor="text1"/>
          <w:sz w:val="22"/>
          <w:szCs w:val="22"/>
        </w:rPr>
        <w:t>Хайдарова Н.А.</w:t>
      </w:r>
      <w:r w:rsidRPr="00DA76A7">
        <w:rPr>
          <w:rFonts w:ascii="Arial" w:hAnsi="Arial" w:cs="Arial"/>
          <w:color w:val="000000" w:themeColor="text1"/>
          <w:sz w:val="22"/>
          <w:szCs w:val="22"/>
        </w:rPr>
        <w:t xml:space="preserve"> Правовой режим компенсации морального вреда в Республике Таджикистан</w:t>
      </w:r>
      <w:r w:rsidR="00250C23" w:rsidRPr="00DA76A7">
        <w:rPr>
          <w:rFonts w:ascii="Arial" w:hAnsi="Arial" w:cs="Arial"/>
          <w:color w:val="000000" w:themeColor="text1"/>
          <w:sz w:val="22"/>
          <w:szCs w:val="22"/>
        </w:rPr>
        <w:t>………………………………….…………………………………………….</w:t>
      </w:r>
      <w:r w:rsidR="00E15984" w:rsidRPr="008855E2">
        <w:rPr>
          <w:rFonts w:ascii="Arial" w:hAnsi="Arial" w:cs="Arial"/>
          <w:color w:val="000000" w:themeColor="text1"/>
          <w:sz w:val="22"/>
          <w:szCs w:val="22"/>
        </w:rPr>
        <w:tab/>
      </w:r>
      <w:r w:rsidR="00330989">
        <w:rPr>
          <w:rFonts w:ascii="Arial" w:hAnsi="Arial" w:cs="Arial"/>
          <w:color w:val="000000" w:themeColor="text1"/>
          <w:sz w:val="22"/>
          <w:szCs w:val="22"/>
        </w:rPr>
        <w:t>419</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Хаутов Г.М.</w:t>
      </w:r>
      <w:r w:rsidRPr="00DA76A7">
        <w:rPr>
          <w:rFonts w:ascii="Arial" w:hAnsi="Arial" w:cs="Arial"/>
          <w:color w:val="000000" w:themeColor="text1"/>
          <w:sz w:val="22"/>
          <w:szCs w:val="22"/>
        </w:rPr>
        <w:t xml:space="preserve"> К вопросу о развитии предпринимательского права Республики Таджикистан и Российской Федерации в период с 1990г. по настоящее время</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421</w:t>
      </w:r>
    </w:p>
    <w:p w:rsidR="001B6671" w:rsidRPr="00DA76A7" w:rsidRDefault="001B6671" w:rsidP="00F4275A">
      <w:pPr>
        <w:tabs>
          <w:tab w:val="right" w:pos="9072"/>
        </w:tabs>
        <w:ind w:left="567" w:right="849" w:hanging="567"/>
        <w:jc w:val="both"/>
        <w:outlineLvl w:val="0"/>
        <w:rPr>
          <w:rFonts w:ascii="Arial" w:hAnsi="Arial" w:cs="Arial"/>
          <w:bCs/>
          <w:color w:val="000000" w:themeColor="text1"/>
          <w:sz w:val="22"/>
          <w:szCs w:val="22"/>
        </w:rPr>
      </w:pPr>
      <w:r w:rsidRPr="00DA76A7">
        <w:rPr>
          <w:rFonts w:ascii="Arial" w:hAnsi="Arial" w:cs="Arial"/>
          <w:b/>
          <w:color w:val="000000" w:themeColor="text1"/>
          <w:sz w:val="22"/>
          <w:szCs w:val="22"/>
        </w:rPr>
        <w:t>Хаутов Г.М.</w:t>
      </w: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rPr>
        <w:t xml:space="preserve">К вопросу </w:t>
      </w:r>
      <w:r w:rsidR="00F4275A" w:rsidRPr="00DA76A7">
        <w:rPr>
          <w:rFonts w:ascii="Arial" w:hAnsi="Arial" w:cs="Arial"/>
          <w:bCs/>
          <w:color w:val="000000" w:themeColor="text1"/>
          <w:sz w:val="22"/>
          <w:szCs w:val="22"/>
        </w:rPr>
        <w:t xml:space="preserve">о </w:t>
      </w:r>
      <w:r w:rsidRPr="00DA76A7">
        <w:rPr>
          <w:rFonts w:ascii="Arial" w:hAnsi="Arial" w:cs="Arial"/>
          <w:bCs/>
          <w:color w:val="000000" w:themeColor="text1"/>
          <w:sz w:val="22"/>
          <w:szCs w:val="22"/>
        </w:rPr>
        <w:t>самостоятельности отрасли предпринимательского права</w:t>
      </w:r>
      <w:r w:rsidR="006430F6" w:rsidRPr="008855E2">
        <w:rPr>
          <w:rFonts w:ascii="Arial" w:hAnsi="Arial" w:cs="Arial"/>
          <w:color w:val="000000" w:themeColor="text1"/>
          <w:sz w:val="22"/>
          <w:szCs w:val="22"/>
          <w:u w:val="dotted"/>
        </w:rPr>
        <w:tab/>
      </w:r>
      <w:r w:rsidR="00330989">
        <w:rPr>
          <w:rFonts w:ascii="Arial" w:hAnsi="Arial" w:cs="Arial"/>
          <w:bCs/>
          <w:color w:val="000000" w:themeColor="text1"/>
          <w:sz w:val="22"/>
          <w:szCs w:val="22"/>
        </w:rPr>
        <w:t>426</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Холматов Т.Р.</w:t>
      </w:r>
      <w:r w:rsidRPr="00DA76A7">
        <w:rPr>
          <w:rFonts w:ascii="Arial" w:hAnsi="Arial" w:cs="Arial"/>
          <w:color w:val="000000" w:themeColor="text1"/>
          <w:sz w:val="22"/>
          <w:szCs w:val="22"/>
        </w:rPr>
        <w:t xml:space="preserve"> Понятие и особенности договора банковского вклада</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434</w:t>
      </w:r>
    </w:p>
    <w:p w:rsidR="001B6671" w:rsidRPr="00DA76A7" w:rsidRDefault="001B6671" w:rsidP="00F4275A">
      <w:pPr>
        <w:tabs>
          <w:tab w:val="right" w:pos="9072"/>
        </w:tabs>
        <w:ind w:left="567" w:right="849" w:hanging="567"/>
        <w:jc w:val="both"/>
        <w:rPr>
          <w:rFonts w:ascii="Arial" w:hAnsi="Arial" w:cs="Arial"/>
          <w:bCs/>
          <w:color w:val="000000" w:themeColor="text1"/>
          <w:sz w:val="22"/>
          <w:szCs w:val="22"/>
        </w:rPr>
      </w:pPr>
      <w:r w:rsidRPr="00DA76A7">
        <w:rPr>
          <w:rFonts w:ascii="Arial" w:hAnsi="Arial" w:cs="Arial"/>
          <w:b/>
          <w:color w:val="000000" w:themeColor="text1"/>
          <w:sz w:val="22"/>
          <w:szCs w:val="22"/>
        </w:rPr>
        <w:t>Холматов Т.Р.</w:t>
      </w: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rPr>
        <w:t>Существенные условия и порядок заключения договора банковского вклада</w:t>
      </w:r>
      <w:r w:rsidR="006430F6" w:rsidRPr="008855E2">
        <w:rPr>
          <w:rFonts w:ascii="Arial" w:hAnsi="Arial" w:cs="Arial"/>
          <w:color w:val="000000" w:themeColor="text1"/>
          <w:sz w:val="22"/>
          <w:szCs w:val="22"/>
          <w:u w:val="dotted"/>
        </w:rPr>
        <w:tab/>
      </w:r>
      <w:r w:rsidR="00330989">
        <w:rPr>
          <w:rFonts w:ascii="Arial" w:hAnsi="Arial" w:cs="Arial"/>
          <w:bCs/>
          <w:color w:val="000000" w:themeColor="text1"/>
          <w:sz w:val="22"/>
          <w:szCs w:val="22"/>
        </w:rPr>
        <w:t>437</w:t>
      </w:r>
    </w:p>
    <w:p w:rsidR="001B6671" w:rsidRPr="00DA76A7" w:rsidRDefault="001B6671" w:rsidP="00F4275A">
      <w:pPr>
        <w:pStyle w:val="a7"/>
        <w:shd w:val="clear" w:color="auto" w:fill="FFFFFF"/>
        <w:tabs>
          <w:tab w:val="right" w:pos="9072"/>
        </w:tabs>
        <w:spacing w:before="0" w:beforeAutospacing="0" w:after="0" w:afterAutospacing="0"/>
        <w:ind w:left="567" w:right="849" w:hanging="567"/>
        <w:contextualSpacing/>
        <w:jc w:val="both"/>
        <w:rPr>
          <w:rFonts w:ascii="Arial" w:hAnsi="Arial" w:cs="Arial"/>
          <w:color w:val="000000" w:themeColor="text1"/>
          <w:sz w:val="22"/>
          <w:szCs w:val="22"/>
        </w:rPr>
      </w:pPr>
      <w:r w:rsidRPr="00DA76A7">
        <w:rPr>
          <w:rFonts w:ascii="Arial" w:hAnsi="Arial" w:cs="Arial"/>
          <w:b/>
          <w:color w:val="000000" w:themeColor="text1"/>
          <w:sz w:val="22"/>
          <w:szCs w:val="22"/>
        </w:rPr>
        <w:t>Цыцурина М.Н.</w:t>
      </w:r>
      <w:r w:rsidRPr="00DA76A7">
        <w:rPr>
          <w:rFonts w:ascii="Arial" w:hAnsi="Arial" w:cs="Arial"/>
          <w:color w:val="000000" w:themeColor="text1"/>
          <w:sz w:val="22"/>
          <w:szCs w:val="22"/>
        </w:rPr>
        <w:t xml:space="preserve"> Реклама и оферта</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439</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Чалишев Р.С.</w:t>
      </w:r>
      <w:r w:rsidRPr="00DA76A7">
        <w:rPr>
          <w:rFonts w:ascii="Arial" w:hAnsi="Arial" w:cs="Arial"/>
          <w:color w:val="000000" w:themeColor="text1"/>
          <w:sz w:val="22"/>
          <w:szCs w:val="22"/>
        </w:rPr>
        <w:t xml:space="preserve"> Оказание юридических услуг и его правовые проблемы в гражданском законодательстве Республики Таджикистан</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444</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Чалишев Р.С.</w:t>
      </w:r>
      <w:r w:rsidRPr="00DA76A7">
        <w:rPr>
          <w:rFonts w:ascii="Arial" w:hAnsi="Arial" w:cs="Arial"/>
          <w:color w:val="000000" w:themeColor="text1"/>
          <w:sz w:val="22"/>
          <w:szCs w:val="22"/>
        </w:rPr>
        <w:t xml:space="preserve"> Понятие юридической услуг</w:t>
      </w:r>
      <w:r w:rsidR="00250C23" w:rsidRPr="00DA76A7">
        <w:rPr>
          <w:rFonts w:ascii="Arial" w:hAnsi="Arial" w:cs="Arial"/>
          <w:color w:val="000000" w:themeColor="text1"/>
          <w:sz w:val="22"/>
          <w:szCs w:val="22"/>
        </w:rPr>
        <w:t>и в гражданском праве</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447</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Чиенджи В.</w:t>
      </w:r>
      <w:r w:rsidRPr="00DA76A7">
        <w:rPr>
          <w:rFonts w:ascii="Arial" w:hAnsi="Arial" w:cs="Arial"/>
          <w:color w:val="000000" w:themeColor="text1"/>
          <w:sz w:val="22"/>
          <w:szCs w:val="22"/>
        </w:rPr>
        <w:t xml:space="preserve"> Проблемы правового регулирования компенсации морального вреда в Российской Федерации </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450</w:t>
      </w:r>
    </w:p>
    <w:p w:rsidR="009A0BBE" w:rsidRPr="00DA76A7" w:rsidRDefault="009A0BBE" w:rsidP="00F4275A">
      <w:pPr>
        <w:pStyle w:val="a4"/>
        <w:tabs>
          <w:tab w:val="right" w:pos="9072"/>
        </w:tabs>
        <w:ind w:left="567" w:right="849" w:hanging="567"/>
        <w:jc w:val="both"/>
        <w:rPr>
          <w:rFonts w:ascii="Arial" w:hAnsi="Arial" w:cs="Arial"/>
          <w:b/>
          <w:color w:val="000000" w:themeColor="text1"/>
          <w:sz w:val="22"/>
          <w:szCs w:val="22"/>
        </w:rPr>
      </w:pPr>
    </w:p>
    <w:p w:rsidR="0054571D" w:rsidRPr="00DA76A7" w:rsidRDefault="0054571D" w:rsidP="00F4275A">
      <w:pPr>
        <w:pStyle w:val="a4"/>
        <w:tabs>
          <w:tab w:val="right" w:pos="9072"/>
        </w:tabs>
        <w:ind w:left="567" w:right="849" w:hanging="567"/>
        <w:jc w:val="center"/>
        <w:rPr>
          <w:rFonts w:ascii="Arial" w:hAnsi="Arial" w:cs="Arial"/>
          <w:b/>
          <w:color w:val="000000" w:themeColor="text1"/>
          <w:sz w:val="22"/>
          <w:szCs w:val="22"/>
        </w:rPr>
      </w:pPr>
      <w:r w:rsidRPr="00DA76A7">
        <w:rPr>
          <w:rFonts w:ascii="Arial" w:hAnsi="Arial" w:cs="Arial"/>
          <w:b/>
          <w:color w:val="000000" w:themeColor="text1"/>
          <w:sz w:val="22"/>
          <w:szCs w:val="22"/>
        </w:rPr>
        <w:t>СЕКЦИЯ АКТУАЛЬНЫЕ ПРОБЛЕМЫ УГОЛОВНОГО ПРАВА И УГОЛОВНОГО ПРОЦЕССА</w:t>
      </w:r>
    </w:p>
    <w:p w:rsidR="001B6671" w:rsidRPr="00DA76A7" w:rsidRDefault="001B6671" w:rsidP="00F4275A">
      <w:pPr>
        <w:pStyle w:val="a4"/>
        <w:tabs>
          <w:tab w:val="right" w:pos="9072"/>
        </w:tabs>
        <w:ind w:left="567" w:right="849" w:hanging="567"/>
        <w:jc w:val="both"/>
        <w:rPr>
          <w:rFonts w:ascii="Arial" w:hAnsi="Arial" w:cs="Arial"/>
          <w:color w:val="000000" w:themeColor="text1"/>
          <w:sz w:val="22"/>
          <w:szCs w:val="22"/>
        </w:rPr>
      </w:pPr>
    </w:p>
    <w:p w:rsidR="001B6671" w:rsidRPr="00DA76A7" w:rsidRDefault="001B6671" w:rsidP="00F4275A">
      <w:pPr>
        <w:tabs>
          <w:tab w:val="right" w:pos="9072"/>
        </w:tabs>
        <w:ind w:left="567" w:right="849" w:hanging="567"/>
        <w:jc w:val="both"/>
        <w:rPr>
          <w:rFonts w:ascii="Arial" w:hAnsi="Arial" w:cs="Arial"/>
          <w:color w:val="000000" w:themeColor="text1"/>
          <w:sz w:val="22"/>
          <w:szCs w:val="22"/>
          <w:lang w:val="kk-KZ"/>
        </w:rPr>
      </w:pPr>
      <w:r w:rsidRPr="00DA76A7">
        <w:rPr>
          <w:rFonts w:ascii="Arial" w:hAnsi="Arial" w:cs="Arial"/>
          <w:b/>
          <w:color w:val="000000" w:themeColor="text1"/>
          <w:sz w:val="22"/>
          <w:szCs w:val="22"/>
          <w:lang w:val="kk-KZ"/>
        </w:rPr>
        <w:t>Абдыхан Ж.Т.</w:t>
      </w:r>
      <w:r w:rsidRPr="00DA76A7">
        <w:rPr>
          <w:rFonts w:ascii="Arial" w:hAnsi="Arial" w:cs="Arial"/>
          <w:color w:val="000000" w:themeColor="text1"/>
          <w:sz w:val="22"/>
          <w:szCs w:val="22"/>
          <w:lang w:val="kk-KZ"/>
        </w:rPr>
        <w:t xml:space="preserve"> Понятие и правовая природа главного судебного разбирательства в свете нового Уголовно-процессуального кодекса Республики Казахстан</w:t>
      </w:r>
      <w:r w:rsidR="006430F6" w:rsidRPr="008855E2">
        <w:rPr>
          <w:rFonts w:ascii="Arial" w:hAnsi="Arial" w:cs="Arial"/>
          <w:color w:val="000000" w:themeColor="text1"/>
          <w:sz w:val="22"/>
          <w:szCs w:val="22"/>
          <w:u w:val="dotted"/>
          <w:lang w:val="kk-KZ"/>
        </w:rPr>
        <w:tab/>
      </w:r>
      <w:r w:rsidR="00330989">
        <w:rPr>
          <w:rFonts w:ascii="Arial" w:hAnsi="Arial" w:cs="Arial"/>
          <w:color w:val="000000" w:themeColor="text1"/>
          <w:sz w:val="22"/>
          <w:szCs w:val="22"/>
          <w:lang w:val="kk-KZ"/>
        </w:rPr>
        <w:t>455</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Азимов Ф.С.</w:t>
      </w:r>
      <w:r w:rsidRPr="00DA76A7">
        <w:rPr>
          <w:rFonts w:ascii="Arial" w:hAnsi="Arial" w:cs="Arial"/>
          <w:color w:val="000000" w:themeColor="text1"/>
          <w:sz w:val="22"/>
          <w:szCs w:val="22"/>
        </w:rPr>
        <w:t xml:space="preserve"> Понятие и особенности квалификации присвоения или растраты</w:t>
      </w:r>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460</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bookmarkStart w:id="1" w:name="_Toc264529681"/>
      <w:r w:rsidRPr="00DA76A7">
        <w:rPr>
          <w:rFonts w:ascii="Arial" w:hAnsi="Arial" w:cs="Arial"/>
          <w:b/>
          <w:color w:val="000000" w:themeColor="text1"/>
          <w:sz w:val="22"/>
          <w:szCs w:val="22"/>
        </w:rPr>
        <w:t>Алаяров Н.И.</w:t>
      </w:r>
      <w:r w:rsidRPr="00DA76A7">
        <w:rPr>
          <w:rFonts w:ascii="Arial" w:hAnsi="Arial" w:cs="Arial"/>
          <w:color w:val="000000" w:themeColor="text1"/>
          <w:sz w:val="22"/>
          <w:szCs w:val="22"/>
        </w:rPr>
        <w:t xml:space="preserve"> Понятие и структура личности преступника</w:t>
      </w:r>
      <w:bookmarkEnd w:id="1"/>
      <w:r w:rsidR="006430F6" w:rsidRPr="008855E2">
        <w:rPr>
          <w:rFonts w:ascii="Arial" w:hAnsi="Arial" w:cs="Arial"/>
          <w:color w:val="000000" w:themeColor="text1"/>
          <w:sz w:val="22"/>
          <w:szCs w:val="22"/>
          <w:u w:val="dotted"/>
        </w:rPr>
        <w:tab/>
      </w:r>
      <w:r w:rsidR="00330989">
        <w:rPr>
          <w:rFonts w:ascii="Arial" w:hAnsi="Arial" w:cs="Arial"/>
          <w:color w:val="000000" w:themeColor="text1"/>
          <w:sz w:val="22"/>
          <w:szCs w:val="22"/>
        </w:rPr>
        <w:t>462</w:t>
      </w:r>
    </w:p>
    <w:p w:rsidR="00FC39D7" w:rsidRDefault="00367EE0" w:rsidP="00FC39D7">
      <w:pPr>
        <w:tabs>
          <w:tab w:val="right" w:pos="9072"/>
        </w:tabs>
        <w:ind w:left="567" w:right="849" w:hanging="567"/>
        <w:jc w:val="both"/>
        <w:rPr>
          <w:rFonts w:ascii="Arial" w:hAnsi="Arial" w:cs="Arial"/>
          <w:b/>
          <w:color w:val="000000" w:themeColor="text1"/>
          <w:spacing w:val="-4"/>
          <w:kern w:val="2"/>
          <w:sz w:val="22"/>
          <w:szCs w:val="22"/>
        </w:rPr>
      </w:pPr>
      <w:r w:rsidRPr="00DA76A7">
        <w:rPr>
          <w:rFonts w:ascii="Arial" w:hAnsi="Arial" w:cs="Arial"/>
          <w:b/>
          <w:color w:val="000000" w:themeColor="text1"/>
          <w:sz w:val="22"/>
          <w:szCs w:val="22"/>
        </w:rPr>
        <w:t xml:space="preserve">Бойматов Ф.Д. </w:t>
      </w:r>
      <w:r w:rsidRPr="00DA76A7">
        <w:rPr>
          <w:rFonts w:ascii="Arial" w:hAnsi="Arial" w:cs="Arial"/>
          <w:color w:val="000000" w:themeColor="text1"/>
          <w:spacing w:val="-4"/>
          <w:kern w:val="2"/>
          <w:sz w:val="22"/>
          <w:szCs w:val="22"/>
        </w:rPr>
        <w:t>Цели и задачи уголовного процесса</w:t>
      </w:r>
      <w:r w:rsidR="006430F6" w:rsidRPr="008855E2">
        <w:rPr>
          <w:rFonts w:ascii="Arial" w:hAnsi="Arial" w:cs="Arial"/>
          <w:color w:val="000000" w:themeColor="text1"/>
          <w:sz w:val="22"/>
          <w:szCs w:val="22"/>
          <w:u w:val="dotted"/>
        </w:rPr>
        <w:tab/>
      </w:r>
      <w:r w:rsidR="008B049C">
        <w:rPr>
          <w:rFonts w:ascii="Arial" w:hAnsi="Arial" w:cs="Arial"/>
          <w:color w:val="000000" w:themeColor="text1"/>
          <w:spacing w:val="-4"/>
          <w:kern w:val="2"/>
          <w:sz w:val="22"/>
          <w:szCs w:val="22"/>
        </w:rPr>
        <w:t>464</w:t>
      </w:r>
    </w:p>
    <w:p w:rsidR="00250C23" w:rsidRPr="00FC39D7" w:rsidRDefault="001B6671" w:rsidP="00FC39D7">
      <w:pPr>
        <w:tabs>
          <w:tab w:val="right" w:pos="9072"/>
        </w:tabs>
        <w:ind w:left="567" w:right="849" w:hanging="567"/>
        <w:jc w:val="both"/>
        <w:rPr>
          <w:rFonts w:ascii="Arial" w:hAnsi="Arial" w:cs="Arial"/>
          <w:b/>
          <w:color w:val="000000" w:themeColor="text1"/>
          <w:spacing w:val="-4"/>
          <w:kern w:val="2"/>
          <w:sz w:val="22"/>
          <w:szCs w:val="22"/>
        </w:rPr>
      </w:pPr>
      <w:r w:rsidRPr="00DA76A7">
        <w:rPr>
          <w:rFonts w:ascii="Arial" w:hAnsi="Arial" w:cs="Arial"/>
          <w:b/>
          <w:color w:val="000000" w:themeColor="text1"/>
          <w:sz w:val="22"/>
          <w:szCs w:val="22"/>
        </w:rPr>
        <w:t>Гаджиев В.Э.О., Дёмина М.Л., Юдин Д.В.</w:t>
      </w:r>
      <w:r w:rsidRPr="00DA76A7">
        <w:rPr>
          <w:rFonts w:ascii="Arial" w:hAnsi="Arial" w:cs="Arial"/>
          <w:color w:val="000000" w:themeColor="text1"/>
          <w:sz w:val="22"/>
          <w:szCs w:val="22"/>
        </w:rPr>
        <w:t xml:space="preserve"> Правовое просвещение в борьбе с преступной деятельностью террористов в сети Интернет</w:t>
      </w:r>
      <w:r w:rsidR="006430F6"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466</w:t>
      </w:r>
    </w:p>
    <w:p w:rsidR="001B6671" w:rsidRPr="00DA76A7" w:rsidRDefault="001B6671" w:rsidP="00250C23">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lang w:val="tg-Cyrl-TJ"/>
        </w:rPr>
        <w:t xml:space="preserve">Гасанов А.А. </w:t>
      </w:r>
      <w:r w:rsidRPr="00DA76A7">
        <w:rPr>
          <w:rFonts w:ascii="Arial" w:hAnsi="Arial" w:cs="Arial"/>
          <w:caps/>
          <w:color w:val="000000" w:themeColor="text1"/>
          <w:sz w:val="22"/>
          <w:szCs w:val="22"/>
        </w:rPr>
        <w:t>С</w:t>
      </w:r>
      <w:r w:rsidRPr="00DA76A7">
        <w:rPr>
          <w:rFonts w:ascii="Arial" w:hAnsi="Arial" w:cs="Arial"/>
          <w:color w:val="000000" w:themeColor="text1"/>
          <w:sz w:val="22"/>
          <w:szCs w:val="22"/>
        </w:rPr>
        <w:t>убъект злоупотребления должностными полномочиями</w:t>
      </w:r>
      <w:r w:rsidR="006430F6"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474</w:t>
      </w:r>
    </w:p>
    <w:p w:rsidR="001B6671" w:rsidRPr="00DA76A7" w:rsidRDefault="001B6671" w:rsidP="00F4275A">
      <w:pPr>
        <w:tabs>
          <w:tab w:val="right" w:pos="9072"/>
        </w:tabs>
        <w:ind w:left="567" w:right="849" w:hanging="567"/>
        <w:contextualSpacing/>
        <w:jc w:val="both"/>
        <w:rPr>
          <w:rFonts w:ascii="Arial" w:hAnsi="Arial" w:cs="Arial"/>
          <w:color w:val="000000" w:themeColor="text1"/>
          <w:sz w:val="22"/>
          <w:szCs w:val="22"/>
        </w:rPr>
      </w:pPr>
      <w:r w:rsidRPr="00DA76A7">
        <w:rPr>
          <w:rFonts w:ascii="Arial" w:hAnsi="Arial" w:cs="Arial"/>
          <w:b/>
          <w:color w:val="000000" w:themeColor="text1"/>
          <w:sz w:val="22"/>
          <w:szCs w:val="22"/>
        </w:rPr>
        <w:t>Горнов А.И.</w:t>
      </w:r>
      <w:r w:rsidRPr="00DA76A7">
        <w:rPr>
          <w:rFonts w:ascii="Arial" w:hAnsi="Arial" w:cs="Arial"/>
          <w:color w:val="000000" w:themeColor="text1"/>
          <w:sz w:val="22"/>
          <w:szCs w:val="22"/>
        </w:rPr>
        <w:t xml:space="preserve"> Специфика и проблемы прокурорского надзора за соблюдением законности органами предварительного следствия в Российской Федерации</w:t>
      </w:r>
      <w:r w:rsidR="005E3048"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477</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Давлатова М.Х.</w:t>
      </w:r>
      <w:r w:rsidRPr="00DA76A7">
        <w:rPr>
          <w:rFonts w:ascii="Arial" w:hAnsi="Arial" w:cs="Arial"/>
          <w:color w:val="000000" w:themeColor="text1"/>
          <w:sz w:val="22"/>
          <w:szCs w:val="22"/>
        </w:rPr>
        <w:t xml:space="preserve"> Особенности применения специальных знаний при раскрытии и расследовании изнасилований</w:t>
      </w:r>
      <w:r w:rsidR="006430F6"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480</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Дудко О.В.</w:t>
      </w:r>
      <w:r w:rsidRPr="00DA76A7">
        <w:rPr>
          <w:rFonts w:ascii="Arial" w:hAnsi="Arial" w:cs="Arial"/>
          <w:color w:val="000000" w:themeColor="text1"/>
          <w:sz w:val="22"/>
          <w:szCs w:val="22"/>
        </w:rPr>
        <w:t xml:space="preserve"> Оправдательный приговор в законодательстве советского и постсоветского периодов</w:t>
      </w:r>
      <w:r w:rsidR="006430F6"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486</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Жалгасов К.</w:t>
      </w:r>
      <w:r w:rsidRPr="00DA76A7">
        <w:rPr>
          <w:rFonts w:ascii="Arial" w:hAnsi="Arial" w:cs="Arial"/>
          <w:color w:val="000000" w:themeColor="text1"/>
          <w:sz w:val="22"/>
          <w:szCs w:val="22"/>
        </w:rPr>
        <w:t xml:space="preserve"> Правовые основы, регламентирующие производство по делам об уголовных правонарушениях несовершеннолетних в Республике Казахстан</w:t>
      </w:r>
      <w:r w:rsidR="00250C23" w:rsidRPr="00DA76A7">
        <w:rPr>
          <w:rFonts w:ascii="Arial" w:hAnsi="Arial" w:cs="Arial"/>
          <w:color w:val="000000" w:themeColor="text1"/>
          <w:sz w:val="22"/>
          <w:szCs w:val="22"/>
        </w:rPr>
        <w:t>..</w:t>
      </w:r>
      <w:r w:rsidR="001A6A6A"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489</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Задворьева А.Ю.</w:t>
      </w:r>
      <w:r w:rsidRPr="00DA76A7">
        <w:rPr>
          <w:rFonts w:ascii="Arial" w:hAnsi="Arial" w:cs="Arial"/>
          <w:color w:val="000000" w:themeColor="text1"/>
          <w:sz w:val="22"/>
          <w:szCs w:val="22"/>
        </w:rPr>
        <w:t xml:space="preserve"> Особенности применения инновационных технологий в расследовании преступлений</w:t>
      </w:r>
      <w:r w:rsidR="006430F6"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494</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Каримов А.М.</w:t>
      </w:r>
      <w:r w:rsidRPr="00DA76A7">
        <w:rPr>
          <w:rFonts w:ascii="Arial" w:hAnsi="Arial" w:cs="Arial"/>
          <w:color w:val="000000" w:themeColor="text1"/>
          <w:sz w:val="22"/>
          <w:szCs w:val="22"/>
        </w:rPr>
        <w:t xml:space="preserve"> Государственно-правовой статус осужденных к лишению свободы</w:t>
      </w:r>
      <w:r w:rsidR="00250C23" w:rsidRPr="00DA76A7">
        <w:rPr>
          <w:rFonts w:ascii="Arial" w:hAnsi="Arial" w:cs="Arial"/>
          <w:color w:val="000000" w:themeColor="text1"/>
          <w:sz w:val="22"/>
          <w:szCs w:val="22"/>
        </w:rPr>
        <w:t>.</w:t>
      </w:r>
      <w:r w:rsidR="001A6A6A"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500</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Кодиров Р.Д.</w:t>
      </w:r>
      <w:r w:rsidRPr="00DA76A7">
        <w:rPr>
          <w:rFonts w:ascii="Arial" w:hAnsi="Arial" w:cs="Arial"/>
          <w:color w:val="000000" w:themeColor="text1"/>
          <w:sz w:val="22"/>
          <w:szCs w:val="22"/>
        </w:rPr>
        <w:t xml:space="preserve"> Уголовно процессуальное законодательство Республики Таджикистан: основные цели и достижения</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503</w:t>
      </w:r>
    </w:p>
    <w:p w:rsidR="001B6671" w:rsidRPr="00DA76A7" w:rsidRDefault="001B6671" w:rsidP="00F4275A">
      <w:pPr>
        <w:pStyle w:val="a7"/>
        <w:tabs>
          <w:tab w:val="right" w:pos="9072"/>
        </w:tabs>
        <w:spacing w:before="0" w:beforeAutospacing="0" w:after="0" w:afterAutospacing="0"/>
        <w:ind w:left="567" w:right="849" w:hanging="567"/>
        <w:jc w:val="both"/>
        <w:textAlignment w:val="top"/>
        <w:rPr>
          <w:rFonts w:ascii="Arial" w:hAnsi="Arial" w:cs="Arial"/>
          <w:color w:val="000000" w:themeColor="text1"/>
          <w:sz w:val="22"/>
          <w:szCs w:val="22"/>
        </w:rPr>
      </w:pPr>
      <w:r w:rsidRPr="00DA76A7">
        <w:rPr>
          <w:rFonts w:ascii="Arial" w:hAnsi="Arial" w:cs="Arial"/>
          <w:b/>
          <w:color w:val="000000" w:themeColor="text1"/>
          <w:sz w:val="22"/>
          <w:szCs w:val="22"/>
        </w:rPr>
        <w:t>Красноперов В.В.</w:t>
      </w:r>
      <w:r w:rsidRPr="00DA76A7">
        <w:rPr>
          <w:rFonts w:ascii="Arial" w:hAnsi="Arial" w:cs="Arial"/>
          <w:color w:val="000000" w:themeColor="text1"/>
          <w:sz w:val="22"/>
          <w:szCs w:val="22"/>
        </w:rPr>
        <w:t xml:space="preserve"> Актуальные проблемы назначения и производства судебной экспертизы</w:t>
      </w:r>
      <w:r w:rsidR="008855E2"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506</w:t>
      </w:r>
    </w:p>
    <w:p w:rsidR="001B6671" w:rsidRPr="00DA76A7" w:rsidRDefault="001B6671" w:rsidP="00F4275A">
      <w:pPr>
        <w:tabs>
          <w:tab w:val="right" w:pos="9072"/>
        </w:tabs>
        <w:ind w:left="567" w:right="849" w:hanging="567"/>
        <w:jc w:val="both"/>
        <w:rPr>
          <w:rFonts w:ascii="Arial" w:hAnsi="Arial" w:cs="Arial"/>
          <w:bCs/>
          <w:color w:val="000000" w:themeColor="text1"/>
          <w:sz w:val="22"/>
          <w:szCs w:val="22"/>
          <w:shd w:val="clear" w:color="auto" w:fill="FFFFFF"/>
        </w:rPr>
      </w:pPr>
      <w:r w:rsidRPr="00DA76A7">
        <w:rPr>
          <w:rFonts w:ascii="Arial" w:hAnsi="Arial" w:cs="Arial"/>
          <w:b/>
          <w:color w:val="000000" w:themeColor="text1"/>
          <w:sz w:val="22"/>
          <w:szCs w:val="22"/>
        </w:rPr>
        <w:t>Лавреньтев М.Ю.</w:t>
      </w: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shd w:val="clear" w:color="auto" w:fill="FFFFFF"/>
        </w:rPr>
        <w:t>Функции защитника в уголовном процессе Российской Федерации</w:t>
      </w:r>
      <w:r w:rsidR="000E7DCF" w:rsidRPr="008855E2">
        <w:rPr>
          <w:rFonts w:ascii="Arial" w:hAnsi="Arial" w:cs="Arial"/>
          <w:color w:val="000000" w:themeColor="text1"/>
          <w:sz w:val="22"/>
          <w:szCs w:val="22"/>
          <w:u w:val="dotted"/>
        </w:rPr>
        <w:tab/>
      </w:r>
      <w:r w:rsidR="008B049C">
        <w:rPr>
          <w:rFonts w:ascii="Arial" w:hAnsi="Arial" w:cs="Arial"/>
          <w:bCs/>
          <w:color w:val="000000" w:themeColor="text1"/>
          <w:sz w:val="22"/>
          <w:szCs w:val="22"/>
          <w:shd w:val="clear" w:color="auto" w:fill="FFFFFF"/>
        </w:rPr>
        <w:t>508</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Мамадгариева А.Р.</w:t>
      </w:r>
      <w:r w:rsidRPr="00DA76A7">
        <w:rPr>
          <w:rFonts w:ascii="Arial" w:hAnsi="Arial" w:cs="Arial"/>
          <w:color w:val="000000" w:themeColor="text1"/>
          <w:sz w:val="22"/>
          <w:szCs w:val="22"/>
        </w:rPr>
        <w:t xml:space="preserve"> Проблемы криминалистического исследования письма и использования его результатов в раскрытии и расследовании преступлений</w:t>
      </w:r>
      <w:r w:rsidR="001A6A6A"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514</w:t>
      </w:r>
    </w:p>
    <w:p w:rsidR="005E3048" w:rsidRDefault="001B6671" w:rsidP="005E3048">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Мирзобеков А.А.</w:t>
      </w:r>
      <w:r w:rsidRPr="00DA76A7">
        <w:rPr>
          <w:rFonts w:ascii="Arial" w:hAnsi="Arial" w:cs="Arial"/>
          <w:color w:val="000000" w:themeColor="text1"/>
          <w:sz w:val="22"/>
          <w:szCs w:val="22"/>
        </w:rPr>
        <w:t xml:space="preserve"> Возбуждение уголовного дела: основания и порядок возбуждения уголовного дела</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522</w:t>
      </w:r>
    </w:p>
    <w:p w:rsidR="00F4275A" w:rsidRPr="00DA76A7" w:rsidRDefault="001B6671" w:rsidP="005E3048">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Муродов М.И.</w:t>
      </w:r>
      <w:r w:rsidRPr="00DA76A7">
        <w:rPr>
          <w:rFonts w:ascii="Arial" w:hAnsi="Arial" w:cs="Arial"/>
          <w:color w:val="000000" w:themeColor="text1"/>
          <w:sz w:val="22"/>
          <w:szCs w:val="22"/>
        </w:rPr>
        <w:t xml:space="preserve"> Правовой контекст проблем интернет-цензуры в обеспечении мер борьбы с «группами смерти».</w:t>
      </w:r>
      <w:r w:rsidR="00250C23" w:rsidRPr="00DA76A7">
        <w:rPr>
          <w:rFonts w:ascii="Arial" w:hAnsi="Arial" w:cs="Arial"/>
          <w:color w:val="000000" w:themeColor="text1"/>
          <w:sz w:val="22"/>
          <w:szCs w:val="22"/>
        </w:rPr>
        <w:t xml:space="preserve"> </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525</w:t>
      </w:r>
    </w:p>
    <w:p w:rsidR="00250C23" w:rsidRPr="00DA76A7" w:rsidRDefault="001B6671" w:rsidP="00250C23">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Муртазозода Ш.</w:t>
      </w:r>
      <w:r w:rsidRPr="00DA76A7">
        <w:rPr>
          <w:rFonts w:ascii="Arial" w:hAnsi="Arial" w:cs="Arial"/>
          <w:color w:val="000000" w:themeColor="text1"/>
          <w:sz w:val="22"/>
          <w:szCs w:val="22"/>
        </w:rPr>
        <w:t xml:space="preserve"> Некоторые особенности проявления терроризма в современное время</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530</w:t>
      </w:r>
    </w:p>
    <w:p w:rsidR="001B6671" w:rsidRPr="00DA76A7" w:rsidRDefault="001B6671" w:rsidP="00250C23">
      <w:pPr>
        <w:tabs>
          <w:tab w:val="right" w:pos="9072"/>
        </w:tabs>
        <w:ind w:left="567" w:right="849" w:hanging="567"/>
        <w:jc w:val="both"/>
        <w:rPr>
          <w:rFonts w:ascii="Arial" w:hAnsi="Arial" w:cs="Arial"/>
          <w:color w:val="000000" w:themeColor="text1"/>
          <w:sz w:val="22"/>
          <w:szCs w:val="22"/>
        </w:rPr>
      </w:pPr>
      <w:r w:rsidRPr="00DA76A7">
        <w:rPr>
          <w:rFonts w:ascii="Arial" w:eastAsia="Calibri" w:hAnsi="Arial" w:cs="Arial"/>
          <w:b/>
          <w:color w:val="000000" w:themeColor="text1"/>
          <w:sz w:val="22"/>
          <w:szCs w:val="22"/>
        </w:rPr>
        <w:t>Назарзода Р.Г.</w:t>
      </w:r>
      <w:r w:rsidRPr="00DA76A7">
        <w:rPr>
          <w:rFonts w:ascii="Arial" w:eastAsia="Calibri" w:hAnsi="Arial" w:cs="Arial"/>
          <w:color w:val="000000" w:themeColor="text1"/>
          <w:sz w:val="22"/>
          <w:szCs w:val="22"/>
        </w:rPr>
        <w:t xml:space="preserve"> Пожизненное лишение свободы как альтернатива смертной казни</w:t>
      </w:r>
      <w:r w:rsidR="001A6A6A" w:rsidRPr="008855E2">
        <w:rPr>
          <w:rFonts w:ascii="Arial" w:eastAsia="Calibri" w:hAnsi="Arial" w:cs="Arial"/>
          <w:color w:val="000000" w:themeColor="text1"/>
          <w:sz w:val="22"/>
          <w:szCs w:val="22"/>
          <w:u w:val="dotted"/>
        </w:rPr>
        <w:tab/>
      </w:r>
      <w:r w:rsidR="008B049C">
        <w:rPr>
          <w:rFonts w:ascii="Arial" w:eastAsia="Calibri" w:hAnsi="Arial" w:cs="Arial"/>
          <w:color w:val="000000" w:themeColor="text1"/>
          <w:sz w:val="22"/>
          <w:szCs w:val="22"/>
        </w:rPr>
        <w:t>532</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Никулин Н.В.</w:t>
      </w:r>
      <w:r w:rsidRPr="00DA76A7">
        <w:rPr>
          <w:rFonts w:ascii="Arial" w:hAnsi="Arial" w:cs="Arial"/>
          <w:color w:val="000000" w:themeColor="text1"/>
          <w:sz w:val="22"/>
          <w:szCs w:val="22"/>
        </w:rPr>
        <w:t xml:space="preserve"> Эффективность применения результатов оперативно-розыскной деятельности в уголовном судопроизводстве</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536</w:t>
      </w:r>
    </w:p>
    <w:p w:rsidR="001B6671" w:rsidRPr="00DA76A7" w:rsidRDefault="001B6671" w:rsidP="00F4275A">
      <w:pPr>
        <w:pStyle w:val="ac"/>
        <w:tabs>
          <w:tab w:val="right" w:pos="9072"/>
        </w:tabs>
        <w:ind w:left="567" w:right="849" w:hanging="567"/>
        <w:jc w:val="both"/>
        <w:rPr>
          <w:rFonts w:ascii="Arial" w:hAnsi="Arial" w:cs="Arial"/>
          <w:color w:val="000000" w:themeColor="text1"/>
          <w:shd w:val="clear" w:color="auto" w:fill="FFFFFF"/>
        </w:rPr>
      </w:pPr>
      <w:r w:rsidRPr="00DA76A7">
        <w:rPr>
          <w:rFonts w:ascii="Arial" w:hAnsi="Arial" w:cs="Arial"/>
          <w:b/>
          <w:color w:val="000000" w:themeColor="text1"/>
          <w:shd w:val="clear" w:color="auto" w:fill="FFFFFF"/>
        </w:rPr>
        <w:t>Олчёнов А.Ф.</w:t>
      </w:r>
      <w:r w:rsidRPr="00DA76A7">
        <w:rPr>
          <w:rFonts w:ascii="Arial" w:hAnsi="Arial" w:cs="Arial"/>
          <w:color w:val="000000" w:themeColor="text1"/>
          <w:shd w:val="clear" w:color="auto" w:fill="FFFFFF"/>
        </w:rPr>
        <w:t xml:space="preserve"> Некоторые проблемы представительства адвокатом прав и законных интересов заявителей явок с повинной</w:t>
      </w:r>
      <w:r w:rsidR="000E7DCF" w:rsidRPr="008855E2">
        <w:rPr>
          <w:rFonts w:ascii="Arial" w:hAnsi="Arial" w:cs="Arial"/>
          <w:color w:val="000000" w:themeColor="text1"/>
          <w:u w:val="dotted"/>
          <w:shd w:val="clear" w:color="auto" w:fill="FFFFFF"/>
        </w:rPr>
        <w:tab/>
      </w:r>
      <w:r w:rsidR="008B049C">
        <w:rPr>
          <w:rFonts w:ascii="Arial" w:hAnsi="Arial" w:cs="Arial"/>
          <w:color w:val="000000" w:themeColor="text1"/>
          <w:shd w:val="clear" w:color="auto" w:fill="FFFFFF"/>
        </w:rPr>
        <w:t>540</w:t>
      </w:r>
    </w:p>
    <w:p w:rsidR="001B6671" w:rsidRPr="00DA76A7" w:rsidRDefault="001B6671" w:rsidP="00F4275A">
      <w:pPr>
        <w:tabs>
          <w:tab w:val="left" w:pos="142"/>
          <w:tab w:val="left" w:pos="851"/>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Парфёнов А.А.</w:t>
      </w:r>
      <w:r w:rsidRPr="00DA76A7">
        <w:rPr>
          <w:rFonts w:ascii="Arial" w:hAnsi="Arial" w:cs="Arial"/>
          <w:color w:val="000000" w:themeColor="text1"/>
          <w:sz w:val="22"/>
          <w:szCs w:val="22"/>
        </w:rPr>
        <w:t xml:space="preserve"> Организационные особенности собирания доказательств при осмотре места происшествия в Республике Таджикистан: ретроспективный, уголовно-процессуальный, криминалистический и оперативно-розыскной взгляд</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543</w:t>
      </w:r>
    </w:p>
    <w:p w:rsidR="001B6671" w:rsidRPr="00DA76A7" w:rsidRDefault="001B6671" w:rsidP="00F4275A">
      <w:pPr>
        <w:tabs>
          <w:tab w:val="left" w:pos="1418"/>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Поричук Г.В.</w:t>
      </w:r>
      <w:r w:rsidRPr="00DA76A7">
        <w:rPr>
          <w:rFonts w:ascii="Arial" w:hAnsi="Arial" w:cs="Arial"/>
          <w:color w:val="000000" w:themeColor="text1"/>
          <w:sz w:val="22"/>
          <w:szCs w:val="22"/>
        </w:rPr>
        <w:t xml:space="preserve"> Достоинства и</w:t>
      </w:r>
      <w:r w:rsidR="00F4275A" w:rsidRPr="00DA76A7">
        <w:rPr>
          <w:rFonts w:ascii="Arial" w:hAnsi="Arial" w:cs="Arial"/>
          <w:color w:val="000000" w:themeColor="text1"/>
          <w:sz w:val="22"/>
          <w:szCs w:val="22"/>
        </w:rPr>
        <w:t>нститута реабилитации в Киргизской Республики</w:t>
      </w:r>
      <w:r w:rsidR="00250C23" w:rsidRPr="00DA76A7">
        <w:rPr>
          <w:rFonts w:ascii="Arial" w:hAnsi="Arial" w:cs="Arial"/>
          <w:color w:val="000000" w:themeColor="text1"/>
          <w:sz w:val="22"/>
          <w:szCs w:val="22"/>
        </w:rPr>
        <w:t xml:space="preserve"> и Таджикистане</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554</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Протасевич А.В.</w:t>
      </w:r>
      <w:r w:rsidRPr="00DA76A7">
        <w:rPr>
          <w:rFonts w:ascii="Arial" w:hAnsi="Arial" w:cs="Arial"/>
          <w:color w:val="000000" w:themeColor="text1"/>
          <w:sz w:val="22"/>
          <w:szCs w:val="22"/>
        </w:rPr>
        <w:t xml:space="preserve"> Процессуальное руководство прокурора как гарантия соблюдения законности при досудебном расследовании</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557</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Прусс А.Р.</w:t>
      </w:r>
      <w:r w:rsidRPr="00DA76A7">
        <w:rPr>
          <w:rFonts w:ascii="Arial" w:hAnsi="Arial" w:cs="Arial"/>
          <w:color w:val="000000" w:themeColor="text1"/>
          <w:sz w:val="22"/>
          <w:szCs w:val="22"/>
        </w:rPr>
        <w:t xml:space="preserve"> О проблемах осуществления адвокатом защиты в особом порядке судебного разбирательства</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563</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Рахмонкулов А.И.</w:t>
      </w:r>
      <w:r w:rsidRPr="00DA76A7">
        <w:rPr>
          <w:rFonts w:ascii="Arial" w:hAnsi="Arial" w:cs="Arial"/>
          <w:color w:val="000000" w:themeColor="text1"/>
          <w:sz w:val="22"/>
          <w:szCs w:val="22"/>
        </w:rPr>
        <w:t xml:space="preserve"> Реальный принцип действия уголовного закона как способ защиты конституционных прав граждан Российской Федерации</w:t>
      </w:r>
      <w:r w:rsidR="000E7DCF" w:rsidRPr="008855E2">
        <w:rPr>
          <w:rFonts w:ascii="Arial" w:hAnsi="Arial" w:cs="Arial"/>
          <w:color w:val="000000" w:themeColor="text1"/>
          <w:sz w:val="22"/>
          <w:szCs w:val="22"/>
          <w:u w:val="dotted"/>
        </w:rPr>
        <w:tab/>
      </w:r>
      <w:r w:rsidR="008B049C">
        <w:rPr>
          <w:rFonts w:ascii="Arial" w:hAnsi="Arial" w:cs="Arial"/>
          <w:color w:val="000000" w:themeColor="text1"/>
          <w:sz w:val="22"/>
          <w:szCs w:val="22"/>
        </w:rPr>
        <w:t>567</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Саковец И.Н.</w:t>
      </w:r>
      <w:r w:rsidRPr="00DA76A7">
        <w:rPr>
          <w:rFonts w:ascii="Arial" w:hAnsi="Arial" w:cs="Arial"/>
          <w:color w:val="000000" w:themeColor="text1"/>
          <w:sz w:val="22"/>
          <w:szCs w:val="22"/>
        </w:rPr>
        <w:t xml:space="preserve"> О некоторых вопросах либерализации ответственности военнослужащих в Республике Беларусь</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570</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Сангов Х.Р.</w:t>
      </w:r>
      <w:r w:rsidRPr="00DA76A7">
        <w:rPr>
          <w:rFonts w:ascii="Arial" w:hAnsi="Arial" w:cs="Arial"/>
          <w:color w:val="000000" w:themeColor="text1"/>
          <w:sz w:val="22"/>
          <w:szCs w:val="22"/>
        </w:rPr>
        <w:t xml:space="preserve"> Характеристика службы в органах прокуратуры Российской Федерации</w:t>
      </w:r>
      <w:r w:rsidR="000E7DCF" w:rsidRPr="008855E2">
        <w:rPr>
          <w:rFonts w:ascii="Arial" w:hAnsi="Arial" w:cs="Arial"/>
          <w:color w:val="000000" w:themeColor="text1"/>
          <w:sz w:val="22"/>
          <w:szCs w:val="22"/>
          <w:u w:val="dotted"/>
        </w:rPr>
        <w:tab/>
      </w:r>
      <w:r w:rsidR="005E3048">
        <w:rPr>
          <w:rFonts w:ascii="Arial" w:hAnsi="Arial" w:cs="Arial"/>
          <w:color w:val="000000" w:themeColor="text1"/>
          <w:sz w:val="22"/>
          <w:szCs w:val="22"/>
        </w:rPr>
        <w:t>5</w:t>
      </w:r>
      <w:r w:rsidR="001125AB">
        <w:rPr>
          <w:rFonts w:ascii="Arial" w:hAnsi="Arial" w:cs="Arial"/>
          <w:color w:val="000000" w:themeColor="text1"/>
          <w:sz w:val="22"/>
          <w:szCs w:val="22"/>
        </w:rPr>
        <w:t>74</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Сатторов А.Л.</w:t>
      </w:r>
      <w:r w:rsidRPr="00DA76A7">
        <w:rPr>
          <w:rFonts w:ascii="Arial" w:hAnsi="Arial" w:cs="Arial"/>
          <w:color w:val="000000" w:themeColor="text1"/>
          <w:sz w:val="22"/>
          <w:szCs w:val="22"/>
        </w:rPr>
        <w:t xml:space="preserve"> Пути совершенствования системы институтов уголовного права Российской Федерации и Республики Таджикистан</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577</w:t>
      </w:r>
    </w:p>
    <w:p w:rsidR="00143F4F" w:rsidRPr="00DA76A7" w:rsidRDefault="00143F4F" w:rsidP="00F4275A">
      <w:pPr>
        <w:pStyle w:val="ae"/>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Сердюк А.А.</w:t>
      </w:r>
      <w:r w:rsidRPr="00DA76A7">
        <w:rPr>
          <w:rFonts w:ascii="Arial" w:hAnsi="Arial" w:cs="Arial"/>
          <w:color w:val="000000" w:themeColor="text1"/>
          <w:sz w:val="22"/>
          <w:szCs w:val="22"/>
        </w:rPr>
        <w:t xml:space="preserve"> Наступательность как фактор реализации дискреционнной инициативы стороны обвинения в преодолении противодействия в расследовании уголовных дел о взяточничестве</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580</w:t>
      </w:r>
    </w:p>
    <w:p w:rsidR="00143F4F" w:rsidRPr="00DA76A7" w:rsidRDefault="00143F4F" w:rsidP="00F4275A">
      <w:pPr>
        <w:pStyle w:val="ae"/>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 xml:space="preserve">Турсенканов Д. </w:t>
      </w:r>
      <w:r w:rsidRPr="00DA76A7">
        <w:rPr>
          <w:rFonts w:ascii="Arial" w:hAnsi="Arial" w:cs="Arial"/>
          <w:color w:val="000000" w:themeColor="text1"/>
          <w:sz w:val="22"/>
          <w:szCs w:val="22"/>
        </w:rPr>
        <w:t>Полномочия правоохранительных органов в использовании личной электронной переписки в качестве доказательства</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584</w:t>
      </w:r>
    </w:p>
    <w:p w:rsidR="00143F4F" w:rsidRPr="00DA76A7" w:rsidRDefault="00143F4F" w:rsidP="00F4275A">
      <w:pPr>
        <w:tabs>
          <w:tab w:val="left" w:pos="142"/>
          <w:tab w:val="left" w:pos="851"/>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Хайдарова Н.Ш.</w:t>
      </w:r>
      <w:r w:rsidRPr="00DA76A7">
        <w:rPr>
          <w:rFonts w:ascii="Arial" w:hAnsi="Arial" w:cs="Arial"/>
          <w:color w:val="000000" w:themeColor="text1"/>
          <w:sz w:val="22"/>
          <w:szCs w:val="22"/>
        </w:rPr>
        <w:t xml:space="preserve"> Справедливость как уголовно-процессуальная категория в уголовно-процессуальном законодательстве Республики Таджикистан</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587</w:t>
      </w:r>
    </w:p>
    <w:p w:rsidR="00143F4F" w:rsidRPr="00DA76A7" w:rsidRDefault="00143F4F" w:rsidP="00F4275A">
      <w:pPr>
        <w:tabs>
          <w:tab w:val="right" w:pos="9072"/>
        </w:tabs>
        <w:ind w:left="567" w:right="849" w:hanging="567"/>
        <w:jc w:val="both"/>
        <w:rPr>
          <w:rFonts w:ascii="Arial" w:hAnsi="Arial" w:cs="Arial"/>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Холов И.Б.</w:t>
      </w:r>
      <w:r w:rsidRPr="00DA76A7">
        <w:rPr>
          <w:rFonts w:ascii="Arial" w:hAnsi="Arial" w:cs="Arial"/>
          <w:color w:val="000000" w:themeColor="text1"/>
          <w:sz w:val="22"/>
          <w:szCs w:val="22"/>
          <w:shd w:val="clear" w:color="auto" w:fill="FFFFFF"/>
        </w:rPr>
        <w:t xml:space="preserve"> Прокурорский надзор в сфере соблюдения прав и свобод человека и гражданина</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shd w:val="clear" w:color="auto" w:fill="FFFFFF"/>
        </w:rPr>
        <w:t>594</w:t>
      </w:r>
    </w:p>
    <w:p w:rsidR="00143F4F" w:rsidRPr="00DA76A7" w:rsidRDefault="00143F4F"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Шарипов Н.Х.</w:t>
      </w:r>
      <w:r w:rsidRPr="00DA76A7">
        <w:rPr>
          <w:rFonts w:ascii="Arial" w:hAnsi="Arial" w:cs="Arial"/>
          <w:color w:val="000000" w:themeColor="text1"/>
          <w:sz w:val="22"/>
          <w:szCs w:val="22"/>
        </w:rPr>
        <w:t xml:space="preserve"> Связь уголовного права с другими отраслями юридической науки</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596</w:t>
      </w:r>
    </w:p>
    <w:p w:rsidR="00143F4F" w:rsidRPr="00DA76A7" w:rsidRDefault="00143F4F" w:rsidP="00F4275A">
      <w:pPr>
        <w:tabs>
          <w:tab w:val="right" w:pos="9072"/>
        </w:tabs>
        <w:ind w:left="567" w:right="849" w:hanging="567"/>
        <w:contextualSpacing/>
        <w:jc w:val="both"/>
        <w:rPr>
          <w:rFonts w:ascii="Arial" w:hAnsi="Arial" w:cs="Arial"/>
          <w:color w:val="000000" w:themeColor="text1"/>
          <w:sz w:val="22"/>
          <w:szCs w:val="22"/>
        </w:rPr>
      </w:pPr>
      <w:r w:rsidRPr="00DA76A7">
        <w:rPr>
          <w:rFonts w:ascii="Arial" w:hAnsi="Arial" w:cs="Arial"/>
          <w:b/>
          <w:color w:val="000000" w:themeColor="text1"/>
          <w:sz w:val="22"/>
          <w:szCs w:val="22"/>
        </w:rPr>
        <w:t>Шарипов Ф.Р.</w:t>
      </w:r>
      <w:r w:rsidRPr="00DA76A7">
        <w:rPr>
          <w:rFonts w:ascii="Arial" w:hAnsi="Arial" w:cs="Arial"/>
          <w:color w:val="000000" w:themeColor="text1"/>
          <w:sz w:val="22"/>
          <w:szCs w:val="22"/>
        </w:rPr>
        <w:t xml:space="preserve"> Детерминанты насильственных преступлений</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599</w:t>
      </w:r>
    </w:p>
    <w:p w:rsidR="00143F4F" w:rsidRPr="00DA76A7" w:rsidRDefault="00143F4F" w:rsidP="00F4275A">
      <w:pPr>
        <w:tabs>
          <w:tab w:val="right" w:pos="9072"/>
        </w:tabs>
        <w:ind w:left="567" w:right="849" w:hanging="567"/>
        <w:contextualSpacing/>
        <w:jc w:val="both"/>
        <w:rPr>
          <w:rFonts w:ascii="Arial" w:hAnsi="Arial" w:cs="Arial"/>
          <w:color w:val="000000" w:themeColor="text1"/>
          <w:sz w:val="22"/>
          <w:szCs w:val="22"/>
        </w:rPr>
      </w:pPr>
      <w:r w:rsidRPr="00DA76A7">
        <w:rPr>
          <w:rFonts w:ascii="Arial" w:hAnsi="Arial" w:cs="Arial"/>
          <w:b/>
          <w:color w:val="000000" w:themeColor="text1"/>
          <w:sz w:val="22"/>
          <w:szCs w:val="22"/>
        </w:rPr>
        <w:t>Шарипов Ф.Р.</w:t>
      </w:r>
      <w:r w:rsidRPr="00DA76A7">
        <w:rPr>
          <w:rFonts w:ascii="Arial" w:hAnsi="Arial" w:cs="Arial"/>
          <w:color w:val="000000" w:themeColor="text1"/>
          <w:sz w:val="22"/>
          <w:szCs w:val="22"/>
        </w:rPr>
        <w:t xml:space="preserve"> Криминологическая характеристика насильственной преступности</w:t>
      </w:r>
      <w:r w:rsidR="0032650E" w:rsidRPr="00DA76A7">
        <w:rPr>
          <w:rFonts w:ascii="Arial" w:hAnsi="Arial" w:cs="Arial"/>
          <w:color w:val="000000" w:themeColor="text1"/>
          <w:sz w:val="22"/>
          <w:szCs w:val="22"/>
        </w:rPr>
        <w:t>.</w:t>
      </w:r>
      <w:r w:rsidR="001A6A6A"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602</w:t>
      </w:r>
    </w:p>
    <w:p w:rsidR="00143F4F" w:rsidRPr="00DA76A7" w:rsidRDefault="00143F4F" w:rsidP="00F4275A">
      <w:pPr>
        <w:pStyle w:val="a4"/>
        <w:tabs>
          <w:tab w:val="right" w:pos="9072"/>
        </w:tabs>
        <w:ind w:left="567" w:right="849" w:hanging="567"/>
        <w:jc w:val="both"/>
        <w:rPr>
          <w:rFonts w:ascii="Arial" w:hAnsi="Arial" w:cs="Arial"/>
          <w:b/>
          <w:color w:val="000000" w:themeColor="text1"/>
          <w:spacing w:val="-4"/>
          <w:kern w:val="2"/>
          <w:sz w:val="22"/>
          <w:szCs w:val="22"/>
        </w:rPr>
      </w:pPr>
      <w:r w:rsidRPr="00DA76A7">
        <w:rPr>
          <w:rFonts w:ascii="Arial" w:hAnsi="Arial" w:cs="Arial"/>
          <w:b/>
          <w:color w:val="000000" w:themeColor="text1"/>
          <w:sz w:val="22"/>
          <w:szCs w:val="22"/>
        </w:rPr>
        <w:t xml:space="preserve">Шарипов Ш.А. </w:t>
      </w:r>
      <w:r w:rsidRPr="00DA76A7">
        <w:rPr>
          <w:rFonts w:ascii="Arial" w:hAnsi="Arial" w:cs="Arial"/>
          <w:color w:val="000000" w:themeColor="text1"/>
          <w:spacing w:val="-4"/>
          <w:kern w:val="2"/>
          <w:sz w:val="22"/>
          <w:szCs w:val="22"/>
        </w:rPr>
        <w:t>О понятии уголовного процесса</w:t>
      </w:r>
      <w:r w:rsidR="000E7DCF" w:rsidRPr="008855E2">
        <w:rPr>
          <w:rFonts w:ascii="Arial" w:hAnsi="Arial" w:cs="Arial"/>
          <w:color w:val="000000" w:themeColor="text1"/>
          <w:sz w:val="22"/>
          <w:szCs w:val="22"/>
          <w:u w:val="dotted"/>
        </w:rPr>
        <w:tab/>
      </w:r>
      <w:r w:rsidR="001125AB">
        <w:rPr>
          <w:rFonts w:ascii="Arial" w:hAnsi="Arial" w:cs="Arial"/>
          <w:color w:val="000000" w:themeColor="text1"/>
          <w:spacing w:val="-4"/>
          <w:kern w:val="2"/>
          <w:sz w:val="22"/>
          <w:szCs w:val="22"/>
        </w:rPr>
        <w:t>60</w:t>
      </w:r>
      <w:r w:rsidR="005E3048">
        <w:rPr>
          <w:rFonts w:ascii="Arial" w:hAnsi="Arial" w:cs="Arial"/>
          <w:color w:val="000000" w:themeColor="text1"/>
          <w:spacing w:val="-4"/>
          <w:kern w:val="2"/>
          <w:sz w:val="22"/>
          <w:szCs w:val="22"/>
        </w:rPr>
        <w:t>5</w:t>
      </w:r>
    </w:p>
    <w:p w:rsidR="00143F4F" w:rsidRPr="00DA76A7" w:rsidRDefault="00143F4F" w:rsidP="00F4275A">
      <w:pPr>
        <w:pStyle w:val="a4"/>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Шендель П.А.</w:t>
      </w:r>
      <w:r w:rsidRPr="00DA76A7">
        <w:rPr>
          <w:rFonts w:ascii="Arial" w:hAnsi="Arial" w:cs="Arial"/>
          <w:color w:val="000000" w:themeColor="text1"/>
          <w:sz w:val="22"/>
          <w:szCs w:val="22"/>
        </w:rPr>
        <w:t xml:space="preserve"> Институт экстрадиции как форма международно-правового сотрудничества: состояние и перспективы развития</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60</w:t>
      </w:r>
      <w:r w:rsidR="005E3048">
        <w:rPr>
          <w:rFonts w:ascii="Arial" w:hAnsi="Arial" w:cs="Arial"/>
          <w:color w:val="000000" w:themeColor="text1"/>
          <w:sz w:val="22"/>
          <w:szCs w:val="22"/>
        </w:rPr>
        <w:t>8</w:t>
      </w:r>
    </w:p>
    <w:p w:rsidR="000B3416" w:rsidRDefault="000B3416" w:rsidP="00F4275A">
      <w:pPr>
        <w:pStyle w:val="a4"/>
        <w:tabs>
          <w:tab w:val="right" w:pos="9072"/>
        </w:tabs>
        <w:ind w:left="567" w:right="849" w:hanging="567"/>
        <w:jc w:val="center"/>
        <w:rPr>
          <w:rFonts w:ascii="Arial" w:hAnsi="Arial" w:cs="Arial"/>
          <w:b/>
          <w:color w:val="000000" w:themeColor="text1"/>
          <w:sz w:val="22"/>
          <w:szCs w:val="22"/>
        </w:rPr>
      </w:pPr>
    </w:p>
    <w:p w:rsidR="004B49C6" w:rsidRPr="00DA76A7" w:rsidRDefault="004B49C6" w:rsidP="00DD511E">
      <w:pPr>
        <w:pStyle w:val="a4"/>
        <w:tabs>
          <w:tab w:val="right" w:pos="9072"/>
        </w:tabs>
        <w:ind w:right="849"/>
        <w:rPr>
          <w:rFonts w:ascii="Arial" w:hAnsi="Arial" w:cs="Arial"/>
          <w:b/>
          <w:color w:val="000000" w:themeColor="text1"/>
          <w:sz w:val="22"/>
          <w:szCs w:val="22"/>
        </w:rPr>
      </w:pPr>
    </w:p>
    <w:p w:rsidR="0054571D" w:rsidRPr="00DA76A7" w:rsidRDefault="0054571D" w:rsidP="00F4275A">
      <w:pPr>
        <w:pStyle w:val="a4"/>
        <w:tabs>
          <w:tab w:val="right" w:pos="9072"/>
        </w:tabs>
        <w:ind w:left="567" w:right="849" w:hanging="567"/>
        <w:jc w:val="center"/>
        <w:rPr>
          <w:rFonts w:ascii="Arial" w:hAnsi="Arial" w:cs="Arial"/>
          <w:b/>
          <w:color w:val="000000" w:themeColor="text1"/>
          <w:sz w:val="22"/>
          <w:szCs w:val="22"/>
        </w:rPr>
      </w:pPr>
      <w:r w:rsidRPr="00DA76A7">
        <w:rPr>
          <w:rFonts w:ascii="Arial" w:hAnsi="Arial" w:cs="Arial"/>
          <w:b/>
          <w:color w:val="000000" w:themeColor="text1"/>
          <w:sz w:val="22"/>
          <w:szCs w:val="22"/>
        </w:rPr>
        <w:t>СЕКЦИЯ АКТУАЛЬНЫЕ ПРОБЛЕМЫ КОНСТИТУЦИОННОГО ПРАВА</w:t>
      </w:r>
    </w:p>
    <w:p w:rsidR="001B6671" w:rsidRPr="00DA76A7" w:rsidRDefault="001B6671" w:rsidP="00F4275A">
      <w:pPr>
        <w:pStyle w:val="a4"/>
        <w:tabs>
          <w:tab w:val="right" w:pos="9072"/>
        </w:tabs>
        <w:ind w:left="567" w:right="849" w:hanging="567"/>
        <w:jc w:val="both"/>
        <w:rPr>
          <w:rFonts w:ascii="Arial" w:hAnsi="Arial" w:cs="Arial"/>
          <w:color w:val="000000" w:themeColor="text1"/>
          <w:sz w:val="22"/>
          <w:szCs w:val="22"/>
        </w:rPr>
      </w:pPr>
    </w:p>
    <w:p w:rsidR="001B6671" w:rsidRPr="00DA76A7" w:rsidRDefault="001B6671" w:rsidP="00F4275A">
      <w:pPr>
        <w:tabs>
          <w:tab w:val="right" w:pos="9072"/>
        </w:tabs>
        <w:ind w:left="567" w:right="849" w:hanging="567"/>
        <w:jc w:val="both"/>
        <w:outlineLvl w:val="1"/>
        <w:rPr>
          <w:rFonts w:ascii="Arial" w:hAnsi="Arial" w:cs="Arial"/>
          <w:bCs/>
          <w:color w:val="000000" w:themeColor="text1"/>
          <w:sz w:val="22"/>
          <w:szCs w:val="22"/>
        </w:rPr>
      </w:pPr>
      <w:r w:rsidRPr="00DA76A7">
        <w:rPr>
          <w:rFonts w:ascii="Arial" w:hAnsi="Arial" w:cs="Arial"/>
          <w:b/>
          <w:color w:val="000000" w:themeColor="text1"/>
          <w:sz w:val="22"/>
          <w:szCs w:val="22"/>
        </w:rPr>
        <w:t>Абдуллоев Ф.С.</w:t>
      </w: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rPr>
        <w:t>Общие основы и принципы законодательства о правах, свобод человека и гражданина</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615</w:t>
      </w:r>
    </w:p>
    <w:p w:rsidR="008D7398" w:rsidRPr="00DA76A7" w:rsidRDefault="008D7398"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Алимова М.О.</w:t>
      </w:r>
      <w:r w:rsidRPr="00DA76A7">
        <w:rPr>
          <w:rFonts w:ascii="Arial" w:hAnsi="Arial" w:cs="Arial"/>
          <w:color w:val="000000" w:themeColor="text1"/>
          <w:sz w:val="22"/>
          <w:szCs w:val="22"/>
        </w:rPr>
        <w:t xml:space="preserve"> Общая характеристика конституций Великобритании и США</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618</w:t>
      </w:r>
    </w:p>
    <w:p w:rsidR="008D7398" w:rsidRPr="00DA76A7" w:rsidRDefault="008D7398" w:rsidP="00F4275A">
      <w:pPr>
        <w:pStyle w:val="a4"/>
        <w:tabs>
          <w:tab w:val="clear" w:pos="4677"/>
          <w:tab w:val="clear" w:pos="9355"/>
          <w:tab w:val="center" w:pos="0"/>
          <w:tab w:val="right" w:pos="9072"/>
          <w:tab w:val="right" w:pos="9639"/>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Амандурдыева К.И.</w:t>
      </w:r>
      <w:r w:rsidRPr="00DA76A7">
        <w:rPr>
          <w:rFonts w:ascii="Arial" w:hAnsi="Arial" w:cs="Arial"/>
          <w:color w:val="000000" w:themeColor="text1"/>
          <w:sz w:val="22"/>
          <w:szCs w:val="22"/>
        </w:rPr>
        <w:t xml:space="preserve"> Адвокатура России: прошлое и настоящее</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622</w:t>
      </w:r>
    </w:p>
    <w:p w:rsidR="008D7398" w:rsidRPr="00DA76A7" w:rsidRDefault="008D7398"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Багирова М.Ф.</w:t>
      </w:r>
      <w:r w:rsidRPr="00DA76A7">
        <w:rPr>
          <w:rFonts w:ascii="Arial" w:hAnsi="Arial" w:cs="Arial"/>
          <w:color w:val="000000" w:themeColor="text1"/>
          <w:sz w:val="22"/>
          <w:szCs w:val="22"/>
        </w:rPr>
        <w:t xml:space="preserve"> Реформа пенсионной системы  Росийсской Федерации как средство реализации   конституционного права граждан на социальное обеспечение</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625</w:t>
      </w:r>
    </w:p>
    <w:p w:rsidR="008D7398" w:rsidRPr="00DA76A7" w:rsidRDefault="008D7398"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Бойбобоева Д.А.</w:t>
      </w:r>
      <w:r w:rsidRPr="00DA76A7">
        <w:rPr>
          <w:rFonts w:ascii="Arial" w:hAnsi="Arial" w:cs="Arial"/>
          <w:color w:val="000000" w:themeColor="text1"/>
          <w:sz w:val="22"/>
          <w:szCs w:val="22"/>
        </w:rPr>
        <w:t xml:space="preserve"> Роль молодёжи в развитии суверенного Таджикистана</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627</w:t>
      </w:r>
    </w:p>
    <w:p w:rsidR="008D7398" w:rsidRPr="00DA76A7" w:rsidRDefault="008D7398"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Васильцова Е.В.</w:t>
      </w:r>
      <w:r w:rsidRPr="00DA76A7">
        <w:rPr>
          <w:rFonts w:ascii="Arial" w:hAnsi="Arial" w:cs="Arial"/>
          <w:color w:val="000000" w:themeColor="text1"/>
          <w:sz w:val="22"/>
          <w:szCs w:val="22"/>
        </w:rPr>
        <w:t xml:space="preserve"> Права человека и гражданина в современном обществе «Реализация положений </w:t>
      </w:r>
      <w:r w:rsidRPr="00DA76A7">
        <w:rPr>
          <w:rFonts w:ascii="Arial" w:hAnsi="Arial" w:cs="Arial"/>
          <w:color w:val="000000" w:themeColor="text1"/>
          <w:sz w:val="22"/>
          <w:szCs w:val="22"/>
          <w:lang w:val="en-US"/>
        </w:rPr>
        <w:t>II</w:t>
      </w:r>
      <w:r w:rsidRPr="00DA76A7">
        <w:rPr>
          <w:rFonts w:ascii="Arial" w:hAnsi="Arial" w:cs="Arial"/>
          <w:color w:val="000000" w:themeColor="text1"/>
          <w:sz w:val="22"/>
          <w:szCs w:val="22"/>
        </w:rPr>
        <w:t xml:space="preserve"> главы Конституции Российской Федерации в послании Президента России Федеральному собранию 01.02.2018 г.»</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62</w:t>
      </w:r>
      <w:r w:rsidR="004B49C6">
        <w:rPr>
          <w:rFonts w:ascii="Arial" w:hAnsi="Arial" w:cs="Arial"/>
          <w:color w:val="000000" w:themeColor="text1"/>
          <w:sz w:val="22"/>
          <w:szCs w:val="22"/>
        </w:rPr>
        <w:t>9</w:t>
      </w:r>
    </w:p>
    <w:p w:rsidR="008D7398" w:rsidRPr="00DA76A7" w:rsidRDefault="008D7398"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lang w:val="tg-Cyrl-TJ" w:eastAsia="tg-Cyrl-TJ"/>
        </w:rPr>
        <w:t xml:space="preserve">Григоров В.В. </w:t>
      </w:r>
      <w:r w:rsidRPr="00DA76A7">
        <w:rPr>
          <w:rFonts w:ascii="Arial" w:hAnsi="Arial" w:cs="Arial"/>
          <w:color w:val="000000" w:themeColor="text1"/>
          <w:sz w:val="22"/>
          <w:szCs w:val="22"/>
        </w:rPr>
        <w:t>Прямое действие Конституции (теория и практика)</w:t>
      </w:r>
      <w:r w:rsidR="0032650E" w:rsidRPr="00DA76A7">
        <w:rPr>
          <w:rFonts w:ascii="Arial" w:hAnsi="Arial" w:cs="Arial"/>
          <w:color w:val="000000" w:themeColor="text1"/>
          <w:sz w:val="22"/>
          <w:szCs w:val="22"/>
        </w:rPr>
        <w:t xml:space="preserve"> </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634</w:t>
      </w:r>
    </w:p>
    <w:p w:rsidR="008D7398" w:rsidRPr="00DA76A7" w:rsidRDefault="008D7398" w:rsidP="00F4275A">
      <w:pPr>
        <w:pStyle w:val="ConsPlusNormal"/>
        <w:tabs>
          <w:tab w:val="right" w:pos="9072"/>
        </w:tabs>
        <w:ind w:left="567" w:right="849" w:hanging="567"/>
        <w:jc w:val="both"/>
        <w:rPr>
          <w:color w:val="000000" w:themeColor="text1"/>
          <w:sz w:val="22"/>
          <w:szCs w:val="22"/>
        </w:rPr>
      </w:pPr>
      <w:r w:rsidRPr="00DA76A7">
        <w:rPr>
          <w:b/>
          <w:color w:val="000000" w:themeColor="text1"/>
          <w:sz w:val="22"/>
          <w:szCs w:val="22"/>
        </w:rPr>
        <w:t>Диденко Ю.М.</w:t>
      </w:r>
      <w:r w:rsidRPr="00DA76A7">
        <w:rPr>
          <w:color w:val="000000" w:themeColor="text1"/>
          <w:sz w:val="22"/>
          <w:szCs w:val="22"/>
        </w:rPr>
        <w:t xml:space="preserve"> Проблемы реализации избирательных прав граждан в практике Конституционного суда Российской Федерации</w:t>
      </w:r>
      <w:r w:rsidR="000E7DCF" w:rsidRPr="008855E2">
        <w:rPr>
          <w:color w:val="000000" w:themeColor="text1"/>
          <w:sz w:val="22"/>
          <w:szCs w:val="22"/>
          <w:u w:val="dotted"/>
        </w:rPr>
        <w:tab/>
      </w:r>
      <w:r w:rsidR="001125AB">
        <w:rPr>
          <w:color w:val="000000" w:themeColor="text1"/>
          <w:sz w:val="22"/>
          <w:szCs w:val="22"/>
        </w:rPr>
        <w:t>638</w:t>
      </w:r>
    </w:p>
    <w:p w:rsidR="001B6671" w:rsidRPr="00DA76A7" w:rsidRDefault="001B6671" w:rsidP="00F4275A">
      <w:pPr>
        <w:pStyle w:val="a7"/>
        <w:tabs>
          <w:tab w:val="right" w:pos="9072"/>
        </w:tabs>
        <w:spacing w:before="0" w:beforeAutospacing="0" w:after="0" w:afterAutospacing="0"/>
        <w:ind w:left="567" w:right="849" w:hanging="567"/>
        <w:jc w:val="both"/>
        <w:rPr>
          <w:rFonts w:ascii="Arial" w:hAnsi="Arial" w:cs="Arial"/>
          <w:bCs/>
          <w:color w:val="000000" w:themeColor="text1"/>
          <w:sz w:val="22"/>
          <w:szCs w:val="22"/>
        </w:rPr>
      </w:pPr>
      <w:r w:rsidRPr="00DA76A7">
        <w:rPr>
          <w:rFonts w:ascii="Arial" w:hAnsi="Arial" w:cs="Arial"/>
          <w:b/>
          <w:color w:val="000000" w:themeColor="text1"/>
          <w:sz w:val="22"/>
          <w:szCs w:val="22"/>
        </w:rPr>
        <w:t>Ёров И.М.</w:t>
      </w: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rPr>
        <w:t>Конституционные основы организации и деятельности парламента Италии</w:t>
      </w:r>
      <w:r w:rsidR="000E7DCF" w:rsidRPr="008855E2">
        <w:rPr>
          <w:rFonts w:ascii="Arial" w:hAnsi="Arial" w:cs="Arial"/>
          <w:color w:val="000000" w:themeColor="text1"/>
          <w:sz w:val="22"/>
          <w:szCs w:val="22"/>
          <w:u w:val="dotted"/>
        </w:rPr>
        <w:tab/>
      </w:r>
      <w:r w:rsidR="001125AB">
        <w:rPr>
          <w:rFonts w:ascii="Arial" w:hAnsi="Arial" w:cs="Arial"/>
          <w:bCs/>
          <w:color w:val="000000" w:themeColor="text1"/>
          <w:sz w:val="22"/>
          <w:szCs w:val="22"/>
        </w:rPr>
        <w:t>64</w:t>
      </w:r>
      <w:r w:rsidR="004B49C6">
        <w:rPr>
          <w:rFonts w:ascii="Arial" w:hAnsi="Arial" w:cs="Arial"/>
          <w:bCs/>
          <w:color w:val="000000" w:themeColor="text1"/>
          <w:sz w:val="22"/>
          <w:szCs w:val="22"/>
        </w:rPr>
        <w:t>1</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Зокиров Д.А.</w:t>
      </w:r>
      <w:r w:rsidRPr="00DA76A7">
        <w:rPr>
          <w:rFonts w:ascii="Arial" w:hAnsi="Arial" w:cs="Arial"/>
          <w:color w:val="000000" w:themeColor="text1"/>
          <w:sz w:val="22"/>
          <w:szCs w:val="22"/>
        </w:rPr>
        <w:t xml:space="preserve"> Многообразие и эволюция форм современных государств</w:t>
      </w:r>
      <w:r w:rsidR="000E7DCF" w:rsidRPr="008855E2">
        <w:rPr>
          <w:rFonts w:ascii="Arial" w:hAnsi="Arial" w:cs="Arial"/>
          <w:color w:val="000000" w:themeColor="text1"/>
          <w:sz w:val="22"/>
          <w:szCs w:val="22"/>
          <w:u w:val="dotted"/>
        </w:rPr>
        <w:tab/>
      </w:r>
      <w:r w:rsidR="001125AB">
        <w:rPr>
          <w:rFonts w:ascii="Arial" w:hAnsi="Arial" w:cs="Arial"/>
          <w:color w:val="000000" w:themeColor="text1"/>
          <w:sz w:val="22"/>
          <w:szCs w:val="22"/>
        </w:rPr>
        <w:t>647</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Ишанджанов С.Б.</w:t>
      </w:r>
      <w:r w:rsidRPr="00DA76A7">
        <w:rPr>
          <w:rFonts w:ascii="Arial" w:hAnsi="Arial" w:cs="Arial"/>
          <w:color w:val="000000" w:themeColor="text1"/>
          <w:sz w:val="22"/>
          <w:szCs w:val="22"/>
        </w:rPr>
        <w:t xml:space="preserve"> Понятие и механизм конституционного контроля и надзора в зарубежных странах</w:t>
      </w:r>
      <w:r w:rsidR="000E7DCF" w:rsidRPr="008855E2">
        <w:rPr>
          <w:rFonts w:ascii="Arial" w:hAnsi="Arial" w:cs="Arial"/>
          <w:color w:val="000000" w:themeColor="text1"/>
          <w:sz w:val="22"/>
          <w:szCs w:val="22"/>
          <w:u w:val="dotted"/>
        </w:rPr>
        <w:tab/>
      </w:r>
      <w:r w:rsidR="002E2551">
        <w:rPr>
          <w:rFonts w:ascii="Arial" w:hAnsi="Arial" w:cs="Arial"/>
          <w:color w:val="000000" w:themeColor="text1"/>
          <w:sz w:val="22"/>
          <w:szCs w:val="22"/>
        </w:rPr>
        <w:t>65</w:t>
      </w:r>
      <w:r w:rsidR="004B49C6">
        <w:rPr>
          <w:rFonts w:ascii="Arial" w:hAnsi="Arial" w:cs="Arial"/>
          <w:color w:val="000000" w:themeColor="text1"/>
          <w:sz w:val="22"/>
          <w:szCs w:val="22"/>
        </w:rPr>
        <w:t>0</w:t>
      </w:r>
    </w:p>
    <w:p w:rsidR="001B6671" w:rsidRPr="00DA76A7" w:rsidRDefault="001B6671" w:rsidP="00F4275A">
      <w:pPr>
        <w:pStyle w:val="a7"/>
        <w:tabs>
          <w:tab w:val="left" w:pos="3216"/>
          <w:tab w:val="center" w:pos="5032"/>
          <w:tab w:val="right" w:pos="9072"/>
        </w:tabs>
        <w:spacing w:before="0" w:beforeAutospacing="0" w:after="0" w:afterAutospacing="0"/>
        <w:ind w:left="567" w:right="849" w:hanging="567"/>
        <w:jc w:val="both"/>
        <w:rPr>
          <w:rStyle w:val="ab"/>
          <w:rFonts w:ascii="Arial" w:hAnsi="Arial" w:cs="Arial"/>
          <w:b w:val="0"/>
          <w:color w:val="000000" w:themeColor="text1"/>
          <w:sz w:val="22"/>
          <w:szCs w:val="22"/>
        </w:rPr>
      </w:pPr>
      <w:r w:rsidRPr="00DA76A7">
        <w:rPr>
          <w:rStyle w:val="ab"/>
          <w:rFonts w:ascii="Arial" w:hAnsi="Arial" w:cs="Arial"/>
          <w:color w:val="000000" w:themeColor="text1"/>
          <w:sz w:val="22"/>
          <w:szCs w:val="22"/>
        </w:rPr>
        <w:t>Каюмарс Л.</w:t>
      </w:r>
      <w:r w:rsidRPr="00DA76A7">
        <w:rPr>
          <w:rStyle w:val="ab"/>
          <w:rFonts w:ascii="Arial" w:hAnsi="Arial" w:cs="Arial"/>
          <w:b w:val="0"/>
          <w:color w:val="000000" w:themeColor="text1"/>
          <w:sz w:val="22"/>
          <w:szCs w:val="22"/>
        </w:rPr>
        <w:t xml:space="preserve"> Некоторые вопросы получения статуса беженца</w:t>
      </w:r>
      <w:r w:rsidR="000E7DCF" w:rsidRPr="008855E2">
        <w:rPr>
          <w:rFonts w:ascii="Arial" w:hAnsi="Arial" w:cs="Arial"/>
          <w:color w:val="000000" w:themeColor="text1"/>
          <w:sz w:val="22"/>
          <w:szCs w:val="22"/>
          <w:u w:val="dotted"/>
        </w:rPr>
        <w:tab/>
      </w:r>
      <w:r w:rsidR="0080210E">
        <w:rPr>
          <w:rStyle w:val="ab"/>
          <w:rFonts w:ascii="Arial" w:hAnsi="Arial" w:cs="Arial"/>
          <w:b w:val="0"/>
          <w:color w:val="000000" w:themeColor="text1"/>
          <w:sz w:val="22"/>
          <w:szCs w:val="22"/>
        </w:rPr>
        <w:t>65</w:t>
      </w:r>
      <w:r w:rsidR="004B49C6">
        <w:rPr>
          <w:rStyle w:val="ab"/>
          <w:rFonts w:ascii="Arial" w:hAnsi="Arial" w:cs="Arial"/>
          <w:b w:val="0"/>
          <w:color w:val="000000" w:themeColor="text1"/>
          <w:sz w:val="22"/>
          <w:szCs w:val="22"/>
        </w:rPr>
        <w:t>3</w:t>
      </w:r>
    </w:p>
    <w:p w:rsidR="001B6671" w:rsidRPr="00DA76A7" w:rsidRDefault="001B6671" w:rsidP="00F4275A">
      <w:pPr>
        <w:pStyle w:val="a7"/>
        <w:tabs>
          <w:tab w:val="right" w:pos="9072"/>
        </w:tabs>
        <w:spacing w:before="0" w:beforeAutospacing="0" w:after="0" w:afterAutospacing="0"/>
        <w:ind w:left="567" w:right="849" w:hanging="567"/>
        <w:jc w:val="both"/>
        <w:rPr>
          <w:rStyle w:val="ab"/>
          <w:rFonts w:ascii="Arial" w:hAnsi="Arial" w:cs="Arial"/>
          <w:b w:val="0"/>
          <w:color w:val="000000" w:themeColor="text1"/>
          <w:sz w:val="22"/>
          <w:szCs w:val="22"/>
        </w:rPr>
      </w:pPr>
      <w:r w:rsidRPr="00DA76A7">
        <w:rPr>
          <w:rStyle w:val="ab"/>
          <w:rFonts w:ascii="Arial" w:hAnsi="Arial" w:cs="Arial"/>
          <w:color w:val="000000" w:themeColor="text1"/>
          <w:sz w:val="22"/>
          <w:szCs w:val="22"/>
        </w:rPr>
        <w:t>Каюмарс Л.</w:t>
      </w:r>
      <w:r w:rsidRPr="00DA76A7">
        <w:rPr>
          <w:rStyle w:val="ab"/>
          <w:rFonts w:ascii="Arial" w:hAnsi="Arial" w:cs="Arial"/>
          <w:b w:val="0"/>
          <w:color w:val="000000" w:themeColor="text1"/>
          <w:sz w:val="22"/>
          <w:szCs w:val="22"/>
        </w:rPr>
        <w:t xml:space="preserve"> Пакты о правах человека и развитие международных отношений со времени их принятия</w:t>
      </w:r>
      <w:r w:rsidR="000E7DCF" w:rsidRPr="008855E2">
        <w:rPr>
          <w:rFonts w:ascii="Arial" w:hAnsi="Arial" w:cs="Arial"/>
          <w:color w:val="000000" w:themeColor="text1"/>
          <w:sz w:val="22"/>
          <w:szCs w:val="22"/>
          <w:u w:val="dotted"/>
        </w:rPr>
        <w:tab/>
      </w:r>
      <w:r w:rsidR="0080210E">
        <w:rPr>
          <w:rStyle w:val="ab"/>
          <w:rFonts w:ascii="Arial" w:hAnsi="Arial" w:cs="Arial"/>
          <w:b w:val="0"/>
          <w:color w:val="000000" w:themeColor="text1"/>
          <w:sz w:val="22"/>
          <w:szCs w:val="22"/>
        </w:rPr>
        <w:t>65</w:t>
      </w:r>
      <w:r w:rsidR="004B49C6">
        <w:rPr>
          <w:rStyle w:val="ab"/>
          <w:rFonts w:ascii="Arial" w:hAnsi="Arial" w:cs="Arial"/>
          <w:b w:val="0"/>
          <w:color w:val="000000" w:themeColor="text1"/>
          <w:sz w:val="22"/>
          <w:szCs w:val="22"/>
        </w:rPr>
        <w:t>6</w:t>
      </w:r>
    </w:p>
    <w:p w:rsidR="001B6671" w:rsidRPr="00DA76A7" w:rsidRDefault="001B6671" w:rsidP="00F4275A">
      <w:pPr>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Копылов И.Н.</w:t>
      </w:r>
      <w:r w:rsidRPr="00DA76A7">
        <w:rPr>
          <w:rFonts w:ascii="Arial" w:hAnsi="Arial" w:cs="Arial"/>
          <w:color w:val="000000" w:themeColor="text1"/>
          <w:sz w:val="22"/>
          <w:szCs w:val="22"/>
        </w:rPr>
        <w:t xml:space="preserve"> Право граждан на участие в управлении делами государства как демократический принцип Российской Федерации и Республики Таджикистан</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66</w:t>
      </w:r>
      <w:r w:rsidR="004B49C6">
        <w:rPr>
          <w:rFonts w:ascii="Arial" w:hAnsi="Arial" w:cs="Arial"/>
          <w:color w:val="000000" w:themeColor="text1"/>
          <w:sz w:val="22"/>
          <w:szCs w:val="22"/>
        </w:rPr>
        <w:t>1</w:t>
      </w:r>
    </w:p>
    <w:p w:rsidR="001B6671" w:rsidRPr="00DA76A7" w:rsidRDefault="001B6671" w:rsidP="00F4275A">
      <w:pPr>
        <w:tabs>
          <w:tab w:val="right" w:pos="9072"/>
        </w:tabs>
        <w:ind w:left="567" w:right="849" w:hanging="567"/>
        <w:jc w:val="both"/>
        <w:rPr>
          <w:rFonts w:ascii="Arial" w:hAnsi="Arial" w:cs="Arial"/>
          <w:caps/>
          <w:color w:val="000000" w:themeColor="text1"/>
          <w:sz w:val="22"/>
          <w:szCs w:val="22"/>
        </w:rPr>
      </w:pPr>
      <w:r w:rsidRPr="00DA76A7">
        <w:rPr>
          <w:rFonts w:ascii="Arial" w:hAnsi="Arial" w:cs="Arial"/>
          <w:b/>
          <w:color w:val="000000" w:themeColor="text1"/>
          <w:sz w:val="22"/>
          <w:szCs w:val="22"/>
        </w:rPr>
        <w:t>Копылова И.А.</w:t>
      </w:r>
      <w:r w:rsidRPr="00DA76A7">
        <w:rPr>
          <w:rFonts w:ascii="Arial" w:hAnsi="Arial" w:cs="Arial"/>
          <w:color w:val="000000" w:themeColor="text1"/>
          <w:sz w:val="22"/>
          <w:szCs w:val="22"/>
        </w:rPr>
        <w:t xml:space="preserve"> </w:t>
      </w:r>
      <w:r w:rsidRPr="00DA76A7">
        <w:rPr>
          <w:rFonts w:ascii="Arial" w:hAnsi="Arial" w:cs="Arial"/>
          <w:caps/>
          <w:color w:val="000000" w:themeColor="text1"/>
          <w:sz w:val="22"/>
          <w:szCs w:val="22"/>
        </w:rPr>
        <w:t>С</w:t>
      </w:r>
      <w:r w:rsidRPr="00DA76A7">
        <w:rPr>
          <w:rFonts w:ascii="Arial" w:hAnsi="Arial" w:cs="Arial"/>
          <w:color w:val="000000" w:themeColor="text1"/>
          <w:sz w:val="22"/>
          <w:szCs w:val="22"/>
        </w:rPr>
        <w:t>истема национальной безопасности как непременный атрибут государственности в контексте международного сотрудничества Российской Федерации и Республики Таджикистан</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66</w:t>
      </w:r>
      <w:r w:rsidR="004B49C6">
        <w:rPr>
          <w:rFonts w:ascii="Arial" w:hAnsi="Arial" w:cs="Arial"/>
          <w:color w:val="000000" w:themeColor="text1"/>
          <w:sz w:val="22"/>
          <w:szCs w:val="22"/>
        </w:rPr>
        <w:t>8</w:t>
      </w:r>
    </w:p>
    <w:p w:rsidR="001B6671" w:rsidRPr="00DA76A7" w:rsidRDefault="001B6671" w:rsidP="00F4275A">
      <w:pPr>
        <w:tabs>
          <w:tab w:val="left" w:pos="4395"/>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Маджидзода Дж.З.,</w:t>
      </w:r>
      <w:r w:rsidRPr="00DA76A7">
        <w:rPr>
          <w:rFonts w:ascii="Arial" w:hAnsi="Arial" w:cs="Arial"/>
          <w:b/>
          <w:bCs/>
          <w:color w:val="000000" w:themeColor="text1"/>
          <w:sz w:val="22"/>
          <w:szCs w:val="22"/>
        </w:rPr>
        <w:t xml:space="preserve">  Кудратбекова Ш.М.</w:t>
      </w:r>
      <w:r w:rsidRPr="00DA76A7">
        <w:rPr>
          <w:rFonts w:ascii="Arial" w:hAnsi="Arial" w:cs="Arial"/>
          <w:color w:val="000000" w:themeColor="text1"/>
          <w:sz w:val="22"/>
          <w:szCs w:val="22"/>
        </w:rPr>
        <w:t xml:space="preserve">  Концептуальное  развитие  парламентаризма как институт государственной власти</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67</w:t>
      </w:r>
      <w:r w:rsidR="004B49C6">
        <w:rPr>
          <w:rFonts w:ascii="Arial" w:hAnsi="Arial" w:cs="Arial"/>
          <w:color w:val="000000" w:themeColor="text1"/>
          <w:sz w:val="22"/>
          <w:szCs w:val="22"/>
        </w:rPr>
        <w:t>3</w:t>
      </w:r>
    </w:p>
    <w:p w:rsidR="001B6671" w:rsidRPr="00DA76A7" w:rsidRDefault="001B6671" w:rsidP="00F4275A">
      <w:pPr>
        <w:tabs>
          <w:tab w:val="right" w:pos="9072"/>
        </w:tabs>
        <w:ind w:left="567" w:right="849" w:hanging="567"/>
        <w:jc w:val="both"/>
        <w:rPr>
          <w:rFonts w:ascii="Arial" w:eastAsia="Calibri" w:hAnsi="Arial" w:cs="Arial"/>
          <w:color w:val="000000" w:themeColor="text1"/>
          <w:sz w:val="22"/>
          <w:szCs w:val="22"/>
        </w:rPr>
      </w:pPr>
      <w:r w:rsidRPr="00DA76A7">
        <w:rPr>
          <w:rFonts w:ascii="Arial" w:eastAsia="Calibri" w:hAnsi="Arial" w:cs="Arial"/>
          <w:b/>
          <w:color w:val="000000" w:themeColor="text1"/>
          <w:sz w:val="22"/>
          <w:szCs w:val="22"/>
        </w:rPr>
        <w:t>Маджидзода Дж.З.,  Насков Д.С.</w:t>
      </w:r>
      <w:r w:rsidRPr="00DA76A7">
        <w:rPr>
          <w:rFonts w:ascii="Arial" w:eastAsia="Calibri" w:hAnsi="Arial" w:cs="Arial"/>
          <w:color w:val="000000" w:themeColor="text1"/>
          <w:sz w:val="22"/>
          <w:szCs w:val="22"/>
        </w:rPr>
        <w:t xml:space="preserve"> К вопросу об особенностях формирования правосознания молодежи Таджикистана в условиях глобализации</w:t>
      </w:r>
      <w:r w:rsidR="000E7DCF" w:rsidRPr="008855E2">
        <w:rPr>
          <w:rFonts w:ascii="Arial" w:eastAsia="Calibri" w:hAnsi="Arial" w:cs="Arial"/>
          <w:color w:val="000000" w:themeColor="text1"/>
          <w:sz w:val="22"/>
          <w:szCs w:val="22"/>
          <w:u w:val="dotted"/>
        </w:rPr>
        <w:tab/>
      </w:r>
      <w:r w:rsidR="0080210E">
        <w:rPr>
          <w:rFonts w:ascii="Arial" w:eastAsia="Calibri" w:hAnsi="Arial" w:cs="Arial"/>
          <w:color w:val="000000" w:themeColor="text1"/>
          <w:sz w:val="22"/>
          <w:szCs w:val="22"/>
        </w:rPr>
        <w:t>679</w:t>
      </w:r>
    </w:p>
    <w:p w:rsidR="001B6671" w:rsidRPr="00DA76A7" w:rsidRDefault="001B6671" w:rsidP="000E7DCF">
      <w:pPr>
        <w:pStyle w:val="a7"/>
        <w:tabs>
          <w:tab w:val="right" w:pos="9072"/>
        </w:tabs>
        <w:spacing w:before="0" w:beforeAutospacing="0" w:after="0" w:afterAutospacing="0"/>
        <w:ind w:left="567" w:right="851" w:hanging="567"/>
        <w:jc w:val="both"/>
        <w:rPr>
          <w:rFonts w:ascii="Arial" w:hAnsi="Arial" w:cs="Arial"/>
          <w:color w:val="000000" w:themeColor="text1"/>
          <w:sz w:val="22"/>
          <w:szCs w:val="22"/>
        </w:rPr>
      </w:pPr>
      <w:r w:rsidRPr="00DA76A7">
        <w:rPr>
          <w:rFonts w:ascii="Arial" w:hAnsi="Arial" w:cs="Arial"/>
          <w:b/>
          <w:color w:val="000000" w:themeColor="text1"/>
          <w:sz w:val="22"/>
          <w:szCs w:val="22"/>
          <w:lang w:eastAsia="en-US"/>
        </w:rPr>
        <w:t>Муминов У.К.</w:t>
      </w:r>
      <w:r w:rsidRPr="00DA76A7">
        <w:rPr>
          <w:rFonts w:ascii="Arial" w:hAnsi="Arial" w:cs="Arial"/>
          <w:color w:val="000000" w:themeColor="text1"/>
          <w:sz w:val="22"/>
          <w:szCs w:val="22"/>
          <w:lang w:eastAsia="en-US"/>
        </w:rPr>
        <w:t xml:space="preserve"> </w:t>
      </w:r>
      <w:r w:rsidRPr="00DA76A7">
        <w:rPr>
          <w:rFonts w:ascii="Arial" w:hAnsi="Arial" w:cs="Arial"/>
          <w:color w:val="000000" w:themeColor="text1"/>
          <w:sz w:val="22"/>
          <w:szCs w:val="22"/>
        </w:rPr>
        <w:t>Особенности конституционно-правового статуса иностранцев в  Таджикистане на современном этапе развития общества</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68</w:t>
      </w:r>
      <w:r w:rsidR="004B49C6">
        <w:rPr>
          <w:rFonts w:ascii="Arial" w:hAnsi="Arial" w:cs="Arial"/>
          <w:color w:val="000000" w:themeColor="text1"/>
          <w:sz w:val="22"/>
          <w:szCs w:val="22"/>
        </w:rPr>
        <w:t>3</w:t>
      </w:r>
    </w:p>
    <w:p w:rsidR="001B6671" w:rsidRPr="00DA76A7" w:rsidRDefault="001B6671" w:rsidP="000E7DCF">
      <w:pPr>
        <w:pStyle w:val="a7"/>
        <w:tabs>
          <w:tab w:val="right" w:pos="9072"/>
        </w:tabs>
        <w:spacing w:before="0" w:beforeAutospacing="0" w:after="0" w:afterAutospacing="0"/>
        <w:ind w:left="567" w:right="851" w:hanging="567"/>
        <w:jc w:val="both"/>
        <w:rPr>
          <w:rFonts w:ascii="Arial" w:hAnsi="Arial" w:cs="Arial"/>
          <w:color w:val="000000" w:themeColor="text1"/>
          <w:sz w:val="22"/>
          <w:szCs w:val="22"/>
        </w:rPr>
      </w:pPr>
      <w:r w:rsidRPr="00DA76A7">
        <w:rPr>
          <w:rFonts w:ascii="Arial" w:hAnsi="Arial" w:cs="Arial"/>
          <w:b/>
          <w:color w:val="000000" w:themeColor="text1"/>
          <w:sz w:val="22"/>
          <w:szCs w:val="22"/>
        </w:rPr>
        <w:t xml:space="preserve">Нозирова У.И. </w:t>
      </w:r>
      <w:r w:rsidRPr="00DA76A7">
        <w:rPr>
          <w:rFonts w:ascii="Arial" w:hAnsi="Arial" w:cs="Arial"/>
          <w:color w:val="000000" w:themeColor="text1"/>
          <w:sz w:val="22"/>
          <w:szCs w:val="22"/>
        </w:rPr>
        <w:t xml:space="preserve">Сравнительный анализ таможенных </w:t>
      </w:r>
      <w:r w:rsidR="00F4275A" w:rsidRPr="00DA76A7">
        <w:rPr>
          <w:rFonts w:ascii="Arial" w:hAnsi="Arial" w:cs="Arial"/>
          <w:color w:val="000000" w:themeColor="text1"/>
          <w:sz w:val="22"/>
          <w:szCs w:val="22"/>
        </w:rPr>
        <w:t>кодексов Европейского союза и Евразийского экономического союза</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68</w:t>
      </w:r>
      <w:r w:rsidR="004B49C6">
        <w:rPr>
          <w:rFonts w:ascii="Arial" w:hAnsi="Arial" w:cs="Arial"/>
          <w:color w:val="000000" w:themeColor="text1"/>
          <w:sz w:val="22"/>
          <w:szCs w:val="22"/>
        </w:rPr>
        <w:t>6</w:t>
      </w:r>
    </w:p>
    <w:p w:rsidR="001B6671" w:rsidRPr="00DA76A7" w:rsidRDefault="001B6671" w:rsidP="000E7DCF">
      <w:pPr>
        <w:tabs>
          <w:tab w:val="right" w:pos="9072"/>
        </w:tabs>
        <w:ind w:left="567" w:right="851" w:hanging="567"/>
        <w:jc w:val="both"/>
        <w:rPr>
          <w:rFonts w:ascii="Arial" w:hAnsi="Arial" w:cs="Arial"/>
          <w:color w:val="000000" w:themeColor="text1"/>
          <w:sz w:val="22"/>
          <w:szCs w:val="22"/>
        </w:rPr>
      </w:pPr>
      <w:r w:rsidRPr="00DA76A7">
        <w:rPr>
          <w:rFonts w:ascii="Arial" w:hAnsi="Arial" w:cs="Arial"/>
          <w:b/>
          <w:color w:val="000000" w:themeColor="text1"/>
          <w:sz w:val="22"/>
          <w:szCs w:val="22"/>
        </w:rPr>
        <w:t>Рахманова Е.Т.</w:t>
      </w:r>
      <w:r w:rsidRPr="00DA76A7">
        <w:rPr>
          <w:rFonts w:ascii="Arial" w:hAnsi="Arial" w:cs="Arial"/>
          <w:color w:val="000000" w:themeColor="text1"/>
          <w:sz w:val="22"/>
          <w:szCs w:val="22"/>
        </w:rPr>
        <w:t xml:space="preserve"> Правовые позиции как юридические средства выражения правотворческой функции конституционного правосудия</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68</w:t>
      </w:r>
      <w:r w:rsidR="004B49C6">
        <w:rPr>
          <w:rFonts w:ascii="Arial" w:hAnsi="Arial" w:cs="Arial"/>
          <w:color w:val="000000" w:themeColor="text1"/>
          <w:sz w:val="22"/>
          <w:szCs w:val="22"/>
        </w:rPr>
        <w:t>9</w:t>
      </w:r>
    </w:p>
    <w:p w:rsidR="001B6671" w:rsidRPr="00DA76A7" w:rsidRDefault="001B6671" w:rsidP="000E7DCF">
      <w:pPr>
        <w:tabs>
          <w:tab w:val="right" w:pos="9072"/>
        </w:tabs>
        <w:ind w:left="567" w:right="851" w:hanging="567"/>
        <w:jc w:val="both"/>
        <w:rPr>
          <w:rFonts w:ascii="Arial" w:hAnsi="Arial" w:cs="Arial"/>
          <w:color w:val="000000" w:themeColor="text1"/>
          <w:sz w:val="22"/>
          <w:szCs w:val="22"/>
        </w:rPr>
      </w:pPr>
      <w:r w:rsidRPr="00DA76A7">
        <w:rPr>
          <w:rFonts w:ascii="Arial" w:hAnsi="Arial" w:cs="Arial"/>
          <w:b/>
          <w:color w:val="000000" w:themeColor="text1"/>
          <w:sz w:val="22"/>
          <w:szCs w:val="22"/>
        </w:rPr>
        <w:t xml:space="preserve">Рахманова С.Т. </w:t>
      </w:r>
      <w:r w:rsidRPr="00DA76A7">
        <w:rPr>
          <w:rFonts w:ascii="Arial" w:hAnsi="Arial" w:cs="Arial"/>
          <w:color w:val="000000" w:themeColor="text1"/>
          <w:sz w:val="22"/>
          <w:szCs w:val="22"/>
        </w:rPr>
        <w:t>Правовая база  стран СНГ в сфере миграции</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693</w:t>
      </w:r>
    </w:p>
    <w:p w:rsidR="001B6671" w:rsidRPr="00DA76A7" w:rsidRDefault="001B6671" w:rsidP="000E7DCF">
      <w:pPr>
        <w:tabs>
          <w:tab w:val="right" w:pos="9072"/>
        </w:tabs>
        <w:ind w:left="567" w:right="851" w:hanging="567"/>
        <w:jc w:val="both"/>
        <w:rPr>
          <w:rFonts w:ascii="Arial" w:hAnsi="Arial" w:cs="Arial"/>
          <w:color w:val="000000" w:themeColor="text1"/>
          <w:sz w:val="22"/>
          <w:szCs w:val="22"/>
        </w:rPr>
      </w:pPr>
      <w:r w:rsidRPr="00DA76A7">
        <w:rPr>
          <w:rFonts w:ascii="Arial" w:hAnsi="Arial" w:cs="Arial"/>
          <w:b/>
          <w:color w:val="000000" w:themeColor="text1"/>
          <w:sz w:val="22"/>
          <w:szCs w:val="22"/>
        </w:rPr>
        <w:t>Сологуб Д.П.</w:t>
      </w:r>
      <w:r w:rsidRPr="00DA76A7">
        <w:rPr>
          <w:rFonts w:ascii="Arial" w:hAnsi="Arial" w:cs="Arial"/>
          <w:color w:val="000000" w:themeColor="text1"/>
          <w:sz w:val="22"/>
          <w:szCs w:val="22"/>
        </w:rPr>
        <w:t xml:space="preserve"> Суды общей юрисдикции и их роль в сфере защиты прав иностранных граждан в Российской Федерации</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697</w:t>
      </w:r>
    </w:p>
    <w:p w:rsidR="001B6671" w:rsidRPr="00DA76A7" w:rsidRDefault="001B6671" w:rsidP="00F4275A">
      <w:pPr>
        <w:tabs>
          <w:tab w:val="right" w:pos="9072"/>
        </w:tabs>
        <w:ind w:left="567" w:right="849" w:hanging="567"/>
        <w:jc w:val="both"/>
        <w:rPr>
          <w:rFonts w:ascii="Arial" w:hAnsi="Arial" w:cs="Arial"/>
          <w:caps/>
          <w:color w:val="000000" w:themeColor="text1"/>
          <w:sz w:val="22"/>
          <w:szCs w:val="22"/>
        </w:rPr>
      </w:pPr>
      <w:r w:rsidRPr="00DA76A7">
        <w:rPr>
          <w:rFonts w:ascii="Arial" w:hAnsi="Arial" w:cs="Arial"/>
          <w:b/>
          <w:color w:val="000000" w:themeColor="text1"/>
          <w:sz w:val="22"/>
          <w:szCs w:val="22"/>
        </w:rPr>
        <w:t>Темиров В.Т.,</w:t>
      </w:r>
      <w:r w:rsidRPr="00DA76A7">
        <w:rPr>
          <w:rFonts w:ascii="Arial" w:hAnsi="Arial" w:cs="Arial"/>
          <w:color w:val="000000" w:themeColor="text1"/>
          <w:sz w:val="22"/>
          <w:szCs w:val="22"/>
        </w:rPr>
        <w:t xml:space="preserve"> </w:t>
      </w:r>
      <w:r w:rsidRPr="00DA76A7">
        <w:rPr>
          <w:rFonts w:ascii="Arial" w:hAnsi="Arial" w:cs="Arial"/>
          <w:b/>
          <w:color w:val="000000" w:themeColor="text1"/>
          <w:sz w:val="22"/>
          <w:szCs w:val="22"/>
        </w:rPr>
        <w:t>Фирдавсова Г.Р.</w:t>
      </w:r>
      <w:r w:rsidRPr="00DA76A7">
        <w:rPr>
          <w:rFonts w:ascii="Arial" w:hAnsi="Arial" w:cs="Arial"/>
          <w:color w:val="000000" w:themeColor="text1"/>
          <w:sz w:val="22"/>
          <w:szCs w:val="22"/>
        </w:rPr>
        <w:t xml:space="preserve"> </w:t>
      </w:r>
      <w:r w:rsidRPr="00DA76A7">
        <w:rPr>
          <w:rFonts w:ascii="Arial" w:hAnsi="Arial" w:cs="Arial"/>
          <w:caps/>
          <w:color w:val="000000" w:themeColor="text1"/>
          <w:sz w:val="22"/>
          <w:szCs w:val="22"/>
        </w:rPr>
        <w:t xml:space="preserve">о </w:t>
      </w:r>
      <w:r w:rsidRPr="00DA76A7">
        <w:rPr>
          <w:rFonts w:ascii="Arial" w:hAnsi="Arial" w:cs="Arial"/>
          <w:color w:val="000000" w:themeColor="text1"/>
          <w:sz w:val="22"/>
          <w:szCs w:val="22"/>
        </w:rPr>
        <w:t>некоторых вопросах компетенции Маджлиса народных депутатов</w:t>
      </w:r>
      <w:r w:rsidR="000E7DCF" w:rsidRPr="008855E2">
        <w:rPr>
          <w:rFonts w:ascii="Arial" w:hAnsi="Arial" w:cs="Arial"/>
          <w:color w:val="000000" w:themeColor="text1"/>
          <w:sz w:val="22"/>
          <w:szCs w:val="22"/>
          <w:u w:val="dotted"/>
        </w:rPr>
        <w:tab/>
      </w:r>
      <w:r w:rsidR="0080210E">
        <w:rPr>
          <w:rFonts w:ascii="Arial" w:hAnsi="Arial" w:cs="Arial"/>
          <w:color w:val="000000" w:themeColor="text1"/>
          <w:sz w:val="22"/>
          <w:szCs w:val="22"/>
        </w:rPr>
        <w:t>700</w:t>
      </w:r>
    </w:p>
    <w:p w:rsidR="001B6671" w:rsidRPr="00DA76A7" w:rsidRDefault="001B6671" w:rsidP="00F4275A">
      <w:pPr>
        <w:pStyle w:val="a7"/>
        <w:shd w:val="clear" w:color="auto" w:fill="FFFFFF"/>
        <w:tabs>
          <w:tab w:val="right" w:pos="9072"/>
        </w:tabs>
        <w:spacing w:before="0" w:beforeAutospacing="0" w:after="0" w:afterAutospacing="0"/>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Шамсудинова З.С.</w:t>
      </w:r>
      <w:r w:rsidRPr="00DA76A7">
        <w:rPr>
          <w:rFonts w:ascii="Arial" w:hAnsi="Arial" w:cs="Arial"/>
          <w:color w:val="000000" w:themeColor="text1"/>
          <w:sz w:val="22"/>
          <w:szCs w:val="22"/>
        </w:rPr>
        <w:t xml:space="preserve"> Специфические черты присущие Конституции Российской Федерации</w:t>
      </w:r>
      <w:r w:rsidR="000E7DCF" w:rsidRPr="008855E2">
        <w:rPr>
          <w:rFonts w:ascii="Arial" w:hAnsi="Arial" w:cs="Arial"/>
          <w:color w:val="000000" w:themeColor="text1"/>
          <w:sz w:val="22"/>
          <w:szCs w:val="22"/>
          <w:u w:val="dotted"/>
        </w:rPr>
        <w:tab/>
      </w:r>
      <w:r w:rsidR="00E717D4">
        <w:rPr>
          <w:rFonts w:ascii="Arial" w:hAnsi="Arial" w:cs="Arial"/>
          <w:color w:val="000000" w:themeColor="text1"/>
          <w:sz w:val="22"/>
          <w:szCs w:val="22"/>
        </w:rPr>
        <w:t>710</w:t>
      </w:r>
    </w:p>
    <w:p w:rsidR="001B6671" w:rsidRPr="00542B0A" w:rsidRDefault="001B6671" w:rsidP="00F4275A">
      <w:pPr>
        <w:pStyle w:val="a4"/>
        <w:tabs>
          <w:tab w:val="right" w:pos="9072"/>
        </w:tabs>
        <w:ind w:left="567" w:right="849" w:hanging="567"/>
        <w:jc w:val="both"/>
        <w:rPr>
          <w:rFonts w:ascii="Arial" w:hAnsi="Arial" w:cs="Arial"/>
          <w:color w:val="000000" w:themeColor="text1"/>
          <w:sz w:val="22"/>
          <w:szCs w:val="22"/>
        </w:rPr>
      </w:pPr>
      <w:r w:rsidRPr="00DA76A7">
        <w:rPr>
          <w:rFonts w:ascii="Arial" w:hAnsi="Arial" w:cs="Arial"/>
          <w:b/>
          <w:color w:val="000000" w:themeColor="text1"/>
          <w:sz w:val="22"/>
          <w:szCs w:val="22"/>
        </w:rPr>
        <w:t>Юсупов М.Д.</w:t>
      </w:r>
      <w:r w:rsidRPr="00DA76A7">
        <w:rPr>
          <w:rFonts w:ascii="Arial" w:hAnsi="Arial" w:cs="Arial"/>
          <w:color w:val="000000" w:themeColor="text1"/>
          <w:sz w:val="22"/>
          <w:szCs w:val="22"/>
        </w:rPr>
        <w:t xml:space="preserve"> </w:t>
      </w:r>
      <w:r w:rsidRPr="00DA76A7">
        <w:rPr>
          <w:rFonts w:ascii="Arial" w:hAnsi="Arial" w:cs="Arial"/>
          <w:caps/>
          <w:color w:val="000000" w:themeColor="text1"/>
          <w:sz w:val="22"/>
          <w:szCs w:val="22"/>
        </w:rPr>
        <w:t xml:space="preserve">К </w:t>
      </w:r>
      <w:r w:rsidRPr="00DA76A7">
        <w:rPr>
          <w:rFonts w:ascii="Arial" w:hAnsi="Arial" w:cs="Arial"/>
          <w:color w:val="000000" w:themeColor="text1"/>
          <w:sz w:val="22"/>
          <w:szCs w:val="22"/>
        </w:rPr>
        <w:t>вопросу о государственном суверенитете: проблемы и перспективы его развития в современных условиях</w:t>
      </w:r>
      <w:r w:rsidR="000E7DCF" w:rsidRPr="008855E2">
        <w:rPr>
          <w:rFonts w:ascii="Arial" w:hAnsi="Arial" w:cs="Arial"/>
          <w:color w:val="000000" w:themeColor="text1"/>
          <w:sz w:val="22"/>
          <w:szCs w:val="22"/>
          <w:u w:val="dotted"/>
        </w:rPr>
        <w:tab/>
      </w:r>
      <w:r w:rsidR="00E717D4">
        <w:rPr>
          <w:rFonts w:ascii="Arial" w:hAnsi="Arial" w:cs="Arial"/>
          <w:color w:val="000000" w:themeColor="text1"/>
          <w:sz w:val="22"/>
          <w:szCs w:val="22"/>
        </w:rPr>
        <w:t>711</w:t>
      </w:r>
    </w:p>
    <w:p w:rsidR="0054571D" w:rsidRPr="00542B0A" w:rsidRDefault="0054571D" w:rsidP="00F4275A">
      <w:pPr>
        <w:pStyle w:val="a4"/>
        <w:tabs>
          <w:tab w:val="right" w:pos="9072"/>
        </w:tabs>
        <w:ind w:left="567" w:right="849" w:hanging="567"/>
        <w:jc w:val="both"/>
        <w:rPr>
          <w:rFonts w:ascii="Arial" w:hAnsi="Arial" w:cs="Arial"/>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0E7DCF" w:rsidRPr="00542B0A" w:rsidRDefault="000E7DCF" w:rsidP="00F4275A">
      <w:pPr>
        <w:tabs>
          <w:tab w:val="right" w:pos="9072"/>
        </w:tabs>
        <w:ind w:left="567" w:right="849" w:hanging="567"/>
        <w:jc w:val="center"/>
        <w:rPr>
          <w:rFonts w:ascii="Arial" w:hAnsi="Arial" w:cs="Arial"/>
          <w:b/>
          <w:color w:val="000000" w:themeColor="text1"/>
          <w:sz w:val="22"/>
          <w:szCs w:val="22"/>
        </w:rPr>
      </w:pPr>
    </w:p>
    <w:p w:rsidR="000E7DCF" w:rsidRPr="00542B0A" w:rsidRDefault="000E7DCF" w:rsidP="00F4275A">
      <w:pPr>
        <w:tabs>
          <w:tab w:val="right" w:pos="9072"/>
        </w:tabs>
        <w:ind w:left="567" w:right="849" w:hanging="567"/>
        <w:jc w:val="center"/>
        <w:rPr>
          <w:rFonts w:ascii="Arial" w:hAnsi="Arial" w:cs="Arial"/>
          <w:b/>
          <w:color w:val="000000" w:themeColor="text1"/>
          <w:sz w:val="22"/>
          <w:szCs w:val="22"/>
        </w:rPr>
      </w:pPr>
    </w:p>
    <w:p w:rsidR="000E7DCF" w:rsidRPr="00542B0A" w:rsidRDefault="000E7DCF" w:rsidP="00F4275A">
      <w:pPr>
        <w:tabs>
          <w:tab w:val="right" w:pos="9072"/>
        </w:tabs>
        <w:ind w:left="567" w:right="849" w:hanging="567"/>
        <w:jc w:val="center"/>
        <w:rPr>
          <w:rFonts w:ascii="Arial" w:hAnsi="Arial" w:cs="Arial"/>
          <w:b/>
          <w:color w:val="000000" w:themeColor="text1"/>
          <w:sz w:val="22"/>
          <w:szCs w:val="22"/>
        </w:rPr>
      </w:pPr>
    </w:p>
    <w:p w:rsidR="000E7DCF" w:rsidRPr="00542B0A" w:rsidRDefault="000E7DCF" w:rsidP="00F4275A">
      <w:pPr>
        <w:tabs>
          <w:tab w:val="right" w:pos="9072"/>
        </w:tabs>
        <w:ind w:left="567" w:right="849" w:hanging="567"/>
        <w:jc w:val="center"/>
        <w:rPr>
          <w:rFonts w:ascii="Arial" w:hAnsi="Arial" w:cs="Arial"/>
          <w:b/>
          <w:color w:val="000000" w:themeColor="text1"/>
          <w:sz w:val="22"/>
          <w:szCs w:val="22"/>
        </w:rPr>
      </w:pPr>
    </w:p>
    <w:p w:rsidR="000E7DCF" w:rsidRPr="00542B0A" w:rsidRDefault="000E7DCF" w:rsidP="00F4275A">
      <w:pPr>
        <w:tabs>
          <w:tab w:val="right" w:pos="9072"/>
        </w:tabs>
        <w:ind w:left="567" w:right="849" w:hanging="567"/>
        <w:jc w:val="center"/>
        <w:rPr>
          <w:rFonts w:ascii="Arial" w:hAnsi="Arial" w:cs="Arial"/>
          <w:b/>
          <w:color w:val="000000" w:themeColor="text1"/>
          <w:sz w:val="22"/>
          <w:szCs w:val="22"/>
        </w:rPr>
      </w:pPr>
    </w:p>
    <w:p w:rsidR="000E7DCF" w:rsidRPr="00542B0A" w:rsidRDefault="000E7DCF" w:rsidP="00F4275A">
      <w:pPr>
        <w:tabs>
          <w:tab w:val="right" w:pos="9072"/>
        </w:tabs>
        <w:ind w:left="567" w:right="849" w:hanging="567"/>
        <w:jc w:val="center"/>
        <w:rPr>
          <w:rFonts w:ascii="Arial" w:hAnsi="Arial" w:cs="Arial"/>
          <w:b/>
          <w:color w:val="000000" w:themeColor="text1"/>
          <w:sz w:val="22"/>
          <w:szCs w:val="22"/>
        </w:rPr>
      </w:pPr>
    </w:p>
    <w:p w:rsidR="000E7DCF" w:rsidRPr="00542B0A" w:rsidRDefault="000E7DCF" w:rsidP="00F4275A">
      <w:pPr>
        <w:tabs>
          <w:tab w:val="right" w:pos="9072"/>
        </w:tabs>
        <w:ind w:left="567" w:right="849" w:hanging="567"/>
        <w:jc w:val="center"/>
        <w:rPr>
          <w:rFonts w:ascii="Arial" w:hAnsi="Arial" w:cs="Arial"/>
          <w:b/>
          <w:color w:val="000000" w:themeColor="text1"/>
          <w:sz w:val="22"/>
          <w:szCs w:val="22"/>
        </w:rPr>
      </w:pPr>
    </w:p>
    <w:p w:rsidR="000E7DCF" w:rsidRPr="00542B0A" w:rsidRDefault="000E7DCF"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277FC4" w:rsidRPr="00542B0A" w:rsidRDefault="00277FC4" w:rsidP="00F4275A">
      <w:pPr>
        <w:tabs>
          <w:tab w:val="right" w:pos="9072"/>
        </w:tabs>
        <w:ind w:left="567" w:right="849" w:hanging="567"/>
        <w:jc w:val="center"/>
        <w:rPr>
          <w:rFonts w:ascii="Arial" w:hAnsi="Arial" w:cs="Arial"/>
          <w:b/>
          <w:color w:val="000000" w:themeColor="text1"/>
          <w:sz w:val="22"/>
          <w:szCs w:val="22"/>
        </w:rPr>
      </w:pPr>
    </w:p>
    <w:p w:rsidR="0054571D" w:rsidRPr="00DA76A7" w:rsidRDefault="0054571D" w:rsidP="00F4275A">
      <w:pPr>
        <w:tabs>
          <w:tab w:val="right" w:pos="9072"/>
        </w:tabs>
        <w:ind w:left="567" w:right="849" w:hanging="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CONTENTS</w:t>
      </w:r>
    </w:p>
    <w:p w:rsidR="0054571D" w:rsidRPr="00DA76A7" w:rsidRDefault="0054571D" w:rsidP="00F4275A">
      <w:pPr>
        <w:tabs>
          <w:tab w:val="right" w:pos="9072"/>
        </w:tabs>
        <w:ind w:left="567" w:right="849" w:hanging="567"/>
        <w:jc w:val="center"/>
        <w:rPr>
          <w:rFonts w:ascii="Arial" w:hAnsi="Arial" w:cs="Arial"/>
          <w:b/>
          <w:color w:val="000000" w:themeColor="text1"/>
          <w:sz w:val="22"/>
          <w:szCs w:val="22"/>
          <w:lang w:val="en-US"/>
        </w:rPr>
      </w:pPr>
    </w:p>
    <w:p w:rsidR="00277FC4" w:rsidRPr="00DA76A7" w:rsidRDefault="00277FC4" w:rsidP="00277F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FOREWORD</w:t>
      </w:r>
      <w:r w:rsidRPr="00DA76A7">
        <w:rPr>
          <w:rFonts w:ascii="Arial" w:hAnsi="Arial" w:cs="Arial"/>
          <w:color w:val="000000" w:themeColor="text1"/>
          <w:sz w:val="22"/>
          <w:szCs w:val="22"/>
          <w:lang w:val="en-US"/>
        </w:rPr>
        <w:t>……………………………………………………………………………………..</w:t>
      </w:r>
      <w:r w:rsidR="00AC7230" w:rsidRPr="00A46E7B">
        <w:rPr>
          <w:rFonts w:ascii="Arial" w:hAnsi="Arial" w:cs="Arial"/>
          <w:color w:val="000000" w:themeColor="text1"/>
          <w:sz w:val="22"/>
          <w:szCs w:val="22"/>
          <w:lang w:val="en-US"/>
        </w:rPr>
        <w:t xml:space="preserve">     17</w:t>
      </w:r>
    </w:p>
    <w:p w:rsidR="00277FC4" w:rsidRPr="00DA76A7" w:rsidRDefault="00277FC4" w:rsidP="00F4275A">
      <w:pPr>
        <w:tabs>
          <w:tab w:val="right" w:pos="9072"/>
        </w:tabs>
        <w:ind w:left="567" w:right="849" w:hanging="567"/>
        <w:jc w:val="center"/>
        <w:rPr>
          <w:rFonts w:ascii="Arial" w:hAnsi="Arial" w:cs="Arial"/>
          <w:b/>
          <w:color w:val="000000" w:themeColor="text1"/>
          <w:sz w:val="22"/>
          <w:szCs w:val="22"/>
          <w:lang w:val="en-US"/>
        </w:rPr>
      </w:pPr>
    </w:p>
    <w:p w:rsidR="0054571D" w:rsidRPr="00DA76A7" w:rsidRDefault="0054571D" w:rsidP="00F4275A">
      <w:pPr>
        <w:tabs>
          <w:tab w:val="right" w:pos="9072"/>
        </w:tabs>
        <w:ind w:left="567" w:right="849" w:hanging="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SECTION ACTUAL PROBLEMS OF INTERNATIONAL PUBLIC AND PRIVATE LAW</w:t>
      </w:r>
    </w:p>
    <w:p w:rsidR="00143D93" w:rsidRPr="00DA76A7" w:rsidRDefault="00143D93" w:rsidP="00143D93">
      <w:pPr>
        <w:tabs>
          <w:tab w:val="right" w:pos="9072"/>
        </w:tabs>
        <w:ind w:left="567" w:right="849" w:hanging="567"/>
        <w:jc w:val="both"/>
        <w:rPr>
          <w:rFonts w:ascii="Arial" w:hAnsi="Arial" w:cs="Arial"/>
          <w:b/>
          <w:color w:val="000000" w:themeColor="text1"/>
          <w:sz w:val="22"/>
          <w:szCs w:val="22"/>
          <w:lang w:val="en-US"/>
        </w:rPr>
      </w:pPr>
    </w:p>
    <w:p w:rsidR="00143D93" w:rsidRPr="00DA76A7" w:rsidRDefault="00143D93" w:rsidP="00143D93">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Abdulkayum R. </w:t>
      </w:r>
      <w:r w:rsidRPr="00DA76A7">
        <w:rPr>
          <w:rFonts w:ascii="Arial" w:hAnsi="Arial" w:cs="Arial"/>
          <w:color w:val="000000" w:themeColor="text1"/>
          <w:sz w:val="22"/>
          <w:szCs w:val="22"/>
          <w:lang w:val="en-US"/>
        </w:rPr>
        <w:t>Problems of legal regulation of the international adoption in the Russian Federation</w:t>
      </w:r>
      <w:r w:rsidR="00AF1DB8" w:rsidRPr="00DA76A7">
        <w:rPr>
          <w:rFonts w:ascii="Arial" w:hAnsi="Arial" w:cs="Arial"/>
          <w:color w:val="000000" w:themeColor="text1"/>
          <w:sz w:val="22"/>
          <w:szCs w:val="22"/>
          <w:lang w:val="en-US"/>
        </w:rPr>
        <w:t>……………………..……………………..………………………….</w:t>
      </w:r>
      <w:r w:rsidR="00AC7230" w:rsidRPr="00A46E7B">
        <w:rPr>
          <w:rFonts w:ascii="Arial" w:hAnsi="Arial" w:cs="Arial"/>
          <w:color w:val="000000" w:themeColor="text1"/>
          <w:sz w:val="22"/>
          <w:szCs w:val="22"/>
          <w:lang w:val="en-US"/>
        </w:rPr>
        <w:tab/>
      </w:r>
      <w:r w:rsidR="00AC7230" w:rsidRPr="005F43EE">
        <w:rPr>
          <w:rFonts w:ascii="Arial" w:hAnsi="Arial" w:cs="Arial"/>
          <w:color w:val="000000" w:themeColor="text1"/>
          <w:sz w:val="22"/>
          <w:szCs w:val="22"/>
          <w:lang w:val="en-US"/>
        </w:rPr>
        <w:t>19</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Abdulloev R.Z.</w:t>
      </w:r>
      <w:r w:rsidRPr="00DA76A7">
        <w:rPr>
          <w:rFonts w:ascii="Arial" w:hAnsi="Arial" w:cs="Arial"/>
          <w:color w:val="000000" w:themeColor="text1"/>
          <w:sz w:val="22"/>
          <w:szCs w:val="22"/>
          <w:lang w:val="en-US"/>
        </w:rPr>
        <w:t xml:space="preserve"> Development of international cooperation in the field of legal regulation of banking activities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4052F8" w:rsidRPr="00A46E7B">
        <w:rPr>
          <w:rFonts w:ascii="Arial" w:hAnsi="Arial" w:cs="Arial"/>
          <w:color w:val="000000" w:themeColor="text1"/>
          <w:sz w:val="22"/>
          <w:szCs w:val="22"/>
          <w:lang w:val="en-US"/>
        </w:rPr>
        <w:t>23</w:t>
      </w:r>
    </w:p>
    <w:p w:rsidR="0054571D" w:rsidRPr="00A46E7B"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Abdurasulov A.</w:t>
      </w:r>
      <w:r w:rsidRPr="00DA76A7">
        <w:rPr>
          <w:rFonts w:ascii="Arial" w:hAnsi="Arial" w:cs="Arial"/>
          <w:b/>
          <w:color w:val="000000" w:themeColor="text1"/>
          <w:sz w:val="22"/>
          <w:szCs w:val="22"/>
        </w:rPr>
        <w:t>А</w:t>
      </w:r>
      <w:r w:rsidRPr="00DA76A7">
        <w:rPr>
          <w:rFonts w:ascii="Arial" w:hAnsi="Arial" w:cs="Arial"/>
          <w:b/>
          <w:color w:val="000000" w:themeColor="text1"/>
          <w:sz w:val="22"/>
          <w:szCs w:val="22"/>
          <w:lang w:val="en-US"/>
        </w:rPr>
        <w:t>.</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Territorial disputes in international law: mechanisms and principles of resolution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shd w:val="clear" w:color="auto" w:fill="FFFFFF"/>
          <w:lang w:val="en-US"/>
        </w:rPr>
        <w:tab/>
      </w:r>
      <w:r w:rsidR="004052F8" w:rsidRPr="00A46E7B">
        <w:rPr>
          <w:rFonts w:ascii="Arial" w:hAnsi="Arial" w:cs="Arial"/>
          <w:color w:val="000000" w:themeColor="text1"/>
          <w:sz w:val="22"/>
          <w:szCs w:val="22"/>
          <w:shd w:val="clear" w:color="auto" w:fill="FFFFFF"/>
          <w:lang w:val="en-US"/>
        </w:rPr>
        <w:t>27</w:t>
      </w:r>
    </w:p>
    <w:p w:rsidR="0054571D" w:rsidRPr="00A46E7B"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Abdurasulov Sh.M.</w:t>
      </w:r>
      <w:r w:rsidRPr="00DA76A7">
        <w:rPr>
          <w:rFonts w:ascii="Arial" w:hAnsi="Arial" w:cs="Arial"/>
          <w:color w:val="000000" w:themeColor="text1"/>
          <w:sz w:val="22"/>
          <w:szCs w:val="22"/>
          <w:lang w:val="en-US"/>
        </w:rPr>
        <w:t xml:space="preserve"> Some aspects of the foreign policy of the Republic </w:t>
      </w:r>
      <w:r w:rsidRPr="00DA76A7">
        <w:rPr>
          <w:rFonts w:ascii="Arial" w:hAnsi="Arial" w:cs="Arial"/>
          <w:color w:val="000000" w:themeColor="text1"/>
          <w:sz w:val="22"/>
          <w:szCs w:val="22"/>
        </w:rPr>
        <w:t>о</w:t>
      </w:r>
      <w:r w:rsidRPr="00DA76A7">
        <w:rPr>
          <w:rFonts w:ascii="Arial" w:hAnsi="Arial" w:cs="Arial"/>
          <w:color w:val="000000" w:themeColor="text1"/>
          <w:sz w:val="22"/>
          <w:szCs w:val="22"/>
          <w:lang w:val="en-US"/>
        </w:rPr>
        <w:t>f Tajikistan at the present stage</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4052F8" w:rsidRPr="00A46E7B">
        <w:rPr>
          <w:rFonts w:ascii="Arial" w:hAnsi="Arial" w:cs="Arial"/>
          <w:color w:val="000000" w:themeColor="text1"/>
          <w:sz w:val="22"/>
          <w:szCs w:val="22"/>
          <w:lang w:val="en-US"/>
        </w:rPr>
        <w:t>30</w:t>
      </w:r>
    </w:p>
    <w:p w:rsidR="0054571D" w:rsidRPr="00A46E7B" w:rsidRDefault="0054571D" w:rsidP="00F4275A">
      <w:pPr>
        <w:pStyle w:val="ac"/>
        <w:tabs>
          <w:tab w:val="right" w:pos="9072"/>
        </w:tabs>
        <w:ind w:left="567" w:right="849" w:hanging="567"/>
        <w:jc w:val="both"/>
        <w:rPr>
          <w:rFonts w:ascii="Arial" w:hAnsi="Arial" w:cs="Arial"/>
          <w:color w:val="000000" w:themeColor="text1"/>
          <w:lang w:val="en-US"/>
        </w:rPr>
      </w:pPr>
      <w:r w:rsidRPr="00DA76A7">
        <w:rPr>
          <w:rFonts w:ascii="Arial" w:hAnsi="Arial" w:cs="Arial"/>
          <w:b/>
          <w:color w:val="000000" w:themeColor="text1"/>
          <w:lang w:val="en-US"/>
        </w:rPr>
        <w:t>Azizov F.H.</w:t>
      </w:r>
      <w:r w:rsidRPr="00DA76A7">
        <w:rPr>
          <w:rFonts w:ascii="Arial" w:hAnsi="Arial" w:cs="Arial"/>
          <w:color w:val="000000" w:themeColor="text1"/>
          <w:lang w:val="en-US"/>
        </w:rPr>
        <w:t xml:space="preserve"> Basic collision principles applicable to commitments from unfeature competition</w:t>
      </w:r>
      <w:r w:rsidR="00AF1DB8" w:rsidRPr="00DA76A7">
        <w:rPr>
          <w:rFonts w:ascii="Arial" w:hAnsi="Arial" w:cs="Arial"/>
          <w:color w:val="000000" w:themeColor="text1"/>
          <w:lang w:val="en-US"/>
        </w:rPr>
        <w:t>……………………..……………………..……………………..…………….</w:t>
      </w:r>
      <w:r w:rsidR="001A6A6A" w:rsidRPr="00DA76A7">
        <w:rPr>
          <w:rFonts w:ascii="Arial" w:hAnsi="Arial" w:cs="Arial"/>
          <w:color w:val="000000" w:themeColor="text1"/>
          <w:lang w:val="en-US"/>
        </w:rPr>
        <w:tab/>
      </w:r>
      <w:r w:rsidR="004052F8" w:rsidRPr="00A46E7B">
        <w:rPr>
          <w:rFonts w:ascii="Arial" w:hAnsi="Arial" w:cs="Arial"/>
          <w:color w:val="000000" w:themeColor="text1"/>
          <w:lang w:val="en-US"/>
        </w:rPr>
        <w:t>34</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Akopyan V.G.</w:t>
      </w:r>
      <w:r w:rsidRPr="00DA76A7">
        <w:rPr>
          <w:rFonts w:ascii="Arial" w:hAnsi="Arial" w:cs="Arial"/>
          <w:color w:val="000000" w:themeColor="text1"/>
          <w:sz w:val="22"/>
          <w:szCs w:val="22"/>
          <w:lang w:val="en-US"/>
        </w:rPr>
        <w:t xml:space="preserve"> The problem of observing employees in the legal positions of the european court of human rights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4052F8" w:rsidRPr="00A46E7B">
        <w:rPr>
          <w:rFonts w:ascii="Arial" w:hAnsi="Arial" w:cs="Arial"/>
          <w:color w:val="000000" w:themeColor="text1"/>
          <w:sz w:val="22"/>
          <w:szCs w:val="22"/>
          <w:lang w:val="en-US"/>
        </w:rPr>
        <w:t>39</w:t>
      </w:r>
    </w:p>
    <w:p w:rsidR="0054571D" w:rsidRPr="00A46E7B" w:rsidRDefault="0054571D" w:rsidP="00F4275A">
      <w:pPr>
        <w:shd w:val="clear" w:color="auto" w:fill="FFFFFF"/>
        <w:tabs>
          <w:tab w:val="right" w:pos="9072"/>
        </w:tabs>
        <w:ind w:left="567" w:right="849" w:hanging="567"/>
        <w:jc w:val="both"/>
        <w:rPr>
          <w:rFonts w:ascii="Arial" w:hAnsi="Arial" w:cs="Arial"/>
          <w:bCs/>
          <w:color w:val="000000" w:themeColor="text1"/>
          <w:sz w:val="22"/>
          <w:szCs w:val="22"/>
          <w:lang w:val="en-US"/>
        </w:rPr>
      </w:pPr>
      <w:r w:rsidRPr="00DA76A7">
        <w:rPr>
          <w:rFonts w:ascii="Arial" w:hAnsi="Arial" w:cs="Arial"/>
          <w:b/>
          <w:color w:val="000000" w:themeColor="text1"/>
          <w:sz w:val="22"/>
          <w:szCs w:val="22"/>
        </w:rPr>
        <w:t>А</w:t>
      </w:r>
      <w:r w:rsidRPr="00DA76A7">
        <w:rPr>
          <w:rFonts w:ascii="Arial" w:hAnsi="Arial" w:cs="Arial"/>
          <w:b/>
          <w:color w:val="000000" w:themeColor="text1"/>
          <w:sz w:val="22"/>
          <w:szCs w:val="22"/>
          <w:lang w:val="en-US"/>
        </w:rPr>
        <w:t>khundjanov E.P.</w:t>
      </w:r>
      <w:r w:rsidRPr="00DA76A7">
        <w:rPr>
          <w:rFonts w:ascii="Arial" w:hAnsi="Arial" w:cs="Arial"/>
          <w:color w:val="000000" w:themeColor="text1"/>
          <w:sz w:val="22"/>
          <w:szCs w:val="22"/>
          <w:lang w:val="en-US"/>
        </w:rPr>
        <w:t xml:space="preserve"> </w:t>
      </w:r>
      <w:r w:rsidRPr="00DA76A7">
        <w:rPr>
          <w:rFonts w:ascii="Arial" w:hAnsi="Arial" w:cs="Arial"/>
          <w:bCs/>
          <w:color w:val="000000" w:themeColor="text1"/>
          <w:sz w:val="22"/>
          <w:szCs w:val="22"/>
          <w:lang w:val="en-US"/>
        </w:rPr>
        <w:t>Issues of legal regulation of the international carriage of passengers and baggage in railway transport</w:t>
      </w:r>
      <w:r w:rsidR="00AF1DB8" w:rsidRPr="00DA76A7">
        <w:rPr>
          <w:rFonts w:ascii="Arial" w:hAnsi="Arial" w:cs="Arial"/>
          <w:color w:val="000000" w:themeColor="text1"/>
          <w:sz w:val="22"/>
          <w:szCs w:val="22"/>
          <w:lang w:val="en-US"/>
        </w:rPr>
        <w:t>……………………..………………….</w:t>
      </w:r>
      <w:r w:rsidR="001A6A6A" w:rsidRPr="00DA76A7">
        <w:rPr>
          <w:rFonts w:ascii="Arial" w:hAnsi="Arial" w:cs="Arial"/>
          <w:bCs/>
          <w:color w:val="000000" w:themeColor="text1"/>
          <w:sz w:val="22"/>
          <w:szCs w:val="22"/>
          <w:lang w:val="en-US"/>
        </w:rPr>
        <w:tab/>
      </w:r>
      <w:r w:rsidR="004052F8" w:rsidRPr="00A46E7B">
        <w:rPr>
          <w:rFonts w:ascii="Arial" w:hAnsi="Arial" w:cs="Arial"/>
          <w:bCs/>
          <w:color w:val="000000" w:themeColor="text1"/>
          <w:sz w:val="22"/>
          <w:szCs w:val="22"/>
          <w:lang w:val="en-US"/>
        </w:rPr>
        <w:t>42</w:t>
      </w:r>
    </w:p>
    <w:p w:rsidR="00143D93" w:rsidRPr="00DA76A7" w:rsidRDefault="00143D93" w:rsidP="00143D93">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 xml:space="preserve">Ashurova F.Z. </w:t>
      </w:r>
      <w:r w:rsidRPr="00DA76A7">
        <w:rPr>
          <w:rFonts w:ascii="Arial" w:hAnsi="Arial" w:cs="Arial"/>
          <w:color w:val="000000" w:themeColor="text1"/>
          <w:sz w:val="22"/>
          <w:szCs w:val="22"/>
          <w:shd w:val="clear" w:color="auto" w:fill="FFFFFF"/>
          <w:lang w:val="en-US"/>
        </w:rPr>
        <w:t>United nations high commissioner for refugees history, objectives and structure</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4052F8" w:rsidRPr="00A46E7B">
        <w:rPr>
          <w:rFonts w:ascii="Arial" w:hAnsi="Arial" w:cs="Arial"/>
          <w:color w:val="000000" w:themeColor="text1"/>
          <w:sz w:val="22"/>
          <w:szCs w:val="22"/>
          <w:lang w:val="en-US"/>
        </w:rPr>
        <w:t>46</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Behruzi A.</w:t>
      </w:r>
      <w:r w:rsidRPr="00DA76A7">
        <w:rPr>
          <w:rFonts w:ascii="Arial" w:hAnsi="Arial" w:cs="Arial"/>
          <w:color w:val="000000" w:themeColor="text1"/>
          <w:sz w:val="22"/>
          <w:szCs w:val="22"/>
          <w:lang w:val="en-US"/>
        </w:rPr>
        <w:t xml:space="preserve"> About the concept of international air communication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4052F8" w:rsidRPr="00A46E7B">
        <w:rPr>
          <w:rFonts w:ascii="Arial" w:hAnsi="Arial" w:cs="Arial"/>
          <w:color w:val="000000" w:themeColor="text1"/>
          <w:sz w:val="22"/>
          <w:szCs w:val="22"/>
          <w:lang w:val="en-US"/>
        </w:rPr>
        <w:t>50</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Behruzi A.</w:t>
      </w:r>
      <w:r w:rsidRPr="00DA76A7">
        <w:rPr>
          <w:rFonts w:ascii="Arial" w:hAnsi="Arial" w:cs="Arial"/>
          <w:color w:val="000000" w:themeColor="text1"/>
          <w:sz w:val="22"/>
          <w:szCs w:val="22"/>
          <w:lang w:val="en-US"/>
        </w:rPr>
        <w:t xml:space="preserve"> The Chicago convention on international civil aviation 1944 - the main act of the international air law</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14277D">
        <w:rPr>
          <w:rFonts w:ascii="Arial" w:hAnsi="Arial" w:cs="Arial"/>
          <w:color w:val="000000" w:themeColor="text1"/>
          <w:sz w:val="22"/>
          <w:szCs w:val="22"/>
          <w:lang w:val="en-US"/>
        </w:rPr>
        <w:t>52</w:t>
      </w:r>
    </w:p>
    <w:p w:rsidR="0054571D" w:rsidRPr="00A46E7B" w:rsidRDefault="0054571D" w:rsidP="00F4275A">
      <w:pPr>
        <w:pStyle w:val="ac"/>
        <w:tabs>
          <w:tab w:val="right" w:pos="9072"/>
        </w:tabs>
        <w:ind w:left="567" w:right="849" w:hanging="567"/>
        <w:jc w:val="both"/>
        <w:rPr>
          <w:rFonts w:ascii="Arial" w:hAnsi="Arial" w:cs="Arial"/>
          <w:color w:val="000000" w:themeColor="text1"/>
          <w:lang w:val="en-US"/>
        </w:rPr>
      </w:pPr>
      <w:r w:rsidRPr="00DA76A7">
        <w:rPr>
          <w:rFonts w:ascii="Arial" w:hAnsi="Arial" w:cs="Arial"/>
          <w:b/>
          <w:color w:val="000000" w:themeColor="text1"/>
          <w:lang w:val="en-US"/>
        </w:rPr>
        <w:t>Valikhodzhaeva N.M.</w:t>
      </w:r>
      <w:r w:rsidRPr="00DA76A7">
        <w:rPr>
          <w:rFonts w:ascii="Arial" w:hAnsi="Arial" w:cs="Arial"/>
          <w:color w:val="000000" w:themeColor="text1"/>
          <w:lang w:val="en-US"/>
        </w:rPr>
        <w:t xml:space="preserve"> International labour standards</w:t>
      </w:r>
      <w:r w:rsidR="00AF1DB8" w:rsidRPr="00DA76A7">
        <w:rPr>
          <w:rFonts w:ascii="Arial" w:hAnsi="Arial" w:cs="Arial"/>
          <w:color w:val="000000" w:themeColor="text1"/>
          <w:lang w:val="en-US"/>
        </w:rPr>
        <w:t>……………………..……………….</w:t>
      </w:r>
      <w:r w:rsidR="001A6A6A" w:rsidRPr="00DA76A7">
        <w:rPr>
          <w:rFonts w:ascii="Arial" w:hAnsi="Arial" w:cs="Arial"/>
          <w:color w:val="000000" w:themeColor="text1"/>
          <w:lang w:val="en-US"/>
        </w:rPr>
        <w:tab/>
      </w:r>
      <w:r w:rsidR="00903C8A">
        <w:rPr>
          <w:rFonts w:ascii="Arial" w:hAnsi="Arial" w:cs="Arial"/>
          <w:color w:val="000000" w:themeColor="text1"/>
          <w:lang w:val="en-US"/>
        </w:rPr>
        <w:t>55</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Dadobaeva N.S.</w:t>
      </w:r>
      <w:r w:rsidRPr="00DA76A7">
        <w:rPr>
          <w:rFonts w:ascii="Arial" w:hAnsi="Arial" w:cs="Arial"/>
          <w:color w:val="000000" w:themeColor="text1"/>
          <w:sz w:val="22"/>
          <w:szCs w:val="22"/>
          <w:lang w:val="en-US"/>
        </w:rPr>
        <w:t xml:space="preserve"> Party autonomy and the choice of law in international commercial arbitration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4052F8" w:rsidRPr="00A46E7B">
        <w:rPr>
          <w:rFonts w:ascii="Arial" w:hAnsi="Arial" w:cs="Arial"/>
          <w:color w:val="000000" w:themeColor="text1"/>
          <w:sz w:val="22"/>
          <w:szCs w:val="22"/>
          <w:lang w:val="en-US"/>
        </w:rPr>
        <w:t>61</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Jurahonov B.A.</w:t>
      </w:r>
      <w:r w:rsidRPr="00DA76A7">
        <w:rPr>
          <w:rFonts w:ascii="Arial" w:hAnsi="Arial" w:cs="Arial"/>
          <w:color w:val="000000" w:themeColor="text1"/>
          <w:sz w:val="22"/>
          <w:szCs w:val="22"/>
          <w:lang w:val="en-US"/>
        </w:rPr>
        <w:t xml:space="preserve"> Unification of international private law</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64</w:t>
      </w:r>
    </w:p>
    <w:p w:rsidR="0054571D" w:rsidRPr="005F43EE" w:rsidRDefault="0054571D" w:rsidP="00F4275A">
      <w:pPr>
        <w:tabs>
          <w:tab w:val="right" w:pos="9072"/>
        </w:tabs>
        <w:ind w:left="567" w:right="849" w:hanging="567"/>
        <w:jc w:val="both"/>
        <w:rPr>
          <w:rFonts w:ascii="Arial" w:hAnsi="Arial" w:cs="Arial"/>
          <w:caps/>
          <w:color w:val="000000" w:themeColor="text1"/>
          <w:sz w:val="22"/>
          <w:szCs w:val="22"/>
          <w:lang w:val="en-US"/>
        </w:rPr>
      </w:pPr>
      <w:r w:rsidRPr="00DA76A7">
        <w:rPr>
          <w:rFonts w:ascii="Arial" w:hAnsi="Arial" w:cs="Arial"/>
          <w:b/>
          <w:color w:val="000000" w:themeColor="text1"/>
          <w:sz w:val="22"/>
          <w:szCs w:val="22"/>
          <w:lang w:val="en-US"/>
        </w:rPr>
        <w:t>Dyadkova Y.A.</w:t>
      </w:r>
      <w:r w:rsidRPr="00DA76A7">
        <w:rPr>
          <w:rFonts w:ascii="Arial" w:hAnsi="Arial" w:cs="Arial"/>
          <w:color w:val="000000" w:themeColor="text1"/>
          <w:sz w:val="22"/>
          <w:szCs w:val="22"/>
          <w:lang w:val="en-US"/>
        </w:rPr>
        <w:t xml:space="preserve"> </w:t>
      </w:r>
      <w:r w:rsidRPr="00DA76A7">
        <w:rPr>
          <w:rFonts w:ascii="Arial" w:hAnsi="Arial" w:cs="Arial"/>
          <w:caps/>
          <w:color w:val="000000" w:themeColor="text1"/>
          <w:sz w:val="22"/>
          <w:szCs w:val="22"/>
          <w:lang w:val="en-US"/>
        </w:rPr>
        <w:t>C</w:t>
      </w:r>
      <w:r w:rsidRPr="00DA76A7">
        <w:rPr>
          <w:rFonts w:ascii="Arial" w:hAnsi="Arial" w:cs="Arial"/>
          <w:color w:val="000000" w:themeColor="text1"/>
          <w:sz w:val="22"/>
          <w:szCs w:val="22"/>
          <w:lang w:val="en-US"/>
        </w:rPr>
        <w:t>oncerning the implementation of international treaties in the field of foreign investments within the national legislation of the Russian Federation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6</w:t>
      </w:r>
      <w:r w:rsidR="00903C8A" w:rsidRPr="005F43EE">
        <w:rPr>
          <w:rFonts w:ascii="Arial" w:hAnsi="Arial" w:cs="Arial"/>
          <w:color w:val="000000" w:themeColor="text1"/>
          <w:sz w:val="22"/>
          <w:szCs w:val="22"/>
          <w:lang w:val="en-US"/>
        </w:rPr>
        <w:t>7</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Istamov U.</w:t>
      </w:r>
      <w:r w:rsidR="00A779A9" w:rsidRPr="00DA76A7">
        <w:rPr>
          <w:rFonts w:ascii="Arial" w:hAnsi="Arial" w:cs="Arial"/>
          <w:b/>
          <w:color w:val="000000" w:themeColor="text1"/>
          <w:sz w:val="22"/>
          <w:szCs w:val="22"/>
        </w:rPr>
        <w:t>В</w:t>
      </w:r>
      <w:r w:rsidR="00A779A9" w:rsidRPr="00DA76A7">
        <w:rPr>
          <w:rFonts w:ascii="Arial" w:hAnsi="Arial" w:cs="Arial"/>
          <w:b/>
          <w:color w:val="000000" w:themeColor="text1"/>
          <w:sz w:val="22"/>
          <w:szCs w:val="22"/>
          <w:lang w:val="en-US"/>
        </w:rPr>
        <w:t>.</w:t>
      </w:r>
      <w:r w:rsidRPr="00DA76A7">
        <w:rPr>
          <w:rFonts w:ascii="Arial" w:hAnsi="Arial" w:cs="Arial"/>
          <w:color w:val="000000" w:themeColor="text1"/>
          <w:sz w:val="22"/>
          <w:szCs w:val="22"/>
          <w:lang w:val="en-US"/>
        </w:rPr>
        <w:t xml:space="preserve"> To the question of sources of collision-legal regulation of alimentary relations of parents and children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72</w:t>
      </w:r>
    </w:p>
    <w:p w:rsidR="001A6A6A" w:rsidRPr="00A46E7B" w:rsidRDefault="0054571D" w:rsidP="001A6A6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Kurbanov F.B.</w:t>
      </w:r>
      <w:r w:rsidRPr="00DA76A7">
        <w:rPr>
          <w:rFonts w:ascii="Arial" w:hAnsi="Arial" w:cs="Arial"/>
          <w:color w:val="000000" w:themeColor="text1"/>
          <w:sz w:val="22"/>
          <w:szCs w:val="22"/>
          <w:lang w:val="en-US"/>
        </w:rPr>
        <w:t xml:space="preserve"> Perspectives and peculiarities of struggle with international</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4052F8" w:rsidRPr="00A46E7B">
        <w:rPr>
          <w:rFonts w:ascii="Arial" w:hAnsi="Arial" w:cs="Arial"/>
          <w:color w:val="000000" w:themeColor="text1"/>
          <w:sz w:val="22"/>
          <w:szCs w:val="22"/>
          <w:lang w:val="en-US"/>
        </w:rPr>
        <w:t>76</w:t>
      </w:r>
    </w:p>
    <w:p w:rsidR="0054571D" w:rsidRPr="00DA76A7" w:rsidRDefault="0054571D" w:rsidP="001A6A6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Mamadalieva M.S.</w:t>
      </w:r>
      <w:r w:rsidRPr="00DA76A7">
        <w:rPr>
          <w:rFonts w:ascii="Arial" w:hAnsi="Arial" w:cs="Arial"/>
          <w:color w:val="000000" w:themeColor="text1"/>
          <w:sz w:val="22"/>
          <w:szCs w:val="22"/>
          <w:lang w:val="en-US"/>
        </w:rPr>
        <w:t xml:space="preserve"> Participation of Tajikistan in international economic relations within the framework of the CIS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4052F8" w:rsidRPr="00A46E7B">
        <w:rPr>
          <w:rFonts w:ascii="Arial" w:hAnsi="Arial" w:cs="Arial"/>
          <w:color w:val="000000" w:themeColor="text1"/>
          <w:sz w:val="22"/>
          <w:szCs w:val="22"/>
          <w:lang w:val="en-US"/>
        </w:rPr>
        <w:t>81</w:t>
      </w:r>
    </w:p>
    <w:p w:rsidR="0054571D" w:rsidRPr="00A46E7B" w:rsidRDefault="0054571D" w:rsidP="00F4275A">
      <w:pPr>
        <w:pStyle w:val="ac"/>
        <w:tabs>
          <w:tab w:val="right" w:pos="9072"/>
        </w:tabs>
        <w:ind w:left="567" w:right="849" w:hanging="567"/>
        <w:jc w:val="both"/>
        <w:rPr>
          <w:rFonts w:ascii="Arial" w:hAnsi="Arial" w:cs="Arial"/>
          <w:color w:val="000000" w:themeColor="text1"/>
          <w:lang w:val="en-US"/>
        </w:rPr>
      </w:pPr>
      <w:r w:rsidRPr="00DA76A7">
        <w:rPr>
          <w:rFonts w:ascii="Arial" w:hAnsi="Arial" w:cs="Arial"/>
          <w:b/>
          <w:color w:val="000000" w:themeColor="text1"/>
          <w:lang w:val="en-US"/>
        </w:rPr>
        <w:t>Mamadalieva M.S.</w:t>
      </w:r>
      <w:r w:rsidRPr="00DA76A7">
        <w:rPr>
          <w:rFonts w:ascii="Arial" w:hAnsi="Arial" w:cs="Arial"/>
          <w:color w:val="000000" w:themeColor="text1"/>
          <w:lang w:val="en-US"/>
        </w:rPr>
        <w:t xml:space="preserve"> Trade representatives of the republic of tajikistan as a separate subjec</w:t>
      </w:r>
      <w:r w:rsidR="00AF1DB8" w:rsidRPr="00DA76A7">
        <w:rPr>
          <w:rFonts w:ascii="Arial" w:hAnsi="Arial" w:cs="Arial"/>
          <w:color w:val="000000" w:themeColor="text1"/>
          <w:lang w:val="en-US"/>
        </w:rPr>
        <w:t>t of international economic law……………………..……………………………</w:t>
      </w:r>
      <w:r w:rsidR="001A6A6A" w:rsidRPr="00DA76A7">
        <w:rPr>
          <w:rFonts w:ascii="Arial" w:hAnsi="Arial" w:cs="Arial"/>
          <w:color w:val="000000" w:themeColor="text1"/>
          <w:lang w:val="en-US"/>
        </w:rPr>
        <w:tab/>
      </w:r>
      <w:r w:rsidR="00903C8A">
        <w:rPr>
          <w:rFonts w:ascii="Arial" w:hAnsi="Arial" w:cs="Arial"/>
          <w:color w:val="000000" w:themeColor="text1"/>
          <w:lang w:val="en-US"/>
        </w:rPr>
        <w:t>83</w:t>
      </w:r>
    </w:p>
    <w:p w:rsidR="0054571D" w:rsidRPr="00A46E7B" w:rsidRDefault="0054571D" w:rsidP="00F4275A">
      <w:pPr>
        <w:pStyle w:val="ConsPlusNormal"/>
        <w:widowControl/>
        <w:suppressLineNumbers/>
        <w:tabs>
          <w:tab w:val="right" w:pos="9072"/>
        </w:tabs>
        <w:suppressAutoHyphens/>
        <w:ind w:left="567" w:right="849" w:hanging="567"/>
        <w:jc w:val="both"/>
        <w:rPr>
          <w:color w:val="000000" w:themeColor="text1"/>
          <w:sz w:val="22"/>
          <w:szCs w:val="22"/>
          <w:lang w:val="en-US"/>
        </w:rPr>
      </w:pPr>
      <w:r w:rsidRPr="00DA76A7">
        <w:rPr>
          <w:b/>
          <w:color w:val="000000" w:themeColor="text1"/>
          <w:sz w:val="22"/>
          <w:szCs w:val="22"/>
          <w:lang w:val="en-US"/>
        </w:rPr>
        <w:t>Mamatkulova A.O.</w:t>
      </w:r>
      <w:r w:rsidRPr="00DA76A7">
        <w:rPr>
          <w:color w:val="000000" w:themeColor="text1"/>
          <w:sz w:val="22"/>
          <w:szCs w:val="22"/>
          <w:lang w:val="en-US"/>
        </w:rPr>
        <w:t xml:space="preserve"> Institute of investment as a form of implementation of investments in Tajikistan</w:t>
      </w:r>
      <w:r w:rsidR="00AF1DB8" w:rsidRPr="00DA76A7">
        <w:rPr>
          <w:color w:val="000000" w:themeColor="text1"/>
          <w:sz w:val="22"/>
          <w:szCs w:val="22"/>
          <w:lang w:val="en-US"/>
        </w:rPr>
        <w:t>……………………..……………………..……………………..……………</w:t>
      </w:r>
      <w:r w:rsidR="001A6A6A" w:rsidRPr="00DA76A7">
        <w:rPr>
          <w:color w:val="000000" w:themeColor="text1"/>
          <w:sz w:val="22"/>
          <w:szCs w:val="22"/>
          <w:lang w:val="en-US"/>
        </w:rPr>
        <w:tab/>
      </w:r>
      <w:r w:rsidR="00903C8A">
        <w:rPr>
          <w:color w:val="000000" w:themeColor="text1"/>
          <w:sz w:val="22"/>
          <w:szCs w:val="22"/>
          <w:lang w:val="en-US"/>
        </w:rPr>
        <w:t>85</w:t>
      </w:r>
    </w:p>
    <w:p w:rsidR="0054571D" w:rsidRPr="00A46E7B" w:rsidRDefault="0054571D" w:rsidP="00F4275A">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bidi="ru-RU"/>
        </w:rPr>
        <w:t>Melikova Z.Z.</w:t>
      </w:r>
      <w:r w:rsidRPr="00DA76A7">
        <w:rPr>
          <w:rFonts w:ascii="Arial" w:hAnsi="Arial" w:cs="Arial"/>
          <w:color w:val="000000" w:themeColor="text1"/>
          <w:sz w:val="22"/>
          <w:szCs w:val="22"/>
          <w:lang w:val="en-US" w:bidi="ru-RU"/>
        </w:rPr>
        <w:t xml:space="preserve"> </w:t>
      </w:r>
      <w:r w:rsidRPr="00DA76A7">
        <w:rPr>
          <w:rFonts w:ascii="Arial" w:eastAsia="Calibri" w:hAnsi="Arial" w:cs="Arial"/>
          <w:color w:val="000000" w:themeColor="text1"/>
          <w:sz w:val="22"/>
          <w:szCs w:val="22"/>
          <w:lang w:val="en-US"/>
        </w:rPr>
        <w:t>The role of readmission in the international legal regulation of processes of illegal migration</w:t>
      </w:r>
      <w:r w:rsidR="00AF1DB8" w:rsidRPr="00DA76A7">
        <w:rPr>
          <w:rFonts w:ascii="Arial" w:hAnsi="Arial" w:cs="Arial"/>
          <w:color w:val="000000" w:themeColor="text1"/>
          <w:sz w:val="22"/>
          <w:szCs w:val="22"/>
          <w:lang w:val="en-US"/>
        </w:rPr>
        <w:t>……………………..……………………..…………………………...</w:t>
      </w:r>
      <w:r w:rsidR="001A6A6A" w:rsidRPr="00DA76A7">
        <w:rPr>
          <w:rFonts w:ascii="Arial" w:eastAsia="Calibri" w:hAnsi="Arial" w:cs="Arial"/>
          <w:color w:val="000000" w:themeColor="text1"/>
          <w:sz w:val="22"/>
          <w:szCs w:val="22"/>
          <w:lang w:val="en-US"/>
        </w:rPr>
        <w:tab/>
      </w:r>
      <w:r w:rsidR="00903C8A">
        <w:rPr>
          <w:rFonts w:ascii="Arial" w:eastAsia="Calibri" w:hAnsi="Arial" w:cs="Arial"/>
          <w:color w:val="000000" w:themeColor="text1"/>
          <w:sz w:val="22"/>
          <w:szCs w:val="22"/>
          <w:lang w:val="en-US"/>
        </w:rPr>
        <w:t>88</w:t>
      </w:r>
    </w:p>
    <w:p w:rsidR="0054571D" w:rsidRPr="00A46E7B" w:rsidRDefault="0054571D" w:rsidP="00F4275A">
      <w:pPr>
        <w:tabs>
          <w:tab w:val="right" w:pos="9072"/>
        </w:tabs>
        <w:ind w:left="567" w:right="849" w:hanging="567"/>
        <w:jc w:val="both"/>
        <w:rPr>
          <w:rFonts w:ascii="Arial" w:hAnsi="Arial" w:cs="Arial"/>
          <w:bCs/>
          <w:color w:val="000000" w:themeColor="text1"/>
          <w:sz w:val="22"/>
          <w:szCs w:val="22"/>
          <w:lang w:val="en-US"/>
        </w:rPr>
      </w:pPr>
      <w:r w:rsidRPr="00DA76A7">
        <w:rPr>
          <w:rFonts w:ascii="Arial" w:hAnsi="Arial" w:cs="Arial"/>
          <w:b/>
          <w:bCs/>
          <w:color w:val="000000" w:themeColor="text1"/>
          <w:sz w:val="22"/>
          <w:szCs w:val="22"/>
          <w:lang w:val="en-US"/>
        </w:rPr>
        <w:t>Nazarova S.A.</w:t>
      </w:r>
      <w:r w:rsidRPr="00DA76A7">
        <w:rPr>
          <w:rFonts w:ascii="Arial" w:hAnsi="Arial" w:cs="Arial"/>
          <w:bCs/>
          <w:color w:val="000000" w:themeColor="text1"/>
          <w:sz w:val="22"/>
          <w:szCs w:val="22"/>
          <w:lang w:val="en-US"/>
        </w:rPr>
        <w:t xml:space="preserve"> The place of  representative of Republic </w:t>
      </w:r>
      <w:r w:rsidRPr="00DA76A7">
        <w:rPr>
          <w:rFonts w:ascii="Arial" w:hAnsi="Arial" w:cs="Arial"/>
          <w:bCs/>
          <w:color w:val="000000" w:themeColor="text1"/>
          <w:sz w:val="22"/>
          <w:szCs w:val="22"/>
        </w:rPr>
        <w:t>о</w:t>
      </w:r>
      <w:r w:rsidRPr="00DA76A7">
        <w:rPr>
          <w:rFonts w:ascii="Arial" w:hAnsi="Arial" w:cs="Arial"/>
          <w:bCs/>
          <w:color w:val="000000" w:themeColor="text1"/>
          <w:sz w:val="22"/>
          <w:szCs w:val="22"/>
          <w:lang w:val="en-US"/>
        </w:rPr>
        <w:t>f Tajikistan in international organizations in the system of external relations authority</w:t>
      </w:r>
      <w:r w:rsidR="00AF1DB8" w:rsidRPr="00DA76A7">
        <w:rPr>
          <w:rFonts w:ascii="Arial" w:hAnsi="Arial" w:cs="Arial"/>
          <w:color w:val="000000" w:themeColor="text1"/>
          <w:sz w:val="22"/>
          <w:szCs w:val="22"/>
          <w:lang w:val="en-US"/>
        </w:rPr>
        <w:t>…………………………..</w:t>
      </w:r>
      <w:r w:rsidR="001A6A6A" w:rsidRPr="00DA76A7">
        <w:rPr>
          <w:rFonts w:ascii="Arial" w:hAnsi="Arial" w:cs="Arial"/>
          <w:bCs/>
          <w:color w:val="000000" w:themeColor="text1"/>
          <w:sz w:val="22"/>
          <w:szCs w:val="22"/>
          <w:lang w:val="en-US"/>
        </w:rPr>
        <w:tab/>
      </w:r>
      <w:r w:rsidR="00903C8A">
        <w:rPr>
          <w:rFonts w:ascii="Arial" w:hAnsi="Arial" w:cs="Arial"/>
          <w:bCs/>
          <w:color w:val="000000" w:themeColor="text1"/>
          <w:sz w:val="22"/>
          <w:szCs w:val="22"/>
          <w:lang w:val="en-US"/>
        </w:rPr>
        <w:t>90</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Nekhokh D.M.</w:t>
      </w:r>
      <w:r w:rsidRPr="00DA76A7">
        <w:rPr>
          <w:rFonts w:ascii="Arial" w:hAnsi="Arial" w:cs="Arial"/>
          <w:color w:val="000000" w:themeColor="text1"/>
          <w:sz w:val="22"/>
          <w:szCs w:val="22"/>
          <w:lang w:val="en-US"/>
        </w:rPr>
        <w:t xml:space="preserve"> On the question of the international legal qualification of the armed conflict in Tajikistan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94</w:t>
      </w:r>
    </w:p>
    <w:p w:rsidR="0054571D" w:rsidRPr="00A46E7B" w:rsidRDefault="0054571D" w:rsidP="00F4275A">
      <w:pPr>
        <w:tabs>
          <w:tab w:val="center" w:pos="4677"/>
          <w:tab w:val="right" w:pos="9072"/>
          <w:tab w:val="right" w:pos="9355"/>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Odinayev S.N.</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Principles of activities of the international criminal court</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shd w:val="clear" w:color="auto" w:fill="FFFFFF"/>
          <w:lang w:val="en-US"/>
        </w:rPr>
        <w:tab/>
      </w:r>
      <w:r w:rsidR="00903C8A">
        <w:rPr>
          <w:rFonts w:ascii="Arial" w:hAnsi="Arial" w:cs="Arial"/>
          <w:color w:val="000000" w:themeColor="text1"/>
          <w:sz w:val="22"/>
          <w:szCs w:val="22"/>
          <w:shd w:val="clear" w:color="auto" w:fill="FFFFFF"/>
          <w:lang w:val="en-US"/>
        </w:rPr>
        <w:t>97</w:t>
      </w:r>
    </w:p>
    <w:p w:rsidR="00143D93" w:rsidRPr="00A46E7B" w:rsidRDefault="00143D93" w:rsidP="00143D93">
      <w:pPr>
        <w:tabs>
          <w:tab w:val="center" w:pos="4677"/>
          <w:tab w:val="right" w:pos="9072"/>
          <w:tab w:val="right" w:pos="9355"/>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Odinayev S.N.</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Comparative analysis of the roman statute of the international criminal court and national legislation of the CIS states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shd w:val="clear" w:color="auto" w:fill="FFFFFF"/>
          <w:lang w:val="en-US"/>
        </w:rPr>
        <w:tab/>
      </w:r>
      <w:r w:rsidR="00903C8A">
        <w:rPr>
          <w:rFonts w:ascii="Arial" w:hAnsi="Arial" w:cs="Arial"/>
          <w:color w:val="000000" w:themeColor="text1"/>
          <w:sz w:val="22"/>
          <w:szCs w:val="22"/>
          <w:shd w:val="clear" w:color="auto" w:fill="FFFFFF"/>
          <w:lang w:val="en-US"/>
        </w:rPr>
        <w:t>100</w:t>
      </w:r>
    </w:p>
    <w:p w:rsidR="000B3416" w:rsidRPr="005F43EE" w:rsidRDefault="000B3416" w:rsidP="00F4275A">
      <w:pPr>
        <w:tabs>
          <w:tab w:val="center" w:pos="4677"/>
          <w:tab w:val="right" w:pos="9072"/>
          <w:tab w:val="right" w:pos="9355"/>
        </w:tabs>
        <w:ind w:left="567" w:right="849" w:hanging="567"/>
        <w:jc w:val="both"/>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Poleshchuk O.</w:t>
      </w:r>
      <w:r w:rsidRPr="00DA76A7">
        <w:rPr>
          <w:rFonts w:ascii="Arial" w:hAnsi="Arial" w:cs="Arial"/>
          <w:b/>
          <w:color w:val="000000" w:themeColor="text1"/>
          <w:sz w:val="22"/>
          <w:szCs w:val="22"/>
        </w:rPr>
        <w:t>О</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The role of the head of state and the presidential apparatus in norm-setting: the experience of the Republic of Belarus and the Republic of Tajikistan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10</w:t>
      </w:r>
      <w:r w:rsidR="00903C8A" w:rsidRPr="005F43EE">
        <w:rPr>
          <w:rFonts w:ascii="Arial" w:hAnsi="Arial" w:cs="Arial"/>
          <w:color w:val="000000" w:themeColor="text1"/>
          <w:sz w:val="22"/>
          <w:szCs w:val="22"/>
          <w:lang w:val="en-US"/>
        </w:rPr>
        <w:t>4</w:t>
      </w:r>
    </w:p>
    <w:p w:rsidR="00731944" w:rsidRPr="00A46E7B" w:rsidRDefault="00731944" w:rsidP="00F4275A">
      <w:pPr>
        <w:tabs>
          <w:tab w:val="center" w:pos="4677"/>
          <w:tab w:val="right" w:pos="9072"/>
          <w:tab w:val="right" w:pos="9355"/>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Polyakov N.V. </w:t>
      </w:r>
      <w:r w:rsidRPr="00DA76A7">
        <w:rPr>
          <w:rFonts w:ascii="Arial" w:hAnsi="Arial" w:cs="Arial"/>
          <w:color w:val="000000" w:themeColor="text1"/>
          <w:sz w:val="22"/>
          <w:szCs w:val="22"/>
          <w:shd w:val="clear" w:color="auto" w:fill="FFFFFF"/>
          <w:lang w:val="en-US"/>
        </w:rPr>
        <w:t>To the question of protecting the rights of migrants in the solutions of the supreme courts of the Russian Federation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shd w:val="clear" w:color="auto" w:fill="FFFFFF"/>
          <w:lang w:val="en-US"/>
        </w:rPr>
        <w:tab/>
      </w:r>
      <w:r w:rsidR="00903C8A">
        <w:rPr>
          <w:rFonts w:ascii="Arial" w:hAnsi="Arial" w:cs="Arial"/>
          <w:color w:val="000000" w:themeColor="text1"/>
          <w:sz w:val="22"/>
          <w:szCs w:val="22"/>
          <w:shd w:val="clear" w:color="auto" w:fill="FFFFFF"/>
          <w:lang w:val="en-US"/>
        </w:rPr>
        <w:t>113</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Rajabova M.B.</w:t>
      </w:r>
      <w:r w:rsidRPr="00DA76A7">
        <w:rPr>
          <w:rFonts w:ascii="Arial" w:hAnsi="Arial" w:cs="Arial"/>
          <w:color w:val="000000" w:themeColor="text1"/>
          <w:sz w:val="22"/>
          <w:szCs w:val="22"/>
          <w:lang w:val="en-US"/>
        </w:rPr>
        <w:t xml:space="preserve"> Legal characteristic of mixed treaties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115</w:t>
      </w:r>
    </w:p>
    <w:p w:rsidR="0054571D" w:rsidRPr="005F43EE" w:rsidRDefault="0054571D" w:rsidP="00F4275A">
      <w:pPr>
        <w:tabs>
          <w:tab w:val="left" w:pos="3819"/>
          <w:tab w:val="center" w:pos="5031"/>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Rakhimov A.K.</w:t>
      </w:r>
      <w:r w:rsidRPr="00DA76A7">
        <w:rPr>
          <w:rFonts w:ascii="Arial" w:hAnsi="Arial" w:cs="Arial"/>
          <w:color w:val="000000" w:themeColor="text1"/>
          <w:sz w:val="22"/>
          <w:szCs w:val="22"/>
          <w:lang w:val="en-US"/>
        </w:rPr>
        <w:t xml:space="preserve"> System of individual appeals within the UN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11</w:t>
      </w:r>
      <w:r w:rsidR="00903C8A" w:rsidRPr="005F43EE">
        <w:rPr>
          <w:rFonts w:ascii="Arial" w:hAnsi="Arial" w:cs="Arial"/>
          <w:color w:val="000000" w:themeColor="text1"/>
          <w:sz w:val="22"/>
          <w:szCs w:val="22"/>
          <w:lang w:val="en-US"/>
        </w:rPr>
        <w:t>8</w:t>
      </w:r>
    </w:p>
    <w:p w:rsidR="0054571D" w:rsidRPr="00DA76A7" w:rsidRDefault="0054571D" w:rsidP="00F4275A">
      <w:pPr>
        <w:tabs>
          <w:tab w:val="right" w:pos="9072"/>
        </w:tabs>
        <w:suppressAutoHyphens/>
        <w:ind w:left="567" w:right="849" w:hanging="567"/>
        <w:contextualSpacing/>
        <w:jc w:val="both"/>
        <w:rPr>
          <w:rFonts w:ascii="Arial" w:hAnsi="Arial" w:cs="Arial"/>
          <w:color w:val="000000" w:themeColor="text1"/>
          <w:sz w:val="22"/>
          <w:szCs w:val="22"/>
          <w:lang w:val="en-US" w:bidi="en-US"/>
        </w:rPr>
      </w:pPr>
      <w:r w:rsidRPr="00DA76A7">
        <w:rPr>
          <w:rFonts w:ascii="Arial" w:hAnsi="Arial" w:cs="Arial"/>
          <w:b/>
          <w:color w:val="000000" w:themeColor="text1"/>
          <w:sz w:val="22"/>
          <w:szCs w:val="22"/>
          <w:shd w:val="clear" w:color="auto" w:fill="FFFFFF"/>
          <w:lang w:val="en-US" w:bidi="en-US"/>
        </w:rPr>
        <w:t>Rahimov K.H.</w:t>
      </w:r>
      <w:r w:rsidRPr="00DA76A7">
        <w:rPr>
          <w:rFonts w:ascii="Arial" w:hAnsi="Arial" w:cs="Arial"/>
          <w:color w:val="000000" w:themeColor="text1"/>
          <w:sz w:val="22"/>
          <w:szCs w:val="22"/>
          <w:shd w:val="clear" w:color="auto" w:fill="FFFFFF"/>
          <w:lang w:val="en-US" w:bidi="en-US"/>
        </w:rPr>
        <w:t xml:space="preserve"> </w:t>
      </w:r>
      <w:r w:rsidRPr="00DA76A7">
        <w:rPr>
          <w:rFonts w:ascii="Arial" w:hAnsi="Arial" w:cs="Arial"/>
          <w:color w:val="000000" w:themeColor="text1"/>
          <w:sz w:val="22"/>
          <w:szCs w:val="22"/>
          <w:lang w:val="en-US" w:bidi="en-US"/>
        </w:rPr>
        <w:t>The future development of the SHanghai cooperation organization (SCO) in neutralizing contemporary challenges and threats to international security</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121</w:t>
      </w:r>
    </w:p>
    <w:p w:rsidR="0054571D" w:rsidRPr="00DA76A7"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Rizoev I.I.</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 xml:space="preserve">International legal basis for the formation of the </w:t>
      </w:r>
      <w:r w:rsidRPr="00DA76A7">
        <w:rPr>
          <w:rFonts w:ascii="Arial" w:hAnsi="Arial" w:cs="Arial"/>
          <w:color w:val="000000" w:themeColor="text1"/>
          <w:sz w:val="22"/>
          <w:szCs w:val="22"/>
          <w:shd w:val="clear" w:color="auto" w:fill="FFFFFF"/>
          <w:lang w:val="en-US"/>
        </w:rPr>
        <w:t>European Union</w:t>
      </w:r>
      <w:r w:rsidRPr="00DA76A7">
        <w:rPr>
          <w:rFonts w:ascii="Arial" w:hAnsi="Arial" w:cs="Arial"/>
          <w:color w:val="000000" w:themeColor="text1"/>
          <w:sz w:val="22"/>
          <w:szCs w:val="22"/>
          <w:lang w:val="en-US"/>
        </w:rPr>
        <w:t xml:space="preserve"> internal market</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130</w:t>
      </w:r>
    </w:p>
    <w:p w:rsidR="00143D93" w:rsidRPr="005F43EE" w:rsidRDefault="00143D93" w:rsidP="00143D93">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Rizoev I.I.</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The order of realization of the principle of free movement of goods in the internal market of the European Union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shd w:val="clear" w:color="auto" w:fill="FFFFFF"/>
          <w:lang w:val="en-US"/>
        </w:rPr>
        <w:tab/>
      </w:r>
      <w:r w:rsidR="00903C8A">
        <w:rPr>
          <w:rFonts w:ascii="Arial" w:hAnsi="Arial" w:cs="Arial"/>
          <w:color w:val="000000" w:themeColor="text1"/>
          <w:sz w:val="22"/>
          <w:szCs w:val="22"/>
          <w:shd w:val="clear" w:color="auto" w:fill="FFFFFF"/>
          <w:lang w:val="en-US"/>
        </w:rPr>
        <w:t>13</w:t>
      </w:r>
      <w:r w:rsidR="00903C8A" w:rsidRPr="005F43EE">
        <w:rPr>
          <w:rFonts w:ascii="Arial" w:hAnsi="Arial" w:cs="Arial"/>
          <w:color w:val="000000" w:themeColor="text1"/>
          <w:sz w:val="22"/>
          <w:szCs w:val="22"/>
          <w:shd w:val="clear" w:color="auto" w:fill="FFFFFF"/>
          <w:lang w:val="en-US"/>
        </w:rPr>
        <w:t>5</w:t>
      </w:r>
    </w:p>
    <w:p w:rsidR="00143D93" w:rsidRPr="00A46E7B" w:rsidRDefault="00143D93" w:rsidP="00143D93">
      <w:pPr>
        <w:tabs>
          <w:tab w:val="right" w:pos="9072"/>
        </w:tabs>
        <w:ind w:left="567" w:right="849" w:hanging="567"/>
        <w:jc w:val="both"/>
        <w:rPr>
          <w:rFonts w:ascii="Arial" w:hAnsi="Arial" w:cs="Arial"/>
          <w:color w:val="000000" w:themeColor="text1"/>
          <w:sz w:val="22"/>
          <w:szCs w:val="22"/>
          <w:lang w:val="en-US"/>
        </w:rPr>
      </w:pPr>
      <w:r w:rsidRPr="00DA76A7">
        <w:rPr>
          <w:rFonts w:ascii="Arial" w:eastAsia="Calibri" w:hAnsi="Arial" w:cs="Arial"/>
          <w:b/>
          <w:color w:val="000000" w:themeColor="text1"/>
          <w:sz w:val="22"/>
          <w:szCs w:val="22"/>
          <w:lang w:val="en-US"/>
        </w:rPr>
        <w:t>Rustamova N.D.</w:t>
      </w:r>
      <w:r w:rsidRPr="00DA76A7">
        <w:rPr>
          <w:rFonts w:ascii="Arial" w:eastAsia="Calibri" w:hAnsi="Arial" w:cs="Arial"/>
          <w:color w:val="000000" w:themeColor="text1"/>
          <w:sz w:val="22"/>
          <w:szCs w:val="22"/>
          <w:lang w:val="en-US"/>
        </w:rPr>
        <w:t xml:space="preserve"> </w:t>
      </w:r>
      <w:r w:rsidRPr="00DA76A7">
        <w:rPr>
          <w:rFonts w:ascii="Arial" w:hAnsi="Arial" w:cs="Arial"/>
          <w:color w:val="000000" w:themeColor="text1"/>
          <w:sz w:val="22"/>
          <w:szCs w:val="22"/>
          <w:lang w:val="en-US"/>
        </w:rPr>
        <w:t>The role of international organizations in formation of international legal framework for activities of offshore financial centers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140</w:t>
      </w:r>
    </w:p>
    <w:p w:rsidR="008439EC" w:rsidRPr="00A46E7B" w:rsidRDefault="0054571D" w:rsidP="008439EC">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eastAsia="Calibri" w:hAnsi="Arial" w:cs="Arial"/>
          <w:b/>
          <w:color w:val="000000" w:themeColor="text1"/>
          <w:sz w:val="22"/>
          <w:szCs w:val="22"/>
          <w:lang w:val="en-US"/>
        </w:rPr>
        <w:t>Rustamova N.D.</w:t>
      </w:r>
      <w:r w:rsidRPr="00DA76A7">
        <w:rPr>
          <w:rFonts w:ascii="Arial" w:eastAsia="Calibri" w:hAnsi="Arial" w:cs="Arial"/>
          <w:color w:val="000000" w:themeColor="text1"/>
          <w:sz w:val="22"/>
          <w:szCs w:val="22"/>
          <w:lang w:val="en-US"/>
        </w:rPr>
        <w:t xml:space="preserve"> Theoretic-methodological aspects of evaluation of the role of offshore business and the genesis of legal mechanisms of managing the world economy</w:t>
      </w:r>
      <w:r w:rsidR="00AF1DB8" w:rsidRPr="00DA76A7">
        <w:rPr>
          <w:rFonts w:ascii="Arial" w:eastAsia="Calibri" w:hAnsi="Arial" w:cs="Arial"/>
          <w:color w:val="000000" w:themeColor="text1"/>
          <w:sz w:val="22"/>
          <w:szCs w:val="22"/>
          <w:lang w:val="en-US"/>
        </w:rPr>
        <w:t>...</w:t>
      </w:r>
      <w:r w:rsidR="001A6A6A" w:rsidRPr="00DA76A7">
        <w:rPr>
          <w:rFonts w:ascii="Arial" w:eastAsia="Calibri" w:hAnsi="Arial" w:cs="Arial"/>
          <w:color w:val="000000" w:themeColor="text1"/>
          <w:sz w:val="22"/>
          <w:szCs w:val="22"/>
          <w:lang w:val="en-US"/>
        </w:rPr>
        <w:tab/>
      </w:r>
      <w:r w:rsidR="00903C8A">
        <w:rPr>
          <w:rFonts w:ascii="Arial" w:eastAsia="Calibri" w:hAnsi="Arial" w:cs="Arial"/>
          <w:color w:val="000000" w:themeColor="text1"/>
          <w:sz w:val="22"/>
          <w:szCs w:val="22"/>
          <w:lang w:val="en-US"/>
        </w:rPr>
        <w:t>144</w:t>
      </w:r>
    </w:p>
    <w:p w:rsidR="008439EC" w:rsidRPr="00A46E7B" w:rsidRDefault="008439EC" w:rsidP="008439EC">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Sayfulloyev S.R. </w:t>
      </w:r>
      <w:r w:rsidRPr="00DA76A7">
        <w:rPr>
          <w:rFonts w:ascii="Arial" w:hAnsi="Arial" w:cs="Arial"/>
          <w:color w:val="000000" w:themeColor="text1"/>
          <w:sz w:val="22"/>
          <w:szCs w:val="22"/>
          <w:lang w:val="en-US"/>
        </w:rPr>
        <w:t>The main directions of the foreign policy of the European Union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148</w:t>
      </w:r>
    </w:p>
    <w:p w:rsidR="008439EC" w:rsidRPr="00A46E7B" w:rsidRDefault="008439EC" w:rsidP="008439EC">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Salomov B.I. </w:t>
      </w:r>
      <w:r w:rsidRPr="00DA76A7">
        <w:rPr>
          <w:rFonts w:ascii="Arial" w:hAnsi="Arial" w:cs="Arial"/>
          <w:color w:val="000000" w:themeColor="text1"/>
          <w:sz w:val="22"/>
          <w:szCs w:val="22"/>
          <w:lang w:val="en-US"/>
        </w:rPr>
        <w:t>Influence of the international standards on the labor of juvenile on national legislation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150</w:t>
      </w:r>
    </w:p>
    <w:p w:rsidR="008439EC" w:rsidRPr="00A46E7B" w:rsidRDefault="008439EC" w:rsidP="008439EC">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Sattorov S.M. </w:t>
      </w:r>
      <w:r w:rsidRPr="00DA76A7">
        <w:rPr>
          <w:rFonts w:ascii="Arial" w:hAnsi="Arial" w:cs="Arial"/>
          <w:color w:val="000000" w:themeColor="text1"/>
          <w:sz w:val="22"/>
          <w:szCs w:val="22"/>
          <w:lang w:val="en-US"/>
        </w:rPr>
        <w:t>Legal grounds for implementing the powers of the European Union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153</w:t>
      </w:r>
    </w:p>
    <w:p w:rsidR="008439EC" w:rsidRPr="00A46E7B" w:rsidRDefault="008439EC" w:rsidP="008439EC">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Sattorov H.T. </w:t>
      </w:r>
      <w:r w:rsidRPr="00DA76A7">
        <w:rPr>
          <w:rFonts w:ascii="Arial" w:hAnsi="Arial" w:cs="Arial"/>
          <w:color w:val="000000" w:themeColor="text1"/>
          <w:sz w:val="22"/>
          <w:szCs w:val="22"/>
          <w:lang w:val="en-US"/>
        </w:rPr>
        <w:t>Regulatory and legal regulation of transport provision of international trade</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157</w:t>
      </w:r>
    </w:p>
    <w:p w:rsidR="008439EC" w:rsidRPr="00A46E7B" w:rsidRDefault="008439EC" w:rsidP="008439EC">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Sattorov H.T. </w:t>
      </w:r>
      <w:r w:rsidRPr="00DA76A7">
        <w:rPr>
          <w:rFonts w:ascii="Arial" w:hAnsi="Arial" w:cs="Arial"/>
          <w:color w:val="000000" w:themeColor="text1"/>
          <w:sz w:val="22"/>
          <w:szCs w:val="22"/>
          <w:lang w:val="en-US"/>
        </w:rPr>
        <w:t>Transport provision as a basis for international trade development (legal aspects)</w:t>
      </w:r>
      <w:r w:rsidR="00AF1DB8" w:rsidRPr="00DA76A7">
        <w:rPr>
          <w:rFonts w:ascii="Arial" w:hAnsi="Arial" w:cs="Arial"/>
          <w:color w:val="000000" w:themeColor="text1"/>
          <w:sz w:val="22"/>
          <w:szCs w:val="22"/>
          <w:lang w:val="en-US"/>
        </w:rPr>
        <w:t xml:space="preserve"> ……………………..……………………..……………………..……………….</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159</w:t>
      </w:r>
    </w:p>
    <w:p w:rsidR="008439EC" w:rsidRPr="00A46E7B" w:rsidRDefault="008439EC" w:rsidP="008439EC">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Tajidinov</w:t>
      </w:r>
      <w:r w:rsidRPr="00DA76A7">
        <w:rPr>
          <w:rFonts w:ascii="Arial" w:hAnsi="Arial" w:cs="Arial"/>
          <w:b/>
          <w:color w:val="000000" w:themeColor="text1"/>
          <w:sz w:val="22"/>
          <w:szCs w:val="22"/>
        </w:rPr>
        <w:t>а</w:t>
      </w:r>
      <w:r w:rsidRPr="00DA76A7">
        <w:rPr>
          <w:rFonts w:ascii="Arial" w:hAnsi="Arial" w:cs="Arial"/>
          <w:b/>
          <w:color w:val="000000" w:themeColor="text1"/>
          <w:sz w:val="22"/>
          <w:szCs w:val="22"/>
          <w:lang w:val="en-US"/>
        </w:rPr>
        <w:t xml:space="preserve"> F.F. </w:t>
      </w:r>
      <w:r w:rsidRPr="00DA76A7">
        <w:rPr>
          <w:rFonts w:ascii="Arial" w:hAnsi="Arial" w:cs="Arial"/>
          <w:color w:val="000000" w:themeColor="text1"/>
          <w:sz w:val="22"/>
          <w:szCs w:val="22"/>
          <w:lang w:val="en-US"/>
        </w:rPr>
        <w:t>International legal aspects of the protection of women's rights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162</w:t>
      </w:r>
    </w:p>
    <w:p w:rsidR="001F26C0" w:rsidRPr="00DA76A7" w:rsidRDefault="008439EC" w:rsidP="001F26C0">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Usenov D.I. </w:t>
      </w:r>
      <w:r w:rsidRPr="00DA76A7">
        <w:rPr>
          <w:rFonts w:ascii="Arial" w:hAnsi="Arial" w:cs="Arial"/>
          <w:color w:val="000000" w:themeColor="text1"/>
          <w:sz w:val="22"/>
          <w:szCs w:val="22"/>
          <w:lang w:val="en-US"/>
        </w:rPr>
        <w:t>The place and role of Tajikistan in the work of the Shanghai cooperation organization</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165</w:t>
      </w:r>
    </w:p>
    <w:p w:rsidR="001F26C0" w:rsidRPr="00A46E7B" w:rsidRDefault="008439EC" w:rsidP="001F26C0">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Haydarzoda J.M. </w:t>
      </w:r>
      <w:r w:rsidRPr="00DA76A7">
        <w:rPr>
          <w:rFonts w:ascii="Arial" w:hAnsi="Arial" w:cs="Arial"/>
          <w:color w:val="000000" w:themeColor="text1"/>
          <w:sz w:val="22"/>
          <w:szCs w:val="22"/>
          <w:lang w:val="en-US"/>
        </w:rPr>
        <w:t>The role of Agency to combat drugs and the Ministry of internal affairs of the Republic of Tajikistan in international cooperation on drug abuse</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903C8A">
        <w:rPr>
          <w:rFonts w:ascii="Arial" w:hAnsi="Arial" w:cs="Arial"/>
          <w:color w:val="000000" w:themeColor="text1"/>
          <w:sz w:val="22"/>
          <w:szCs w:val="22"/>
          <w:lang w:val="en-US"/>
        </w:rPr>
        <w:t>167</w:t>
      </w:r>
    </w:p>
    <w:p w:rsidR="001F26C0" w:rsidRPr="00A46E7B" w:rsidRDefault="008439EC" w:rsidP="001F26C0">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Shakirov B.A. </w:t>
      </w:r>
      <w:r w:rsidRPr="00DA76A7">
        <w:rPr>
          <w:rFonts w:ascii="Arial" w:hAnsi="Arial" w:cs="Arial"/>
          <w:color w:val="000000" w:themeColor="text1"/>
          <w:sz w:val="22"/>
          <w:szCs w:val="22"/>
          <w:lang w:val="en-US"/>
        </w:rPr>
        <w:t>International legal cooperation of the Republic of Tajikistan with organization of United nations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170</w:t>
      </w:r>
    </w:p>
    <w:p w:rsidR="001F26C0" w:rsidRPr="00A46E7B" w:rsidRDefault="008439EC" w:rsidP="001F26C0">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Sheleverst O.S</w:t>
      </w:r>
      <w:r w:rsidR="001F26C0" w:rsidRPr="00DA76A7">
        <w:rPr>
          <w:rFonts w:ascii="Arial" w:hAnsi="Arial" w:cs="Arial"/>
          <w:b/>
          <w:color w:val="000000" w:themeColor="text1"/>
          <w:sz w:val="22"/>
          <w:szCs w:val="22"/>
          <w:lang w:val="en-US"/>
        </w:rPr>
        <w:t>.</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Russia's accession to the Montreal Convention: advantages and disadvantages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173</w:t>
      </w:r>
    </w:p>
    <w:p w:rsidR="001F26C0" w:rsidRPr="00A46E7B" w:rsidRDefault="008439EC" w:rsidP="001F26C0">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Shukurov A.</w:t>
      </w:r>
      <w:r w:rsidRPr="00DA76A7">
        <w:rPr>
          <w:rFonts w:ascii="Arial" w:hAnsi="Arial" w:cs="Arial"/>
          <w:b/>
          <w:color w:val="000000" w:themeColor="text1"/>
          <w:sz w:val="22"/>
          <w:szCs w:val="22"/>
        </w:rPr>
        <w:t>Т</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 xml:space="preserve">International control in the field of </w:t>
      </w:r>
      <w:r w:rsidRPr="00DA76A7">
        <w:rPr>
          <w:rFonts w:ascii="Arial" w:hAnsi="Arial" w:cs="Arial"/>
          <w:color w:val="000000" w:themeColor="text1"/>
          <w:sz w:val="22"/>
          <w:szCs w:val="22"/>
          <w:shd w:val="clear" w:color="auto" w:fill="FFFFFF"/>
          <w:lang w:val="en-US"/>
        </w:rPr>
        <w:t xml:space="preserve">protection of </w:t>
      </w:r>
      <w:r w:rsidRPr="00DA76A7">
        <w:rPr>
          <w:rFonts w:ascii="Arial" w:hAnsi="Arial" w:cs="Arial"/>
          <w:color w:val="000000" w:themeColor="text1"/>
          <w:sz w:val="22"/>
          <w:szCs w:val="22"/>
          <w:lang w:val="en-US"/>
        </w:rPr>
        <w:t>human rights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177</w:t>
      </w:r>
    </w:p>
    <w:p w:rsidR="008439EC" w:rsidRPr="00A46E7B" w:rsidRDefault="008439EC" w:rsidP="001F26C0">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 xml:space="preserve">Yuldosheva A.R. </w:t>
      </w:r>
      <w:r w:rsidRPr="00DA76A7">
        <w:rPr>
          <w:rFonts w:ascii="Arial" w:hAnsi="Arial" w:cs="Arial"/>
          <w:color w:val="000000" w:themeColor="text1"/>
          <w:sz w:val="22"/>
          <w:szCs w:val="22"/>
          <w:lang w:val="en-US"/>
        </w:rPr>
        <w:t>Comparative legal analysis of child’s  rights protection mechanisms in international law and legislation of the Russian Federation</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180</w:t>
      </w:r>
    </w:p>
    <w:p w:rsidR="008439EC" w:rsidRPr="00DA76A7" w:rsidRDefault="008439EC" w:rsidP="00F4275A">
      <w:pPr>
        <w:tabs>
          <w:tab w:val="right" w:pos="9072"/>
        </w:tabs>
        <w:ind w:left="567" w:right="849" w:hanging="567"/>
        <w:jc w:val="both"/>
        <w:rPr>
          <w:rFonts w:ascii="Arial" w:hAnsi="Arial" w:cs="Arial"/>
          <w:b/>
          <w:color w:val="000000" w:themeColor="text1"/>
          <w:sz w:val="22"/>
          <w:szCs w:val="22"/>
          <w:lang w:val="en-US"/>
        </w:rPr>
      </w:pPr>
    </w:p>
    <w:p w:rsidR="0054571D" w:rsidRPr="00DA76A7" w:rsidRDefault="0054571D" w:rsidP="00F4275A">
      <w:pPr>
        <w:tabs>
          <w:tab w:val="right" w:pos="9072"/>
        </w:tabs>
        <w:ind w:left="567" w:right="849" w:hanging="567"/>
        <w:jc w:val="both"/>
        <w:rPr>
          <w:rFonts w:ascii="Arial" w:hAnsi="Arial" w:cs="Arial"/>
          <w:b/>
          <w:color w:val="000000" w:themeColor="text1"/>
          <w:sz w:val="22"/>
          <w:szCs w:val="22"/>
          <w:lang w:val="en-US"/>
        </w:rPr>
      </w:pPr>
    </w:p>
    <w:p w:rsidR="0054571D" w:rsidRPr="00DA76A7" w:rsidRDefault="0054571D" w:rsidP="00F4275A">
      <w:pPr>
        <w:tabs>
          <w:tab w:val="right" w:pos="9072"/>
        </w:tabs>
        <w:ind w:left="567" w:right="849" w:hanging="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SECTION ACTUAL PROBLEMS OF CIVIL, BUSINESS LAW AND CIVIL PROCEDURE</w:t>
      </w:r>
    </w:p>
    <w:p w:rsidR="0054571D" w:rsidRPr="00DA76A7" w:rsidRDefault="0054571D" w:rsidP="00F4275A">
      <w:pPr>
        <w:tabs>
          <w:tab w:val="right" w:pos="9072"/>
        </w:tabs>
        <w:ind w:left="567" w:right="849" w:hanging="567"/>
        <w:jc w:val="both"/>
        <w:rPr>
          <w:rFonts w:ascii="Arial" w:hAnsi="Arial" w:cs="Arial"/>
          <w:color w:val="000000" w:themeColor="text1"/>
          <w:sz w:val="22"/>
          <w:szCs w:val="22"/>
          <w:lang w:val="en-US"/>
        </w:rPr>
      </w:pPr>
    </w:p>
    <w:p w:rsidR="0054571D" w:rsidRPr="00DA76A7"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Abdurakhmanova G.A.</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To the question of the contractual regime of the property of spouses</w:t>
      </w:r>
      <w:r w:rsidR="00AF1DB8" w:rsidRPr="00DA76A7">
        <w:rPr>
          <w:rFonts w:ascii="Arial" w:hAnsi="Arial" w:cs="Arial"/>
          <w:color w:val="000000" w:themeColor="text1"/>
          <w:sz w:val="22"/>
          <w:szCs w:val="22"/>
          <w:lang w:val="en-US"/>
        </w:rPr>
        <w:t>……………………..……………………..……………………..………………..</w:t>
      </w:r>
      <w:r w:rsidR="00F20984">
        <w:rPr>
          <w:rFonts w:ascii="Arial" w:hAnsi="Arial" w:cs="Arial"/>
          <w:color w:val="000000" w:themeColor="text1"/>
          <w:sz w:val="22"/>
          <w:szCs w:val="22"/>
          <w:lang w:val="en-US"/>
        </w:rPr>
        <w:tab/>
        <w:t>186</w:t>
      </w:r>
    </w:p>
    <w:p w:rsidR="001A6A6A" w:rsidRPr="00DA76A7" w:rsidRDefault="0054571D" w:rsidP="001A6A6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Abdurakhmanova G.A.</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About possession, use and disposing of general property  of the married couples</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191</w:t>
      </w:r>
    </w:p>
    <w:p w:rsidR="001A6A6A" w:rsidRPr="00DA76A7" w:rsidRDefault="0054571D" w:rsidP="001A6A6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Azizov K.R.</w:t>
      </w:r>
      <w:r w:rsidRPr="00DA76A7">
        <w:rPr>
          <w:rFonts w:ascii="Arial" w:hAnsi="Arial" w:cs="Arial"/>
          <w:color w:val="000000" w:themeColor="text1"/>
          <w:sz w:val="22"/>
          <w:szCs w:val="22"/>
          <w:lang w:val="en-US"/>
        </w:rPr>
        <w:t xml:space="preserve"> Classification of the association of corporations</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195</w:t>
      </w:r>
    </w:p>
    <w:p w:rsidR="0054571D" w:rsidRPr="00DA76A7" w:rsidRDefault="0054571D" w:rsidP="001A6A6A">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Azizov K.R.</w:t>
      </w:r>
      <w:r w:rsidRPr="00DA76A7">
        <w:rPr>
          <w:rFonts w:ascii="Arial" w:hAnsi="Arial" w:cs="Arial"/>
          <w:color w:val="000000" w:themeColor="text1"/>
          <w:sz w:val="22"/>
          <w:szCs w:val="22"/>
          <w:lang w:val="en-US"/>
        </w:rPr>
        <w:t xml:space="preserve"> The concept of combining corporations</w:t>
      </w:r>
      <w:r w:rsidR="00AF1DB8" w:rsidRPr="00DA76A7">
        <w:rPr>
          <w:rFonts w:ascii="Arial" w:hAnsi="Arial" w:cs="Arial"/>
          <w:color w:val="000000" w:themeColor="text1"/>
          <w:sz w:val="22"/>
          <w:szCs w:val="22"/>
          <w:lang w:val="en-US"/>
        </w:rPr>
        <w:t>………………………………………..</w:t>
      </w:r>
      <w:r w:rsidR="001A6A6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200</w:t>
      </w:r>
    </w:p>
    <w:p w:rsidR="0054571D" w:rsidRPr="00DA76A7"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Azizova M.A.</w:t>
      </w:r>
      <w:r w:rsidRPr="00DA76A7">
        <w:rPr>
          <w:rFonts w:ascii="Arial" w:hAnsi="Arial" w:cs="Arial"/>
          <w:color w:val="000000" w:themeColor="text1"/>
          <w:sz w:val="22"/>
          <w:szCs w:val="22"/>
          <w:shd w:val="clear" w:color="auto" w:fill="FFFFFF"/>
          <w:lang w:val="en-US"/>
        </w:rPr>
        <w:t xml:space="preserve"> Some </w:t>
      </w:r>
      <w:r w:rsidRPr="00DA76A7">
        <w:rPr>
          <w:rFonts w:ascii="Arial" w:hAnsi="Arial" w:cs="Arial"/>
          <w:color w:val="000000" w:themeColor="text1"/>
          <w:sz w:val="22"/>
          <w:szCs w:val="22"/>
          <w:lang w:val="en-US"/>
        </w:rPr>
        <w:t>issues</w:t>
      </w:r>
      <w:r w:rsidRPr="00DA76A7">
        <w:rPr>
          <w:rFonts w:ascii="Arial" w:hAnsi="Arial" w:cs="Arial"/>
          <w:color w:val="000000" w:themeColor="text1"/>
          <w:sz w:val="22"/>
          <w:szCs w:val="22"/>
          <w:shd w:val="clear" w:color="auto" w:fill="FFFFFF"/>
          <w:lang w:val="en-US"/>
        </w:rPr>
        <w:t xml:space="preserve"> of the history of development family law </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208</w:t>
      </w:r>
    </w:p>
    <w:p w:rsidR="00CA59EA" w:rsidRPr="00DA76A7"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Alimova F.A.</w:t>
      </w:r>
      <w:r w:rsidRPr="00DA76A7">
        <w:rPr>
          <w:rFonts w:ascii="Arial" w:hAnsi="Arial" w:cs="Arial"/>
          <w:color w:val="000000" w:themeColor="text1"/>
          <w:sz w:val="22"/>
          <w:szCs w:val="22"/>
          <w:shd w:val="clear" w:color="auto" w:fill="FFFFFF"/>
          <w:lang w:val="en-US"/>
        </w:rPr>
        <w:t xml:space="preserve"> Absolute and relative civil relations</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shd w:val="clear" w:color="auto" w:fill="FFFFFF"/>
          <w:lang w:val="en-US"/>
        </w:rPr>
        <w:tab/>
      </w:r>
      <w:r w:rsidR="00F20984">
        <w:rPr>
          <w:rFonts w:ascii="Arial" w:hAnsi="Arial" w:cs="Arial"/>
          <w:color w:val="000000" w:themeColor="text1"/>
          <w:sz w:val="22"/>
          <w:szCs w:val="22"/>
          <w:shd w:val="clear" w:color="auto" w:fill="FFFFFF"/>
          <w:lang w:val="en-US"/>
        </w:rPr>
        <w:t>211</w:t>
      </w:r>
    </w:p>
    <w:p w:rsidR="00CA59EA" w:rsidRPr="00DA76A7"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Bazarova N.A.</w:t>
      </w:r>
      <w:r w:rsidRPr="00DA76A7">
        <w:rPr>
          <w:rFonts w:ascii="Arial" w:hAnsi="Arial" w:cs="Arial"/>
          <w:color w:val="000000" w:themeColor="text1"/>
          <w:sz w:val="22"/>
          <w:szCs w:val="22"/>
          <w:lang w:val="en-US"/>
        </w:rPr>
        <w:t xml:space="preserve"> Multiple area in the civil rights of the Russian Federation</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213</w:t>
      </w:r>
    </w:p>
    <w:p w:rsidR="00CA59EA" w:rsidRPr="00A46E7B" w:rsidRDefault="005F345A"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Bazarova N.A.</w:t>
      </w:r>
      <w:r w:rsidRPr="00DA76A7">
        <w:rPr>
          <w:rFonts w:ascii="Arial" w:hAnsi="Arial" w:cs="Arial"/>
          <w:color w:val="000000" w:themeColor="text1"/>
          <w:sz w:val="22"/>
          <w:szCs w:val="22"/>
          <w:shd w:val="clear" w:color="auto" w:fill="FFFFFF"/>
          <w:lang w:val="en-US"/>
        </w:rPr>
        <w:t xml:space="preserve"> The concept of civil </w:t>
      </w:r>
      <w:r w:rsidRPr="00DA76A7">
        <w:rPr>
          <w:rFonts w:ascii="Arial" w:hAnsi="Arial" w:cs="Arial"/>
          <w:color w:val="000000" w:themeColor="text1"/>
          <w:sz w:val="22"/>
          <w:szCs w:val="22"/>
          <w:lang w:val="en-US"/>
        </w:rPr>
        <w:t>legal</w:t>
      </w:r>
      <w:r w:rsidRPr="00DA76A7">
        <w:rPr>
          <w:rFonts w:ascii="Arial" w:hAnsi="Arial" w:cs="Arial"/>
          <w:color w:val="000000" w:themeColor="text1"/>
          <w:sz w:val="22"/>
          <w:szCs w:val="22"/>
          <w:shd w:val="clear" w:color="auto" w:fill="FFFFFF"/>
          <w:lang w:val="en-US"/>
        </w:rPr>
        <w:t xml:space="preserve"> liability</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shd w:val="clear" w:color="auto" w:fill="FFFFFF"/>
          <w:lang w:val="en-US"/>
        </w:rPr>
        <w:tab/>
      </w:r>
      <w:r w:rsidR="00F20984">
        <w:rPr>
          <w:rFonts w:ascii="Arial" w:hAnsi="Arial" w:cs="Arial"/>
          <w:color w:val="000000" w:themeColor="text1"/>
          <w:sz w:val="22"/>
          <w:szCs w:val="22"/>
          <w:shd w:val="clear" w:color="auto" w:fill="FFFFFF"/>
          <w:lang w:val="en-US"/>
        </w:rPr>
        <w:t>216</w:t>
      </w:r>
    </w:p>
    <w:p w:rsidR="00CA59EA" w:rsidRPr="00A46E7B"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Bobodzhonov O.Sh.</w:t>
      </w:r>
      <w:r w:rsidRPr="00DA76A7">
        <w:rPr>
          <w:rFonts w:ascii="Arial" w:hAnsi="Arial" w:cs="Arial"/>
          <w:color w:val="000000" w:themeColor="text1"/>
          <w:sz w:val="22"/>
          <w:szCs w:val="22"/>
          <w:shd w:val="clear" w:color="auto" w:fill="FFFFFF"/>
          <w:lang w:val="en-US"/>
        </w:rPr>
        <w:t xml:space="preserve"> Money as an object of civil </w:t>
      </w:r>
      <w:r w:rsidRPr="00DA76A7">
        <w:rPr>
          <w:rFonts w:ascii="Arial" w:hAnsi="Arial" w:cs="Arial"/>
          <w:color w:val="000000" w:themeColor="text1"/>
          <w:sz w:val="22"/>
          <w:szCs w:val="22"/>
          <w:lang w:val="en-US"/>
        </w:rPr>
        <w:t>law</w:t>
      </w:r>
      <w:r w:rsidR="00AF1DB8"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CA59EA" w:rsidRPr="00DA76A7">
        <w:rPr>
          <w:rFonts w:ascii="Arial" w:hAnsi="Arial" w:cs="Arial"/>
          <w:color w:val="000000" w:themeColor="text1"/>
          <w:sz w:val="22"/>
          <w:szCs w:val="22"/>
          <w:shd w:val="clear" w:color="auto" w:fill="FFFFFF"/>
          <w:lang w:val="en-US"/>
        </w:rPr>
        <w:tab/>
      </w:r>
      <w:r w:rsidR="00F20984">
        <w:rPr>
          <w:rFonts w:ascii="Arial" w:hAnsi="Arial" w:cs="Arial"/>
          <w:color w:val="000000" w:themeColor="text1"/>
          <w:sz w:val="22"/>
          <w:szCs w:val="22"/>
          <w:shd w:val="clear" w:color="auto" w:fill="FFFFFF"/>
          <w:lang w:val="en-US"/>
        </w:rPr>
        <w:t>218</w:t>
      </w:r>
    </w:p>
    <w:p w:rsidR="00CA59EA" w:rsidRPr="00A46E7B"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Boboev N.Kh.</w:t>
      </w:r>
      <w:r w:rsidRPr="00DA76A7">
        <w:rPr>
          <w:rFonts w:ascii="Arial" w:hAnsi="Arial" w:cs="Arial"/>
          <w:color w:val="000000" w:themeColor="text1"/>
          <w:sz w:val="22"/>
          <w:szCs w:val="22"/>
          <w:lang w:val="en-US"/>
        </w:rPr>
        <w:t xml:space="preserve"> Types of civil liability</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221</w:t>
      </w:r>
    </w:p>
    <w:p w:rsidR="00CA59EA" w:rsidRPr="00DA76A7"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Boboev N.Kh.</w:t>
      </w:r>
      <w:r w:rsidRPr="00DA76A7">
        <w:rPr>
          <w:rFonts w:ascii="Arial" w:hAnsi="Arial" w:cs="Arial"/>
          <w:color w:val="000000" w:themeColor="text1"/>
          <w:sz w:val="22"/>
          <w:szCs w:val="22"/>
          <w:lang w:val="en-US"/>
        </w:rPr>
        <w:t xml:space="preserve"> Civil-legal liability of legal entities</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225</w:t>
      </w:r>
    </w:p>
    <w:p w:rsidR="00CA59EA" w:rsidRPr="00DA76A7"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Boldyreva K.N.</w:t>
      </w:r>
      <w:r w:rsidRPr="00DA76A7">
        <w:rPr>
          <w:rFonts w:ascii="Arial" w:hAnsi="Arial" w:cs="Arial"/>
          <w:color w:val="000000" w:themeColor="text1"/>
          <w:sz w:val="22"/>
          <w:szCs w:val="22"/>
          <w:lang w:val="en-US"/>
        </w:rPr>
        <w:t xml:space="preserve"> Legal regulation of trademarks in the Republic of Tajikistan</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F20984">
        <w:rPr>
          <w:rFonts w:ascii="Arial" w:hAnsi="Arial" w:cs="Arial"/>
          <w:color w:val="000000" w:themeColor="text1"/>
          <w:sz w:val="22"/>
          <w:szCs w:val="22"/>
          <w:lang w:val="en-US"/>
        </w:rPr>
        <w:t>229</w:t>
      </w:r>
    </w:p>
    <w:p w:rsidR="00CA59EA" w:rsidRPr="00A46E7B" w:rsidRDefault="005F345A"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Borovitsky A.</w:t>
      </w:r>
      <w:r w:rsidRPr="00DA76A7">
        <w:rPr>
          <w:rFonts w:ascii="Arial" w:hAnsi="Arial" w:cs="Arial"/>
          <w:b/>
          <w:color w:val="000000" w:themeColor="text1"/>
          <w:sz w:val="22"/>
          <w:szCs w:val="22"/>
          <w:shd w:val="clear" w:color="auto" w:fill="FFFFFF"/>
        </w:rPr>
        <w:t>А</w:t>
      </w:r>
      <w:r w:rsidRPr="00DA76A7">
        <w:rPr>
          <w:rFonts w:ascii="Arial" w:hAnsi="Arial" w:cs="Arial"/>
          <w:b/>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 xml:space="preserve"> Forms of copyright protection in the Republic of Tajikistan at the present stage</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shd w:val="clear" w:color="auto" w:fill="FFFFFF"/>
          <w:lang w:val="en-US"/>
        </w:rPr>
        <w:tab/>
      </w:r>
      <w:r w:rsidR="00F20984">
        <w:rPr>
          <w:rFonts w:ascii="Arial" w:hAnsi="Arial" w:cs="Arial"/>
          <w:color w:val="000000" w:themeColor="text1"/>
          <w:sz w:val="22"/>
          <w:szCs w:val="22"/>
          <w:shd w:val="clear" w:color="auto" w:fill="FFFFFF"/>
          <w:lang w:val="en-US"/>
        </w:rPr>
        <w:t>232</w:t>
      </w:r>
    </w:p>
    <w:p w:rsidR="0054571D" w:rsidRPr="00A46E7B"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Vanyan D.A.</w:t>
      </w:r>
      <w:r w:rsidRPr="00DA76A7">
        <w:rPr>
          <w:rFonts w:ascii="Arial" w:hAnsi="Arial" w:cs="Arial"/>
          <w:color w:val="000000" w:themeColor="text1"/>
          <w:sz w:val="22"/>
          <w:szCs w:val="22"/>
          <w:lang w:val="en-US"/>
        </w:rPr>
        <w:t xml:space="preserve"> Actual problems of family law</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235</w:t>
      </w:r>
    </w:p>
    <w:p w:rsidR="004052F8" w:rsidRPr="004052F8" w:rsidRDefault="0054571D" w:rsidP="004052F8">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Gampikian K.A.</w:t>
      </w:r>
      <w:r w:rsidRPr="00DA76A7">
        <w:rPr>
          <w:rFonts w:ascii="Arial" w:hAnsi="Arial" w:cs="Arial"/>
          <w:color w:val="000000" w:themeColor="text1"/>
          <w:sz w:val="22"/>
          <w:szCs w:val="22"/>
          <w:lang w:val="en-US"/>
        </w:rPr>
        <w:t xml:space="preserve"> Features of settlement of insurance cases for Casco abroad</w:t>
      </w:r>
      <w:r w:rsidR="00AF1DB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237</w:t>
      </w:r>
    </w:p>
    <w:p w:rsidR="0054571D" w:rsidRPr="004052F8" w:rsidRDefault="0054571D" w:rsidP="004052F8">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Gafurova G.B.</w:t>
      </w:r>
      <w:r w:rsidRPr="00DA76A7">
        <w:rPr>
          <w:rFonts w:ascii="Arial" w:hAnsi="Arial" w:cs="Arial"/>
          <w:color w:val="000000" w:themeColor="text1"/>
          <w:sz w:val="22"/>
          <w:szCs w:val="22"/>
          <w:shd w:val="clear" w:color="auto" w:fill="FFFFFF"/>
          <w:lang w:val="en-US"/>
        </w:rPr>
        <w:t xml:space="preserve"> Concept of settlement obligations in civil law</w:t>
      </w:r>
      <w:r w:rsidR="00AF1DB8" w:rsidRPr="00DA76A7">
        <w:rPr>
          <w:rFonts w:ascii="Arial" w:hAnsi="Arial" w:cs="Arial"/>
          <w:color w:val="000000" w:themeColor="text1"/>
          <w:sz w:val="22"/>
          <w:szCs w:val="22"/>
          <w:lang w:val="en-US"/>
        </w:rPr>
        <w:t>………………………………</w:t>
      </w:r>
      <w:r w:rsidR="004052F8" w:rsidRPr="004052F8">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231</w:t>
      </w:r>
    </w:p>
    <w:p w:rsidR="0054571D" w:rsidRPr="00DA76A7"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Goibova M.S.</w:t>
      </w:r>
      <w:r w:rsidRPr="00DA76A7">
        <w:rPr>
          <w:rFonts w:ascii="Arial" w:hAnsi="Arial" w:cs="Arial"/>
          <w:color w:val="000000" w:themeColor="text1"/>
          <w:sz w:val="22"/>
          <w:szCs w:val="22"/>
          <w:shd w:val="clear" w:color="auto" w:fill="FFFFFF"/>
          <w:lang w:val="en-US"/>
        </w:rPr>
        <w:t xml:space="preserve"> Legal nature of the action</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244</w:t>
      </w:r>
    </w:p>
    <w:p w:rsidR="0054571D" w:rsidRPr="00DA76A7"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Davtov B.R.</w:t>
      </w:r>
      <w:r w:rsidRPr="00DA76A7">
        <w:rPr>
          <w:rFonts w:ascii="Arial" w:hAnsi="Arial" w:cs="Arial"/>
          <w:color w:val="000000" w:themeColor="text1"/>
          <w:sz w:val="22"/>
          <w:szCs w:val="22"/>
          <w:shd w:val="clear" w:color="auto" w:fill="FFFFFF"/>
          <w:lang w:val="en-US"/>
        </w:rPr>
        <w:t xml:space="preserve"> Form of loan agreement in near future</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247</w:t>
      </w:r>
    </w:p>
    <w:p w:rsidR="0054571D" w:rsidRPr="00DA76A7"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Evtushenko V.A.</w:t>
      </w:r>
      <w:r w:rsidRPr="00DA76A7">
        <w:rPr>
          <w:rFonts w:ascii="Arial" w:hAnsi="Arial" w:cs="Arial"/>
          <w:color w:val="000000" w:themeColor="text1"/>
          <w:sz w:val="22"/>
          <w:szCs w:val="22"/>
          <w:shd w:val="clear" w:color="auto" w:fill="FFFFFF"/>
          <w:lang w:val="en-US"/>
        </w:rPr>
        <w:t xml:space="preserve"> Legal regulation of ent</w:t>
      </w:r>
      <w:r w:rsidRPr="00DA76A7">
        <w:rPr>
          <w:rFonts w:ascii="Arial" w:hAnsi="Arial" w:cs="Arial"/>
          <w:color w:val="000000" w:themeColor="text1"/>
          <w:sz w:val="22"/>
          <w:szCs w:val="22"/>
          <w:shd w:val="clear" w:color="auto" w:fill="FFFFFF"/>
        </w:rPr>
        <w:t>е</w:t>
      </w:r>
      <w:r w:rsidRPr="00DA76A7">
        <w:rPr>
          <w:rFonts w:ascii="Arial" w:hAnsi="Arial" w:cs="Arial"/>
          <w:color w:val="000000" w:themeColor="text1"/>
          <w:sz w:val="22"/>
          <w:szCs w:val="22"/>
          <w:shd w:val="clear" w:color="auto" w:fill="FFFFFF"/>
          <w:lang w:val="en-US"/>
        </w:rPr>
        <w:t xml:space="preserve">rprise activity of foreign companies </w:t>
      </w:r>
      <w:r w:rsidRPr="00DA76A7">
        <w:rPr>
          <w:rFonts w:ascii="Arial" w:hAnsi="Arial" w:cs="Arial"/>
          <w:color w:val="000000" w:themeColor="text1"/>
          <w:sz w:val="22"/>
          <w:szCs w:val="22"/>
          <w:shd w:val="clear" w:color="auto" w:fill="FFFFFF"/>
        </w:rPr>
        <w:t>о</w:t>
      </w:r>
      <w:r w:rsidRPr="00DA76A7">
        <w:rPr>
          <w:rFonts w:ascii="Arial" w:hAnsi="Arial" w:cs="Arial"/>
          <w:color w:val="000000" w:themeColor="text1"/>
          <w:sz w:val="22"/>
          <w:szCs w:val="22"/>
          <w:shd w:val="clear" w:color="auto" w:fill="FFFFFF"/>
          <w:lang w:val="en-US"/>
        </w:rPr>
        <w:t>n the territory of the Russian Federation</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249</w:t>
      </w:r>
    </w:p>
    <w:p w:rsidR="0054571D" w:rsidRPr="00DA76A7"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Epifanova E.I.</w:t>
      </w:r>
      <w:r w:rsidRPr="00DA76A7">
        <w:rPr>
          <w:rFonts w:ascii="Arial" w:hAnsi="Arial" w:cs="Arial"/>
          <w:color w:val="000000" w:themeColor="text1"/>
          <w:sz w:val="22"/>
          <w:szCs w:val="22"/>
          <w:shd w:val="clear" w:color="auto" w:fill="FFFFFF"/>
          <w:lang w:val="en-US"/>
        </w:rPr>
        <w:t xml:space="preserve"> Legal consequences of recognition paternity as invalid</w:t>
      </w:r>
      <w:r w:rsidR="00AF1DB8" w:rsidRPr="00DA76A7">
        <w:rPr>
          <w:rFonts w:ascii="Arial" w:hAnsi="Arial" w:cs="Arial"/>
          <w:color w:val="000000" w:themeColor="text1"/>
          <w:sz w:val="22"/>
          <w:szCs w:val="22"/>
          <w:lang w:val="en-US"/>
        </w:rPr>
        <w:t>…………………..</w:t>
      </w:r>
      <w:r w:rsidR="00AF1DB8"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253</w:t>
      </w:r>
    </w:p>
    <w:p w:rsidR="0054571D" w:rsidRPr="00DA76A7"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Zheltova V.A</w:t>
      </w:r>
      <w:r w:rsidRPr="00DA76A7">
        <w:rPr>
          <w:rFonts w:ascii="Arial" w:hAnsi="Arial" w:cs="Arial"/>
          <w:color w:val="000000" w:themeColor="text1"/>
          <w:sz w:val="22"/>
          <w:szCs w:val="22"/>
          <w:shd w:val="clear" w:color="auto" w:fill="FFFFFF"/>
          <w:lang w:val="en-US"/>
        </w:rPr>
        <w:t>. Some questions about bonds in civil law in the Republic of Tajikistan</w:t>
      </w:r>
      <w:r w:rsidR="00AF1DB8" w:rsidRPr="00DA76A7">
        <w:rPr>
          <w:rFonts w:ascii="Arial" w:hAnsi="Arial" w:cs="Arial"/>
          <w:color w:val="000000" w:themeColor="text1"/>
          <w:sz w:val="22"/>
          <w:szCs w:val="22"/>
          <w:shd w:val="clear" w:color="auto" w:fill="FFFFFF"/>
          <w:lang w:val="en-US"/>
        </w:rPr>
        <w:t>…..</w:t>
      </w:r>
      <w:r w:rsidR="00AF1DB8" w:rsidRPr="00DA76A7">
        <w:rPr>
          <w:rFonts w:ascii="Arial" w:hAnsi="Arial" w:cs="Arial"/>
          <w:color w:val="000000" w:themeColor="text1"/>
          <w:sz w:val="22"/>
          <w:szCs w:val="22"/>
          <w:shd w:val="clear" w:color="auto" w:fill="FFFFFF"/>
          <w:lang w:val="en-US"/>
        </w:rPr>
        <w:tab/>
      </w:r>
      <w:r w:rsidR="00176B0D">
        <w:rPr>
          <w:rFonts w:ascii="Arial" w:hAnsi="Arial" w:cs="Arial"/>
          <w:color w:val="000000" w:themeColor="text1"/>
          <w:sz w:val="22"/>
          <w:szCs w:val="22"/>
          <w:shd w:val="clear" w:color="auto" w:fill="FFFFFF"/>
          <w:lang w:val="en-US"/>
        </w:rPr>
        <w:t>255</w:t>
      </w:r>
    </w:p>
    <w:p w:rsidR="0054571D" w:rsidRPr="00A46E7B"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Zaynutdinova Z.Z.</w:t>
      </w:r>
      <w:r w:rsidRPr="00DA76A7">
        <w:rPr>
          <w:rFonts w:ascii="Arial" w:hAnsi="Arial" w:cs="Arial"/>
          <w:color w:val="000000" w:themeColor="text1"/>
          <w:sz w:val="22"/>
          <w:szCs w:val="22"/>
          <w:shd w:val="clear" w:color="auto" w:fill="FFFFFF"/>
          <w:lang w:val="en-US"/>
        </w:rPr>
        <w:t xml:space="preserve"> Problems of the adoption procedure in the Republic of Tajikistan</w:t>
      </w:r>
      <w:r w:rsidR="00AF1DB8" w:rsidRPr="00DA76A7">
        <w:rPr>
          <w:rFonts w:ascii="Arial" w:hAnsi="Arial" w:cs="Arial"/>
          <w:color w:val="000000" w:themeColor="text1"/>
          <w:sz w:val="22"/>
          <w:szCs w:val="22"/>
          <w:shd w:val="clear" w:color="auto" w:fill="FFFFFF"/>
          <w:lang w:val="en-US"/>
        </w:rPr>
        <w:t>….</w:t>
      </w:r>
      <w:r w:rsidR="00CA59EA" w:rsidRPr="00DA76A7">
        <w:rPr>
          <w:rFonts w:ascii="Arial" w:hAnsi="Arial" w:cs="Arial"/>
          <w:color w:val="000000" w:themeColor="text1"/>
          <w:sz w:val="22"/>
          <w:szCs w:val="22"/>
          <w:shd w:val="clear" w:color="auto" w:fill="FFFFFF"/>
          <w:lang w:val="en-US"/>
        </w:rPr>
        <w:tab/>
      </w:r>
      <w:r w:rsidR="00176B0D">
        <w:rPr>
          <w:rFonts w:ascii="Arial" w:hAnsi="Arial" w:cs="Arial"/>
          <w:color w:val="000000" w:themeColor="text1"/>
          <w:sz w:val="22"/>
          <w:szCs w:val="22"/>
          <w:shd w:val="clear" w:color="auto" w:fill="FFFFFF"/>
          <w:lang w:val="en-US"/>
        </w:rPr>
        <w:t>258</w:t>
      </w:r>
    </w:p>
    <w:p w:rsidR="0054571D" w:rsidRPr="00A46E7B"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Zakharkina A.V.</w:t>
      </w:r>
      <w:r w:rsidRPr="00DA76A7">
        <w:rPr>
          <w:rFonts w:ascii="Arial" w:hAnsi="Arial" w:cs="Arial"/>
          <w:color w:val="000000" w:themeColor="text1"/>
          <w:sz w:val="22"/>
          <w:szCs w:val="22"/>
          <w:lang w:val="en-US"/>
        </w:rPr>
        <w:t xml:space="preserve"> Proper execution of complex commitments contained in the will</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262</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Zoloshoeva Zh.L.</w:t>
      </w:r>
      <w:r w:rsidRPr="00DA76A7">
        <w:rPr>
          <w:rFonts w:ascii="Arial" w:hAnsi="Arial" w:cs="Arial"/>
          <w:color w:val="000000" w:themeColor="text1"/>
          <w:sz w:val="22"/>
          <w:szCs w:val="22"/>
          <w:lang w:val="en-US"/>
        </w:rPr>
        <w:t xml:space="preserve"> To the question of the concept of touristic activity as a kind of business activity</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269</w:t>
      </w:r>
    </w:p>
    <w:p w:rsidR="00CA59EA" w:rsidRPr="00DA76A7" w:rsidRDefault="0054571D" w:rsidP="00CA59EA">
      <w:pPr>
        <w:pStyle w:val="a4"/>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Zuhurzoda D.Sh.</w:t>
      </w:r>
      <w:r w:rsidRPr="00DA76A7">
        <w:rPr>
          <w:rFonts w:ascii="Arial" w:hAnsi="Arial" w:cs="Arial"/>
          <w:color w:val="000000" w:themeColor="text1"/>
          <w:sz w:val="22"/>
          <w:szCs w:val="22"/>
          <w:lang w:val="en-US"/>
        </w:rPr>
        <w:t xml:space="preserve"> Problems of civil legal liability of local self-government bodies for applicable harm legislation of the Republic of Tajikistan</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273</w:t>
      </w:r>
    </w:p>
    <w:p w:rsidR="00CA59EA" w:rsidRPr="00DA76A7" w:rsidRDefault="0054571D" w:rsidP="00CA59EA">
      <w:pPr>
        <w:pStyle w:val="a4"/>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Izmailov V.I.</w:t>
      </w:r>
      <w:r w:rsidRPr="00DA76A7">
        <w:rPr>
          <w:rFonts w:ascii="Arial" w:hAnsi="Arial" w:cs="Arial"/>
          <w:color w:val="000000" w:themeColor="text1"/>
          <w:sz w:val="22"/>
          <w:szCs w:val="22"/>
          <w:lang w:val="en-US"/>
        </w:rPr>
        <w:t xml:space="preserve"> The role of mediation in divorce</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278</w:t>
      </w:r>
    </w:p>
    <w:p w:rsidR="00CA59EA" w:rsidRPr="00DA76A7" w:rsidRDefault="004D0299" w:rsidP="00CA59EA">
      <w:pPr>
        <w:pStyle w:val="a4"/>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Iminov F.Kh. </w:t>
      </w:r>
      <w:r w:rsidRPr="00DA76A7">
        <w:rPr>
          <w:rFonts w:ascii="Arial" w:hAnsi="Arial" w:cs="Arial"/>
          <w:color w:val="000000" w:themeColor="text1"/>
          <w:sz w:val="22"/>
          <w:szCs w:val="22"/>
          <w:lang w:val="en-US"/>
        </w:rPr>
        <w:t>Legal regulation of storage under the legislation of R</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public of Kazakhstan</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285</w:t>
      </w:r>
    </w:p>
    <w:p w:rsidR="00CA59EA" w:rsidRPr="005F43EE" w:rsidRDefault="0054571D" w:rsidP="00CA59EA">
      <w:pPr>
        <w:pStyle w:val="a4"/>
        <w:tabs>
          <w:tab w:val="right" w:pos="9072"/>
        </w:tabs>
        <w:ind w:left="567" w:right="849" w:hanging="567"/>
        <w:jc w:val="both"/>
        <w:rPr>
          <w:rFonts w:ascii="Arial" w:hAnsi="Arial" w:cs="Arial"/>
          <w:bCs/>
          <w:color w:val="000000" w:themeColor="text1"/>
          <w:sz w:val="22"/>
          <w:szCs w:val="22"/>
          <w:lang w:val="en-US"/>
        </w:rPr>
      </w:pPr>
      <w:r w:rsidRPr="00DA76A7">
        <w:rPr>
          <w:rFonts w:ascii="Arial" w:hAnsi="Arial" w:cs="Arial"/>
          <w:b/>
          <w:color w:val="000000" w:themeColor="text1"/>
          <w:sz w:val="22"/>
          <w:szCs w:val="22"/>
          <w:lang w:val="en-US"/>
        </w:rPr>
        <w:t>Ismailov S.Sh.</w:t>
      </w:r>
      <w:r w:rsidRPr="00DA76A7">
        <w:rPr>
          <w:rFonts w:ascii="Arial" w:hAnsi="Arial" w:cs="Arial"/>
          <w:color w:val="000000" w:themeColor="text1"/>
          <w:sz w:val="22"/>
          <w:szCs w:val="22"/>
          <w:lang w:val="en-US"/>
        </w:rPr>
        <w:t xml:space="preserve"> </w:t>
      </w:r>
      <w:r w:rsidRPr="00DA76A7">
        <w:rPr>
          <w:rFonts w:ascii="Arial" w:hAnsi="Arial" w:cs="Arial"/>
          <w:bCs/>
          <w:color w:val="000000" w:themeColor="text1"/>
          <w:sz w:val="22"/>
          <w:szCs w:val="22"/>
          <w:lang w:val="en-US"/>
        </w:rPr>
        <w:t>About features of legal description of individual enterprise</w:t>
      </w:r>
      <w:r w:rsidR="00AE543D" w:rsidRPr="00DA76A7">
        <w:rPr>
          <w:rFonts w:ascii="Arial" w:hAnsi="Arial" w:cs="Arial"/>
          <w:color w:val="000000" w:themeColor="text1"/>
          <w:sz w:val="22"/>
          <w:szCs w:val="22"/>
          <w:lang w:val="en-US"/>
        </w:rPr>
        <w:t>………………</w:t>
      </w:r>
      <w:r w:rsidR="00CA59EA" w:rsidRPr="00DA76A7">
        <w:rPr>
          <w:rFonts w:ascii="Arial" w:hAnsi="Arial" w:cs="Arial"/>
          <w:bCs/>
          <w:color w:val="000000" w:themeColor="text1"/>
          <w:sz w:val="22"/>
          <w:szCs w:val="22"/>
          <w:lang w:val="en-US"/>
        </w:rPr>
        <w:tab/>
      </w:r>
      <w:r w:rsidR="00176B0D">
        <w:rPr>
          <w:rFonts w:ascii="Arial" w:hAnsi="Arial" w:cs="Arial"/>
          <w:bCs/>
          <w:color w:val="000000" w:themeColor="text1"/>
          <w:sz w:val="22"/>
          <w:szCs w:val="22"/>
          <w:lang w:val="en-US"/>
        </w:rPr>
        <w:t>2</w:t>
      </w:r>
      <w:r w:rsidR="00176B0D" w:rsidRPr="005F43EE">
        <w:rPr>
          <w:rFonts w:ascii="Arial" w:hAnsi="Arial" w:cs="Arial"/>
          <w:bCs/>
          <w:color w:val="000000" w:themeColor="text1"/>
          <w:sz w:val="22"/>
          <w:szCs w:val="22"/>
          <w:lang w:val="en-US"/>
        </w:rPr>
        <w:t>87</w:t>
      </w:r>
    </w:p>
    <w:p w:rsidR="0054571D" w:rsidRPr="00DA76A7" w:rsidRDefault="0054571D" w:rsidP="00CA59EA">
      <w:pPr>
        <w:pStyle w:val="a4"/>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Kabirov S.O.</w:t>
      </w:r>
      <w:r w:rsidRPr="00DA76A7">
        <w:rPr>
          <w:rFonts w:ascii="Arial" w:hAnsi="Arial" w:cs="Arial"/>
          <w:color w:val="000000" w:themeColor="text1"/>
          <w:sz w:val="22"/>
          <w:szCs w:val="22"/>
          <w:lang w:val="en-US"/>
        </w:rPr>
        <w:t xml:space="preserve"> Legal characteristics of economic partnerships and societies</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294</w:t>
      </w:r>
    </w:p>
    <w:p w:rsidR="00CA59EA" w:rsidRPr="00DA76A7"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Kabirov S.O.</w:t>
      </w:r>
      <w:r w:rsidRPr="00DA76A7">
        <w:rPr>
          <w:rFonts w:ascii="Arial" w:hAnsi="Arial" w:cs="Arial"/>
          <w:color w:val="000000" w:themeColor="text1"/>
          <w:sz w:val="22"/>
          <w:szCs w:val="22"/>
          <w:lang w:val="en-US"/>
        </w:rPr>
        <w:t xml:space="preserve"> Legal regulation of the complete communities in the civil rights of the Republic of Tajikistan</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300</w:t>
      </w:r>
    </w:p>
    <w:p w:rsidR="00CA59EA" w:rsidRPr="00DA76A7" w:rsidRDefault="005F345A" w:rsidP="00CA59EA">
      <w:pPr>
        <w:tabs>
          <w:tab w:val="right" w:pos="9072"/>
        </w:tabs>
        <w:ind w:left="567" w:right="849" w:hanging="567"/>
        <w:jc w:val="both"/>
        <w:rPr>
          <w:rStyle w:val="shorttext"/>
          <w:rFonts w:ascii="Arial" w:hAnsi="Arial" w:cs="Arial"/>
          <w:color w:val="000000" w:themeColor="text1"/>
          <w:sz w:val="22"/>
          <w:szCs w:val="22"/>
          <w:lang w:val="en-US"/>
        </w:rPr>
      </w:pPr>
      <w:r w:rsidRPr="00DA76A7">
        <w:rPr>
          <w:rFonts w:ascii="Arial" w:hAnsi="Arial" w:cs="Arial"/>
          <w:b/>
          <w:color w:val="000000" w:themeColor="text1"/>
          <w:sz w:val="22"/>
          <w:szCs w:val="22"/>
          <w:lang w:val="en-US"/>
        </w:rPr>
        <w:t>Karimova O.M.</w:t>
      </w:r>
      <w:r w:rsidRPr="00DA76A7">
        <w:rPr>
          <w:rFonts w:ascii="Arial" w:hAnsi="Arial" w:cs="Arial"/>
          <w:color w:val="000000" w:themeColor="text1"/>
          <w:sz w:val="22"/>
          <w:szCs w:val="22"/>
          <w:lang w:val="en-US"/>
        </w:rPr>
        <w:t xml:space="preserve"> </w:t>
      </w:r>
      <w:r w:rsidRPr="00DA76A7">
        <w:rPr>
          <w:rStyle w:val="shorttext"/>
          <w:rFonts w:ascii="Arial" w:hAnsi="Arial" w:cs="Arial"/>
          <w:color w:val="000000" w:themeColor="text1"/>
          <w:sz w:val="22"/>
          <w:szCs w:val="22"/>
          <w:lang w:val="en-US"/>
        </w:rPr>
        <w:t>To the question of the legal position of women in the family</w:t>
      </w:r>
      <w:r w:rsidR="00AE543D" w:rsidRPr="00DA76A7">
        <w:rPr>
          <w:rStyle w:val="shorttext"/>
          <w:rFonts w:ascii="Arial" w:hAnsi="Arial" w:cs="Arial"/>
          <w:color w:val="000000" w:themeColor="text1"/>
          <w:sz w:val="22"/>
          <w:szCs w:val="22"/>
          <w:lang w:val="en-US"/>
        </w:rPr>
        <w:t>…………….</w:t>
      </w:r>
      <w:r w:rsidR="00CA59EA" w:rsidRPr="00DA76A7">
        <w:rPr>
          <w:rStyle w:val="shorttext"/>
          <w:rFonts w:ascii="Arial" w:hAnsi="Arial" w:cs="Arial"/>
          <w:color w:val="000000" w:themeColor="text1"/>
          <w:sz w:val="22"/>
          <w:szCs w:val="22"/>
          <w:lang w:val="en-US"/>
        </w:rPr>
        <w:tab/>
      </w:r>
      <w:r w:rsidR="00176B0D">
        <w:rPr>
          <w:rStyle w:val="shorttext"/>
          <w:rFonts w:ascii="Arial" w:hAnsi="Arial" w:cs="Arial"/>
          <w:color w:val="000000" w:themeColor="text1"/>
          <w:sz w:val="22"/>
          <w:szCs w:val="22"/>
          <w:lang w:val="en-US"/>
        </w:rPr>
        <w:t>303</w:t>
      </w:r>
    </w:p>
    <w:p w:rsidR="00CA59EA" w:rsidRPr="00DA76A7"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Karimova </w:t>
      </w:r>
      <w:r w:rsidRPr="00DA76A7">
        <w:rPr>
          <w:rFonts w:ascii="Arial" w:hAnsi="Arial" w:cs="Arial"/>
          <w:b/>
          <w:color w:val="000000" w:themeColor="text1"/>
          <w:sz w:val="22"/>
          <w:szCs w:val="22"/>
        </w:rPr>
        <w:t>Т</w:t>
      </w:r>
      <w:r w:rsidRPr="00DA76A7">
        <w:rPr>
          <w:rFonts w:ascii="Arial" w:hAnsi="Arial" w:cs="Arial"/>
          <w:b/>
          <w:color w:val="000000" w:themeColor="text1"/>
          <w:sz w:val="22"/>
          <w:szCs w:val="22"/>
          <w:lang w:val="en-US"/>
        </w:rPr>
        <w:t>.</w:t>
      </w:r>
      <w:r w:rsidRPr="00DA76A7">
        <w:rPr>
          <w:rFonts w:ascii="Arial" w:hAnsi="Arial" w:cs="Arial"/>
          <w:b/>
          <w:color w:val="000000" w:themeColor="text1"/>
          <w:sz w:val="22"/>
          <w:szCs w:val="22"/>
        </w:rPr>
        <w:t>М</w:t>
      </w:r>
      <w:r w:rsidRPr="00DA76A7">
        <w:rPr>
          <w:rFonts w:ascii="Arial" w:hAnsi="Arial" w:cs="Arial"/>
          <w:b/>
          <w:color w:val="000000" w:themeColor="text1"/>
          <w:sz w:val="22"/>
          <w:szCs w:val="22"/>
          <w:lang w:val="en-US"/>
        </w:rPr>
        <w:t>.</w:t>
      </w:r>
      <w:r w:rsidRPr="00DA76A7">
        <w:rPr>
          <w:rFonts w:ascii="Arial" w:hAnsi="Arial" w:cs="Arial"/>
          <w:color w:val="000000" w:themeColor="text1"/>
          <w:sz w:val="22"/>
          <w:szCs w:val="22"/>
          <w:lang w:val="en-US"/>
        </w:rPr>
        <w:t xml:space="preserve"> Organizational and legal forms of non-profit organizations on legislation of the Republic of Tajikistan and the Russian Federation</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176B0D">
        <w:rPr>
          <w:rFonts w:ascii="Arial" w:hAnsi="Arial" w:cs="Arial"/>
          <w:color w:val="000000" w:themeColor="text1"/>
          <w:sz w:val="22"/>
          <w:szCs w:val="22"/>
          <w:lang w:val="en-US"/>
        </w:rPr>
        <w:t>308</w:t>
      </w:r>
    </w:p>
    <w:p w:rsidR="0054571D" w:rsidRPr="00DA76A7"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Karomatulloi R.</w:t>
      </w:r>
      <w:r w:rsidRPr="00DA76A7">
        <w:rPr>
          <w:rFonts w:ascii="Arial" w:hAnsi="Arial" w:cs="Arial"/>
          <w:color w:val="000000" w:themeColor="text1"/>
          <w:sz w:val="22"/>
          <w:szCs w:val="22"/>
          <w:lang w:val="en-US"/>
        </w:rPr>
        <w:t xml:space="preserve"> Civil-legal liability on solidary obligations</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312</w:t>
      </w:r>
    </w:p>
    <w:p w:rsidR="00CA59EA" w:rsidRPr="00A46E7B"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Karomatulloi R.</w:t>
      </w:r>
      <w:r w:rsidRPr="00DA76A7">
        <w:rPr>
          <w:rFonts w:ascii="Arial" w:hAnsi="Arial" w:cs="Arial"/>
          <w:color w:val="000000" w:themeColor="text1"/>
          <w:sz w:val="22"/>
          <w:szCs w:val="22"/>
          <w:lang w:val="en-US"/>
        </w:rPr>
        <w:t xml:space="preserve"> To the question of types of obligations with multiple persons</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315</w:t>
      </w:r>
    </w:p>
    <w:p w:rsidR="0054571D" w:rsidRPr="00DA76A7"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Kiyomov F.</w:t>
      </w:r>
      <w:r w:rsidRPr="00DA76A7">
        <w:rPr>
          <w:rFonts w:ascii="Arial" w:hAnsi="Arial" w:cs="Arial"/>
          <w:b/>
          <w:color w:val="000000" w:themeColor="text1"/>
          <w:sz w:val="22"/>
          <w:szCs w:val="22"/>
        </w:rPr>
        <w:t>М</w:t>
      </w:r>
      <w:r w:rsidRPr="00DA76A7">
        <w:rPr>
          <w:rFonts w:ascii="Arial" w:hAnsi="Arial" w:cs="Arial"/>
          <w:b/>
          <w:color w:val="000000" w:themeColor="text1"/>
          <w:sz w:val="22"/>
          <w:szCs w:val="22"/>
          <w:lang w:val="en-US"/>
        </w:rPr>
        <w:t>.</w:t>
      </w:r>
      <w:r w:rsidRPr="00DA76A7">
        <w:rPr>
          <w:rFonts w:ascii="Arial" w:hAnsi="Arial" w:cs="Arial"/>
          <w:color w:val="000000" w:themeColor="text1"/>
          <w:sz w:val="22"/>
          <w:szCs w:val="22"/>
          <w:lang w:val="en-US"/>
        </w:rPr>
        <w:t xml:space="preserve"> To the question on the basis of civil legal liability of entrepreneurs</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318</w:t>
      </w:r>
    </w:p>
    <w:p w:rsidR="00CA59EA" w:rsidRPr="00DA76A7"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Kozienkov V.I.</w:t>
      </w:r>
      <w:r w:rsidRPr="00DA76A7">
        <w:rPr>
          <w:rFonts w:ascii="Arial" w:hAnsi="Arial" w:cs="Arial"/>
          <w:color w:val="000000" w:themeColor="text1"/>
          <w:sz w:val="22"/>
          <w:szCs w:val="22"/>
          <w:lang w:val="en-US"/>
        </w:rPr>
        <w:t xml:space="preserve"> Problems of civil legal protection of property interests of the person</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321</w:t>
      </w:r>
    </w:p>
    <w:p w:rsidR="0054571D" w:rsidRPr="005F43EE"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Korolkova A.A.</w:t>
      </w:r>
      <w:r w:rsidRPr="00DA76A7">
        <w:rPr>
          <w:rFonts w:ascii="Arial" w:hAnsi="Arial" w:cs="Arial"/>
          <w:color w:val="000000" w:themeColor="text1"/>
          <w:sz w:val="22"/>
          <w:szCs w:val="22"/>
          <w:lang w:val="en-US"/>
        </w:rPr>
        <w:t xml:space="preserve"> On the question of the access to the monetary amount that is a security deposit</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32</w:t>
      </w:r>
      <w:r w:rsidR="009576C3" w:rsidRPr="005F43EE">
        <w:rPr>
          <w:rFonts w:ascii="Arial" w:hAnsi="Arial" w:cs="Arial"/>
          <w:color w:val="000000" w:themeColor="text1"/>
          <w:sz w:val="22"/>
          <w:szCs w:val="22"/>
          <w:lang w:val="en-US"/>
        </w:rPr>
        <w:t>3</w:t>
      </w:r>
    </w:p>
    <w:p w:rsidR="0054571D" w:rsidRPr="00DA76A7"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Kochura A.S.</w:t>
      </w:r>
      <w:r w:rsidRPr="00DA76A7">
        <w:rPr>
          <w:rFonts w:ascii="Arial" w:hAnsi="Arial" w:cs="Arial"/>
          <w:color w:val="000000" w:themeColor="text1"/>
          <w:sz w:val="22"/>
          <w:szCs w:val="22"/>
          <w:lang w:val="en-US"/>
        </w:rPr>
        <w:t xml:space="preserve"> Problems of civil legal protection of property interests of the person</w:t>
      </w:r>
      <w:r w:rsidR="00AE543D"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329</w:t>
      </w:r>
    </w:p>
    <w:p w:rsidR="00CA59EA" w:rsidRPr="00DA76A7"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Kurbanova M.I.</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 xml:space="preserve">To the question of the conclusion of marriage in the </w:t>
      </w:r>
      <w:r w:rsidRPr="00DA76A7">
        <w:rPr>
          <w:rFonts w:ascii="Arial" w:hAnsi="Arial" w:cs="Arial"/>
          <w:color w:val="000000" w:themeColor="text1"/>
          <w:sz w:val="22"/>
          <w:szCs w:val="22"/>
          <w:shd w:val="clear" w:color="auto" w:fill="FFFFFF"/>
          <w:lang w:val="en-US"/>
        </w:rPr>
        <w:t>in the Republic of Tajikistan</w:t>
      </w:r>
      <w:r w:rsidR="00AE543D"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CA59EA" w:rsidRPr="00DA76A7">
        <w:rPr>
          <w:rFonts w:ascii="Arial" w:hAnsi="Arial" w:cs="Arial"/>
          <w:color w:val="000000" w:themeColor="text1"/>
          <w:sz w:val="22"/>
          <w:szCs w:val="22"/>
          <w:shd w:val="clear" w:color="auto" w:fill="FFFFFF"/>
          <w:lang w:val="en-US"/>
        </w:rPr>
        <w:tab/>
      </w:r>
      <w:r w:rsidR="009576C3">
        <w:rPr>
          <w:rFonts w:ascii="Arial" w:hAnsi="Arial" w:cs="Arial"/>
          <w:color w:val="000000" w:themeColor="text1"/>
          <w:sz w:val="22"/>
          <w:szCs w:val="22"/>
          <w:shd w:val="clear" w:color="auto" w:fill="FFFFFF"/>
          <w:lang w:val="en-US"/>
        </w:rPr>
        <w:t>333</w:t>
      </w:r>
    </w:p>
    <w:p w:rsidR="00CA59EA" w:rsidRPr="00DA76A7" w:rsidRDefault="005F345A"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Kurbonalizoda N.Sh., Azizzoda M.I.</w:t>
      </w:r>
      <w:r w:rsidRPr="00DA76A7">
        <w:rPr>
          <w:rFonts w:ascii="Arial" w:hAnsi="Arial" w:cs="Arial"/>
          <w:color w:val="000000" w:themeColor="text1"/>
          <w:sz w:val="22"/>
          <w:szCs w:val="22"/>
          <w:lang w:val="en-US"/>
        </w:rPr>
        <w:t xml:space="preserve"> On the sources of civil legal personality of minors in the information sphere.</w:t>
      </w:r>
      <w:r w:rsidR="00AE4C68" w:rsidRPr="00DA76A7">
        <w:rPr>
          <w:rFonts w:ascii="Arial" w:hAnsi="Arial" w:cs="Arial"/>
          <w:color w:val="000000" w:themeColor="text1"/>
          <w:sz w:val="22"/>
          <w:szCs w:val="22"/>
          <w:lang w:val="en-US"/>
        </w:rPr>
        <w:t xml:space="preserve"> ……………………..……………………..………………….</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336</w:t>
      </w:r>
    </w:p>
    <w:p w:rsidR="00CA59EA" w:rsidRPr="00DA76A7"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Mahmudova M.E.</w:t>
      </w:r>
      <w:r w:rsidRPr="00DA76A7">
        <w:rPr>
          <w:rFonts w:ascii="Arial" w:hAnsi="Arial" w:cs="Arial"/>
          <w:color w:val="000000" w:themeColor="text1"/>
          <w:sz w:val="22"/>
          <w:szCs w:val="22"/>
          <w:shd w:val="clear" w:color="auto" w:fill="FFFFFF"/>
          <w:lang w:val="en-US"/>
        </w:rPr>
        <w:t xml:space="preserve"> The </w:t>
      </w:r>
      <w:r w:rsidRPr="00DA76A7">
        <w:rPr>
          <w:rFonts w:ascii="Arial" w:hAnsi="Arial" w:cs="Arial"/>
          <w:color w:val="000000" w:themeColor="text1"/>
          <w:sz w:val="22"/>
          <w:szCs w:val="22"/>
          <w:lang w:val="en-US"/>
        </w:rPr>
        <w:t>importance</w:t>
      </w:r>
      <w:r w:rsidRPr="00DA76A7">
        <w:rPr>
          <w:rFonts w:ascii="Arial" w:hAnsi="Arial" w:cs="Arial"/>
          <w:color w:val="000000" w:themeColor="text1"/>
          <w:sz w:val="22"/>
          <w:szCs w:val="22"/>
          <w:shd w:val="clear" w:color="auto" w:fill="FFFFFF"/>
          <w:lang w:val="en-US"/>
        </w:rPr>
        <w:t xml:space="preserve"> of the contract of commercial concession in modern conditions</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shd w:val="clear" w:color="auto" w:fill="FFFFFF"/>
          <w:lang w:val="en-US"/>
        </w:rPr>
        <w:tab/>
      </w:r>
      <w:r w:rsidR="009576C3">
        <w:rPr>
          <w:rFonts w:ascii="Arial" w:hAnsi="Arial" w:cs="Arial"/>
          <w:color w:val="000000" w:themeColor="text1"/>
          <w:sz w:val="22"/>
          <w:szCs w:val="22"/>
          <w:shd w:val="clear" w:color="auto" w:fill="FFFFFF"/>
          <w:lang w:val="en-US"/>
        </w:rPr>
        <w:t>340</w:t>
      </w:r>
    </w:p>
    <w:p w:rsidR="0054571D" w:rsidRPr="00DA76A7" w:rsidRDefault="0054571D" w:rsidP="00CA59E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Mustafina A.Yu.</w:t>
      </w:r>
      <w:r w:rsidRPr="00DA76A7">
        <w:rPr>
          <w:rFonts w:ascii="Arial" w:hAnsi="Arial" w:cs="Arial"/>
          <w:color w:val="000000" w:themeColor="text1"/>
          <w:sz w:val="22"/>
          <w:szCs w:val="22"/>
          <w:shd w:val="clear" w:color="auto" w:fill="FFFFFF"/>
          <w:lang w:val="en-US"/>
        </w:rPr>
        <w:t xml:space="preserve"> Natural resources as objects of civil law</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shd w:val="clear" w:color="auto" w:fill="FFFFFF"/>
          <w:lang w:val="en-US"/>
        </w:rPr>
        <w:tab/>
      </w:r>
      <w:r w:rsidR="009576C3">
        <w:rPr>
          <w:rFonts w:ascii="Arial" w:hAnsi="Arial" w:cs="Arial"/>
          <w:color w:val="000000" w:themeColor="text1"/>
          <w:sz w:val="22"/>
          <w:szCs w:val="22"/>
          <w:shd w:val="clear" w:color="auto" w:fill="FFFFFF"/>
          <w:lang w:val="en-US"/>
        </w:rPr>
        <w:t>342</w:t>
      </w:r>
    </w:p>
    <w:p w:rsidR="0054571D" w:rsidRPr="00DA76A7" w:rsidRDefault="0054571D" w:rsidP="00CA59EA">
      <w:pPr>
        <w:shd w:val="clear" w:color="auto" w:fill="FFFFFF"/>
        <w:tabs>
          <w:tab w:val="right" w:pos="9072"/>
        </w:tabs>
        <w:ind w:left="567" w:right="849" w:hanging="567"/>
        <w:contextualSpacing/>
        <w:jc w:val="both"/>
        <w:outlineLvl w:val="1"/>
        <w:rPr>
          <w:rFonts w:ascii="Arial" w:hAnsi="Arial" w:cs="Arial"/>
          <w:bCs/>
          <w:color w:val="000000" w:themeColor="text1"/>
          <w:sz w:val="22"/>
          <w:szCs w:val="22"/>
          <w:lang w:val="en-US"/>
        </w:rPr>
      </w:pPr>
      <w:r w:rsidRPr="00DA76A7">
        <w:rPr>
          <w:rFonts w:ascii="Arial" w:hAnsi="Arial" w:cs="Arial"/>
          <w:b/>
          <w:color w:val="000000" w:themeColor="text1"/>
          <w:sz w:val="22"/>
          <w:szCs w:val="22"/>
          <w:shd w:val="clear" w:color="auto" w:fill="FFFFFF"/>
          <w:lang w:val="en-US"/>
        </w:rPr>
        <w:t>Nazrimadov T.K.</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About some aspects of insurance liability insurance</w:t>
      </w:r>
      <w:r w:rsidR="003E7C48" w:rsidRPr="00DA76A7">
        <w:rPr>
          <w:rFonts w:ascii="Arial" w:hAnsi="Arial" w:cs="Arial"/>
          <w:color w:val="000000" w:themeColor="text1"/>
          <w:sz w:val="22"/>
          <w:szCs w:val="22"/>
          <w:lang w:val="en-US"/>
        </w:rPr>
        <w:t>…………………...</w:t>
      </w:r>
      <w:r w:rsidR="003E7C48"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344</w:t>
      </w:r>
    </w:p>
    <w:p w:rsidR="00CA59EA" w:rsidRPr="00DA76A7"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Nikolaeva L.V.</w:t>
      </w:r>
      <w:r w:rsidRPr="00DA76A7">
        <w:rPr>
          <w:rFonts w:ascii="Arial" w:hAnsi="Arial" w:cs="Arial"/>
          <w:color w:val="000000" w:themeColor="text1"/>
          <w:sz w:val="22"/>
          <w:szCs w:val="22"/>
          <w:shd w:val="clear" w:color="auto" w:fill="FFFFFF"/>
          <w:lang w:val="en-US"/>
        </w:rPr>
        <w:t xml:space="preserve"> The </w:t>
      </w:r>
      <w:r w:rsidRPr="00DA76A7">
        <w:rPr>
          <w:rFonts w:ascii="Arial" w:hAnsi="Arial" w:cs="Arial"/>
          <w:color w:val="000000" w:themeColor="text1"/>
          <w:sz w:val="22"/>
          <w:szCs w:val="22"/>
          <w:lang w:val="en-US"/>
        </w:rPr>
        <w:t>limit of limitation of limitation: theory and practice of application</w:t>
      </w:r>
      <w:r w:rsidR="00CA59EA" w:rsidRPr="00DA76A7">
        <w:rPr>
          <w:rFonts w:ascii="Arial" w:hAnsi="Arial" w:cs="Arial"/>
          <w:color w:val="000000" w:themeColor="text1"/>
          <w:sz w:val="22"/>
          <w:szCs w:val="22"/>
          <w:lang w:val="en-US"/>
        </w:rPr>
        <w:tab/>
      </w:r>
      <w:r w:rsidR="003E7C48" w:rsidRPr="00DA76A7">
        <w:rPr>
          <w:rFonts w:ascii="Arial" w:hAnsi="Arial" w:cs="Arial"/>
          <w:color w:val="000000" w:themeColor="text1"/>
          <w:sz w:val="22"/>
          <w:szCs w:val="22"/>
          <w:lang w:val="en-US"/>
        </w:rPr>
        <w:t>…</w:t>
      </w:r>
      <w:r w:rsidR="003E7C48"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348</w:t>
      </w:r>
    </w:p>
    <w:p w:rsidR="00CA59EA" w:rsidRPr="00DA76A7"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Niyatbekov J.S.</w:t>
      </w:r>
      <w:r w:rsidRPr="00DA76A7">
        <w:rPr>
          <w:rFonts w:ascii="Arial" w:hAnsi="Arial" w:cs="Arial"/>
          <w:color w:val="000000" w:themeColor="text1"/>
          <w:sz w:val="22"/>
          <w:szCs w:val="22"/>
          <w:lang w:val="en-US"/>
        </w:rPr>
        <w:t xml:space="preserve"> On the issue of the concept of banking</w:t>
      </w:r>
      <w:r w:rsidR="00CA59EA" w:rsidRPr="00DA76A7">
        <w:rPr>
          <w:rFonts w:ascii="Arial" w:hAnsi="Arial" w:cs="Arial"/>
          <w:color w:val="000000" w:themeColor="text1"/>
          <w:sz w:val="22"/>
          <w:szCs w:val="22"/>
          <w:lang w:val="en-US"/>
        </w:rPr>
        <w:tab/>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351</w:t>
      </w:r>
    </w:p>
    <w:p w:rsidR="005F345A" w:rsidRPr="00DA76A7" w:rsidRDefault="005F345A" w:rsidP="00CA59EA">
      <w:pPr>
        <w:pStyle w:val="HTML"/>
        <w:shd w:val="clear" w:color="auto" w:fill="FFFFFF"/>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Niyatbekov J.S.</w:t>
      </w:r>
      <w:r w:rsidRPr="00DA76A7">
        <w:rPr>
          <w:rFonts w:ascii="Arial" w:hAnsi="Arial" w:cs="Arial"/>
          <w:color w:val="000000" w:themeColor="text1"/>
          <w:sz w:val="22"/>
          <w:szCs w:val="22"/>
          <w:shd w:val="clear" w:color="auto" w:fill="FFFFFF"/>
          <w:lang w:val="en-US"/>
        </w:rPr>
        <w:t xml:space="preserve"> The concept and types of credit institutions in the Republic of Tajikistan</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shd w:val="clear" w:color="auto" w:fill="FFFFFF"/>
          <w:lang w:val="en-US"/>
        </w:rPr>
        <w:tab/>
      </w:r>
      <w:r w:rsidR="009576C3">
        <w:rPr>
          <w:rFonts w:ascii="Arial" w:hAnsi="Arial" w:cs="Arial"/>
          <w:color w:val="000000" w:themeColor="text1"/>
          <w:sz w:val="22"/>
          <w:szCs w:val="22"/>
          <w:shd w:val="clear" w:color="auto" w:fill="FFFFFF"/>
          <w:lang w:val="en-US"/>
        </w:rPr>
        <w:t>353</w:t>
      </w:r>
    </w:p>
    <w:p w:rsidR="0054571D" w:rsidRPr="00DA76A7"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Orlov A.D.</w:t>
      </w:r>
      <w:r w:rsidRPr="00DA76A7">
        <w:rPr>
          <w:rFonts w:ascii="Arial" w:hAnsi="Arial" w:cs="Arial"/>
          <w:color w:val="000000" w:themeColor="text1"/>
          <w:sz w:val="22"/>
          <w:szCs w:val="22"/>
          <w:lang w:val="en-US"/>
        </w:rPr>
        <w:t xml:space="preserve"> The concept of civil liability</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356</w:t>
      </w:r>
    </w:p>
    <w:p w:rsidR="0054571D" w:rsidRPr="00DA76A7"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Pestov M.M.</w:t>
      </w:r>
      <w:r w:rsidRPr="00DA76A7">
        <w:rPr>
          <w:rFonts w:ascii="Arial" w:hAnsi="Arial" w:cs="Arial"/>
          <w:color w:val="000000" w:themeColor="text1"/>
          <w:sz w:val="22"/>
          <w:szCs w:val="22"/>
          <w:lang w:val="en-US"/>
        </w:rPr>
        <w:t xml:space="preserve"> Causa of contract in civil law: historical comparative analysis and development prospects</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358</w:t>
      </w:r>
    </w:p>
    <w:p w:rsidR="0054571D" w:rsidRPr="00DA76A7"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Poberezhny S.G.</w:t>
      </w:r>
      <w:r w:rsidRPr="00DA76A7">
        <w:rPr>
          <w:rFonts w:ascii="Arial" w:hAnsi="Arial" w:cs="Arial"/>
          <w:color w:val="000000" w:themeColor="text1"/>
          <w:sz w:val="22"/>
          <w:szCs w:val="22"/>
          <w:lang w:val="en-US"/>
        </w:rPr>
        <w:t xml:space="preserve"> Features of the content ownership rights of spouses for common property</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365</w:t>
      </w:r>
    </w:p>
    <w:p w:rsidR="0054571D" w:rsidRPr="00DA76A7" w:rsidRDefault="0054571D" w:rsidP="00CA59EA">
      <w:pPr>
        <w:pStyle w:val="HTML"/>
        <w:shd w:val="clear" w:color="auto" w:fill="FFFFFF"/>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Prokofiev N.A.</w:t>
      </w:r>
      <w:r w:rsidRPr="00DA76A7">
        <w:rPr>
          <w:rFonts w:ascii="Arial" w:hAnsi="Arial" w:cs="Arial"/>
          <w:color w:val="000000" w:themeColor="text1"/>
          <w:sz w:val="22"/>
          <w:szCs w:val="22"/>
          <w:lang w:val="en-US"/>
        </w:rPr>
        <w:t xml:space="preserve"> The role of the economic code in creation of the mechanism of sustainable social and economic development of CIS countries</w:t>
      </w:r>
      <w:r w:rsidR="003E7C48" w:rsidRPr="00DA76A7">
        <w:rPr>
          <w:rFonts w:ascii="Arial" w:hAnsi="Arial" w:cs="Arial"/>
          <w:color w:val="000000" w:themeColor="text1"/>
          <w:sz w:val="22"/>
          <w:szCs w:val="22"/>
          <w:lang w:val="en-US"/>
        </w:rPr>
        <w:t>…………………….</w:t>
      </w:r>
      <w:r w:rsidR="00CA59EA" w:rsidRPr="00DA76A7">
        <w:rPr>
          <w:rFonts w:ascii="Arial" w:eastAsia="Calibri" w:hAnsi="Arial" w:cs="Arial"/>
          <w:color w:val="000000" w:themeColor="text1"/>
          <w:sz w:val="22"/>
          <w:szCs w:val="22"/>
          <w:lang w:val="en-US"/>
        </w:rPr>
        <w:tab/>
      </w:r>
      <w:r w:rsidR="009576C3">
        <w:rPr>
          <w:rFonts w:ascii="Arial" w:eastAsia="Calibri" w:hAnsi="Arial" w:cs="Arial"/>
          <w:color w:val="000000" w:themeColor="text1"/>
          <w:sz w:val="22"/>
          <w:szCs w:val="22"/>
          <w:lang w:val="en-US"/>
        </w:rPr>
        <w:t>370</w:t>
      </w:r>
    </w:p>
    <w:p w:rsidR="0054571D" w:rsidRPr="005F43EE"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Rakhimova M.Z</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Concept and signs of the bank contribution agreement</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37</w:t>
      </w:r>
      <w:r w:rsidR="009576C3" w:rsidRPr="005F43EE">
        <w:rPr>
          <w:rFonts w:ascii="Arial" w:hAnsi="Arial" w:cs="Arial"/>
          <w:color w:val="000000" w:themeColor="text1"/>
          <w:sz w:val="22"/>
          <w:szCs w:val="22"/>
          <w:lang w:val="en-US"/>
        </w:rPr>
        <w:t>5</w:t>
      </w:r>
    </w:p>
    <w:p w:rsidR="00A10FA2" w:rsidRPr="00DA76A7" w:rsidRDefault="0054571D" w:rsidP="00CA59EA">
      <w:pPr>
        <w:pStyle w:val="a4"/>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Rahmatullozoda Kh.N.</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The capacity of a legal entity – the main component part of its legal</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9576C3">
        <w:rPr>
          <w:rFonts w:ascii="Arial" w:hAnsi="Arial" w:cs="Arial"/>
          <w:color w:val="000000" w:themeColor="text1"/>
          <w:sz w:val="22"/>
          <w:szCs w:val="22"/>
          <w:lang w:val="en-US"/>
        </w:rPr>
        <w:t>377</w:t>
      </w:r>
    </w:p>
    <w:p w:rsidR="005F345A" w:rsidRPr="00A46E7B" w:rsidRDefault="005F345A" w:rsidP="00CA59EA">
      <w:pPr>
        <w:pStyle w:val="a4"/>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Rahmatullozoda Kh.N.</w:t>
      </w:r>
      <w:r w:rsidRPr="00DA76A7">
        <w:rPr>
          <w:rFonts w:ascii="Arial" w:hAnsi="Arial" w:cs="Arial"/>
          <w:color w:val="000000" w:themeColor="text1"/>
          <w:sz w:val="22"/>
          <w:szCs w:val="22"/>
          <w:shd w:val="clear" w:color="auto" w:fill="FFFFFF"/>
          <w:lang w:val="en-US"/>
        </w:rPr>
        <w:t xml:space="preserve"> The concept and types of legal capacity of a legal entity</w:t>
      </w:r>
      <w:r w:rsidR="003E7C48" w:rsidRPr="00DA76A7">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 xml:space="preserve"> </w:t>
      </w:r>
      <w:r w:rsidR="00CA59EA" w:rsidRPr="00DA76A7">
        <w:rPr>
          <w:rFonts w:ascii="Arial" w:hAnsi="Arial" w:cs="Arial"/>
          <w:color w:val="000000" w:themeColor="text1"/>
          <w:sz w:val="22"/>
          <w:szCs w:val="22"/>
          <w:shd w:val="clear" w:color="auto" w:fill="FFFFFF"/>
          <w:lang w:val="en-US"/>
        </w:rPr>
        <w:tab/>
      </w:r>
      <w:r w:rsidR="009576C3">
        <w:rPr>
          <w:rFonts w:ascii="Arial" w:hAnsi="Arial" w:cs="Arial"/>
          <w:color w:val="000000" w:themeColor="text1"/>
          <w:sz w:val="22"/>
          <w:szCs w:val="22"/>
          <w:shd w:val="clear" w:color="auto" w:fill="FFFFFF"/>
          <w:lang w:val="en-US"/>
        </w:rPr>
        <w:t>382</w:t>
      </w:r>
    </w:p>
    <w:p w:rsidR="00A10FA2" w:rsidRPr="00A46E7B" w:rsidRDefault="0054571D" w:rsidP="00CA59EA">
      <w:pPr>
        <w:pStyle w:val="a4"/>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Rakhmon G.K.</w:t>
      </w:r>
      <w:r w:rsidRPr="00DA76A7">
        <w:rPr>
          <w:rFonts w:ascii="Arial" w:hAnsi="Arial" w:cs="Arial"/>
          <w:color w:val="000000" w:themeColor="text1"/>
          <w:sz w:val="22"/>
          <w:szCs w:val="22"/>
          <w:shd w:val="clear" w:color="auto" w:fill="FFFFFF"/>
          <w:lang w:val="en-US"/>
        </w:rPr>
        <w:t xml:space="preserve"> </w:t>
      </w:r>
      <w:r w:rsidR="00A10FA2" w:rsidRPr="00DA76A7">
        <w:rPr>
          <w:rFonts w:ascii="Arial" w:hAnsi="Arial" w:cs="Arial"/>
          <w:bCs/>
          <w:color w:val="000000" w:themeColor="text1"/>
          <w:sz w:val="22"/>
          <w:szCs w:val="22"/>
          <w:lang w:val="en-US"/>
        </w:rPr>
        <w:t>Comparative analysis of the legislation of the Russian Federation, the Republic of Tajikistan, the CIS and Baltic countries on adoption</w:t>
      </w:r>
      <w:r w:rsidR="003E7C48" w:rsidRPr="00DA76A7">
        <w:rPr>
          <w:rFonts w:ascii="Arial" w:hAnsi="Arial" w:cs="Arial"/>
          <w:color w:val="000000" w:themeColor="text1"/>
          <w:sz w:val="22"/>
          <w:szCs w:val="22"/>
          <w:lang w:val="en-US"/>
        </w:rPr>
        <w:t>……………………</w:t>
      </w:r>
      <w:r w:rsidR="00CA59EA" w:rsidRPr="00DA76A7">
        <w:rPr>
          <w:rFonts w:ascii="Arial" w:hAnsi="Arial" w:cs="Arial"/>
          <w:bCs/>
          <w:color w:val="000000" w:themeColor="text1"/>
          <w:sz w:val="22"/>
          <w:szCs w:val="22"/>
          <w:lang w:val="en-US"/>
        </w:rPr>
        <w:tab/>
      </w:r>
      <w:r w:rsidR="009576C3">
        <w:rPr>
          <w:rFonts w:ascii="Arial" w:hAnsi="Arial" w:cs="Arial"/>
          <w:bCs/>
          <w:color w:val="000000" w:themeColor="text1"/>
          <w:sz w:val="22"/>
          <w:szCs w:val="22"/>
          <w:lang w:val="en-US"/>
        </w:rPr>
        <w:t>388</w:t>
      </w:r>
    </w:p>
    <w:p w:rsidR="0054571D" w:rsidRPr="005F43EE"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Ryazanova A.M.</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 xml:space="preserve">Distinctive features of limited prestigious rights in the system of the right of the </w:t>
      </w:r>
      <w:r w:rsidRPr="00DA76A7">
        <w:rPr>
          <w:rFonts w:ascii="Arial" w:hAnsi="Arial" w:cs="Arial"/>
          <w:color w:val="000000" w:themeColor="text1"/>
          <w:sz w:val="22"/>
          <w:szCs w:val="22"/>
          <w:shd w:val="clear" w:color="auto" w:fill="FFFFFF"/>
          <w:lang w:val="en-US"/>
        </w:rPr>
        <w:t>Russian Federation</w:t>
      </w:r>
      <w:r w:rsidR="003E7C48"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CA59EA" w:rsidRPr="00DA76A7">
        <w:rPr>
          <w:rFonts w:ascii="Arial" w:hAnsi="Arial" w:cs="Arial"/>
          <w:color w:val="000000" w:themeColor="text1"/>
          <w:sz w:val="22"/>
          <w:szCs w:val="22"/>
          <w:shd w:val="clear" w:color="auto" w:fill="FFFFFF"/>
          <w:lang w:val="en-US"/>
        </w:rPr>
        <w:tab/>
      </w:r>
      <w:r w:rsidR="009576C3" w:rsidRPr="005F43EE">
        <w:rPr>
          <w:rFonts w:ascii="Arial" w:hAnsi="Arial" w:cs="Arial"/>
          <w:color w:val="000000" w:themeColor="text1"/>
          <w:sz w:val="22"/>
          <w:szCs w:val="22"/>
          <w:shd w:val="clear" w:color="auto" w:fill="FFFFFF"/>
          <w:lang w:val="en-US"/>
        </w:rPr>
        <w:t>394</w:t>
      </w:r>
    </w:p>
    <w:p w:rsidR="0054571D" w:rsidRPr="005F43EE"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Saidov I.D.</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Maintenance</w:t>
      </w:r>
      <w:r w:rsidRPr="00DA76A7">
        <w:rPr>
          <w:rFonts w:ascii="Arial" w:hAnsi="Arial" w:cs="Arial"/>
          <w:color w:val="000000" w:themeColor="text1"/>
          <w:sz w:val="22"/>
          <w:szCs w:val="22"/>
          <w:shd w:val="clear" w:color="auto" w:fill="FFFFFF"/>
          <w:lang w:val="en-US"/>
        </w:rPr>
        <w:t xml:space="preserve"> of the mortgage agreement Sydykova N.N. Land use rights transactions contract of the lands with agricultural assignment in the Republic of Tajikistan</w:t>
      </w:r>
      <w:r w:rsidR="003E7C48"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CA59EA" w:rsidRPr="00DA76A7">
        <w:rPr>
          <w:rFonts w:ascii="Arial" w:hAnsi="Arial" w:cs="Arial"/>
          <w:color w:val="000000" w:themeColor="text1"/>
          <w:sz w:val="22"/>
          <w:szCs w:val="22"/>
          <w:shd w:val="clear" w:color="auto" w:fill="FFFFFF"/>
          <w:lang w:val="en-US"/>
        </w:rPr>
        <w:tab/>
      </w:r>
      <w:r w:rsidR="009576C3" w:rsidRPr="005F43EE">
        <w:rPr>
          <w:rFonts w:ascii="Arial" w:hAnsi="Arial" w:cs="Arial"/>
          <w:color w:val="000000" w:themeColor="text1"/>
          <w:sz w:val="22"/>
          <w:szCs w:val="22"/>
          <w:shd w:val="clear" w:color="auto" w:fill="FFFFFF"/>
          <w:lang w:val="en-US"/>
        </w:rPr>
        <w:t>397</w:t>
      </w:r>
    </w:p>
    <w:p w:rsidR="005F345A" w:rsidRPr="005F43EE" w:rsidRDefault="00576A82" w:rsidP="00CA59EA">
      <w:pPr>
        <w:pStyle w:val="HTML"/>
        <w:shd w:val="clear" w:color="auto" w:fill="FFFFFF"/>
        <w:tabs>
          <w:tab w:val="right" w:pos="9072"/>
        </w:tabs>
        <w:ind w:left="567" w:right="849" w:hanging="567"/>
        <w:jc w:val="both"/>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 xml:space="preserve">Sydykova N.N. </w:t>
      </w:r>
      <w:r w:rsidRPr="00DA76A7">
        <w:rPr>
          <w:rFonts w:ascii="Arial" w:hAnsi="Arial" w:cs="Arial"/>
          <w:color w:val="000000" w:themeColor="text1"/>
          <w:sz w:val="22"/>
          <w:szCs w:val="22"/>
          <w:shd w:val="clear" w:color="auto" w:fill="FFFFFF"/>
          <w:lang w:val="en-US"/>
        </w:rPr>
        <w:t>Land use rights transactions contract of the lands with agricultural assignment in the Republic of Tajikistan</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shd w:val="clear" w:color="auto" w:fill="FFFFFF"/>
          <w:lang w:val="en-US"/>
        </w:rPr>
        <w:tab/>
      </w:r>
      <w:r w:rsidR="00230C80">
        <w:rPr>
          <w:rFonts w:ascii="Arial" w:hAnsi="Arial" w:cs="Arial"/>
          <w:color w:val="000000" w:themeColor="text1"/>
          <w:sz w:val="22"/>
          <w:szCs w:val="22"/>
          <w:shd w:val="clear" w:color="auto" w:fill="FFFFFF"/>
          <w:lang w:val="en-US"/>
        </w:rPr>
        <w:t>40</w:t>
      </w:r>
      <w:r w:rsidR="00230C80" w:rsidRPr="005F43EE">
        <w:rPr>
          <w:rFonts w:ascii="Arial" w:hAnsi="Arial" w:cs="Arial"/>
          <w:color w:val="000000" w:themeColor="text1"/>
          <w:sz w:val="22"/>
          <w:szCs w:val="22"/>
          <w:shd w:val="clear" w:color="auto" w:fill="FFFFFF"/>
          <w:lang w:val="en-US"/>
        </w:rPr>
        <w:t>0</w:t>
      </w:r>
    </w:p>
    <w:p w:rsidR="0054571D" w:rsidRPr="00DA76A7"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Sizo T.S.</w:t>
      </w:r>
      <w:r w:rsidRPr="00DA76A7">
        <w:rPr>
          <w:rFonts w:ascii="Arial" w:hAnsi="Arial" w:cs="Arial"/>
          <w:color w:val="000000" w:themeColor="text1"/>
          <w:sz w:val="22"/>
          <w:szCs w:val="22"/>
          <w:shd w:val="clear" w:color="auto" w:fill="FFFFFF"/>
          <w:lang w:val="en-US"/>
        </w:rPr>
        <w:t xml:space="preserve"> Know-how as an object of intellectual property in franchising</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shd w:val="clear" w:color="auto" w:fill="FFFFFF"/>
          <w:lang w:val="en-US"/>
        </w:rPr>
        <w:tab/>
      </w:r>
      <w:r w:rsidR="00230C80">
        <w:rPr>
          <w:rFonts w:ascii="Arial" w:hAnsi="Arial" w:cs="Arial"/>
          <w:color w:val="000000" w:themeColor="text1"/>
          <w:sz w:val="22"/>
          <w:szCs w:val="22"/>
          <w:shd w:val="clear" w:color="auto" w:fill="FFFFFF"/>
          <w:lang w:val="en-US"/>
        </w:rPr>
        <w:t>405</w:t>
      </w:r>
    </w:p>
    <w:p w:rsidR="00CA59EA" w:rsidRPr="00A46E7B" w:rsidRDefault="0054571D" w:rsidP="00CA59EA">
      <w:pPr>
        <w:tabs>
          <w:tab w:val="right" w:pos="9072"/>
        </w:tabs>
        <w:ind w:left="567" w:right="849" w:hanging="567"/>
        <w:jc w:val="both"/>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Sykalo M.</w:t>
      </w:r>
      <w:r w:rsidRPr="00DA76A7">
        <w:rPr>
          <w:rFonts w:ascii="Arial" w:hAnsi="Arial" w:cs="Arial"/>
          <w:b/>
          <w:color w:val="000000" w:themeColor="text1"/>
          <w:sz w:val="22"/>
          <w:szCs w:val="22"/>
        </w:rPr>
        <w:t>А</w:t>
      </w:r>
      <w:r w:rsidRPr="00DA76A7">
        <w:rPr>
          <w:rFonts w:ascii="Arial" w:hAnsi="Arial" w:cs="Arial"/>
          <w:b/>
          <w:color w:val="000000" w:themeColor="text1"/>
          <w:sz w:val="22"/>
          <w:szCs w:val="22"/>
          <w:lang w:val="en-US"/>
        </w:rPr>
        <w:t>.</w:t>
      </w:r>
      <w:r w:rsidRPr="00DA76A7">
        <w:rPr>
          <w:rFonts w:ascii="Arial" w:hAnsi="Arial" w:cs="Arial"/>
          <w:color w:val="000000" w:themeColor="text1"/>
          <w:sz w:val="22"/>
          <w:szCs w:val="22"/>
          <w:lang w:val="en-US"/>
        </w:rPr>
        <w:t xml:space="preserve"> </w:t>
      </w:r>
      <w:r w:rsidR="00CA59EA" w:rsidRPr="00DA76A7">
        <w:rPr>
          <w:rFonts w:ascii="Arial" w:hAnsi="Arial" w:cs="Arial"/>
          <w:color w:val="000000" w:themeColor="text1"/>
          <w:sz w:val="22"/>
          <w:szCs w:val="22"/>
          <w:lang w:val="en-US"/>
        </w:rPr>
        <w:t>Protecting the rights of children in advertising: problems and prospects of development</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409</w:t>
      </w:r>
    </w:p>
    <w:p w:rsidR="00CA59EA" w:rsidRPr="00A46E7B"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Trapeznikova A.I.</w:t>
      </w:r>
      <w:r w:rsidRPr="00DA76A7">
        <w:rPr>
          <w:rFonts w:ascii="Arial" w:hAnsi="Arial" w:cs="Arial"/>
          <w:color w:val="000000" w:themeColor="text1"/>
          <w:sz w:val="22"/>
          <w:szCs w:val="22"/>
          <w:lang w:val="en-US"/>
        </w:rPr>
        <w:t xml:space="preserve"> Problem of definition of the concept of "ownership" in modern legal science</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412</w:t>
      </w:r>
    </w:p>
    <w:p w:rsidR="0054571D" w:rsidRPr="00DA76A7"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Tretyakova K.Yu.</w:t>
      </w:r>
      <w:r w:rsidRPr="00DA76A7">
        <w:rPr>
          <w:rFonts w:ascii="Arial" w:hAnsi="Arial" w:cs="Arial"/>
          <w:color w:val="000000" w:themeColor="text1"/>
          <w:sz w:val="22"/>
          <w:szCs w:val="22"/>
          <w:lang w:val="en-US"/>
        </w:rPr>
        <w:t xml:space="preserve"> The representative function of the regional parliament</w:t>
      </w:r>
      <w:r w:rsidR="00CA59EA" w:rsidRPr="00DA76A7">
        <w:rPr>
          <w:rFonts w:ascii="Arial" w:hAnsi="Arial" w:cs="Arial"/>
          <w:color w:val="000000" w:themeColor="text1"/>
          <w:sz w:val="22"/>
          <w:szCs w:val="22"/>
          <w:lang w:val="en-US"/>
        </w:rPr>
        <w:t xml:space="preserve"> in the Russian </w:t>
      </w:r>
      <w:r w:rsidRPr="00DA76A7">
        <w:rPr>
          <w:rFonts w:ascii="Arial" w:hAnsi="Arial" w:cs="Arial"/>
          <w:color w:val="000000" w:themeColor="text1"/>
          <w:sz w:val="22"/>
          <w:szCs w:val="22"/>
          <w:lang w:val="en-US"/>
        </w:rPr>
        <w:t>Federation</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414</w:t>
      </w:r>
    </w:p>
    <w:p w:rsidR="006E790D" w:rsidRPr="00DA76A7" w:rsidRDefault="006E790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Haydarova N.A.</w:t>
      </w:r>
      <w:r w:rsidRPr="00DA76A7">
        <w:rPr>
          <w:rFonts w:ascii="Arial" w:hAnsi="Arial" w:cs="Arial"/>
          <w:color w:val="000000" w:themeColor="text1"/>
          <w:sz w:val="22"/>
          <w:szCs w:val="22"/>
          <w:lang w:val="en-US"/>
        </w:rPr>
        <w:t xml:space="preserve"> To the question of the possibility of compensation moral harm to legal entities</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417</w:t>
      </w:r>
    </w:p>
    <w:p w:rsidR="0054571D" w:rsidRPr="00A46E7B"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Haydarova N.A.</w:t>
      </w:r>
      <w:r w:rsidRPr="00DA76A7">
        <w:rPr>
          <w:rFonts w:ascii="Arial" w:hAnsi="Arial" w:cs="Arial"/>
          <w:color w:val="000000" w:themeColor="text1"/>
          <w:sz w:val="22"/>
          <w:szCs w:val="22"/>
          <w:lang w:val="en-US"/>
        </w:rPr>
        <w:t xml:space="preserve"> Legal regime of compensation for moral harm in the Republic of Tajikistan</w:t>
      </w:r>
      <w:r w:rsidR="003E7C48" w:rsidRPr="00DA76A7">
        <w:rPr>
          <w:rFonts w:ascii="Arial" w:hAnsi="Arial" w:cs="Arial"/>
          <w:color w:val="000000" w:themeColor="text1"/>
          <w:sz w:val="22"/>
          <w:szCs w:val="22"/>
          <w:lang w:val="en-US"/>
        </w:rPr>
        <w:t>……………………..……………………..……………………………………..</w:t>
      </w:r>
      <w:r w:rsidR="00CA59EA"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419</w:t>
      </w:r>
    </w:p>
    <w:p w:rsidR="0054571D" w:rsidRPr="00A46E7B" w:rsidRDefault="0054571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Khautov G.M.</w:t>
      </w:r>
      <w:r w:rsidRPr="00DA76A7">
        <w:rPr>
          <w:rFonts w:ascii="Arial" w:hAnsi="Arial" w:cs="Arial"/>
          <w:color w:val="000000" w:themeColor="text1"/>
          <w:sz w:val="22"/>
          <w:szCs w:val="22"/>
          <w:lang w:val="en-US"/>
        </w:rPr>
        <w:t xml:space="preserve"> To qession of progress</w:t>
      </w:r>
      <w:r w:rsidRPr="00DA76A7">
        <w:rPr>
          <w:rFonts w:ascii="Arial" w:hAnsi="Arial" w:cs="Arial"/>
          <w:color w:val="000000" w:themeColor="text1"/>
          <w:sz w:val="22"/>
          <w:szCs w:val="22"/>
          <w:shd w:val="clear" w:color="auto" w:fill="FFFFFF"/>
          <w:lang w:val="en-US"/>
        </w:rPr>
        <w:t xml:space="preserve"> of the entrepreneurial law of the Russian Federation and the Republic of Tajikistan in the period from 1990-present time</w:t>
      </w:r>
      <w:r w:rsidR="003E7C48" w:rsidRPr="00DA76A7">
        <w:rPr>
          <w:rFonts w:ascii="Arial" w:hAnsi="Arial" w:cs="Arial"/>
          <w:color w:val="000000" w:themeColor="text1"/>
          <w:sz w:val="22"/>
          <w:szCs w:val="22"/>
          <w:shd w:val="clear" w:color="auto" w:fill="FFFFFF"/>
          <w:lang w:val="en-US"/>
        </w:rPr>
        <w:t>….</w:t>
      </w:r>
      <w:r w:rsidR="007D5409" w:rsidRPr="00DA76A7">
        <w:rPr>
          <w:rFonts w:ascii="Arial" w:hAnsi="Arial" w:cs="Arial"/>
          <w:color w:val="000000" w:themeColor="text1"/>
          <w:sz w:val="22"/>
          <w:szCs w:val="22"/>
          <w:shd w:val="clear" w:color="auto" w:fill="FFFFFF"/>
          <w:lang w:val="en-US"/>
        </w:rPr>
        <w:tab/>
      </w:r>
      <w:r w:rsidR="00230C80">
        <w:rPr>
          <w:rFonts w:ascii="Arial" w:hAnsi="Arial" w:cs="Arial"/>
          <w:color w:val="000000" w:themeColor="text1"/>
          <w:sz w:val="22"/>
          <w:szCs w:val="22"/>
          <w:shd w:val="clear" w:color="auto" w:fill="FFFFFF"/>
          <w:lang w:val="en-US"/>
        </w:rPr>
        <w:t>421</w:t>
      </w:r>
    </w:p>
    <w:p w:rsidR="0054571D" w:rsidRPr="005F43EE" w:rsidRDefault="0054571D" w:rsidP="00CA59EA">
      <w:pPr>
        <w:tabs>
          <w:tab w:val="right" w:pos="9072"/>
        </w:tabs>
        <w:ind w:left="567" w:right="849" w:hanging="567"/>
        <w:jc w:val="both"/>
        <w:rPr>
          <w:rFonts w:ascii="Arial" w:hAnsi="Arial" w:cs="Arial"/>
          <w:bCs/>
          <w:color w:val="000000" w:themeColor="text1"/>
          <w:sz w:val="22"/>
          <w:szCs w:val="22"/>
          <w:lang w:val="en-US"/>
        </w:rPr>
      </w:pPr>
      <w:r w:rsidRPr="00DA76A7">
        <w:rPr>
          <w:rFonts w:ascii="Arial" w:hAnsi="Arial" w:cs="Arial"/>
          <w:b/>
          <w:color w:val="000000" w:themeColor="text1"/>
          <w:sz w:val="22"/>
          <w:szCs w:val="22"/>
          <w:lang w:val="en-US"/>
        </w:rPr>
        <w:t>Khautov G.M.</w:t>
      </w:r>
      <w:r w:rsidRPr="00DA76A7">
        <w:rPr>
          <w:rFonts w:ascii="Arial" w:hAnsi="Arial" w:cs="Arial"/>
          <w:color w:val="000000" w:themeColor="text1"/>
          <w:sz w:val="22"/>
          <w:szCs w:val="22"/>
          <w:lang w:val="en-US"/>
        </w:rPr>
        <w:t xml:space="preserve"> </w:t>
      </w:r>
      <w:r w:rsidRPr="00DA76A7">
        <w:rPr>
          <w:rFonts w:ascii="Arial" w:hAnsi="Arial" w:cs="Arial"/>
          <w:bCs/>
          <w:color w:val="000000" w:themeColor="text1"/>
          <w:sz w:val="22"/>
          <w:szCs w:val="22"/>
          <w:lang w:val="en-US"/>
        </w:rPr>
        <w:t>To qession of of autonomy</w:t>
      </w:r>
      <w:r w:rsidRPr="00DA76A7">
        <w:rPr>
          <w:rFonts w:ascii="Arial" w:hAnsi="Arial" w:cs="Arial"/>
          <w:color w:val="000000" w:themeColor="text1"/>
          <w:sz w:val="22"/>
          <w:szCs w:val="22"/>
          <w:lang w:val="en-US"/>
        </w:rPr>
        <w:t xml:space="preserve"> </w:t>
      </w:r>
      <w:r w:rsidRPr="00DA76A7">
        <w:rPr>
          <w:rFonts w:ascii="Arial" w:hAnsi="Arial" w:cs="Arial"/>
          <w:bCs/>
          <w:color w:val="000000" w:themeColor="text1"/>
          <w:sz w:val="22"/>
          <w:szCs w:val="22"/>
          <w:lang w:val="en-US"/>
        </w:rPr>
        <w:t>branch entrepreneurial law</w:t>
      </w:r>
      <w:r w:rsidR="003E7C48" w:rsidRPr="00DA76A7">
        <w:rPr>
          <w:rFonts w:ascii="Arial" w:hAnsi="Arial" w:cs="Arial"/>
          <w:color w:val="000000" w:themeColor="text1"/>
          <w:sz w:val="22"/>
          <w:szCs w:val="22"/>
          <w:lang w:val="en-US"/>
        </w:rPr>
        <w:t>……………………</w:t>
      </w:r>
      <w:r w:rsidR="007D5409" w:rsidRPr="00DA76A7">
        <w:rPr>
          <w:rFonts w:ascii="Arial" w:hAnsi="Arial" w:cs="Arial"/>
          <w:bCs/>
          <w:color w:val="000000" w:themeColor="text1"/>
          <w:sz w:val="22"/>
          <w:szCs w:val="22"/>
          <w:lang w:val="en-US"/>
        </w:rPr>
        <w:tab/>
      </w:r>
      <w:r w:rsidR="00230C80">
        <w:rPr>
          <w:rFonts w:ascii="Arial" w:hAnsi="Arial" w:cs="Arial"/>
          <w:bCs/>
          <w:color w:val="000000" w:themeColor="text1"/>
          <w:sz w:val="22"/>
          <w:szCs w:val="22"/>
          <w:lang w:val="en-US"/>
        </w:rPr>
        <w:t>4</w:t>
      </w:r>
      <w:r w:rsidR="00230C80" w:rsidRPr="005F43EE">
        <w:rPr>
          <w:rFonts w:ascii="Arial" w:hAnsi="Arial" w:cs="Arial"/>
          <w:bCs/>
          <w:color w:val="000000" w:themeColor="text1"/>
          <w:sz w:val="22"/>
          <w:szCs w:val="22"/>
          <w:lang w:val="en-US"/>
        </w:rPr>
        <w:t>26</w:t>
      </w:r>
    </w:p>
    <w:p w:rsidR="0054571D" w:rsidRPr="00A46E7B"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Kholmatov T.R.</w:t>
      </w:r>
      <w:r w:rsidRPr="00DA76A7">
        <w:rPr>
          <w:rFonts w:ascii="Arial" w:hAnsi="Arial" w:cs="Arial"/>
          <w:color w:val="000000" w:themeColor="text1"/>
          <w:sz w:val="22"/>
          <w:szCs w:val="22"/>
          <w:lang w:val="en-US"/>
        </w:rPr>
        <w:t xml:space="preserve"> Concept and features of the bank contribution agreement</w:t>
      </w:r>
      <w:r w:rsidR="007D5409" w:rsidRPr="00DA76A7">
        <w:rPr>
          <w:rFonts w:ascii="Arial" w:hAnsi="Arial" w:cs="Arial"/>
          <w:color w:val="000000" w:themeColor="text1"/>
          <w:sz w:val="22"/>
          <w:szCs w:val="22"/>
          <w:lang w:val="en-US"/>
        </w:rPr>
        <w:tab/>
      </w:r>
      <w:r w:rsidR="003E7C48" w:rsidRPr="00DA76A7">
        <w:rPr>
          <w:rFonts w:ascii="Arial" w:hAnsi="Arial" w:cs="Arial"/>
          <w:color w:val="000000" w:themeColor="text1"/>
          <w:sz w:val="22"/>
          <w:szCs w:val="22"/>
          <w:lang w:val="en-US"/>
        </w:rPr>
        <w:t>…………….</w:t>
      </w:r>
      <w:r w:rsidR="003D1F26" w:rsidRPr="003D1F26">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434</w:t>
      </w:r>
    </w:p>
    <w:p w:rsidR="006E790D" w:rsidRPr="00A46E7B" w:rsidRDefault="006E790D" w:rsidP="00CA59E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Kholmatov T.R.</w:t>
      </w:r>
      <w:r w:rsidRPr="00DA76A7">
        <w:rPr>
          <w:rFonts w:ascii="Arial" w:hAnsi="Arial" w:cs="Arial"/>
          <w:color w:val="000000" w:themeColor="text1"/>
          <w:sz w:val="22"/>
          <w:szCs w:val="22"/>
          <w:lang w:val="en-US"/>
        </w:rPr>
        <w:t xml:space="preserve"> Significant conditions and procedure for conclusion of the bank contribution agreement</w:t>
      </w:r>
      <w:r w:rsidR="003E7C48"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437</w:t>
      </w:r>
    </w:p>
    <w:p w:rsidR="0054571D" w:rsidRPr="00A46E7B" w:rsidRDefault="0054571D" w:rsidP="00CA59EA">
      <w:pPr>
        <w:pStyle w:val="a7"/>
        <w:shd w:val="clear" w:color="auto" w:fill="FFFFFF"/>
        <w:tabs>
          <w:tab w:val="right" w:pos="9072"/>
        </w:tabs>
        <w:spacing w:before="0" w:beforeAutospacing="0" w:after="0" w:afterAutospacing="0"/>
        <w:ind w:left="567" w:right="849" w:hanging="567"/>
        <w:contextualSpacing/>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Tsytsurina M.N.</w:t>
      </w:r>
      <w:r w:rsidRPr="00DA76A7">
        <w:rPr>
          <w:rFonts w:ascii="Arial" w:hAnsi="Arial" w:cs="Arial"/>
          <w:color w:val="000000" w:themeColor="text1"/>
          <w:sz w:val="22"/>
          <w:szCs w:val="22"/>
          <w:lang w:val="en-US"/>
        </w:rPr>
        <w:t xml:space="preserve"> Advertising and offering</w:t>
      </w:r>
      <w:r w:rsidR="003E7C48"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440</w:t>
      </w:r>
    </w:p>
    <w:p w:rsidR="0054571D" w:rsidRPr="00A46E7B" w:rsidRDefault="0054571D" w:rsidP="00CA59E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Chalishev R.S.</w:t>
      </w:r>
      <w:r w:rsidRPr="00DA76A7">
        <w:rPr>
          <w:rFonts w:ascii="Arial" w:hAnsi="Arial" w:cs="Arial"/>
          <w:color w:val="000000" w:themeColor="text1"/>
          <w:sz w:val="22"/>
          <w:szCs w:val="22"/>
          <w:lang w:val="en-US"/>
        </w:rPr>
        <w:t xml:space="preserve"> Provision of legal services and its legal problems in the civil legislation of the Republic of Tajikistan</w:t>
      </w:r>
      <w:r w:rsidR="003E7C48"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444</w:t>
      </w:r>
    </w:p>
    <w:p w:rsidR="006E790D" w:rsidRPr="00A46E7B" w:rsidRDefault="006E790D" w:rsidP="00CA59E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Chalishev R.S.</w:t>
      </w:r>
      <w:r w:rsidRPr="00DA76A7">
        <w:rPr>
          <w:rFonts w:ascii="Arial" w:hAnsi="Arial" w:cs="Arial"/>
          <w:color w:val="000000" w:themeColor="text1"/>
          <w:sz w:val="22"/>
          <w:szCs w:val="22"/>
          <w:lang w:val="en-US"/>
        </w:rPr>
        <w:t xml:space="preserve"> Concept of the contract for legal services</w:t>
      </w:r>
      <w:r w:rsidR="003E7C48" w:rsidRPr="00DA76A7">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 xml:space="preserve"> </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448</w:t>
      </w:r>
    </w:p>
    <w:p w:rsidR="005F345A" w:rsidRPr="00DA76A7" w:rsidRDefault="005F345A" w:rsidP="00CA59EA">
      <w:pPr>
        <w:tabs>
          <w:tab w:val="right" w:pos="9072"/>
        </w:tabs>
        <w:ind w:left="567" w:right="849" w:hanging="567"/>
        <w:jc w:val="both"/>
        <w:rPr>
          <w:rFonts w:ascii="Arial" w:hAnsi="Arial" w:cs="Arial"/>
          <w:color w:val="000000" w:themeColor="text1"/>
          <w:sz w:val="22"/>
          <w:szCs w:val="22"/>
          <w:lang w:val="en-US" w:eastAsia="zh-CN"/>
        </w:rPr>
      </w:pPr>
      <w:r w:rsidRPr="00DA76A7">
        <w:rPr>
          <w:rFonts w:ascii="Arial" w:hAnsi="Arial" w:cs="Arial"/>
          <w:b/>
          <w:color w:val="000000" w:themeColor="text1"/>
          <w:sz w:val="22"/>
          <w:szCs w:val="22"/>
          <w:lang w:val="en-US"/>
        </w:rPr>
        <w:t xml:space="preserve">Qianzhi V. </w:t>
      </w:r>
      <w:r w:rsidRPr="00DA76A7">
        <w:rPr>
          <w:rFonts w:ascii="Arial" w:hAnsi="Arial" w:cs="Arial"/>
          <w:color w:val="000000" w:themeColor="text1"/>
          <w:sz w:val="22"/>
          <w:szCs w:val="22"/>
          <w:lang w:val="en-US"/>
        </w:rPr>
        <w:t xml:space="preserve">Problems of legal regulation of </w:t>
      </w:r>
      <w:r w:rsidRPr="00DA76A7">
        <w:rPr>
          <w:rFonts w:ascii="Arial" w:hAnsi="Arial" w:cs="Arial"/>
          <w:color w:val="000000" w:themeColor="text1"/>
          <w:sz w:val="22"/>
          <w:szCs w:val="22"/>
          <w:lang w:val="en-US" w:eastAsia="zh-CN"/>
        </w:rPr>
        <w:t>compensation for moral injury in Russian Federation</w:t>
      </w:r>
      <w:r w:rsidR="003E7C48"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eastAsia="zh-CN"/>
        </w:rPr>
        <w:tab/>
      </w:r>
      <w:r w:rsidR="00230C80">
        <w:rPr>
          <w:rFonts w:ascii="Arial" w:hAnsi="Arial" w:cs="Arial"/>
          <w:color w:val="000000" w:themeColor="text1"/>
          <w:sz w:val="22"/>
          <w:szCs w:val="22"/>
          <w:lang w:val="en-US" w:eastAsia="zh-CN"/>
        </w:rPr>
        <w:t>450</w:t>
      </w:r>
    </w:p>
    <w:p w:rsidR="0054571D" w:rsidRPr="00DA76A7" w:rsidRDefault="0054571D" w:rsidP="00F4275A">
      <w:pPr>
        <w:tabs>
          <w:tab w:val="right" w:pos="9072"/>
        </w:tabs>
        <w:ind w:left="567" w:right="849" w:hanging="567"/>
        <w:jc w:val="both"/>
        <w:rPr>
          <w:rFonts w:ascii="Arial" w:hAnsi="Arial" w:cs="Arial"/>
          <w:b/>
          <w:color w:val="000000" w:themeColor="text1"/>
          <w:sz w:val="22"/>
          <w:szCs w:val="22"/>
          <w:lang w:val="en-US"/>
        </w:rPr>
      </w:pPr>
    </w:p>
    <w:p w:rsidR="0054571D" w:rsidRPr="00DA76A7" w:rsidRDefault="0054571D" w:rsidP="00F4275A">
      <w:pPr>
        <w:tabs>
          <w:tab w:val="right" w:pos="9072"/>
        </w:tabs>
        <w:ind w:left="567" w:right="849" w:hanging="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SECTION ACTUAL PROBLEMS OF CRIMINAL LAW AND CRIMINAL PROCEDURE</w:t>
      </w:r>
    </w:p>
    <w:p w:rsidR="0054571D" w:rsidRPr="00DA76A7" w:rsidRDefault="0054571D" w:rsidP="00F4275A">
      <w:pPr>
        <w:tabs>
          <w:tab w:val="right" w:pos="9072"/>
        </w:tabs>
        <w:ind w:left="567" w:right="849" w:hanging="567"/>
        <w:jc w:val="both"/>
        <w:rPr>
          <w:rFonts w:ascii="Arial" w:hAnsi="Arial" w:cs="Arial"/>
          <w:b/>
          <w:color w:val="000000" w:themeColor="text1"/>
          <w:sz w:val="22"/>
          <w:szCs w:val="22"/>
          <w:lang w:val="en-US"/>
        </w:rPr>
      </w:pPr>
    </w:p>
    <w:p w:rsidR="0054571D" w:rsidRPr="00A46E7B"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Abdyhan Zh.T.</w:t>
      </w:r>
      <w:r w:rsidRPr="00DA76A7">
        <w:rPr>
          <w:rFonts w:ascii="Arial" w:hAnsi="Arial" w:cs="Arial"/>
          <w:color w:val="000000" w:themeColor="text1"/>
          <w:sz w:val="22"/>
          <w:szCs w:val="22"/>
          <w:shd w:val="clear" w:color="auto" w:fill="FFFFFF"/>
          <w:lang w:val="en-US"/>
        </w:rPr>
        <w:t xml:space="preserve"> Concept and legal nature of the main trial in the </w:t>
      </w:r>
      <w:r w:rsidRPr="00DA76A7">
        <w:rPr>
          <w:rFonts w:ascii="Arial" w:hAnsi="Arial" w:cs="Arial"/>
          <w:color w:val="000000" w:themeColor="text1"/>
          <w:sz w:val="22"/>
          <w:szCs w:val="22"/>
          <w:lang w:val="en-US"/>
        </w:rPr>
        <w:t xml:space="preserve">light of the new of the code of criminal procedure </w:t>
      </w:r>
      <w:r w:rsidRPr="00DA76A7">
        <w:rPr>
          <w:rFonts w:ascii="Arial" w:hAnsi="Arial" w:cs="Arial"/>
          <w:color w:val="000000" w:themeColor="text1"/>
          <w:sz w:val="22"/>
          <w:szCs w:val="22"/>
          <w:shd w:val="clear" w:color="auto" w:fill="FFFFFF"/>
          <w:lang w:val="en-US"/>
        </w:rPr>
        <w:t>of the Republic of Kazakhstan</w:t>
      </w:r>
      <w:r w:rsidR="00D159B3" w:rsidRPr="00DA76A7">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 xml:space="preserve"> </w:t>
      </w:r>
      <w:r w:rsidR="007D5409" w:rsidRPr="00DA76A7">
        <w:rPr>
          <w:rFonts w:ascii="Arial" w:hAnsi="Arial" w:cs="Arial"/>
          <w:color w:val="000000" w:themeColor="text1"/>
          <w:sz w:val="22"/>
          <w:szCs w:val="22"/>
          <w:shd w:val="clear" w:color="auto" w:fill="FFFFFF"/>
          <w:lang w:val="en-US"/>
        </w:rPr>
        <w:tab/>
      </w:r>
      <w:r w:rsidR="00230C80">
        <w:rPr>
          <w:rFonts w:ascii="Arial" w:hAnsi="Arial" w:cs="Arial"/>
          <w:color w:val="000000" w:themeColor="text1"/>
          <w:sz w:val="22"/>
          <w:szCs w:val="22"/>
          <w:shd w:val="clear" w:color="auto" w:fill="FFFFFF"/>
          <w:lang w:val="en-US"/>
        </w:rPr>
        <w:t>455</w:t>
      </w:r>
    </w:p>
    <w:p w:rsidR="0054571D" w:rsidRPr="00A46E7B"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Azimov F.S.</w:t>
      </w:r>
      <w:r w:rsidRPr="00DA76A7">
        <w:rPr>
          <w:rFonts w:ascii="Arial" w:hAnsi="Arial" w:cs="Arial"/>
          <w:color w:val="000000" w:themeColor="text1"/>
          <w:sz w:val="22"/>
          <w:szCs w:val="22"/>
          <w:shd w:val="clear" w:color="auto" w:fill="FFFFFF"/>
          <w:lang w:val="en-US"/>
        </w:rPr>
        <w:t xml:space="preserve"> The concept and </w:t>
      </w:r>
      <w:r w:rsidRPr="00DA76A7">
        <w:rPr>
          <w:rFonts w:ascii="Arial" w:hAnsi="Arial" w:cs="Arial"/>
          <w:color w:val="000000" w:themeColor="text1"/>
          <w:sz w:val="22"/>
          <w:szCs w:val="22"/>
          <w:lang w:val="en-US"/>
        </w:rPr>
        <w:t>qualification peculiarities of misappropriation or embezzlement</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460</w:t>
      </w:r>
    </w:p>
    <w:p w:rsidR="00D159B3" w:rsidRPr="00A46E7B" w:rsidRDefault="0054571D" w:rsidP="00D159B3">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Alayarov N.I.</w:t>
      </w:r>
      <w:r w:rsidRPr="00DA76A7">
        <w:rPr>
          <w:rFonts w:ascii="Arial" w:hAnsi="Arial" w:cs="Arial"/>
          <w:color w:val="000000" w:themeColor="text1"/>
          <w:sz w:val="22"/>
          <w:szCs w:val="22"/>
          <w:shd w:val="clear" w:color="auto" w:fill="FFFFFF"/>
          <w:lang w:val="en-US"/>
        </w:rPr>
        <w:t xml:space="preserve"> The concept and structure of the perpetrator's personality</w:t>
      </w:r>
      <w:r w:rsidR="00D159B3" w:rsidRPr="00DA76A7">
        <w:rPr>
          <w:rFonts w:ascii="Arial" w:hAnsi="Arial" w:cs="Arial"/>
          <w:color w:val="000000" w:themeColor="text1"/>
          <w:sz w:val="22"/>
          <w:szCs w:val="22"/>
          <w:lang w:val="en-US"/>
        </w:rPr>
        <w:t>………………...</w:t>
      </w:r>
      <w:r w:rsidR="00230C80">
        <w:rPr>
          <w:rFonts w:ascii="Arial" w:hAnsi="Arial" w:cs="Arial"/>
          <w:color w:val="000000" w:themeColor="text1"/>
          <w:sz w:val="22"/>
          <w:szCs w:val="22"/>
          <w:lang w:val="en-US"/>
        </w:rPr>
        <w:tab/>
        <w:t>462</w:t>
      </w:r>
    </w:p>
    <w:p w:rsidR="00367EE0" w:rsidRPr="00A46E7B" w:rsidRDefault="00367EE0" w:rsidP="00D159B3">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Boimatov F.D. </w:t>
      </w:r>
      <w:r w:rsidRPr="00DA76A7">
        <w:rPr>
          <w:rFonts w:ascii="Arial" w:hAnsi="Arial" w:cs="Arial"/>
          <w:color w:val="000000" w:themeColor="text1"/>
          <w:sz w:val="22"/>
          <w:szCs w:val="22"/>
          <w:lang w:val="en-US"/>
        </w:rPr>
        <w:t>Objectives and objectives of the criminal process</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464</w:t>
      </w:r>
    </w:p>
    <w:p w:rsidR="0054571D" w:rsidRPr="00DA76A7"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Gadzhiev V.E.O, Demina M.L., Yudin D.V.</w:t>
      </w:r>
      <w:r w:rsidRPr="00DA76A7">
        <w:rPr>
          <w:rFonts w:ascii="Arial" w:hAnsi="Arial" w:cs="Arial"/>
          <w:color w:val="000000" w:themeColor="text1"/>
          <w:sz w:val="22"/>
          <w:szCs w:val="22"/>
          <w:shd w:val="clear" w:color="auto" w:fill="FFFFFF"/>
          <w:lang w:val="en-US"/>
        </w:rPr>
        <w:t xml:space="preserve"> Legal education </w:t>
      </w:r>
      <w:r w:rsidRPr="00DA76A7">
        <w:rPr>
          <w:rFonts w:ascii="Arial" w:hAnsi="Arial" w:cs="Arial"/>
          <w:color w:val="000000" w:themeColor="text1"/>
          <w:sz w:val="22"/>
          <w:szCs w:val="22"/>
          <w:lang w:val="en-US"/>
        </w:rPr>
        <w:t>in struggle against criminal activity of terrorists in the internet network</w:t>
      </w:r>
      <w:r w:rsidR="00D159B3" w:rsidRPr="00DA76A7">
        <w:rPr>
          <w:rFonts w:ascii="Arial" w:hAnsi="Arial" w:cs="Arial"/>
          <w:color w:val="000000" w:themeColor="text1"/>
          <w:sz w:val="22"/>
          <w:szCs w:val="22"/>
          <w:lang w:val="en-US"/>
        </w:rPr>
        <w:t>…………………………………...</w:t>
      </w:r>
      <w:r w:rsidR="00D159B3"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466</w:t>
      </w:r>
    </w:p>
    <w:p w:rsidR="0054571D" w:rsidRPr="00DA76A7" w:rsidRDefault="0054571D" w:rsidP="00F4275A">
      <w:pPr>
        <w:tabs>
          <w:tab w:val="right" w:pos="9072"/>
        </w:tabs>
        <w:ind w:left="567" w:right="849" w:hanging="567"/>
        <w:contextualSpacing/>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Gasanov A.A.</w:t>
      </w:r>
      <w:r w:rsidRPr="00DA76A7">
        <w:rPr>
          <w:rFonts w:ascii="Arial" w:hAnsi="Arial" w:cs="Arial"/>
          <w:color w:val="000000" w:themeColor="text1"/>
          <w:sz w:val="22"/>
          <w:szCs w:val="22"/>
          <w:shd w:val="clear" w:color="auto" w:fill="FFFFFF"/>
          <w:lang w:val="en-US"/>
        </w:rPr>
        <w:t xml:space="preserve"> Subject of abuse of official authority</w:t>
      </w:r>
      <w:r w:rsidR="00D159B3" w:rsidRPr="00DA76A7">
        <w:rPr>
          <w:rFonts w:ascii="Arial" w:hAnsi="Arial" w:cs="Arial"/>
          <w:color w:val="000000" w:themeColor="text1"/>
          <w:sz w:val="22"/>
          <w:szCs w:val="22"/>
          <w:lang w:val="en-US"/>
        </w:rPr>
        <w:t>……………………..………………….</w:t>
      </w:r>
      <w:r w:rsidR="00D159B3"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474</w:t>
      </w:r>
    </w:p>
    <w:p w:rsidR="0054571D" w:rsidRPr="00A46E7B" w:rsidRDefault="0054571D" w:rsidP="00F4275A">
      <w:pPr>
        <w:tabs>
          <w:tab w:val="right" w:pos="9072"/>
        </w:tabs>
        <w:ind w:left="567" w:right="849" w:hanging="567"/>
        <w:contextualSpacing/>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Gornov A.I.</w:t>
      </w:r>
      <w:r w:rsidRPr="00DA76A7">
        <w:rPr>
          <w:rFonts w:ascii="Arial" w:hAnsi="Arial" w:cs="Arial"/>
          <w:color w:val="000000" w:themeColor="text1"/>
          <w:sz w:val="22"/>
          <w:szCs w:val="22"/>
          <w:lang w:val="en-US"/>
        </w:rPr>
        <w:t xml:space="preserve"> Specifics and problems produced supervision of compliance with the disadvantages from the bodies of preliminary investigation in the Russian Federation</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477</w:t>
      </w:r>
    </w:p>
    <w:p w:rsidR="0054571D" w:rsidRPr="00A46E7B"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Davlatova M.H.</w:t>
      </w:r>
      <w:r w:rsidRPr="00DA76A7">
        <w:rPr>
          <w:rFonts w:ascii="Arial" w:hAnsi="Arial" w:cs="Arial"/>
          <w:color w:val="000000" w:themeColor="text1"/>
          <w:sz w:val="22"/>
          <w:szCs w:val="22"/>
          <w:lang w:val="en-US"/>
        </w:rPr>
        <w:t xml:space="preserve"> Features of the application of special knowledge in the disclosure and investigation of rape</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480</w:t>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Dudko O.V.</w:t>
      </w:r>
      <w:r w:rsidRPr="00DA76A7">
        <w:rPr>
          <w:rFonts w:ascii="Arial" w:hAnsi="Arial" w:cs="Arial"/>
          <w:color w:val="000000" w:themeColor="text1"/>
          <w:sz w:val="22"/>
          <w:szCs w:val="22"/>
          <w:lang w:val="en-US"/>
        </w:rPr>
        <w:t xml:space="preserve"> Justice agreement in the law of the Soviet and post-Soviet periods</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486</w:t>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Zhalgasov K.</w:t>
      </w:r>
      <w:r w:rsidRPr="00DA76A7">
        <w:rPr>
          <w:rFonts w:ascii="Arial" w:hAnsi="Arial" w:cs="Arial"/>
          <w:color w:val="000000" w:themeColor="text1"/>
          <w:sz w:val="22"/>
          <w:szCs w:val="22"/>
          <w:lang w:val="en-US"/>
        </w:rPr>
        <w:t xml:space="preserve"> Legal framework for regulating the production of affairs on criminal offenses of minors in the Republic of Kazakhstan</w:t>
      </w:r>
      <w:r w:rsidR="007D5409" w:rsidRPr="00DA76A7">
        <w:rPr>
          <w:rFonts w:ascii="Arial" w:hAnsi="Arial" w:cs="Arial"/>
          <w:color w:val="000000" w:themeColor="text1"/>
          <w:sz w:val="22"/>
          <w:szCs w:val="22"/>
          <w:lang w:val="en-US"/>
        </w:rPr>
        <w:tab/>
      </w:r>
      <w:r w:rsidR="00D159B3" w:rsidRPr="00DA76A7">
        <w:rPr>
          <w:rFonts w:ascii="Arial" w:hAnsi="Arial" w:cs="Arial"/>
          <w:color w:val="000000" w:themeColor="text1"/>
          <w:sz w:val="22"/>
          <w:szCs w:val="22"/>
          <w:lang w:val="en-US"/>
        </w:rPr>
        <w:t>……………………..……………</w:t>
      </w:r>
      <w:r w:rsidR="00D159B3" w:rsidRPr="00DA76A7">
        <w:rPr>
          <w:rFonts w:ascii="Arial" w:hAnsi="Arial" w:cs="Arial"/>
          <w:color w:val="000000" w:themeColor="text1"/>
          <w:sz w:val="22"/>
          <w:szCs w:val="22"/>
          <w:lang w:val="en-US"/>
        </w:rPr>
        <w:tab/>
      </w:r>
      <w:r w:rsidR="00230C80">
        <w:rPr>
          <w:rFonts w:ascii="Arial" w:hAnsi="Arial" w:cs="Arial"/>
          <w:color w:val="000000" w:themeColor="text1"/>
          <w:sz w:val="22"/>
          <w:szCs w:val="22"/>
          <w:lang w:val="en-US"/>
        </w:rPr>
        <w:t>489</w:t>
      </w:r>
    </w:p>
    <w:p w:rsidR="0054571D" w:rsidRPr="005F43EE"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Zadvoryeva A.Yu.</w:t>
      </w:r>
      <w:r w:rsidRPr="00DA76A7">
        <w:rPr>
          <w:rFonts w:ascii="Arial" w:hAnsi="Arial" w:cs="Arial"/>
          <w:color w:val="000000" w:themeColor="text1"/>
          <w:sz w:val="22"/>
          <w:szCs w:val="22"/>
          <w:lang w:val="en-US"/>
        </w:rPr>
        <w:t xml:space="preserve"> Features of the application of innovative technologies in the investigation of crimes</w:t>
      </w:r>
      <w:r w:rsidR="007D5409" w:rsidRPr="00DA76A7">
        <w:rPr>
          <w:rFonts w:ascii="Arial" w:hAnsi="Arial" w:cs="Arial"/>
          <w:color w:val="000000" w:themeColor="text1"/>
          <w:sz w:val="22"/>
          <w:szCs w:val="22"/>
          <w:lang w:val="en-US"/>
        </w:rPr>
        <w:tab/>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230C80" w:rsidRPr="005F43EE">
        <w:rPr>
          <w:rFonts w:ascii="Arial" w:hAnsi="Arial" w:cs="Arial"/>
          <w:color w:val="000000" w:themeColor="text1"/>
          <w:sz w:val="22"/>
          <w:szCs w:val="22"/>
          <w:lang w:val="en-US"/>
        </w:rPr>
        <w:t>495</w:t>
      </w:r>
    </w:p>
    <w:p w:rsidR="0054571D" w:rsidRPr="00DA76A7"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Karimov A.M.</w:t>
      </w:r>
      <w:r w:rsidRPr="00DA76A7">
        <w:rPr>
          <w:rFonts w:ascii="Arial" w:hAnsi="Arial" w:cs="Arial"/>
          <w:color w:val="000000" w:themeColor="text1"/>
          <w:sz w:val="22"/>
          <w:szCs w:val="22"/>
          <w:lang w:val="en-US"/>
        </w:rPr>
        <w:t xml:space="preserve"> State-legal status of confessed to the deprivation of freedom</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DA4400">
        <w:rPr>
          <w:rFonts w:ascii="Arial" w:hAnsi="Arial" w:cs="Arial"/>
          <w:color w:val="000000" w:themeColor="text1"/>
          <w:sz w:val="22"/>
          <w:szCs w:val="22"/>
          <w:lang w:val="en-US"/>
        </w:rPr>
        <w:t>500</w:t>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Kodirov R.D.</w:t>
      </w:r>
      <w:r w:rsidRPr="00DA76A7">
        <w:rPr>
          <w:rFonts w:ascii="Arial" w:hAnsi="Arial" w:cs="Arial"/>
          <w:color w:val="000000" w:themeColor="text1"/>
          <w:sz w:val="22"/>
          <w:szCs w:val="22"/>
          <w:lang w:val="en-US"/>
        </w:rPr>
        <w:t xml:space="preserve"> Criminal procedural legislation of the Republic of Tajikistan: main goals and achievements</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DA4400">
        <w:rPr>
          <w:rFonts w:ascii="Arial" w:hAnsi="Arial" w:cs="Arial"/>
          <w:color w:val="000000" w:themeColor="text1"/>
          <w:sz w:val="22"/>
          <w:szCs w:val="22"/>
          <w:lang w:val="en-US"/>
        </w:rPr>
        <w:t>503</w:t>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Krasnoperov V.V.</w:t>
      </w:r>
      <w:r w:rsidRPr="00DA76A7">
        <w:rPr>
          <w:rFonts w:ascii="Arial" w:hAnsi="Arial" w:cs="Arial"/>
          <w:color w:val="000000" w:themeColor="text1"/>
          <w:sz w:val="22"/>
          <w:szCs w:val="22"/>
          <w:lang w:val="en-US"/>
        </w:rPr>
        <w:t xml:space="preserve"> Actual problems of appointment and production of forensic examination</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DA4400">
        <w:rPr>
          <w:rFonts w:ascii="Arial" w:hAnsi="Arial" w:cs="Arial"/>
          <w:color w:val="000000" w:themeColor="text1"/>
          <w:sz w:val="22"/>
          <w:szCs w:val="22"/>
          <w:lang w:val="en-US"/>
        </w:rPr>
        <w:t>506</w:t>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Lavrentyev M.Yu.</w:t>
      </w:r>
      <w:r w:rsidRPr="00DA76A7">
        <w:rPr>
          <w:rFonts w:ascii="Arial" w:hAnsi="Arial" w:cs="Arial"/>
          <w:color w:val="000000" w:themeColor="text1"/>
          <w:sz w:val="22"/>
          <w:szCs w:val="22"/>
          <w:lang w:val="en-US"/>
        </w:rPr>
        <w:t xml:space="preserve"> Functions of the defender in the criminal process of the Russian Federation</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DA4400">
        <w:rPr>
          <w:rFonts w:ascii="Arial" w:hAnsi="Arial" w:cs="Arial"/>
          <w:color w:val="000000" w:themeColor="text1"/>
          <w:sz w:val="22"/>
          <w:szCs w:val="22"/>
          <w:lang w:val="en-US"/>
        </w:rPr>
        <w:t>508</w:t>
      </w:r>
      <w:r w:rsidR="007354E1">
        <w:rPr>
          <w:rFonts w:ascii="Arial" w:hAnsi="Arial" w:cs="Arial"/>
          <w:color w:val="000000" w:themeColor="text1"/>
          <w:sz w:val="22"/>
          <w:szCs w:val="22"/>
          <w:lang w:val="en-US"/>
        </w:rPr>
        <w:tab/>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Mamadgariyeva A.R.</w:t>
      </w:r>
      <w:r w:rsidRPr="00DA76A7">
        <w:rPr>
          <w:rFonts w:ascii="Arial" w:hAnsi="Arial" w:cs="Arial"/>
          <w:color w:val="000000" w:themeColor="text1"/>
          <w:sz w:val="22"/>
          <w:szCs w:val="22"/>
          <w:lang w:val="en-US"/>
        </w:rPr>
        <w:t xml:space="preserve"> Problems of forensic investigation of the letter and the use of its results in the disclosure and investigation of crimes</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DA4400">
        <w:rPr>
          <w:rFonts w:ascii="Arial" w:hAnsi="Arial" w:cs="Arial"/>
          <w:color w:val="000000" w:themeColor="text1"/>
          <w:sz w:val="22"/>
          <w:szCs w:val="22"/>
          <w:lang w:val="en-US"/>
        </w:rPr>
        <w:t>514</w:t>
      </w:r>
    </w:p>
    <w:p w:rsidR="003D1F26" w:rsidRPr="00A46E7B" w:rsidRDefault="0054571D" w:rsidP="003D1F26">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Mirzobekov A.A.</w:t>
      </w:r>
      <w:r w:rsidRPr="00DA76A7">
        <w:rPr>
          <w:rFonts w:ascii="Arial" w:hAnsi="Arial" w:cs="Arial"/>
          <w:color w:val="000000" w:themeColor="text1"/>
          <w:sz w:val="22"/>
          <w:szCs w:val="22"/>
          <w:lang w:val="en-US"/>
        </w:rPr>
        <w:t xml:space="preserve"> Initiation of a criminal proceedings: grounds and procedure for initiating a criminal proceedings</w:t>
      </w:r>
      <w:r w:rsidR="007D5409" w:rsidRPr="00DA76A7">
        <w:rPr>
          <w:rFonts w:ascii="Arial" w:hAnsi="Arial" w:cs="Arial"/>
          <w:color w:val="000000" w:themeColor="text1"/>
          <w:sz w:val="22"/>
          <w:szCs w:val="22"/>
          <w:lang w:val="en-US"/>
        </w:rPr>
        <w:tab/>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DA4400">
        <w:rPr>
          <w:rFonts w:ascii="Arial" w:hAnsi="Arial" w:cs="Arial"/>
          <w:color w:val="000000" w:themeColor="text1"/>
          <w:sz w:val="22"/>
          <w:szCs w:val="22"/>
          <w:lang w:val="en-US"/>
        </w:rPr>
        <w:t>522</w:t>
      </w:r>
    </w:p>
    <w:p w:rsidR="007D5409" w:rsidRPr="003D1F26" w:rsidRDefault="0054571D" w:rsidP="003D1F26">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Murodov M.I.</w:t>
      </w:r>
      <w:r w:rsidRPr="00DA76A7">
        <w:rPr>
          <w:rFonts w:ascii="Arial" w:hAnsi="Arial" w:cs="Arial"/>
          <w:color w:val="000000" w:themeColor="text1"/>
          <w:sz w:val="22"/>
          <w:szCs w:val="22"/>
          <w:lang w:val="en-US"/>
        </w:rPr>
        <w:t xml:space="preserve"> Legal context of the problems of Internet censorship in providing measures with the "groups of death".</w:t>
      </w:r>
      <w:r w:rsidR="00D159B3" w:rsidRPr="00DA76A7">
        <w:rPr>
          <w:rFonts w:ascii="Arial" w:hAnsi="Arial" w:cs="Arial"/>
          <w:color w:val="000000" w:themeColor="text1"/>
          <w:sz w:val="22"/>
          <w:szCs w:val="22"/>
          <w:lang w:val="en-US"/>
        </w:rPr>
        <w:t>……………………..……………………………</w:t>
      </w:r>
      <w:r w:rsidR="003D1F26" w:rsidRPr="003D1F26">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525</w:t>
      </w:r>
    </w:p>
    <w:p w:rsidR="0054571D" w:rsidRPr="005F43EE"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Murtazozoda Sh.</w:t>
      </w:r>
      <w:r w:rsidRPr="00DA76A7">
        <w:rPr>
          <w:rFonts w:ascii="Arial" w:hAnsi="Arial" w:cs="Arial"/>
          <w:color w:val="000000" w:themeColor="text1"/>
          <w:sz w:val="22"/>
          <w:szCs w:val="22"/>
          <w:lang w:val="en-US"/>
        </w:rPr>
        <w:t xml:space="preserve"> Some features of terrorism in modern life</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53</w:t>
      </w:r>
      <w:r w:rsidR="00922B4F" w:rsidRPr="005F43EE">
        <w:rPr>
          <w:rFonts w:ascii="Arial" w:hAnsi="Arial" w:cs="Arial"/>
          <w:color w:val="000000" w:themeColor="text1"/>
          <w:sz w:val="22"/>
          <w:szCs w:val="22"/>
          <w:lang w:val="en-US"/>
        </w:rPr>
        <w:t>1</w:t>
      </w:r>
    </w:p>
    <w:p w:rsidR="0054571D" w:rsidRPr="00DA76A7" w:rsidRDefault="0054571D" w:rsidP="00F4275A">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hAnsi="Arial" w:cs="Arial"/>
          <w:b/>
          <w:color w:val="000000" w:themeColor="text1"/>
          <w:sz w:val="22"/>
          <w:szCs w:val="22"/>
          <w:lang w:val="en-US"/>
        </w:rPr>
        <w:t>Nazarzoda R.G.</w:t>
      </w:r>
      <w:r w:rsidRPr="00DA76A7">
        <w:rPr>
          <w:rFonts w:ascii="Arial" w:hAnsi="Arial" w:cs="Arial"/>
          <w:color w:val="000000" w:themeColor="text1"/>
          <w:sz w:val="22"/>
          <w:szCs w:val="22"/>
          <w:lang w:val="en-US"/>
        </w:rPr>
        <w:t xml:space="preserve"> </w:t>
      </w:r>
      <w:r w:rsidRPr="00DA76A7">
        <w:rPr>
          <w:rFonts w:ascii="Arial" w:eastAsia="Calibri" w:hAnsi="Arial" w:cs="Arial"/>
          <w:color w:val="000000" w:themeColor="text1"/>
          <w:sz w:val="22"/>
          <w:szCs w:val="22"/>
          <w:lang w:val="en-US"/>
        </w:rPr>
        <w:t>Lifelong imprisonment as alternative of the death penalty</w:t>
      </w:r>
      <w:r w:rsidR="00D159B3" w:rsidRPr="00DA76A7">
        <w:rPr>
          <w:rFonts w:ascii="Arial" w:hAnsi="Arial" w:cs="Arial"/>
          <w:color w:val="000000" w:themeColor="text1"/>
          <w:sz w:val="22"/>
          <w:szCs w:val="22"/>
          <w:lang w:val="en-US"/>
        </w:rPr>
        <w:t>……………...</w:t>
      </w:r>
      <w:r w:rsidR="007D5409" w:rsidRPr="00DA76A7">
        <w:rPr>
          <w:rFonts w:ascii="Arial" w:eastAsia="Calibri" w:hAnsi="Arial" w:cs="Arial"/>
          <w:color w:val="000000" w:themeColor="text1"/>
          <w:sz w:val="22"/>
          <w:szCs w:val="22"/>
          <w:lang w:val="en-US"/>
        </w:rPr>
        <w:tab/>
      </w:r>
      <w:r w:rsidR="00922B4F">
        <w:rPr>
          <w:rFonts w:ascii="Arial" w:eastAsia="Calibri" w:hAnsi="Arial" w:cs="Arial"/>
          <w:color w:val="000000" w:themeColor="text1"/>
          <w:sz w:val="22"/>
          <w:szCs w:val="22"/>
          <w:lang w:val="en-US"/>
        </w:rPr>
        <w:t>532</w:t>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Nikulin N.V.</w:t>
      </w:r>
      <w:r w:rsidRPr="00DA76A7">
        <w:rPr>
          <w:rFonts w:ascii="Arial" w:hAnsi="Arial" w:cs="Arial"/>
          <w:color w:val="000000" w:themeColor="text1"/>
          <w:sz w:val="22"/>
          <w:szCs w:val="22"/>
          <w:lang w:val="en-US"/>
        </w:rPr>
        <w:t xml:space="preserve"> Efficiency of application of results of operational-cost activity in criminal proceedings</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537</w:t>
      </w:r>
    </w:p>
    <w:p w:rsidR="0054571D" w:rsidRPr="00A46E7B" w:rsidRDefault="0054571D" w:rsidP="00F4275A">
      <w:pPr>
        <w:pStyle w:val="ac"/>
        <w:tabs>
          <w:tab w:val="right" w:pos="9072"/>
        </w:tabs>
        <w:ind w:left="567" w:right="849" w:hanging="567"/>
        <w:jc w:val="both"/>
        <w:rPr>
          <w:rFonts w:ascii="Arial" w:hAnsi="Arial" w:cs="Arial"/>
          <w:color w:val="000000" w:themeColor="text1"/>
          <w:shd w:val="clear" w:color="auto" w:fill="FFFFFF"/>
          <w:lang w:val="en-US"/>
        </w:rPr>
      </w:pPr>
      <w:r w:rsidRPr="00DA76A7">
        <w:rPr>
          <w:rFonts w:ascii="Arial" w:hAnsi="Arial" w:cs="Arial"/>
          <w:b/>
          <w:color w:val="000000" w:themeColor="text1"/>
          <w:lang w:val="en-US"/>
        </w:rPr>
        <w:t>Olchenov A.F.</w:t>
      </w:r>
      <w:r w:rsidRPr="00DA76A7">
        <w:rPr>
          <w:rFonts w:ascii="Arial" w:hAnsi="Arial" w:cs="Arial"/>
          <w:color w:val="000000" w:themeColor="text1"/>
          <w:lang w:val="en-US"/>
        </w:rPr>
        <w:t xml:space="preserve"> </w:t>
      </w:r>
      <w:r w:rsidRPr="00DA76A7">
        <w:rPr>
          <w:rFonts w:ascii="Arial" w:hAnsi="Arial" w:cs="Arial"/>
          <w:color w:val="000000" w:themeColor="text1"/>
          <w:shd w:val="clear" w:color="auto" w:fill="FFFFFF"/>
          <w:lang w:val="en-US"/>
        </w:rPr>
        <w:t>Some issues on representation of the  leniency applicants’ rights and interests by a lawyer</w:t>
      </w:r>
      <w:r w:rsidR="00D159B3" w:rsidRPr="00DA76A7">
        <w:rPr>
          <w:rFonts w:ascii="Arial" w:hAnsi="Arial" w:cs="Arial"/>
          <w:color w:val="000000" w:themeColor="text1"/>
          <w:lang w:val="en-US"/>
        </w:rPr>
        <w:t>……………………..……………………..………………………...</w:t>
      </w:r>
      <w:r w:rsidR="007D5409" w:rsidRPr="00DA76A7">
        <w:rPr>
          <w:rFonts w:ascii="Arial" w:hAnsi="Arial" w:cs="Arial"/>
          <w:color w:val="000000" w:themeColor="text1"/>
          <w:shd w:val="clear" w:color="auto" w:fill="FFFFFF"/>
          <w:lang w:val="en-US"/>
        </w:rPr>
        <w:tab/>
      </w:r>
      <w:r w:rsidR="00922B4F">
        <w:rPr>
          <w:rFonts w:ascii="Arial" w:hAnsi="Arial" w:cs="Arial"/>
          <w:color w:val="000000" w:themeColor="text1"/>
          <w:shd w:val="clear" w:color="auto" w:fill="FFFFFF"/>
          <w:lang w:val="en-US"/>
        </w:rPr>
        <w:t>540</w:t>
      </w:r>
    </w:p>
    <w:p w:rsidR="0054571D" w:rsidRPr="00DA76A7" w:rsidRDefault="0054571D" w:rsidP="00F4275A">
      <w:pPr>
        <w:tabs>
          <w:tab w:val="left" w:pos="142"/>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Parfyonov A.A.</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Organizational peculiarities of evidence collection while inspection of place of accident in Republic of Tajikistan: retrospective, criminal processual, criminalistic and operational-personal view</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shd w:val="clear" w:color="auto" w:fill="FFFFFF"/>
          <w:lang w:val="en-US"/>
        </w:rPr>
        <w:tab/>
      </w:r>
      <w:r w:rsidR="00922B4F">
        <w:rPr>
          <w:rFonts w:ascii="Arial" w:hAnsi="Arial" w:cs="Arial"/>
          <w:color w:val="000000" w:themeColor="text1"/>
          <w:sz w:val="22"/>
          <w:szCs w:val="22"/>
          <w:shd w:val="clear" w:color="auto" w:fill="FFFFFF"/>
          <w:lang w:val="en-US"/>
        </w:rPr>
        <w:t>543</w:t>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Porichuk G.V.</w:t>
      </w:r>
      <w:r w:rsidRPr="00DA76A7">
        <w:rPr>
          <w:rFonts w:ascii="Arial" w:hAnsi="Arial" w:cs="Arial"/>
          <w:color w:val="000000" w:themeColor="text1"/>
          <w:sz w:val="22"/>
          <w:szCs w:val="22"/>
          <w:lang w:val="en-US"/>
        </w:rPr>
        <w:t xml:space="preserve"> Advantages of the rehabilitation institute </w:t>
      </w:r>
      <w:r w:rsidR="00680B7C" w:rsidRPr="00DA76A7">
        <w:rPr>
          <w:rFonts w:ascii="Arial" w:hAnsi="Arial" w:cs="Arial"/>
          <w:color w:val="000000" w:themeColor="text1"/>
          <w:sz w:val="22"/>
          <w:szCs w:val="22"/>
          <w:lang w:val="en-US"/>
        </w:rPr>
        <w:t xml:space="preserve">in the Kyrgyz Republic </w:t>
      </w:r>
      <w:r w:rsidRPr="00DA76A7">
        <w:rPr>
          <w:rFonts w:ascii="Arial" w:hAnsi="Arial" w:cs="Arial"/>
          <w:color w:val="000000" w:themeColor="text1"/>
          <w:sz w:val="22"/>
          <w:szCs w:val="22"/>
          <w:lang w:val="en-US"/>
        </w:rPr>
        <w:t>and Tajikistan</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554</w:t>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p>
    <w:p w:rsidR="0054571D" w:rsidRPr="00DA76A7"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Protasevich A.V.</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Procedural guidelines of the prosecutor as a guarantee of compliance with the legality of the proceeding of the prosecution</w:t>
      </w:r>
      <w:r w:rsidR="00D159B3"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557</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Pruss A.R.</w:t>
      </w:r>
      <w:r w:rsidRPr="00DA76A7">
        <w:rPr>
          <w:rFonts w:ascii="Arial" w:hAnsi="Arial" w:cs="Arial"/>
          <w:color w:val="000000" w:themeColor="text1"/>
          <w:sz w:val="22"/>
          <w:szCs w:val="22"/>
          <w:lang w:val="en-US"/>
        </w:rPr>
        <w:t xml:space="preserve"> About the problems of implementation of protection in the special order of judicial proceedings</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563</w:t>
      </w:r>
    </w:p>
    <w:p w:rsidR="0054571D" w:rsidRPr="00A46E7B"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Rakhmonkulov A.I.</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The real principle of operation of criminal statute as a tool to protect the constitutional rights of</w:t>
      </w:r>
      <w:r w:rsidRPr="00DA76A7">
        <w:rPr>
          <w:rFonts w:ascii="Arial" w:hAnsi="Arial" w:cs="Arial"/>
          <w:color w:val="000000" w:themeColor="text1"/>
          <w:sz w:val="22"/>
          <w:szCs w:val="22"/>
          <w:shd w:val="clear" w:color="auto" w:fill="FFFFFF"/>
          <w:lang w:val="en-US"/>
        </w:rPr>
        <w:t xml:space="preserve"> citizens of the Russian Federation</w:t>
      </w:r>
      <w:r w:rsidR="002917CA" w:rsidRPr="00DA76A7">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 xml:space="preserve"> </w:t>
      </w:r>
      <w:r w:rsidR="007D5409" w:rsidRPr="00DA76A7">
        <w:rPr>
          <w:rFonts w:ascii="Arial" w:hAnsi="Arial" w:cs="Arial"/>
          <w:color w:val="000000" w:themeColor="text1"/>
          <w:sz w:val="22"/>
          <w:szCs w:val="22"/>
          <w:shd w:val="clear" w:color="auto" w:fill="FFFFFF"/>
          <w:lang w:val="en-US"/>
        </w:rPr>
        <w:tab/>
      </w:r>
      <w:r w:rsidR="00922B4F">
        <w:rPr>
          <w:rFonts w:ascii="Arial" w:hAnsi="Arial" w:cs="Arial"/>
          <w:color w:val="000000" w:themeColor="text1"/>
          <w:sz w:val="22"/>
          <w:szCs w:val="22"/>
          <w:shd w:val="clear" w:color="auto" w:fill="FFFFFF"/>
          <w:lang w:val="en-US"/>
        </w:rPr>
        <w:t>567</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Sackovets I.N.</w:t>
      </w:r>
      <w:r w:rsidRPr="00DA76A7">
        <w:rPr>
          <w:rFonts w:ascii="Arial" w:hAnsi="Arial" w:cs="Arial"/>
          <w:color w:val="000000" w:themeColor="text1"/>
          <w:sz w:val="22"/>
          <w:szCs w:val="22"/>
          <w:lang w:val="en-US"/>
        </w:rPr>
        <w:t xml:space="preserve"> About some questions of liberalization of responsibility of the military personnel in Republic </w:t>
      </w:r>
      <w:r w:rsidRPr="00DA76A7">
        <w:rPr>
          <w:rFonts w:ascii="Arial" w:hAnsi="Arial" w:cs="Arial"/>
          <w:color w:val="000000" w:themeColor="text1"/>
          <w:sz w:val="22"/>
          <w:szCs w:val="22"/>
        </w:rPr>
        <w:t>о</w:t>
      </w:r>
      <w:r w:rsidRPr="00DA76A7">
        <w:rPr>
          <w:rFonts w:ascii="Arial" w:hAnsi="Arial" w:cs="Arial"/>
          <w:color w:val="000000" w:themeColor="text1"/>
          <w:sz w:val="22"/>
          <w:szCs w:val="22"/>
          <w:lang w:val="en-US"/>
        </w:rPr>
        <w:t>f Belarus</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570</w:t>
      </w:r>
    </w:p>
    <w:p w:rsidR="0054571D" w:rsidRPr="00A46E7B"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Sangov H.R.</w:t>
      </w:r>
      <w:r w:rsidRPr="00DA76A7">
        <w:rPr>
          <w:rFonts w:ascii="Arial" w:hAnsi="Arial" w:cs="Arial"/>
          <w:color w:val="000000" w:themeColor="text1"/>
          <w:sz w:val="22"/>
          <w:szCs w:val="22"/>
          <w:shd w:val="clear" w:color="auto" w:fill="FFFFFF"/>
          <w:lang w:val="en-US"/>
        </w:rPr>
        <w:t xml:space="preserve"> Characteristics of service in the prosecutor's office of the Russian Federation</w:t>
      </w:r>
      <w:r w:rsidR="002917CA"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7D5409" w:rsidRPr="00DA76A7">
        <w:rPr>
          <w:rFonts w:ascii="Arial" w:hAnsi="Arial" w:cs="Arial"/>
          <w:color w:val="000000" w:themeColor="text1"/>
          <w:sz w:val="22"/>
          <w:szCs w:val="22"/>
          <w:shd w:val="clear" w:color="auto" w:fill="FFFFFF"/>
          <w:lang w:val="en-US"/>
        </w:rPr>
        <w:tab/>
      </w:r>
      <w:r w:rsidR="00922B4F">
        <w:rPr>
          <w:rFonts w:ascii="Arial" w:hAnsi="Arial" w:cs="Arial"/>
          <w:color w:val="000000" w:themeColor="text1"/>
          <w:sz w:val="22"/>
          <w:szCs w:val="22"/>
          <w:shd w:val="clear" w:color="auto" w:fill="FFFFFF"/>
          <w:lang w:val="en-US"/>
        </w:rPr>
        <w:t>574</w:t>
      </w:r>
    </w:p>
    <w:p w:rsidR="0054571D" w:rsidRPr="00A46E7B" w:rsidRDefault="0054571D"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Sattorov A.L.</w:t>
      </w:r>
      <w:r w:rsidRPr="00DA76A7">
        <w:rPr>
          <w:rFonts w:ascii="Arial" w:hAnsi="Arial" w:cs="Arial"/>
          <w:color w:val="000000" w:themeColor="text1"/>
          <w:sz w:val="22"/>
          <w:szCs w:val="22"/>
          <w:shd w:val="clear" w:color="auto" w:fill="FFFFFF"/>
          <w:lang w:val="en-US"/>
        </w:rPr>
        <w:t xml:space="preserve"> Ways of improving the </w:t>
      </w:r>
      <w:r w:rsidRPr="00DA76A7">
        <w:rPr>
          <w:rFonts w:ascii="Arial" w:hAnsi="Arial" w:cs="Arial"/>
          <w:color w:val="000000" w:themeColor="text1"/>
          <w:sz w:val="22"/>
          <w:szCs w:val="22"/>
          <w:lang w:val="en-US"/>
        </w:rPr>
        <w:t>system of institutions of the criminal provair</w:t>
      </w:r>
      <w:r w:rsidRPr="00DA76A7">
        <w:rPr>
          <w:rFonts w:ascii="Arial" w:hAnsi="Arial" w:cs="Arial"/>
          <w:color w:val="000000" w:themeColor="text1"/>
          <w:sz w:val="22"/>
          <w:szCs w:val="22"/>
          <w:shd w:val="clear" w:color="auto" w:fill="FFFFFF"/>
          <w:lang w:val="en-US"/>
        </w:rPr>
        <w:t xml:space="preserve"> of the Russian Federation and the Republic of Tajikistan</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shd w:val="clear" w:color="auto" w:fill="FFFFFF"/>
          <w:lang w:val="en-US"/>
        </w:rPr>
        <w:tab/>
      </w:r>
      <w:r w:rsidR="00922B4F">
        <w:rPr>
          <w:rFonts w:ascii="Arial" w:hAnsi="Arial" w:cs="Arial"/>
          <w:color w:val="000000" w:themeColor="text1"/>
          <w:sz w:val="22"/>
          <w:szCs w:val="22"/>
          <w:shd w:val="clear" w:color="auto" w:fill="FFFFFF"/>
          <w:lang w:val="en-US"/>
        </w:rPr>
        <w:t>577</w:t>
      </w:r>
    </w:p>
    <w:p w:rsidR="002B3355" w:rsidRPr="00A46E7B" w:rsidRDefault="0054571D" w:rsidP="00F4275A">
      <w:pPr>
        <w:pStyle w:val="ae"/>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Serdyuk A.A.</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Offensiveness as a factor in the inplementation discretionary initiative of the prosecution to overcome the counteraction in the investigation criminal cases of bribery</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581</w:t>
      </w:r>
    </w:p>
    <w:p w:rsidR="002B3355" w:rsidRPr="00A46E7B" w:rsidRDefault="002B3355" w:rsidP="00F4275A">
      <w:pPr>
        <w:pStyle w:val="ae"/>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Tursenkanov D. </w:t>
      </w:r>
      <w:r w:rsidRPr="00DA76A7">
        <w:rPr>
          <w:rFonts w:ascii="Arial" w:hAnsi="Arial" w:cs="Arial"/>
          <w:color w:val="000000" w:themeColor="text1"/>
          <w:sz w:val="22"/>
          <w:szCs w:val="22"/>
        </w:rPr>
        <w:t>Р</w:t>
      </w:r>
      <w:r w:rsidRPr="00DA76A7">
        <w:rPr>
          <w:rFonts w:ascii="Arial" w:hAnsi="Arial" w:cs="Arial"/>
          <w:color w:val="000000" w:themeColor="text1"/>
          <w:sz w:val="22"/>
          <w:szCs w:val="22"/>
          <w:lang w:val="en-US"/>
        </w:rPr>
        <w:t>owers of law enforcement bodies in useof personal electronic correspondence as evidence</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584</w:t>
      </w:r>
    </w:p>
    <w:p w:rsidR="0054571D" w:rsidRPr="00DA76A7"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Haydarova N.</w:t>
      </w:r>
      <w:r w:rsidRPr="00DA76A7">
        <w:rPr>
          <w:rFonts w:ascii="Arial" w:hAnsi="Arial" w:cs="Arial"/>
          <w:color w:val="000000" w:themeColor="text1"/>
          <w:sz w:val="22"/>
          <w:szCs w:val="22"/>
          <w:lang w:val="en-US"/>
        </w:rPr>
        <w:t xml:space="preserve"> Justice as a criminal procedural category in the criminal procedure legislation of the Republic of Tajikistan</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Pr>
          <w:rFonts w:ascii="Arial" w:hAnsi="Arial" w:cs="Arial"/>
          <w:color w:val="000000" w:themeColor="text1"/>
          <w:sz w:val="22"/>
          <w:szCs w:val="22"/>
          <w:lang w:val="en-US"/>
        </w:rPr>
        <w:t>587</w:t>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p>
    <w:p w:rsidR="00577524" w:rsidRPr="00DA76A7" w:rsidRDefault="00577524" w:rsidP="00577524">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Holov I.B.</w:t>
      </w:r>
      <w:r w:rsidRPr="00DA76A7">
        <w:rPr>
          <w:rFonts w:ascii="Arial" w:hAnsi="Arial" w:cs="Arial"/>
          <w:color w:val="000000" w:themeColor="text1"/>
          <w:sz w:val="22"/>
          <w:szCs w:val="22"/>
          <w:lang w:val="en-US"/>
        </w:rPr>
        <w:t xml:space="preserve"> Prosecutor's supervision in the sphere of observance of human and civil rights and freedoms</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sidRPr="005F43EE">
        <w:rPr>
          <w:rFonts w:ascii="Arial" w:hAnsi="Arial" w:cs="Arial"/>
          <w:color w:val="000000" w:themeColor="text1"/>
          <w:sz w:val="22"/>
          <w:szCs w:val="22"/>
          <w:lang w:val="en-US"/>
        </w:rPr>
        <w:t>594</w:t>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p>
    <w:p w:rsidR="0054571D" w:rsidRPr="005F43EE"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Sharipov N.Kh.</w:t>
      </w:r>
      <w:r w:rsidRPr="00DA76A7">
        <w:rPr>
          <w:rFonts w:ascii="Arial" w:hAnsi="Arial" w:cs="Arial"/>
          <w:color w:val="000000" w:themeColor="text1"/>
          <w:sz w:val="22"/>
          <w:szCs w:val="22"/>
          <w:lang w:val="en-US"/>
        </w:rPr>
        <w:t xml:space="preserve"> Relationship of criminal law with other industries of legal science</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922B4F" w:rsidRPr="005F43EE">
        <w:rPr>
          <w:rFonts w:ascii="Arial" w:hAnsi="Arial" w:cs="Arial"/>
          <w:color w:val="000000" w:themeColor="text1"/>
          <w:sz w:val="22"/>
          <w:szCs w:val="22"/>
          <w:lang w:val="en-US"/>
        </w:rPr>
        <w:t>596</w:t>
      </w:r>
    </w:p>
    <w:p w:rsidR="0054571D" w:rsidRPr="00DA76A7" w:rsidRDefault="0054571D" w:rsidP="00F4275A">
      <w:pPr>
        <w:tabs>
          <w:tab w:val="right" w:pos="9072"/>
        </w:tabs>
        <w:ind w:left="567" w:right="849" w:hanging="567"/>
        <w:contextualSpacing/>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Sharipov F.R.</w:t>
      </w:r>
      <w:r w:rsidRPr="00DA76A7">
        <w:rPr>
          <w:rFonts w:ascii="Arial" w:hAnsi="Arial" w:cs="Arial"/>
          <w:color w:val="000000" w:themeColor="text1"/>
          <w:sz w:val="22"/>
          <w:szCs w:val="22"/>
          <w:lang w:val="en-US"/>
        </w:rPr>
        <w:t xml:space="preserve"> Determinants of violent crimes</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599</w:t>
      </w:r>
      <w:r w:rsidR="007D5409" w:rsidRPr="00DA76A7">
        <w:rPr>
          <w:rFonts w:ascii="Arial" w:hAnsi="Arial" w:cs="Arial"/>
          <w:color w:val="000000" w:themeColor="text1"/>
          <w:sz w:val="22"/>
          <w:szCs w:val="22"/>
          <w:lang w:val="en-US"/>
        </w:rPr>
        <w:tab/>
      </w:r>
    </w:p>
    <w:p w:rsidR="0054571D" w:rsidRPr="00DA76A7" w:rsidRDefault="0054571D" w:rsidP="009910BD">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Sharipov F.R.</w:t>
      </w:r>
      <w:r w:rsidR="00DC4C5E"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Criminological characteristics of enforced crime</w:t>
      </w:r>
      <w:r w:rsidR="002917CA"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602</w:t>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r w:rsidR="007D5409" w:rsidRPr="00DA76A7">
        <w:rPr>
          <w:rFonts w:ascii="Arial" w:hAnsi="Arial" w:cs="Arial"/>
          <w:color w:val="000000" w:themeColor="text1"/>
          <w:sz w:val="22"/>
          <w:szCs w:val="22"/>
          <w:lang w:val="en-US"/>
        </w:rPr>
        <w:tab/>
      </w:r>
    </w:p>
    <w:p w:rsidR="009910BD" w:rsidRPr="00A46E7B" w:rsidRDefault="00143F4F" w:rsidP="009910BD">
      <w:pPr>
        <w:keepNext/>
        <w:keepLines/>
        <w:tabs>
          <w:tab w:val="right" w:pos="9072"/>
        </w:tabs>
        <w:suppressAutoHyphens/>
        <w:kinsoku w:val="0"/>
        <w:overflowPunct w:val="0"/>
        <w:ind w:left="567" w:right="849" w:hanging="567"/>
        <w:outlineLvl w:val="3"/>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Sharipov Sh.A. </w:t>
      </w:r>
      <w:r w:rsidRPr="00DA76A7">
        <w:rPr>
          <w:rFonts w:ascii="Arial" w:hAnsi="Arial" w:cs="Arial"/>
          <w:color w:val="000000" w:themeColor="text1"/>
          <w:sz w:val="22"/>
          <w:szCs w:val="22"/>
          <w:lang w:val="en-US"/>
        </w:rPr>
        <w:t>On the concept of the criminal process</w:t>
      </w:r>
      <w:r w:rsidR="002917CA" w:rsidRPr="00DA76A7">
        <w:rPr>
          <w:rFonts w:ascii="Arial" w:hAnsi="Arial" w:cs="Arial"/>
          <w:color w:val="000000" w:themeColor="text1"/>
          <w:sz w:val="22"/>
          <w:szCs w:val="22"/>
          <w:lang w:val="en-US"/>
        </w:rPr>
        <w:t>……………………..……………</w:t>
      </w:r>
      <w:r w:rsidR="009910BD" w:rsidRPr="00DA76A7">
        <w:rPr>
          <w:rFonts w:ascii="Arial" w:hAnsi="Arial" w:cs="Arial"/>
          <w:color w:val="000000" w:themeColor="text1"/>
          <w:sz w:val="22"/>
          <w:szCs w:val="22"/>
          <w:lang w:val="en-US"/>
        </w:rPr>
        <w:t>..</w:t>
      </w:r>
      <w:r w:rsidR="009910BD"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606</w:t>
      </w:r>
    </w:p>
    <w:p w:rsidR="0054571D" w:rsidRPr="00A46E7B" w:rsidRDefault="0054571D" w:rsidP="009910BD">
      <w:pPr>
        <w:keepNext/>
        <w:keepLines/>
        <w:tabs>
          <w:tab w:val="right" w:pos="9072"/>
        </w:tabs>
        <w:suppressAutoHyphens/>
        <w:kinsoku w:val="0"/>
        <w:overflowPunct w:val="0"/>
        <w:ind w:left="567" w:right="849" w:hanging="567"/>
        <w:outlineLvl w:val="3"/>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Shendel P.A.</w:t>
      </w:r>
      <w:r w:rsidRPr="00DA76A7">
        <w:rPr>
          <w:rFonts w:ascii="Arial" w:hAnsi="Arial" w:cs="Arial"/>
          <w:color w:val="000000" w:themeColor="text1"/>
          <w:sz w:val="22"/>
          <w:szCs w:val="22"/>
          <w:lang w:val="en-US"/>
        </w:rPr>
        <w:t xml:space="preserve"> Institute of extradition as a form of internationa</w:t>
      </w:r>
      <w:r w:rsidR="009910BD" w:rsidRPr="00DA76A7">
        <w:rPr>
          <w:rFonts w:ascii="Arial" w:hAnsi="Arial" w:cs="Arial"/>
          <w:color w:val="000000" w:themeColor="text1"/>
          <w:sz w:val="22"/>
          <w:szCs w:val="22"/>
          <w:lang w:val="en-US"/>
        </w:rPr>
        <w:t xml:space="preserve">l legal cooperation: status and </w:t>
      </w:r>
      <w:r w:rsidRPr="00DA76A7">
        <w:rPr>
          <w:rFonts w:ascii="Arial" w:hAnsi="Arial" w:cs="Arial"/>
          <w:color w:val="000000" w:themeColor="text1"/>
          <w:sz w:val="22"/>
          <w:szCs w:val="22"/>
          <w:lang w:val="en-US"/>
        </w:rPr>
        <w:t>prospects of development</w:t>
      </w:r>
      <w:r w:rsidR="009910BD"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609</w:t>
      </w:r>
    </w:p>
    <w:p w:rsidR="0054571D" w:rsidRPr="00DA76A7" w:rsidRDefault="0054571D" w:rsidP="009910BD">
      <w:pPr>
        <w:tabs>
          <w:tab w:val="right" w:pos="9072"/>
        </w:tabs>
        <w:ind w:left="567" w:right="849" w:hanging="567"/>
        <w:jc w:val="both"/>
        <w:rPr>
          <w:rFonts w:ascii="Arial" w:hAnsi="Arial" w:cs="Arial"/>
          <w:color w:val="000000" w:themeColor="text1"/>
          <w:sz w:val="22"/>
          <w:szCs w:val="22"/>
          <w:lang w:val="en-US"/>
        </w:rPr>
      </w:pPr>
    </w:p>
    <w:p w:rsidR="0054571D" w:rsidRPr="00DA76A7" w:rsidRDefault="0054571D" w:rsidP="009910BD">
      <w:pPr>
        <w:tabs>
          <w:tab w:val="right" w:pos="9072"/>
        </w:tabs>
        <w:ind w:left="567" w:right="849" w:hanging="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SECTION ACTUAL PROBLEMS OF CONSTITUTIONAL LAW</w:t>
      </w:r>
    </w:p>
    <w:p w:rsidR="0054571D" w:rsidRPr="00DA76A7" w:rsidRDefault="0054571D" w:rsidP="00F4275A">
      <w:pPr>
        <w:tabs>
          <w:tab w:val="right" w:pos="9072"/>
        </w:tabs>
        <w:ind w:left="567" w:right="849" w:hanging="567"/>
        <w:jc w:val="both"/>
        <w:rPr>
          <w:rFonts w:ascii="Arial" w:hAnsi="Arial" w:cs="Arial"/>
          <w:color w:val="000000" w:themeColor="text1"/>
          <w:sz w:val="22"/>
          <w:szCs w:val="22"/>
          <w:lang w:val="en-US"/>
        </w:rPr>
      </w:pPr>
    </w:p>
    <w:p w:rsidR="0054571D" w:rsidRPr="003D1F26" w:rsidRDefault="0054571D" w:rsidP="00F4275A">
      <w:pPr>
        <w:tabs>
          <w:tab w:val="right" w:pos="9072"/>
        </w:tabs>
        <w:ind w:left="567" w:right="849" w:hanging="567"/>
        <w:jc w:val="both"/>
        <w:outlineLvl w:val="1"/>
        <w:rPr>
          <w:rFonts w:ascii="Arial" w:hAnsi="Arial" w:cs="Arial"/>
          <w:bCs/>
          <w:color w:val="000000" w:themeColor="text1"/>
          <w:sz w:val="22"/>
          <w:szCs w:val="22"/>
          <w:lang w:val="en-US"/>
        </w:rPr>
      </w:pPr>
      <w:r w:rsidRPr="00DA76A7">
        <w:rPr>
          <w:rFonts w:ascii="Arial" w:hAnsi="Arial" w:cs="Arial"/>
          <w:b/>
          <w:color w:val="000000" w:themeColor="text1"/>
          <w:sz w:val="22"/>
          <w:szCs w:val="22"/>
          <w:lang w:val="en-US"/>
        </w:rPr>
        <w:t>Abdulloev F.S.</w:t>
      </w:r>
      <w:r w:rsidRPr="00DA76A7">
        <w:rPr>
          <w:rFonts w:ascii="Arial" w:hAnsi="Arial" w:cs="Arial"/>
          <w:color w:val="000000" w:themeColor="text1"/>
          <w:sz w:val="22"/>
          <w:szCs w:val="22"/>
          <w:lang w:val="en-US"/>
        </w:rPr>
        <w:t xml:space="preserve"> General bases and principles of legislation on the rights, freedoms of the people and the citizen</w:t>
      </w:r>
      <w:r w:rsidR="009910BD" w:rsidRPr="00DA76A7">
        <w:rPr>
          <w:rFonts w:ascii="Arial" w:hAnsi="Arial" w:cs="Arial"/>
          <w:color w:val="000000" w:themeColor="text1"/>
          <w:sz w:val="22"/>
          <w:szCs w:val="22"/>
          <w:lang w:val="en-US"/>
        </w:rPr>
        <w:t>……………………..…………………………………………</w:t>
      </w:r>
      <w:r w:rsidR="007D5409"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615</w:t>
      </w:r>
    </w:p>
    <w:p w:rsidR="0054571D" w:rsidRPr="003D1F26" w:rsidRDefault="0054571D" w:rsidP="00F4275A">
      <w:pPr>
        <w:shd w:val="clear" w:color="auto" w:fill="FFFFFF"/>
        <w:tabs>
          <w:tab w:val="left" w:pos="916"/>
          <w:tab w:val="left" w:pos="1832"/>
          <w:tab w:val="left" w:pos="2748"/>
          <w:tab w:val="left" w:pos="3664"/>
          <w:tab w:val="left" w:pos="4580"/>
          <w:tab w:val="left" w:pos="5496"/>
          <w:tab w:val="left" w:pos="6412"/>
          <w:tab w:val="left" w:pos="7328"/>
          <w:tab w:val="left" w:pos="8244"/>
          <w:tab w:val="right" w:pos="9072"/>
          <w:tab w:val="left" w:pos="9160"/>
          <w:tab w:val="left" w:pos="10076"/>
          <w:tab w:val="left" w:pos="10992"/>
          <w:tab w:val="left" w:pos="11908"/>
          <w:tab w:val="left" w:pos="12824"/>
          <w:tab w:val="left" w:pos="13740"/>
          <w:tab w:val="left" w:pos="14656"/>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Alimova M.O.</w:t>
      </w:r>
      <w:r w:rsidRPr="00DA76A7">
        <w:rPr>
          <w:rFonts w:ascii="Arial" w:hAnsi="Arial" w:cs="Arial"/>
          <w:color w:val="000000" w:themeColor="text1"/>
          <w:sz w:val="22"/>
          <w:szCs w:val="22"/>
          <w:lang w:val="en-US"/>
        </w:rPr>
        <w:t xml:space="preserve"> General characteristics of the constitutions of Great Britain and the USA</w:t>
      </w:r>
      <w:r w:rsidR="005D6967">
        <w:rPr>
          <w:rFonts w:ascii="Arial" w:hAnsi="Arial" w:cs="Arial"/>
          <w:color w:val="000000" w:themeColor="text1"/>
          <w:sz w:val="22"/>
          <w:szCs w:val="22"/>
          <w:lang w:val="en-US"/>
        </w:rPr>
        <w:tab/>
        <w:t>618</w:t>
      </w:r>
    </w:p>
    <w:p w:rsidR="0054571D" w:rsidRPr="00A46E7B" w:rsidRDefault="0054571D" w:rsidP="00F4275A">
      <w:pPr>
        <w:shd w:val="clear" w:color="auto" w:fill="FFFFFF"/>
        <w:tabs>
          <w:tab w:val="left" w:pos="916"/>
          <w:tab w:val="left" w:pos="1832"/>
          <w:tab w:val="left" w:pos="2748"/>
          <w:tab w:val="left" w:pos="3664"/>
          <w:tab w:val="left" w:pos="4580"/>
          <w:tab w:val="left" w:pos="5496"/>
          <w:tab w:val="left" w:pos="6412"/>
          <w:tab w:val="left" w:pos="7328"/>
          <w:tab w:val="left" w:pos="8244"/>
          <w:tab w:val="right" w:pos="9072"/>
          <w:tab w:val="left" w:pos="9160"/>
          <w:tab w:val="left" w:pos="10076"/>
          <w:tab w:val="left" w:pos="10992"/>
          <w:tab w:val="left" w:pos="11908"/>
          <w:tab w:val="left" w:pos="12824"/>
          <w:tab w:val="left" w:pos="13740"/>
          <w:tab w:val="left" w:pos="14656"/>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Amandurdyeva K.I.</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Russia's attorney</w:t>
      </w:r>
      <w:r w:rsidRPr="00DA76A7">
        <w:rPr>
          <w:rFonts w:ascii="Arial" w:hAnsi="Arial" w:cs="Arial"/>
          <w:color w:val="000000" w:themeColor="text1"/>
          <w:sz w:val="22"/>
          <w:szCs w:val="22"/>
          <w:lang w:val="en-US"/>
        </w:rPr>
        <w:t>: past and present</w:t>
      </w:r>
      <w:r w:rsidR="002426D0" w:rsidRPr="00DA76A7">
        <w:rPr>
          <w:rFonts w:ascii="Arial" w:hAnsi="Arial" w:cs="Arial"/>
          <w:color w:val="000000" w:themeColor="text1"/>
          <w:sz w:val="22"/>
          <w:szCs w:val="22"/>
          <w:lang w:val="en-US"/>
        </w:rPr>
        <w:tab/>
      </w:r>
      <w:r w:rsidR="009910BD" w:rsidRPr="00DA76A7">
        <w:rPr>
          <w:rFonts w:ascii="Arial" w:hAnsi="Arial" w:cs="Arial"/>
          <w:color w:val="000000" w:themeColor="text1"/>
          <w:sz w:val="22"/>
          <w:szCs w:val="22"/>
          <w:lang w:val="en-US"/>
        </w:rPr>
        <w:t>…………………………………..</w:t>
      </w:r>
      <w:r w:rsidR="005D6967">
        <w:rPr>
          <w:rFonts w:ascii="Arial" w:hAnsi="Arial" w:cs="Arial"/>
          <w:color w:val="000000" w:themeColor="text1"/>
          <w:sz w:val="22"/>
          <w:szCs w:val="22"/>
          <w:lang w:val="en-US"/>
        </w:rPr>
        <w:tab/>
        <w:t>622</w:t>
      </w:r>
    </w:p>
    <w:p w:rsidR="0054571D" w:rsidRPr="00A46E7B" w:rsidRDefault="0054571D" w:rsidP="00F4275A">
      <w:pPr>
        <w:shd w:val="clear" w:color="auto" w:fill="FFFFFF"/>
        <w:tabs>
          <w:tab w:val="left" w:pos="916"/>
          <w:tab w:val="left" w:pos="1832"/>
          <w:tab w:val="left" w:pos="2748"/>
          <w:tab w:val="left" w:pos="3664"/>
          <w:tab w:val="left" w:pos="4580"/>
          <w:tab w:val="left" w:pos="5496"/>
          <w:tab w:val="left" w:pos="6412"/>
          <w:tab w:val="left" w:pos="7328"/>
          <w:tab w:val="left" w:pos="8244"/>
          <w:tab w:val="right" w:pos="9072"/>
          <w:tab w:val="left" w:pos="9160"/>
          <w:tab w:val="left" w:pos="10076"/>
          <w:tab w:val="left" w:pos="10992"/>
          <w:tab w:val="left" w:pos="11908"/>
          <w:tab w:val="left" w:pos="12824"/>
          <w:tab w:val="left" w:pos="13740"/>
          <w:tab w:val="left" w:pos="14656"/>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Bagirova M.F.</w:t>
      </w:r>
      <w:r w:rsidRPr="00DA76A7">
        <w:rPr>
          <w:rFonts w:ascii="Arial" w:hAnsi="Arial" w:cs="Arial"/>
          <w:color w:val="000000" w:themeColor="text1"/>
          <w:sz w:val="22"/>
          <w:szCs w:val="22"/>
          <w:lang w:val="en-US"/>
        </w:rPr>
        <w:t xml:space="preserve"> Reform of the pension system of the Russian Federation as a means of implementing the citizens' constitutional right to social security</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625</w:t>
      </w:r>
    </w:p>
    <w:p w:rsidR="00367EE0" w:rsidRPr="00A46E7B" w:rsidRDefault="00367EE0" w:rsidP="00F4275A">
      <w:pPr>
        <w:tabs>
          <w:tab w:val="right" w:pos="9072"/>
        </w:tabs>
        <w:ind w:left="567" w:right="849" w:hanging="567"/>
        <w:jc w:val="both"/>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Boiboboyeva D.A.</w:t>
      </w:r>
      <w:r w:rsidRPr="00DA76A7">
        <w:rPr>
          <w:rFonts w:ascii="Arial" w:hAnsi="Arial" w:cs="Arial"/>
          <w:color w:val="000000" w:themeColor="text1"/>
          <w:sz w:val="22"/>
          <w:szCs w:val="22"/>
          <w:shd w:val="clear" w:color="auto" w:fill="FFFFFF"/>
          <w:lang w:val="en-US"/>
        </w:rPr>
        <w:t xml:space="preserve"> The role of youth in the development of sovereign Tajikistan</w:t>
      </w:r>
      <w:r w:rsidR="009910BD" w:rsidRPr="00DA76A7">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 xml:space="preserve"> </w:t>
      </w:r>
      <w:r w:rsidR="002426D0" w:rsidRPr="00DA76A7">
        <w:rPr>
          <w:rFonts w:ascii="Arial" w:hAnsi="Arial" w:cs="Arial"/>
          <w:color w:val="000000" w:themeColor="text1"/>
          <w:sz w:val="22"/>
          <w:szCs w:val="22"/>
          <w:shd w:val="clear" w:color="auto" w:fill="FFFFFF"/>
          <w:lang w:val="en-US"/>
        </w:rPr>
        <w:tab/>
      </w:r>
      <w:r w:rsidR="005D6967">
        <w:rPr>
          <w:rFonts w:ascii="Arial" w:hAnsi="Arial" w:cs="Arial"/>
          <w:color w:val="000000" w:themeColor="text1"/>
          <w:sz w:val="22"/>
          <w:szCs w:val="22"/>
          <w:shd w:val="clear" w:color="auto" w:fill="FFFFFF"/>
          <w:lang w:val="en-US"/>
        </w:rPr>
        <w:t>627</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Vasiltsova E.V.</w:t>
      </w:r>
      <w:r w:rsidRPr="00DA76A7">
        <w:rPr>
          <w:rFonts w:ascii="Arial" w:hAnsi="Arial" w:cs="Arial"/>
          <w:color w:val="000000" w:themeColor="text1"/>
          <w:sz w:val="22"/>
          <w:szCs w:val="22"/>
          <w:lang w:val="en-US"/>
        </w:rPr>
        <w:t xml:space="preserve"> Human and Citizen's rights in the contemporary society «the implementation of the provisions of chapter ii  of the Constitution of the Russian Federation in the Russian Presidential address to the Federal assembly 01.02.2018»</w:t>
      </w:r>
      <w:r w:rsidR="009910BD" w:rsidRPr="00DA76A7">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 xml:space="preserve"> </w:t>
      </w:r>
      <w:r w:rsidR="002426D0"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630</w:t>
      </w:r>
    </w:p>
    <w:p w:rsidR="0054571D" w:rsidRPr="00A46E7B" w:rsidRDefault="0054571D" w:rsidP="00F4275A">
      <w:pPr>
        <w:shd w:val="clear" w:color="auto" w:fill="FFFFFF"/>
        <w:tabs>
          <w:tab w:val="left" w:pos="916"/>
          <w:tab w:val="left" w:pos="1832"/>
          <w:tab w:val="left" w:pos="2748"/>
          <w:tab w:val="left" w:pos="3664"/>
          <w:tab w:val="left" w:pos="4580"/>
          <w:tab w:val="left" w:pos="5496"/>
          <w:tab w:val="left" w:pos="6412"/>
          <w:tab w:val="left" w:pos="7328"/>
          <w:tab w:val="left" w:pos="8244"/>
          <w:tab w:val="right" w:pos="9072"/>
          <w:tab w:val="left" w:pos="9160"/>
          <w:tab w:val="left" w:pos="10076"/>
          <w:tab w:val="left" w:pos="10992"/>
          <w:tab w:val="left" w:pos="11908"/>
          <w:tab w:val="left" w:pos="12824"/>
          <w:tab w:val="left" w:pos="13740"/>
          <w:tab w:val="left" w:pos="14656"/>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Grigorov V.V.</w:t>
      </w:r>
      <w:r w:rsidRPr="00DA76A7">
        <w:rPr>
          <w:rFonts w:ascii="Arial" w:hAnsi="Arial" w:cs="Arial"/>
          <w:color w:val="000000" w:themeColor="text1"/>
          <w:sz w:val="22"/>
          <w:szCs w:val="22"/>
          <w:lang w:val="en-US"/>
        </w:rPr>
        <w:t xml:space="preserve"> Direct action of the Constitution (theory and practice)</w:t>
      </w:r>
      <w:r w:rsidR="009910BD" w:rsidRPr="00DA76A7">
        <w:rPr>
          <w:rFonts w:ascii="Arial" w:hAnsi="Arial" w:cs="Arial"/>
          <w:color w:val="000000" w:themeColor="text1"/>
          <w:sz w:val="22"/>
          <w:szCs w:val="22"/>
          <w:lang w:val="en-US"/>
        </w:rPr>
        <w:t xml:space="preserve"> …………………….</w:t>
      </w:r>
      <w:r w:rsidR="002426D0"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634</w:t>
      </w:r>
    </w:p>
    <w:p w:rsidR="0054571D" w:rsidRPr="00A46E7B" w:rsidRDefault="0054571D" w:rsidP="00F4275A">
      <w:pPr>
        <w:tabs>
          <w:tab w:val="left" w:pos="1335"/>
          <w:tab w:val="right" w:pos="9072"/>
        </w:tabs>
        <w:ind w:left="567" w:right="849" w:hanging="567"/>
        <w:jc w:val="both"/>
        <w:outlineLvl w:val="1"/>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Didenko Yu.M.</w:t>
      </w:r>
      <w:r w:rsidRPr="00DA76A7">
        <w:rPr>
          <w:rFonts w:ascii="Arial" w:hAnsi="Arial" w:cs="Arial"/>
          <w:color w:val="000000" w:themeColor="text1"/>
          <w:sz w:val="22"/>
          <w:szCs w:val="22"/>
          <w:shd w:val="clear" w:color="auto" w:fill="FFFFFF"/>
          <w:lang w:val="en-US"/>
        </w:rPr>
        <w:t xml:space="preserve"> Problems of implementation of electoral rights of citizens in the practice of the Constitutional Court of the Russian Federation</w:t>
      </w:r>
      <w:r w:rsidR="009910BD"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2426D0" w:rsidRPr="00DA76A7">
        <w:rPr>
          <w:rFonts w:ascii="Arial" w:hAnsi="Arial" w:cs="Arial"/>
          <w:color w:val="000000" w:themeColor="text1"/>
          <w:sz w:val="22"/>
          <w:szCs w:val="22"/>
          <w:shd w:val="clear" w:color="auto" w:fill="FFFFFF"/>
          <w:lang w:val="en-US"/>
        </w:rPr>
        <w:tab/>
      </w:r>
      <w:r w:rsidR="005D6967">
        <w:rPr>
          <w:rFonts w:ascii="Arial" w:hAnsi="Arial" w:cs="Arial"/>
          <w:color w:val="000000" w:themeColor="text1"/>
          <w:sz w:val="22"/>
          <w:szCs w:val="22"/>
          <w:shd w:val="clear" w:color="auto" w:fill="FFFFFF"/>
          <w:lang w:val="en-US"/>
        </w:rPr>
        <w:t>638</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Yorov I.M.</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Constitutional framework for the organization and activities of the parliament of Italy</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lang w:val="en-US"/>
        </w:rPr>
        <w:tab/>
      </w:r>
      <w:r w:rsidR="005D6967">
        <w:rPr>
          <w:rFonts w:ascii="Arial" w:hAnsi="Arial" w:cs="Arial"/>
          <w:color w:val="000000" w:themeColor="text1"/>
          <w:sz w:val="22"/>
          <w:szCs w:val="22"/>
          <w:lang w:val="en-US"/>
        </w:rPr>
        <w:t>642</w:t>
      </w:r>
    </w:p>
    <w:p w:rsidR="0054571D" w:rsidRPr="00A46E7B" w:rsidRDefault="0054571D" w:rsidP="00F4275A">
      <w:pPr>
        <w:tabs>
          <w:tab w:val="left" w:pos="1335"/>
          <w:tab w:val="right" w:pos="9072"/>
        </w:tabs>
        <w:ind w:left="567" w:right="849" w:hanging="567"/>
        <w:jc w:val="both"/>
        <w:outlineLvl w:val="1"/>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Zokirov D.A.</w:t>
      </w:r>
      <w:r w:rsidRPr="00DA76A7">
        <w:rPr>
          <w:rFonts w:ascii="Arial" w:hAnsi="Arial" w:cs="Arial"/>
          <w:color w:val="000000" w:themeColor="text1"/>
          <w:sz w:val="22"/>
          <w:szCs w:val="22"/>
          <w:shd w:val="clear" w:color="auto" w:fill="FFFFFF"/>
          <w:lang w:val="en-US"/>
        </w:rPr>
        <w:t xml:space="preserve"> The diversity and evolution of the forms of modern states</w:t>
      </w:r>
      <w:r w:rsidR="009910BD"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2426D0" w:rsidRPr="00DA76A7">
        <w:rPr>
          <w:rFonts w:ascii="Arial" w:hAnsi="Arial" w:cs="Arial"/>
          <w:color w:val="000000" w:themeColor="text1"/>
          <w:sz w:val="22"/>
          <w:szCs w:val="22"/>
          <w:shd w:val="clear" w:color="auto" w:fill="FFFFFF"/>
          <w:lang w:val="en-US"/>
        </w:rPr>
        <w:tab/>
      </w:r>
      <w:r w:rsidR="005D6967">
        <w:rPr>
          <w:rFonts w:ascii="Arial" w:hAnsi="Arial" w:cs="Arial"/>
          <w:color w:val="000000" w:themeColor="text1"/>
          <w:sz w:val="22"/>
          <w:szCs w:val="22"/>
          <w:shd w:val="clear" w:color="auto" w:fill="FFFFFF"/>
          <w:lang w:val="en-US"/>
        </w:rPr>
        <w:t>647</w:t>
      </w:r>
    </w:p>
    <w:p w:rsidR="0054571D" w:rsidRPr="00A46E7B" w:rsidRDefault="0054571D" w:rsidP="00F4275A">
      <w:pPr>
        <w:tabs>
          <w:tab w:val="left" w:pos="1335"/>
          <w:tab w:val="right" w:pos="9072"/>
        </w:tabs>
        <w:ind w:left="567" w:right="849" w:hanging="567"/>
        <w:jc w:val="both"/>
        <w:outlineLvl w:val="1"/>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Ishanjanov S.B.</w:t>
      </w:r>
      <w:r w:rsidRPr="00DA76A7">
        <w:rPr>
          <w:rFonts w:ascii="Arial" w:hAnsi="Arial" w:cs="Arial"/>
          <w:color w:val="000000" w:themeColor="text1"/>
          <w:sz w:val="22"/>
          <w:szCs w:val="22"/>
          <w:shd w:val="clear" w:color="auto" w:fill="FFFFFF"/>
          <w:lang w:val="en-US"/>
        </w:rPr>
        <w:t xml:space="preserve"> Concept and mechanism of constitutional control and </w:t>
      </w:r>
      <w:r w:rsidRPr="00DA76A7">
        <w:rPr>
          <w:rFonts w:ascii="Arial" w:hAnsi="Arial" w:cs="Arial"/>
          <w:color w:val="000000" w:themeColor="text1"/>
          <w:sz w:val="22"/>
          <w:szCs w:val="22"/>
          <w:lang w:val="en-US"/>
        </w:rPr>
        <w:t>oversight</w:t>
      </w:r>
      <w:r w:rsidRPr="00DA76A7">
        <w:rPr>
          <w:rFonts w:ascii="Arial" w:hAnsi="Arial" w:cs="Arial"/>
          <w:color w:val="000000" w:themeColor="text1"/>
          <w:sz w:val="22"/>
          <w:szCs w:val="22"/>
          <w:shd w:val="clear" w:color="auto" w:fill="FFFFFF"/>
          <w:lang w:val="en-US"/>
        </w:rPr>
        <w:t xml:space="preserve"> in foreign countries</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shd w:val="clear" w:color="auto" w:fill="FFFFFF"/>
          <w:lang w:val="en-US"/>
        </w:rPr>
        <w:tab/>
      </w:r>
      <w:r w:rsidR="005D6967">
        <w:rPr>
          <w:rFonts w:ascii="Arial" w:hAnsi="Arial" w:cs="Arial"/>
          <w:color w:val="000000" w:themeColor="text1"/>
          <w:sz w:val="22"/>
          <w:szCs w:val="22"/>
          <w:shd w:val="clear" w:color="auto" w:fill="FFFFFF"/>
          <w:lang w:val="en-US"/>
        </w:rPr>
        <w:t>6</w:t>
      </w:r>
      <w:r w:rsidR="005D6967" w:rsidRPr="005F43EE">
        <w:rPr>
          <w:rFonts w:ascii="Arial" w:hAnsi="Arial" w:cs="Arial"/>
          <w:color w:val="000000" w:themeColor="text1"/>
          <w:sz w:val="22"/>
          <w:szCs w:val="22"/>
          <w:shd w:val="clear" w:color="auto" w:fill="FFFFFF"/>
          <w:lang w:val="en-US"/>
        </w:rPr>
        <w:t>5</w:t>
      </w:r>
      <w:r w:rsidR="003D1F26" w:rsidRPr="00A46E7B">
        <w:rPr>
          <w:rFonts w:ascii="Arial" w:hAnsi="Arial" w:cs="Arial"/>
          <w:color w:val="000000" w:themeColor="text1"/>
          <w:sz w:val="22"/>
          <w:szCs w:val="22"/>
          <w:shd w:val="clear" w:color="auto" w:fill="FFFFFF"/>
          <w:lang w:val="en-US"/>
        </w:rPr>
        <w:t>0</w:t>
      </w:r>
    </w:p>
    <w:p w:rsidR="00D24DF0" w:rsidRPr="00A46E7B" w:rsidRDefault="0054571D" w:rsidP="00F4275A">
      <w:pPr>
        <w:tabs>
          <w:tab w:val="right" w:pos="9072"/>
        </w:tabs>
        <w:ind w:left="567" w:right="849" w:hanging="567"/>
        <w:jc w:val="both"/>
        <w:outlineLvl w:val="1"/>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Kayumars L.</w:t>
      </w:r>
      <w:r w:rsidRPr="00DA76A7">
        <w:rPr>
          <w:rFonts w:ascii="Arial" w:hAnsi="Arial" w:cs="Arial"/>
          <w:color w:val="000000" w:themeColor="text1"/>
          <w:sz w:val="22"/>
          <w:szCs w:val="22"/>
          <w:lang w:val="en-US"/>
        </w:rPr>
        <w:t xml:space="preserve"> </w:t>
      </w:r>
      <w:r w:rsidR="00D24DF0" w:rsidRPr="00DA76A7">
        <w:rPr>
          <w:rFonts w:ascii="Arial" w:hAnsi="Arial" w:cs="Arial"/>
          <w:color w:val="000000" w:themeColor="text1"/>
          <w:sz w:val="22"/>
          <w:szCs w:val="22"/>
          <w:lang w:val="en-US"/>
        </w:rPr>
        <w:t>Some questions of obtaining the status of a refugeer</w:t>
      </w:r>
      <w:r w:rsidR="00D24DF0" w:rsidRPr="00DA76A7">
        <w:rPr>
          <w:rFonts w:ascii="Arial" w:hAnsi="Arial" w:cs="Arial"/>
          <w:b/>
          <w:color w:val="000000" w:themeColor="text1"/>
          <w:sz w:val="22"/>
          <w:szCs w:val="22"/>
          <w:lang w:val="en-US"/>
        </w:rPr>
        <w:t xml:space="preserve"> </w:t>
      </w:r>
      <w:r w:rsidR="009910BD" w:rsidRPr="00DA76A7">
        <w:rPr>
          <w:rFonts w:ascii="Arial" w:hAnsi="Arial" w:cs="Arial"/>
          <w:color w:val="000000" w:themeColor="text1"/>
          <w:sz w:val="22"/>
          <w:szCs w:val="22"/>
          <w:lang w:val="en-US"/>
        </w:rPr>
        <w:t>……………………..</w:t>
      </w:r>
      <w:r w:rsidR="002426D0" w:rsidRPr="00DA76A7">
        <w:rPr>
          <w:rFonts w:ascii="Arial" w:hAnsi="Arial" w:cs="Arial"/>
          <w:b/>
          <w:color w:val="000000" w:themeColor="text1"/>
          <w:sz w:val="22"/>
          <w:szCs w:val="22"/>
          <w:lang w:val="en-US"/>
        </w:rPr>
        <w:tab/>
      </w:r>
      <w:r w:rsidR="005D6967">
        <w:rPr>
          <w:rFonts w:ascii="Arial" w:hAnsi="Arial" w:cs="Arial"/>
          <w:color w:val="000000" w:themeColor="text1"/>
          <w:sz w:val="22"/>
          <w:szCs w:val="22"/>
          <w:lang w:val="en-US"/>
        </w:rPr>
        <w:t>65</w:t>
      </w:r>
      <w:r w:rsidR="003D1F26" w:rsidRPr="00A46E7B">
        <w:rPr>
          <w:rFonts w:ascii="Arial" w:hAnsi="Arial" w:cs="Arial"/>
          <w:color w:val="000000" w:themeColor="text1"/>
          <w:sz w:val="22"/>
          <w:szCs w:val="22"/>
          <w:lang w:val="en-US"/>
        </w:rPr>
        <w:t>3</w:t>
      </w:r>
    </w:p>
    <w:p w:rsidR="0054571D" w:rsidRPr="00A46E7B" w:rsidRDefault="00D24DF0" w:rsidP="00F4275A">
      <w:pPr>
        <w:tabs>
          <w:tab w:val="right" w:pos="9072"/>
        </w:tabs>
        <w:ind w:left="567" w:right="849" w:hanging="567"/>
        <w:jc w:val="both"/>
        <w:outlineLvl w:val="1"/>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Kayumars L.</w:t>
      </w:r>
      <w:r w:rsidRPr="00DA76A7">
        <w:rPr>
          <w:rFonts w:ascii="Arial" w:hAnsi="Arial" w:cs="Arial"/>
          <w:color w:val="000000" w:themeColor="text1"/>
          <w:sz w:val="22"/>
          <w:szCs w:val="22"/>
          <w:lang w:val="en-US"/>
        </w:rPr>
        <w:t xml:space="preserve"> </w:t>
      </w:r>
      <w:r w:rsidRPr="00DA76A7">
        <w:rPr>
          <w:rStyle w:val="ab"/>
          <w:rFonts w:ascii="Arial" w:hAnsi="Arial" w:cs="Arial"/>
          <w:b w:val="0"/>
          <w:color w:val="000000" w:themeColor="text1"/>
          <w:sz w:val="22"/>
          <w:szCs w:val="22"/>
          <w:lang w:val="en-US"/>
        </w:rPr>
        <w:t>Covenants on human rights and development of international relationships from the time of their acceptance</w:t>
      </w:r>
      <w:r w:rsidR="009910BD" w:rsidRPr="00DA76A7">
        <w:rPr>
          <w:rFonts w:ascii="Arial" w:hAnsi="Arial" w:cs="Arial"/>
          <w:color w:val="000000" w:themeColor="text1"/>
          <w:sz w:val="22"/>
          <w:szCs w:val="22"/>
          <w:lang w:val="en-US"/>
        </w:rPr>
        <w:t>……………………..…………………</w:t>
      </w:r>
      <w:r w:rsidR="002426D0" w:rsidRPr="00DA76A7">
        <w:rPr>
          <w:rStyle w:val="ab"/>
          <w:rFonts w:ascii="Arial" w:hAnsi="Arial" w:cs="Arial"/>
          <w:b w:val="0"/>
          <w:color w:val="000000" w:themeColor="text1"/>
          <w:sz w:val="22"/>
          <w:szCs w:val="22"/>
          <w:lang w:val="en-US"/>
        </w:rPr>
        <w:tab/>
      </w:r>
      <w:r w:rsidR="00E717D4">
        <w:rPr>
          <w:rStyle w:val="ab"/>
          <w:rFonts w:ascii="Arial" w:hAnsi="Arial" w:cs="Arial"/>
          <w:b w:val="0"/>
          <w:color w:val="000000" w:themeColor="text1"/>
          <w:sz w:val="22"/>
          <w:szCs w:val="22"/>
          <w:lang w:val="en-US"/>
        </w:rPr>
        <w:t>657</w:t>
      </w:r>
    </w:p>
    <w:p w:rsidR="0054571D" w:rsidRPr="00A46E7B" w:rsidRDefault="0054571D" w:rsidP="00F4275A">
      <w:pPr>
        <w:pStyle w:val="HTML"/>
        <w:shd w:val="clear" w:color="auto" w:fill="FFFFFF"/>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Kopylov I.N.</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The right of citizens to participate in the management of the affairs of the state as a democratic principle of the Russian Federation and the Republic of Tajikistan</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shd w:val="clear" w:color="auto" w:fill="FFFFFF"/>
          <w:lang w:val="en-US"/>
        </w:rPr>
        <w:tab/>
      </w:r>
      <w:r w:rsidR="00E717D4">
        <w:rPr>
          <w:rFonts w:ascii="Arial" w:hAnsi="Arial" w:cs="Arial"/>
          <w:color w:val="000000" w:themeColor="text1"/>
          <w:sz w:val="22"/>
          <w:szCs w:val="22"/>
          <w:shd w:val="clear" w:color="auto" w:fill="FFFFFF"/>
          <w:lang w:val="en-US"/>
        </w:rPr>
        <w:t>66</w:t>
      </w:r>
      <w:r w:rsidR="003D1F26" w:rsidRPr="00A46E7B">
        <w:rPr>
          <w:rFonts w:ascii="Arial" w:hAnsi="Arial" w:cs="Arial"/>
          <w:color w:val="000000" w:themeColor="text1"/>
          <w:sz w:val="22"/>
          <w:szCs w:val="22"/>
          <w:shd w:val="clear" w:color="auto" w:fill="FFFFFF"/>
          <w:lang w:val="en-US"/>
        </w:rPr>
        <w:t>1</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Kopylova I.A.</w:t>
      </w:r>
      <w:r w:rsidRPr="00DA76A7">
        <w:rPr>
          <w:rFonts w:ascii="Arial" w:hAnsi="Arial" w:cs="Arial"/>
          <w:color w:val="000000" w:themeColor="text1"/>
          <w:sz w:val="22"/>
          <w:szCs w:val="22"/>
          <w:lang w:val="en-US"/>
        </w:rPr>
        <w:t xml:space="preserve"> The system of national security as indispensable attribute of statehood in the context of international cooperation of Russian Federation and Republic Of Tajikistan</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lang w:val="en-US"/>
        </w:rPr>
        <w:tab/>
      </w:r>
      <w:r w:rsidR="00E717D4">
        <w:rPr>
          <w:rFonts w:ascii="Arial" w:hAnsi="Arial" w:cs="Arial"/>
          <w:color w:val="000000" w:themeColor="text1"/>
          <w:sz w:val="22"/>
          <w:szCs w:val="22"/>
          <w:lang w:val="en-US"/>
        </w:rPr>
        <w:t>66</w:t>
      </w:r>
      <w:r w:rsidR="003D1F26" w:rsidRPr="00A46E7B">
        <w:rPr>
          <w:rFonts w:ascii="Arial" w:hAnsi="Arial" w:cs="Arial"/>
          <w:color w:val="000000" w:themeColor="text1"/>
          <w:sz w:val="22"/>
          <w:szCs w:val="22"/>
          <w:lang w:val="en-US"/>
        </w:rPr>
        <w:t>8</w:t>
      </w:r>
    </w:p>
    <w:p w:rsidR="00577524" w:rsidRPr="00A46E7B" w:rsidRDefault="00577524" w:rsidP="00577524">
      <w:pPr>
        <w:tabs>
          <w:tab w:val="left" w:pos="1335"/>
          <w:tab w:val="right" w:pos="9072"/>
        </w:tabs>
        <w:ind w:left="567" w:right="849" w:hanging="567"/>
        <w:jc w:val="both"/>
        <w:outlineLvl w:val="1"/>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Majidzoda J.Z.,</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b/>
          <w:color w:val="000000" w:themeColor="text1"/>
          <w:sz w:val="22"/>
          <w:szCs w:val="22"/>
          <w:shd w:val="clear" w:color="auto" w:fill="FFFFFF"/>
          <w:lang w:val="en-US"/>
        </w:rPr>
        <w:t xml:space="preserve">Kudratbekova Sh.M. </w:t>
      </w:r>
      <w:r w:rsidRPr="00DA76A7">
        <w:rPr>
          <w:rFonts w:ascii="Arial" w:hAnsi="Arial" w:cs="Arial"/>
          <w:color w:val="000000" w:themeColor="text1"/>
          <w:sz w:val="22"/>
          <w:szCs w:val="22"/>
          <w:shd w:val="clear" w:color="auto" w:fill="FFFFFF"/>
          <w:lang w:val="en-US"/>
        </w:rPr>
        <w:t>Conceptual development of parliamentarism as an institution of state power</w:t>
      </w:r>
      <w:r w:rsidR="009910BD"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2426D0" w:rsidRPr="00DA76A7">
        <w:rPr>
          <w:rFonts w:ascii="Arial" w:hAnsi="Arial" w:cs="Arial"/>
          <w:color w:val="000000" w:themeColor="text1"/>
          <w:sz w:val="22"/>
          <w:szCs w:val="22"/>
          <w:shd w:val="clear" w:color="auto" w:fill="FFFFFF"/>
          <w:lang w:val="en-US"/>
        </w:rPr>
        <w:tab/>
      </w:r>
      <w:r w:rsidR="00E717D4">
        <w:rPr>
          <w:rFonts w:ascii="Arial" w:hAnsi="Arial" w:cs="Arial"/>
          <w:color w:val="000000" w:themeColor="text1"/>
          <w:sz w:val="22"/>
          <w:szCs w:val="22"/>
          <w:shd w:val="clear" w:color="auto" w:fill="FFFFFF"/>
          <w:lang w:val="en-US"/>
        </w:rPr>
        <w:t>67</w:t>
      </w:r>
      <w:r w:rsidR="003D1F26" w:rsidRPr="00A46E7B">
        <w:rPr>
          <w:rFonts w:ascii="Arial" w:hAnsi="Arial" w:cs="Arial"/>
          <w:color w:val="000000" w:themeColor="text1"/>
          <w:sz w:val="22"/>
          <w:szCs w:val="22"/>
          <w:shd w:val="clear" w:color="auto" w:fill="FFFFFF"/>
          <w:lang w:val="en-US"/>
        </w:rPr>
        <w:t>3</w:t>
      </w:r>
    </w:p>
    <w:p w:rsidR="0054571D" w:rsidRPr="00A46E7B" w:rsidRDefault="0054571D" w:rsidP="00F4275A">
      <w:pPr>
        <w:tabs>
          <w:tab w:val="right" w:pos="9072"/>
        </w:tabs>
        <w:ind w:left="567" w:right="849" w:hanging="567"/>
        <w:jc w:val="both"/>
        <w:rPr>
          <w:rFonts w:ascii="Arial" w:eastAsia="Calibri" w:hAnsi="Arial" w:cs="Arial"/>
          <w:color w:val="000000" w:themeColor="text1"/>
          <w:sz w:val="22"/>
          <w:szCs w:val="22"/>
          <w:lang w:val="en-US"/>
        </w:rPr>
      </w:pPr>
      <w:r w:rsidRPr="00DA76A7">
        <w:rPr>
          <w:rFonts w:ascii="Arial" w:eastAsia="Calibri" w:hAnsi="Arial" w:cs="Arial"/>
          <w:b/>
          <w:color w:val="000000" w:themeColor="text1"/>
          <w:sz w:val="22"/>
          <w:szCs w:val="22"/>
          <w:lang w:val="en-US"/>
        </w:rPr>
        <w:t>Madjidzoda Dz. Z., Naskov D.S.</w:t>
      </w:r>
      <w:r w:rsidRPr="00DA76A7">
        <w:rPr>
          <w:rFonts w:ascii="Arial" w:eastAsia="Calibri" w:hAnsi="Arial" w:cs="Arial"/>
          <w:color w:val="000000" w:themeColor="text1"/>
          <w:sz w:val="22"/>
          <w:szCs w:val="22"/>
          <w:lang w:val="en-US"/>
        </w:rPr>
        <w:t xml:space="preserve"> To the question about the peculiarities of formation of legal consciousness of youth of Tajikistan in the conditions of globalization</w:t>
      </w:r>
      <w:r w:rsidR="009910BD" w:rsidRPr="00DA76A7">
        <w:rPr>
          <w:rFonts w:ascii="Arial" w:eastAsia="Calibri" w:hAnsi="Arial" w:cs="Arial"/>
          <w:color w:val="000000" w:themeColor="text1"/>
          <w:sz w:val="22"/>
          <w:szCs w:val="22"/>
          <w:lang w:val="en-US"/>
        </w:rPr>
        <w:t>………</w:t>
      </w:r>
      <w:r w:rsidR="002426D0" w:rsidRPr="00DA76A7">
        <w:rPr>
          <w:rFonts w:ascii="Arial" w:eastAsia="Calibri" w:hAnsi="Arial" w:cs="Arial"/>
          <w:color w:val="000000" w:themeColor="text1"/>
          <w:sz w:val="22"/>
          <w:szCs w:val="22"/>
          <w:lang w:val="en-US"/>
        </w:rPr>
        <w:tab/>
      </w:r>
      <w:r w:rsidR="00E717D4">
        <w:rPr>
          <w:rFonts w:ascii="Arial" w:eastAsia="Calibri" w:hAnsi="Arial" w:cs="Arial"/>
          <w:color w:val="000000" w:themeColor="text1"/>
          <w:sz w:val="22"/>
          <w:szCs w:val="22"/>
          <w:lang w:val="en-US"/>
        </w:rPr>
        <w:t>68</w:t>
      </w:r>
      <w:r w:rsidR="00695A14" w:rsidRPr="00A46E7B">
        <w:rPr>
          <w:rFonts w:ascii="Arial" w:eastAsia="Calibri" w:hAnsi="Arial" w:cs="Arial"/>
          <w:color w:val="000000" w:themeColor="text1"/>
          <w:sz w:val="22"/>
          <w:szCs w:val="22"/>
          <w:lang w:val="en-US"/>
        </w:rPr>
        <w:t>0</w:t>
      </w:r>
    </w:p>
    <w:p w:rsidR="00904FCF"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Muminov U.</w:t>
      </w:r>
      <w:r w:rsidRPr="00DA76A7">
        <w:rPr>
          <w:rFonts w:ascii="Arial" w:hAnsi="Arial" w:cs="Arial"/>
          <w:b/>
          <w:color w:val="000000" w:themeColor="text1"/>
          <w:sz w:val="22"/>
          <w:szCs w:val="22"/>
        </w:rPr>
        <w:t>К</w:t>
      </w:r>
      <w:r w:rsidRPr="00DA76A7">
        <w:rPr>
          <w:rFonts w:ascii="Arial" w:hAnsi="Arial" w:cs="Arial"/>
          <w:b/>
          <w:color w:val="000000" w:themeColor="text1"/>
          <w:sz w:val="22"/>
          <w:szCs w:val="22"/>
          <w:lang w:val="en-US"/>
        </w:rPr>
        <w:t>.</w:t>
      </w:r>
      <w:r w:rsidRPr="00DA76A7">
        <w:rPr>
          <w:rFonts w:ascii="Arial" w:hAnsi="Arial" w:cs="Arial"/>
          <w:color w:val="000000" w:themeColor="text1"/>
          <w:sz w:val="22"/>
          <w:szCs w:val="22"/>
          <w:lang w:val="en-US"/>
        </w:rPr>
        <w:t xml:space="preserve">  Peculiarities of the constitutional and legal status of foreigners in Tajikistan at the present stage of the development of the company</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lang w:val="en-US"/>
        </w:rPr>
        <w:tab/>
      </w:r>
      <w:r w:rsidR="00E717D4">
        <w:rPr>
          <w:rFonts w:ascii="Arial" w:hAnsi="Arial" w:cs="Arial"/>
          <w:color w:val="000000" w:themeColor="text1"/>
          <w:sz w:val="22"/>
          <w:szCs w:val="22"/>
          <w:lang w:val="en-US"/>
        </w:rPr>
        <w:t>68</w:t>
      </w:r>
      <w:r w:rsidR="00695A14" w:rsidRPr="00A46E7B">
        <w:rPr>
          <w:rFonts w:ascii="Arial" w:hAnsi="Arial" w:cs="Arial"/>
          <w:color w:val="000000" w:themeColor="text1"/>
          <w:sz w:val="22"/>
          <w:szCs w:val="22"/>
          <w:lang w:val="en-US"/>
        </w:rPr>
        <w:t>3</w:t>
      </w:r>
    </w:p>
    <w:p w:rsidR="00904FCF" w:rsidRPr="00A46E7B" w:rsidRDefault="006C0823"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Nozirova U.I. </w:t>
      </w:r>
      <w:r w:rsidRPr="00DA76A7">
        <w:rPr>
          <w:rFonts w:ascii="Arial" w:hAnsi="Arial" w:cs="Arial"/>
          <w:color w:val="000000" w:themeColor="text1"/>
          <w:sz w:val="22"/>
          <w:szCs w:val="22"/>
          <w:lang w:val="en-US"/>
        </w:rPr>
        <w:t xml:space="preserve">Comparative analysis of customs code </w:t>
      </w:r>
      <w:r w:rsidR="00904FCF" w:rsidRPr="00DA76A7">
        <w:rPr>
          <w:rFonts w:ascii="Arial" w:hAnsi="Arial" w:cs="Arial"/>
          <w:color w:val="000000" w:themeColor="text1"/>
          <w:sz w:val="22"/>
          <w:szCs w:val="22"/>
          <w:lang w:val="en-US"/>
        </w:rPr>
        <w:t>of the European Union and the Eurasian Economic Union</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lang w:val="en-US"/>
        </w:rPr>
        <w:tab/>
      </w:r>
      <w:r w:rsidR="00E717D4">
        <w:rPr>
          <w:rFonts w:ascii="Arial" w:hAnsi="Arial" w:cs="Arial"/>
          <w:color w:val="000000" w:themeColor="text1"/>
          <w:sz w:val="22"/>
          <w:szCs w:val="22"/>
          <w:lang w:val="en-US"/>
        </w:rPr>
        <w:t>68</w:t>
      </w:r>
      <w:r w:rsidR="00695A14" w:rsidRPr="00A46E7B">
        <w:rPr>
          <w:rFonts w:ascii="Arial" w:hAnsi="Arial" w:cs="Arial"/>
          <w:color w:val="000000" w:themeColor="text1"/>
          <w:sz w:val="22"/>
          <w:szCs w:val="22"/>
          <w:lang w:val="en-US"/>
        </w:rPr>
        <w:t>6</w:t>
      </w:r>
    </w:p>
    <w:p w:rsidR="00550E98"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Rahmanova E.</w:t>
      </w:r>
      <w:r w:rsidRPr="00DA76A7">
        <w:rPr>
          <w:rFonts w:ascii="Arial" w:hAnsi="Arial" w:cs="Arial"/>
          <w:b/>
          <w:color w:val="000000" w:themeColor="text1"/>
          <w:sz w:val="22"/>
          <w:szCs w:val="22"/>
        </w:rPr>
        <w:t>Т</w:t>
      </w:r>
      <w:r w:rsidRPr="00DA76A7">
        <w:rPr>
          <w:rFonts w:ascii="Arial" w:hAnsi="Arial" w:cs="Arial"/>
          <w:b/>
          <w:color w:val="000000" w:themeColor="text1"/>
          <w:sz w:val="22"/>
          <w:szCs w:val="22"/>
          <w:lang w:val="en-US"/>
        </w:rPr>
        <w:t>.</w:t>
      </w:r>
      <w:r w:rsidRPr="00DA76A7">
        <w:rPr>
          <w:rFonts w:ascii="Arial" w:hAnsi="Arial" w:cs="Arial"/>
          <w:color w:val="000000" w:themeColor="text1"/>
          <w:sz w:val="22"/>
          <w:szCs w:val="22"/>
          <w:lang w:val="en-US"/>
        </w:rPr>
        <w:t xml:space="preserve"> Legal positions as legal means of expression of the right-creative function of the constitutional justice</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lang w:val="en-US"/>
        </w:rPr>
        <w:tab/>
      </w:r>
      <w:r w:rsidR="00E717D4">
        <w:rPr>
          <w:rFonts w:ascii="Arial" w:hAnsi="Arial" w:cs="Arial"/>
          <w:color w:val="000000" w:themeColor="text1"/>
          <w:sz w:val="22"/>
          <w:szCs w:val="22"/>
          <w:lang w:val="en-US"/>
        </w:rPr>
        <w:t>689</w:t>
      </w:r>
    </w:p>
    <w:p w:rsidR="00550E98" w:rsidRPr="00A46E7B" w:rsidRDefault="00550E98"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Rakhmanova S.</w:t>
      </w:r>
      <w:r w:rsidRPr="00DA76A7">
        <w:rPr>
          <w:rFonts w:ascii="Arial" w:hAnsi="Arial" w:cs="Arial"/>
          <w:b/>
          <w:color w:val="000000" w:themeColor="text1"/>
          <w:sz w:val="22"/>
          <w:szCs w:val="22"/>
        </w:rPr>
        <w:t>Т</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Legal base of CIS countries in the sphere of migration</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lang w:val="en-US"/>
        </w:rPr>
        <w:tab/>
      </w:r>
      <w:r w:rsidR="00E717D4">
        <w:rPr>
          <w:rFonts w:ascii="Arial" w:hAnsi="Arial" w:cs="Arial"/>
          <w:color w:val="000000" w:themeColor="text1"/>
          <w:sz w:val="22"/>
          <w:szCs w:val="22"/>
          <w:lang w:val="en-US"/>
        </w:rPr>
        <w:t>693</w:t>
      </w:r>
    </w:p>
    <w:p w:rsidR="0054571D" w:rsidRPr="00A46E7B" w:rsidRDefault="0054571D" w:rsidP="00F4275A">
      <w:pPr>
        <w:tabs>
          <w:tab w:val="right" w:pos="9072"/>
        </w:tabs>
        <w:ind w:left="567" w:right="849" w:hanging="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Sologub D.P.</w:t>
      </w:r>
      <w:r w:rsidRPr="00DA76A7">
        <w:rPr>
          <w:rFonts w:ascii="Arial" w:hAnsi="Arial" w:cs="Arial"/>
          <w:color w:val="000000" w:themeColor="text1"/>
          <w:sz w:val="22"/>
          <w:szCs w:val="22"/>
          <w:lang w:val="en-US"/>
        </w:rPr>
        <w:t xml:space="preserve"> Courts of general jurisdiction and their role in protecting the rights of foreign citizens in the Russian Federation</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lang w:val="en-US"/>
        </w:rPr>
        <w:tab/>
      </w:r>
      <w:r w:rsidR="00E717D4">
        <w:rPr>
          <w:rFonts w:ascii="Arial" w:hAnsi="Arial" w:cs="Arial"/>
          <w:color w:val="000000" w:themeColor="text1"/>
          <w:sz w:val="22"/>
          <w:szCs w:val="22"/>
          <w:lang w:val="en-US"/>
        </w:rPr>
        <w:t>697</w:t>
      </w:r>
    </w:p>
    <w:p w:rsidR="0054571D" w:rsidRPr="00DA76A7" w:rsidRDefault="0054571D" w:rsidP="00F4275A">
      <w:pPr>
        <w:tabs>
          <w:tab w:val="left" w:pos="1335"/>
          <w:tab w:val="right" w:pos="9072"/>
        </w:tabs>
        <w:ind w:left="567" w:right="849" w:hanging="567"/>
        <w:jc w:val="both"/>
        <w:outlineLvl w:val="1"/>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lang w:val="en-US"/>
        </w:rPr>
        <w:t>Temirov V.</w:t>
      </w:r>
      <w:r w:rsidRPr="00DA76A7">
        <w:rPr>
          <w:rFonts w:ascii="Arial" w:hAnsi="Arial" w:cs="Arial"/>
          <w:b/>
          <w:color w:val="000000" w:themeColor="text1"/>
          <w:sz w:val="22"/>
          <w:szCs w:val="22"/>
        </w:rPr>
        <w:t>Т</w:t>
      </w:r>
      <w:r w:rsidRPr="00DA76A7">
        <w:rPr>
          <w:rFonts w:ascii="Arial" w:hAnsi="Arial" w:cs="Arial"/>
          <w:b/>
          <w:color w:val="000000" w:themeColor="text1"/>
          <w:sz w:val="22"/>
          <w:szCs w:val="22"/>
          <w:lang w:val="en-US"/>
        </w:rPr>
        <w:t xml:space="preserve">., </w:t>
      </w:r>
      <w:r w:rsidRPr="00DA76A7">
        <w:rPr>
          <w:rFonts w:ascii="Arial" w:hAnsi="Arial" w:cs="Arial"/>
          <w:b/>
          <w:color w:val="000000" w:themeColor="text1"/>
          <w:sz w:val="22"/>
          <w:szCs w:val="22"/>
          <w:shd w:val="clear" w:color="auto" w:fill="FFFFFF"/>
          <w:lang w:val="en-US"/>
        </w:rPr>
        <w:t>Firdavsova G.R.</w:t>
      </w:r>
      <w:r w:rsidRPr="00DA76A7">
        <w:rPr>
          <w:rFonts w:ascii="Arial" w:hAnsi="Arial" w:cs="Arial"/>
          <w:color w:val="000000" w:themeColor="text1"/>
          <w:sz w:val="22"/>
          <w:szCs w:val="22"/>
          <w:shd w:val="clear" w:color="auto" w:fill="FFFFFF"/>
          <w:lang w:val="en-US"/>
        </w:rPr>
        <w:t xml:space="preserve"> On some issues of competence of the Majlis of people's deputies</w:t>
      </w:r>
      <w:r w:rsidR="009910BD" w:rsidRPr="00DA76A7">
        <w:rPr>
          <w:rFonts w:ascii="Arial" w:hAnsi="Arial" w:cs="Arial"/>
          <w:color w:val="000000" w:themeColor="text1"/>
          <w:sz w:val="22"/>
          <w:szCs w:val="22"/>
          <w:lang w:val="en-US"/>
        </w:rPr>
        <w:t>……………………..……………………..…………………………...</w:t>
      </w:r>
      <w:r w:rsidRPr="00DA76A7">
        <w:rPr>
          <w:rFonts w:ascii="Arial" w:hAnsi="Arial" w:cs="Arial"/>
          <w:color w:val="000000" w:themeColor="text1"/>
          <w:sz w:val="22"/>
          <w:szCs w:val="22"/>
          <w:shd w:val="clear" w:color="auto" w:fill="FFFFFF"/>
          <w:lang w:val="en-US"/>
        </w:rPr>
        <w:t xml:space="preserve"> </w:t>
      </w:r>
      <w:r w:rsidR="002426D0" w:rsidRPr="00DA76A7">
        <w:rPr>
          <w:rFonts w:ascii="Arial" w:hAnsi="Arial" w:cs="Arial"/>
          <w:color w:val="000000" w:themeColor="text1"/>
          <w:sz w:val="22"/>
          <w:szCs w:val="22"/>
          <w:shd w:val="clear" w:color="auto" w:fill="FFFFFF"/>
          <w:lang w:val="en-US"/>
        </w:rPr>
        <w:tab/>
      </w:r>
      <w:r w:rsidR="00E717D4">
        <w:rPr>
          <w:rFonts w:ascii="Arial" w:hAnsi="Arial" w:cs="Arial"/>
          <w:color w:val="000000" w:themeColor="text1"/>
          <w:sz w:val="22"/>
          <w:szCs w:val="22"/>
          <w:shd w:val="clear" w:color="auto" w:fill="FFFFFF"/>
          <w:lang w:val="en-US"/>
        </w:rPr>
        <w:t>700</w:t>
      </w:r>
    </w:p>
    <w:p w:rsidR="0054571D" w:rsidRPr="00DA76A7" w:rsidRDefault="0054571D" w:rsidP="00F4275A">
      <w:pPr>
        <w:tabs>
          <w:tab w:val="left" w:pos="1335"/>
          <w:tab w:val="right" w:pos="9072"/>
        </w:tabs>
        <w:ind w:left="567" w:right="849" w:hanging="567"/>
        <w:jc w:val="both"/>
        <w:outlineLvl w:val="1"/>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Shamsudinova Z.S.</w:t>
      </w:r>
      <w:r w:rsidRPr="00DA76A7">
        <w:rPr>
          <w:rFonts w:ascii="Arial" w:hAnsi="Arial" w:cs="Arial"/>
          <w:color w:val="000000" w:themeColor="text1"/>
          <w:sz w:val="22"/>
          <w:szCs w:val="22"/>
          <w:shd w:val="clear" w:color="auto" w:fill="FFFFFF"/>
          <w:lang w:val="en-US"/>
        </w:rPr>
        <w:t xml:space="preserve"> Specific features of the Constitution of the Russian Federation</w:t>
      </w:r>
      <w:r w:rsidR="009910BD" w:rsidRPr="00DA76A7">
        <w:rPr>
          <w:rFonts w:ascii="Arial" w:hAnsi="Arial" w:cs="Arial"/>
          <w:color w:val="000000" w:themeColor="text1"/>
          <w:sz w:val="22"/>
          <w:szCs w:val="22"/>
          <w:shd w:val="clear" w:color="auto" w:fill="FFFFFF"/>
          <w:lang w:val="en-US"/>
        </w:rPr>
        <w:t>…..</w:t>
      </w:r>
      <w:r w:rsidR="002426D0" w:rsidRPr="00DA76A7">
        <w:rPr>
          <w:rFonts w:ascii="Arial" w:hAnsi="Arial" w:cs="Arial"/>
          <w:color w:val="000000" w:themeColor="text1"/>
          <w:sz w:val="22"/>
          <w:szCs w:val="22"/>
          <w:shd w:val="clear" w:color="auto" w:fill="FFFFFF"/>
          <w:lang w:val="en-US"/>
        </w:rPr>
        <w:tab/>
      </w:r>
      <w:r w:rsidR="00E717D4">
        <w:rPr>
          <w:rFonts w:ascii="Arial" w:hAnsi="Arial" w:cs="Arial"/>
          <w:color w:val="000000" w:themeColor="text1"/>
          <w:sz w:val="22"/>
          <w:szCs w:val="22"/>
          <w:shd w:val="clear" w:color="auto" w:fill="FFFFFF"/>
          <w:lang w:val="en-US"/>
        </w:rPr>
        <w:t>710</w:t>
      </w:r>
    </w:p>
    <w:p w:rsidR="0054571D" w:rsidRPr="00695A14" w:rsidRDefault="0054571D" w:rsidP="00F4275A">
      <w:pPr>
        <w:tabs>
          <w:tab w:val="right" w:pos="9072"/>
        </w:tabs>
        <w:ind w:left="567" w:right="849" w:hanging="567"/>
        <w:jc w:val="both"/>
        <w:rPr>
          <w:rFonts w:ascii="Arial" w:hAnsi="Arial" w:cs="Arial"/>
          <w:b/>
          <w:color w:val="000000" w:themeColor="text1"/>
          <w:sz w:val="22"/>
          <w:szCs w:val="22"/>
        </w:rPr>
      </w:pPr>
      <w:r w:rsidRPr="00DA76A7">
        <w:rPr>
          <w:rFonts w:ascii="Arial" w:hAnsi="Arial" w:cs="Arial"/>
          <w:b/>
          <w:color w:val="000000" w:themeColor="text1"/>
          <w:sz w:val="22"/>
          <w:szCs w:val="22"/>
          <w:shd w:val="clear" w:color="auto" w:fill="FFFFFF"/>
          <w:lang w:val="en-US"/>
        </w:rPr>
        <w:t>Yusupov M.D.</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aps/>
          <w:color w:val="000000" w:themeColor="text1"/>
          <w:sz w:val="22"/>
          <w:szCs w:val="22"/>
          <w:lang w:val="en-US"/>
        </w:rPr>
        <w:t>T</w:t>
      </w:r>
      <w:r w:rsidRPr="00DA76A7">
        <w:rPr>
          <w:rFonts w:ascii="Arial" w:hAnsi="Arial" w:cs="Arial"/>
          <w:color w:val="000000" w:themeColor="text1"/>
          <w:sz w:val="22"/>
          <w:szCs w:val="22"/>
          <w:lang w:val="en-US"/>
        </w:rPr>
        <w:t xml:space="preserve">o the question </w:t>
      </w:r>
      <w:r w:rsidRPr="00DA76A7">
        <w:rPr>
          <w:rFonts w:ascii="Arial" w:hAnsi="Arial" w:cs="Arial"/>
          <w:color w:val="000000" w:themeColor="text1"/>
          <w:sz w:val="22"/>
          <w:szCs w:val="22"/>
          <w:shd w:val="clear" w:color="auto" w:fill="FFFFFF"/>
          <w:lang w:val="en-US"/>
        </w:rPr>
        <w:t>of state sovereignty: problems and prospects of its development in modern conditions</w:t>
      </w:r>
      <w:r w:rsidR="009910BD" w:rsidRPr="00DA76A7">
        <w:rPr>
          <w:rFonts w:ascii="Arial" w:hAnsi="Arial" w:cs="Arial"/>
          <w:color w:val="000000" w:themeColor="text1"/>
          <w:sz w:val="22"/>
          <w:szCs w:val="22"/>
          <w:lang w:val="en-US"/>
        </w:rPr>
        <w:t>……………………..……………………..……….</w:t>
      </w:r>
      <w:r w:rsidR="002426D0" w:rsidRPr="00DA76A7">
        <w:rPr>
          <w:rFonts w:ascii="Arial" w:hAnsi="Arial" w:cs="Arial"/>
          <w:color w:val="000000" w:themeColor="text1"/>
          <w:sz w:val="22"/>
          <w:szCs w:val="22"/>
          <w:shd w:val="clear" w:color="auto" w:fill="FFFFFF"/>
          <w:lang w:val="en-US"/>
        </w:rPr>
        <w:tab/>
      </w:r>
      <w:r w:rsidR="00E717D4">
        <w:rPr>
          <w:rFonts w:ascii="Arial" w:hAnsi="Arial" w:cs="Arial"/>
          <w:color w:val="000000" w:themeColor="text1"/>
          <w:sz w:val="22"/>
          <w:szCs w:val="22"/>
          <w:shd w:val="clear" w:color="auto" w:fill="FFFFFF"/>
        </w:rPr>
        <w:t>711</w:t>
      </w:r>
    </w:p>
    <w:p w:rsidR="007D1ABD" w:rsidRPr="00A46E7B" w:rsidRDefault="007D1ABD" w:rsidP="00F4275A">
      <w:pPr>
        <w:widowControl/>
        <w:autoSpaceDE/>
        <w:autoSpaceDN/>
        <w:adjustRightInd/>
        <w:spacing w:after="200" w:line="276" w:lineRule="auto"/>
        <w:ind w:hanging="567"/>
        <w:rPr>
          <w:rFonts w:ascii="Arial" w:hAnsi="Arial" w:cs="Arial"/>
          <w:b/>
          <w:color w:val="000000" w:themeColor="text1"/>
          <w:sz w:val="22"/>
          <w:szCs w:val="22"/>
        </w:rPr>
      </w:pPr>
      <w:r w:rsidRPr="00A46E7B">
        <w:rPr>
          <w:rFonts w:ascii="Arial" w:hAnsi="Arial" w:cs="Arial"/>
          <w:b/>
          <w:color w:val="000000" w:themeColor="text1"/>
          <w:sz w:val="22"/>
          <w:szCs w:val="22"/>
        </w:rPr>
        <w:br w:type="page"/>
      </w:r>
    </w:p>
    <w:p w:rsidR="007B7B69" w:rsidRPr="00DA76A7" w:rsidRDefault="007B7B69" w:rsidP="007B7B69">
      <w:pPr>
        <w:jc w:val="center"/>
        <w:rPr>
          <w:rFonts w:ascii="Arial" w:hAnsi="Arial" w:cs="Arial"/>
          <w:b/>
          <w:color w:val="000000" w:themeColor="text1"/>
          <w:sz w:val="22"/>
          <w:szCs w:val="22"/>
        </w:rPr>
      </w:pPr>
      <w:r w:rsidRPr="00DA76A7">
        <w:rPr>
          <w:rFonts w:ascii="Arial" w:hAnsi="Arial" w:cs="Arial"/>
          <w:b/>
          <w:color w:val="000000" w:themeColor="text1"/>
          <w:sz w:val="22"/>
          <w:szCs w:val="22"/>
        </w:rPr>
        <w:t>ПРЕДИСЛОВИЕ</w:t>
      </w:r>
    </w:p>
    <w:p w:rsidR="007B7B69" w:rsidRPr="00DA76A7" w:rsidRDefault="007B7B69" w:rsidP="007B7B69">
      <w:pPr>
        <w:jc w:val="center"/>
        <w:rPr>
          <w:rFonts w:ascii="Arial" w:hAnsi="Arial" w:cs="Arial"/>
          <w:b/>
          <w:color w:val="000000" w:themeColor="text1"/>
          <w:sz w:val="22"/>
          <w:szCs w:val="22"/>
        </w:rPr>
      </w:pPr>
    </w:p>
    <w:p w:rsidR="007B7B69" w:rsidRPr="00DA76A7" w:rsidRDefault="007B7B69" w:rsidP="007B7B6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Приветствуем всех участников </w:t>
      </w:r>
      <w:r w:rsidR="009B3827" w:rsidRPr="00DA76A7">
        <w:rPr>
          <w:rFonts w:ascii="Arial" w:hAnsi="Arial" w:cs="Arial"/>
          <w:color w:val="000000" w:themeColor="text1"/>
          <w:sz w:val="22"/>
          <w:szCs w:val="22"/>
        </w:rPr>
        <w:t xml:space="preserve">Пятой Международной студенческой </w:t>
      </w:r>
      <w:r w:rsidRPr="00DA76A7">
        <w:rPr>
          <w:rFonts w:ascii="Arial" w:hAnsi="Arial" w:cs="Arial"/>
          <w:color w:val="000000" w:themeColor="text1"/>
          <w:sz w:val="22"/>
          <w:szCs w:val="22"/>
        </w:rPr>
        <w:t>научно-практической конференции «</w:t>
      </w:r>
      <w:r w:rsidR="009B3827" w:rsidRPr="00DA76A7">
        <w:rPr>
          <w:rFonts w:ascii="Arial" w:eastAsia="Arial Unicode MS" w:hAnsi="Arial" w:cs="Arial"/>
          <w:color w:val="000000" w:themeColor="text1"/>
          <w:sz w:val="22"/>
          <w:szCs w:val="22"/>
        </w:rPr>
        <w:t>Актуальные вопросы юриспруденции</w:t>
      </w:r>
      <w:r w:rsidRPr="00DA76A7">
        <w:rPr>
          <w:rFonts w:ascii="Arial" w:hAnsi="Arial" w:cs="Arial"/>
          <w:color w:val="000000" w:themeColor="text1"/>
          <w:sz w:val="22"/>
          <w:szCs w:val="22"/>
        </w:rPr>
        <w:t>»!</w:t>
      </w:r>
    </w:p>
    <w:p w:rsidR="007B7B69" w:rsidRPr="00DA76A7" w:rsidRDefault="009A2472" w:rsidP="007B7B69">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w:t>
      </w:r>
      <w:r w:rsidR="009B3827" w:rsidRPr="00DA76A7">
        <w:rPr>
          <w:rFonts w:ascii="Arial" w:hAnsi="Arial" w:cs="Arial"/>
          <w:color w:val="000000" w:themeColor="text1"/>
          <w:sz w:val="22"/>
          <w:szCs w:val="22"/>
        </w:rPr>
        <w:t>сследования проблем права, правового государства, развития демократии, совершенствования законодательства, развития международных отношений, улучшения деятельности правоохранительных органов, изучение причин преступности и иных правонарушений, разработка мер, направленных на снижение их роста</w:t>
      </w:r>
      <w:r w:rsidRPr="00DA76A7">
        <w:rPr>
          <w:rFonts w:ascii="Arial" w:hAnsi="Arial" w:cs="Arial"/>
          <w:color w:val="000000" w:themeColor="text1"/>
          <w:sz w:val="22"/>
          <w:szCs w:val="22"/>
        </w:rPr>
        <w:t xml:space="preserve"> всегда имели особую актуальность</w:t>
      </w:r>
      <w:r w:rsidR="009B3827" w:rsidRPr="00DA76A7">
        <w:rPr>
          <w:rFonts w:ascii="Arial" w:hAnsi="Arial" w:cs="Arial"/>
          <w:color w:val="000000" w:themeColor="text1"/>
          <w:sz w:val="22"/>
          <w:szCs w:val="22"/>
        </w:rPr>
        <w:t xml:space="preserve">. Это объясняется </w:t>
      </w:r>
      <w:r w:rsidRPr="00DA76A7">
        <w:rPr>
          <w:rFonts w:ascii="Arial" w:hAnsi="Arial" w:cs="Arial"/>
          <w:color w:val="000000" w:themeColor="text1"/>
          <w:sz w:val="22"/>
          <w:szCs w:val="22"/>
        </w:rPr>
        <w:t xml:space="preserve">значением </w:t>
      </w:r>
      <w:r w:rsidR="009B3827" w:rsidRPr="00DA76A7">
        <w:rPr>
          <w:rFonts w:ascii="Arial" w:hAnsi="Arial" w:cs="Arial"/>
          <w:color w:val="000000" w:themeColor="text1"/>
          <w:sz w:val="22"/>
          <w:szCs w:val="22"/>
        </w:rPr>
        <w:t>роли правового регулирования общественных отношений, которое, в свою очередь, предполагает необходимость постоянного совершенствования законодательства. Можно без преувеличения утверждать, что в наше время социальная практика не может не изучать и, самое главное - не учитывать теоретических выводов, вытекающих из обобщения ее опыта, а также не принимать во внимание научно обоснованных рекомендаций, направленных на совершения практической деятельности. Исходя из этого, в целях совершенствования права и законодательства теоретические выводы и научно обоснованные рекомендации, выработанные в рамках международных конференций, имеют не только важно теоретическое значение, но также и практическое</w:t>
      </w:r>
      <w:r w:rsidR="007B7B69" w:rsidRPr="00DA76A7">
        <w:rPr>
          <w:rFonts w:ascii="Arial" w:hAnsi="Arial" w:cs="Arial"/>
          <w:color w:val="000000" w:themeColor="text1"/>
          <w:sz w:val="22"/>
          <w:szCs w:val="22"/>
          <w:shd w:val="clear" w:color="auto" w:fill="FFFFFF"/>
        </w:rPr>
        <w:t>.</w:t>
      </w:r>
    </w:p>
    <w:p w:rsidR="00136F38" w:rsidRPr="00DA76A7" w:rsidRDefault="00136F38" w:rsidP="00136F38">
      <w:pPr>
        <w:ind w:firstLine="567"/>
        <w:jc w:val="both"/>
        <w:rPr>
          <w:rFonts w:ascii="Arial" w:hAnsi="Arial" w:cs="Arial"/>
          <w:color w:val="000000" w:themeColor="text1"/>
          <w:sz w:val="22"/>
          <w:szCs w:val="22"/>
          <w:bdr w:val="none" w:sz="0" w:space="0" w:color="auto" w:frame="1"/>
        </w:rPr>
      </w:pPr>
      <w:r w:rsidRPr="00DA76A7">
        <w:rPr>
          <w:rFonts w:ascii="Arial" w:hAnsi="Arial" w:cs="Arial"/>
          <w:color w:val="000000" w:themeColor="text1"/>
          <w:sz w:val="22"/>
          <w:szCs w:val="22"/>
        </w:rPr>
        <w:t xml:space="preserve">Ввиду того что основную движущую силу таджикского общества составляет молодежь, без активного ее участия невозможно представить социально-экономическое, политическое и культурное развитие нашего государства. В послании Лидера нации Эмомали Рахмона Маджлиси Оли Республики Таджикистан было отмечено, что «молодежь должна быть активнее всех слоев общества, предлагать созидательные инициативы, защищать государственные символы, национальные святыни и завоевания независимости, искренне и созидательной силой участвовать в социально-политической жизни дорогого Таджикистана, защищать безопасность государства, патриотическую славу и честь, беречь себя от всех нежелательных угроз и вызовов современного мира, быть знаменосцем этой земли, нашей священной страны». В частности, 2017 год объявлен в Республике Таджикистан «Годом молодежи». </w:t>
      </w:r>
      <w:r w:rsidRPr="00DA76A7">
        <w:rPr>
          <w:rFonts w:ascii="Arial" w:hAnsi="Arial" w:cs="Arial"/>
          <w:color w:val="000000" w:themeColor="text1"/>
          <w:sz w:val="22"/>
          <w:szCs w:val="22"/>
          <w:shd w:val="clear" w:color="auto" w:fill="FFFFFF"/>
        </w:rPr>
        <w:t xml:space="preserve">Поэтому очень важно оказать </w:t>
      </w:r>
      <w:r w:rsidRPr="00DA76A7">
        <w:rPr>
          <w:rFonts w:ascii="Arial" w:hAnsi="Arial" w:cs="Arial"/>
          <w:color w:val="000000" w:themeColor="text1"/>
          <w:sz w:val="22"/>
          <w:szCs w:val="22"/>
        </w:rPr>
        <w:t xml:space="preserve">поддержку активной молодежи и ее достижениям в различных областях, что, в свою очередь, даст возможность молодым людям проявить себя, укрепить уверенность в своих силах, реализовать свой потенциал и получить заслуженное признание в своём государстве. Одним из таких способов реализации своих способностей молодежью представляется их участие в работе </w:t>
      </w:r>
      <w:r w:rsidRPr="00DA76A7">
        <w:rPr>
          <w:rFonts w:ascii="Arial" w:hAnsi="Arial" w:cs="Arial"/>
          <w:color w:val="000000" w:themeColor="text1"/>
          <w:sz w:val="22"/>
          <w:szCs w:val="22"/>
          <w:bdr w:val="none" w:sz="0" w:space="0" w:color="auto" w:frame="1"/>
        </w:rPr>
        <w:t>различных научных конференций.</w:t>
      </w:r>
    </w:p>
    <w:p w:rsidR="007B7B69" w:rsidRPr="00DA76A7" w:rsidRDefault="007B7B69" w:rsidP="007B7B6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связи с этим проведение настоящей конференции, посвящённой </w:t>
      </w:r>
      <w:r w:rsidR="00136F38" w:rsidRPr="00DA76A7">
        <w:rPr>
          <w:rFonts w:ascii="Arial" w:hAnsi="Arial" w:cs="Arial"/>
          <w:color w:val="000000" w:themeColor="text1"/>
          <w:sz w:val="22"/>
          <w:szCs w:val="22"/>
          <w:shd w:val="clear" w:color="auto" w:fill="FFFFFF"/>
        </w:rPr>
        <w:t>актуальным вопросам юриспруденции</w:t>
      </w:r>
      <w:r w:rsidRPr="00DA76A7">
        <w:rPr>
          <w:rFonts w:ascii="Arial" w:hAnsi="Arial" w:cs="Arial"/>
          <w:color w:val="000000" w:themeColor="text1"/>
          <w:sz w:val="22"/>
          <w:szCs w:val="22"/>
        </w:rPr>
        <w:t xml:space="preserve">, является значительным событием в </w:t>
      </w:r>
      <w:r w:rsidR="00136F38" w:rsidRPr="00DA76A7">
        <w:rPr>
          <w:rFonts w:ascii="Arial" w:hAnsi="Arial" w:cs="Arial"/>
          <w:color w:val="000000" w:themeColor="text1"/>
          <w:sz w:val="22"/>
          <w:szCs w:val="22"/>
        </w:rPr>
        <w:t xml:space="preserve">студенческой </w:t>
      </w:r>
      <w:r w:rsidRPr="00DA76A7">
        <w:rPr>
          <w:rFonts w:ascii="Arial" w:hAnsi="Arial" w:cs="Arial"/>
          <w:color w:val="000000" w:themeColor="text1"/>
          <w:sz w:val="22"/>
          <w:szCs w:val="22"/>
        </w:rPr>
        <w:t xml:space="preserve">научно-практической сфере Республики Таджикистан и стран СНГ, которое, несомненно, </w:t>
      </w:r>
      <w:r w:rsidR="009A2472" w:rsidRPr="00DA76A7">
        <w:rPr>
          <w:rFonts w:ascii="Arial" w:hAnsi="Arial" w:cs="Arial"/>
          <w:color w:val="000000" w:themeColor="text1"/>
          <w:sz w:val="22"/>
          <w:szCs w:val="22"/>
        </w:rPr>
        <w:t xml:space="preserve">ведет к формированию </w:t>
      </w:r>
      <w:r w:rsidR="009A2472" w:rsidRPr="00DA76A7">
        <w:rPr>
          <w:rFonts w:ascii="Arial" w:hAnsi="Arial" w:cs="Arial"/>
          <w:color w:val="000000" w:themeColor="text1"/>
          <w:sz w:val="22"/>
          <w:szCs w:val="22"/>
          <w:shd w:val="clear" w:color="auto" w:fill="FFFFFF"/>
        </w:rPr>
        <w:t>у молодого поколения более глубоких и разносторонних знании об актуальных вопросах юриспруденции,</w:t>
      </w:r>
      <w:r w:rsidR="009A2472"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rPr>
        <w:t xml:space="preserve">внесёт вклад в развитие процесса ведения </w:t>
      </w:r>
      <w:r w:rsidR="009A2472" w:rsidRPr="00DA76A7">
        <w:rPr>
          <w:rFonts w:ascii="Arial" w:hAnsi="Arial" w:cs="Arial"/>
          <w:color w:val="000000" w:themeColor="text1"/>
          <w:sz w:val="22"/>
          <w:szCs w:val="22"/>
        </w:rPr>
        <w:t xml:space="preserve">ими </w:t>
      </w:r>
      <w:r w:rsidRPr="00DA76A7">
        <w:rPr>
          <w:rFonts w:ascii="Arial" w:hAnsi="Arial" w:cs="Arial"/>
          <w:color w:val="000000" w:themeColor="text1"/>
          <w:sz w:val="22"/>
          <w:szCs w:val="22"/>
        </w:rPr>
        <w:t>правовых научных исследований, создаст стимулы для дальнейшей плодотворной работы</w:t>
      </w:r>
      <w:r w:rsidR="00136F38" w:rsidRPr="00DA76A7">
        <w:rPr>
          <w:rFonts w:ascii="Arial" w:hAnsi="Arial" w:cs="Arial"/>
          <w:color w:val="000000" w:themeColor="text1"/>
          <w:sz w:val="22"/>
          <w:szCs w:val="22"/>
        </w:rPr>
        <w:t>.</w:t>
      </w:r>
    </w:p>
    <w:p w:rsidR="009A2472" w:rsidRPr="00DA76A7" w:rsidRDefault="009A2472" w:rsidP="009A247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Настоящая конференция является мероприятием, объединяющим усилия высших учебных заведений Республики Таджикистан и стран СНГ, главной целью которого является содействие развитию профессиональных и личных контактов между студентами, магистрами и аспирантами из различных стран, развитие у них навыков проведения самостоятельной научно-исследовательской работы и умения презентовать полученные результаты. </w:t>
      </w:r>
    </w:p>
    <w:p w:rsidR="009A2472" w:rsidRPr="00DA76A7" w:rsidRDefault="007B7B69" w:rsidP="007B7B6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Доклады участников конференции подлежат заслушиванию и обсуждению в рамках секционных заседаний по актуальным вопросам современной юридической науки, в частности, по актуальным проблемам международного, гражданского, предпринимательского, конституционного права, гражданского процесса, а также уголовного права и процесса. </w:t>
      </w:r>
    </w:p>
    <w:p w:rsidR="007B7B69" w:rsidRPr="00DA76A7" w:rsidRDefault="007B7B69" w:rsidP="007B7B6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Желаем всем участникам конференции здоровья, успехов в научно-исследовательской и практической работе, плодотворных дискуссий и новых достижений!</w:t>
      </w:r>
    </w:p>
    <w:p w:rsidR="00F9117C" w:rsidRPr="00DA76A7" w:rsidRDefault="00F9117C" w:rsidP="00C61DF5">
      <w:pPr>
        <w:pStyle w:val="a4"/>
        <w:jc w:val="center"/>
        <w:rPr>
          <w:rFonts w:ascii="Arial" w:hAnsi="Arial" w:cs="Arial"/>
          <w:b/>
          <w:color w:val="000000" w:themeColor="text1"/>
          <w:sz w:val="22"/>
          <w:szCs w:val="22"/>
        </w:rPr>
      </w:pPr>
    </w:p>
    <w:p w:rsidR="00E6089C" w:rsidRPr="00DA76A7" w:rsidRDefault="00E6089C" w:rsidP="0082759F">
      <w:pPr>
        <w:pStyle w:val="a4"/>
        <w:ind w:firstLine="567"/>
        <w:jc w:val="center"/>
        <w:rPr>
          <w:rFonts w:ascii="Arial" w:hAnsi="Arial" w:cs="Arial"/>
          <w:b/>
          <w:color w:val="000000" w:themeColor="text1"/>
          <w:sz w:val="76"/>
          <w:szCs w:val="76"/>
        </w:rPr>
      </w:pPr>
    </w:p>
    <w:p w:rsidR="00F9117C" w:rsidRPr="00DA76A7" w:rsidRDefault="00F9117C" w:rsidP="0082759F">
      <w:pPr>
        <w:pStyle w:val="a4"/>
        <w:ind w:firstLine="567"/>
        <w:jc w:val="center"/>
        <w:rPr>
          <w:rFonts w:ascii="Arial" w:hAnsi="Arial" w:cs="Arial"/>
          <w:b/>
          <w:color w:val="000000" w:themeColor="text1"/>
          <w:sz w:val="76"/>
          <w:szCs w:val="76"/>
        </w:rPr>
      </w:pPr>
    </w:p>
    <w:p w:rsidR="00F9117C" w:rsidRPr="00DA76A7" w:rsidRDefault="00F9117C" w:rsidP="0082759F">
      <w:pPr>
        <w:pStyle w:val="a4"/>
        <w:ind w:firstLine="567"/>
        <w:jc w:val="center"/>
        <w:rPr>
          <w:rFonts w:ascii="Arial" w:hAnsi="Arial" w:cs="Arial"/>
          <w:b/>
          <w:color w:val="000000" w:themeColor="text1"/>
          <w:sz w:val="76"/>
          <w:szCs w:val="76"/>
        </w:rPr>
      </w:pPr>
    </w:p>
    <w:p w:rsidR="00E6089C" w:rsidRPr="00DA76A7" w:rsidRDefault="00E6089C" w:rsidP="0082759F">
      <w:pPr>
        <w:pStyle w:val="a4"/>
        <w:ind w:firstLine="567"/>
        <w:jc w:val="center"/>
        <w:rPr>
          <w:rFonts w:ascii="Arial" w:hAnsi="Arial" w:cs="Arial"/>
          <w:b/>
          <w:color w:val="000000" w:themeColor="text1"/>
          <w:sz w:val="76"/>
          <w:szCs w:val="76"/>
        </w:rPr>
      </w:pPr>
    </w:p>
    <w:p w:rsidR="00F85242" w:rsidRPr="00DA76A7" w:rsidRDefault="0082759F" w:rsidP="0082759F">
      <w:pPr>
        <w:pStyle w:val="a4"/>
        <w:ind w:firstLine="567"/>
        <w:jc w:val="center"/>
        <w:rPr>
          <w:rFonts w:ascii="Arial" w:hAnsi="Arial" w:cs="Arial"/>
          <w:b/>
          <w:color w:val="000000" w:themeColor="text1"/>
          <w:sz w:val="76"/>
          <w:szCs w:val="76"/>
        </w:rPr>
      </w:pPr>
      <w:r w:rsidRPr="00DA76A7">
        <w:rPr>
          <w:rFonts w:ascii="Arial" w:hAnsi="Arial" w:cs="Arial"/>
          <w:b/>
          <w:color w:val="000000" w:themeColor="text1"/>
          <w:sz w:val="76"/>
          <w:szCs w:val="76"/>
        </w:rPr>
        <w:t xml:space="preserve">СЕКЦИЯ </w:t>
      </w:r>
    </w:p>
    <w:p w:rsidR="0082759F" w:rsidRPr="00DA76A7" w:rsidRDefault="0082759F" w:rsidP="0082759F">
      <w:pPr>
        <w:pStyle w:val="a4"/>
        <w:ind w:firstLine="567"/>
        <w:jc w:val="center"/>
        <w:rPr>
          <w:rFonts w:ascii="Arial" w:hAnsi="Arial" w:cs="Arial"/>
          <w:b/>
          <w:color w:val="000000" w:themeColor="text1"/>
          <w:sz w:val="76"/>
          <w:szCs w:val="76"/>
        </w:rPr>
      </w:pPr>
      <w:r w:rsidRPr="00DA76A7">
        <w:rPr>
          <w:rFonts w:ascii="Arial" w:hAnsi="Arial" w:cs="Arial"/>
          <w:b/>
          <w:color w:val="000000" w:themeColor="text1"/>
          <w:sz w:val="76"/>
          <w:szCs w:val="76"/>
        </w:rPr>
        <w:t>АКТУАЛЬНЫЕ ПРОБЛЕМЫ МЕЖДУНАРОДНОГО ПУБЛИЧНОГО И ЧАСТНОГО ПРАВА</w:t>
      </w:r>
    </w:p>
    <w:p w:rsidR="0082759F" w:rsidRPr="00DA76A7" w:rsidRDefault="0082759F" w:rsidP="0082759F">
      <w:pPr>
        <w:ind w:firstLine="567"/>
        <w:jc w:val="center"/>
        <w:rPr>
          <w:rFonts w:ascii="Arial" w:hAnsi="Arial" w:cs="Arial"/>
          <w:b/>
          <w:color w:val="000000" w:themeColor="text1"/>
          <w:sz w:val="22"/>
          <w:szCs w:val="22"/>
        </w:rPr>
      </w:pPr>
    </w:p>
    <w:p w:rsidR="0082759F" w:rsidRPr="00DA76A7" w:rsidRDefault="0082759F" w:rsidP="0082759F">
      <w:pPr>
        <w:ind w:firstLine="567"/>
        <w:jc w:val="center"/>
        <w:rPr>
          <w:rFonts w:ascii="Arial" w:hAnsi="Arial" w:cs="Arial"/>
          <w:b/>
          <w:color w:val="000000" w:themeColor="text1"/>
          <w:sz w:val="22"/>
          <w:szCs w:val="22"/>
        </w:rPr>
      </w:pPr>
    </w:p>
    <w:p w:rsidR="00F85242" w:rsidRPr="00DA76A7" w:rsidRDefault="00F85242" w:rsidP="0082759F">
      <w:pPr>
        <w:ind w:firstLine="567"/>
        <w:jc w:val="center"/>
        <w:rPr>
          <w:rFonts w:ascii="Arial" w:hAnsi="Arial" w:cs="Arial"/>
          <w:b/>
          <w:color w:val="000000" w:themeColor="text1"/>
          <w:sz w:val="22"/>
          <w:szCs w:val="22"/>
        </w:rPr>
      </w:pPr>
    </w:p>
    <w:p w:rsidR="00F85242" w:rsidRPr="00DA76A7" w:rsidRDefault="00F85242" w:rsidP="0082759F">
      <w:pPr>
        <w:ind w:firstLine="567"/>
        <w:jc w:val="center"/>
        <w:rPr>
          <w:rFonts w:ascii="Arial" w:hAnsi="Arial" w:cs="Arial"/>
          <w:b/>
          <w:color w:val="000000" w:themeColor="text1"/>
          <w:sz w:val="22"/>
          <w:szCs w:val="22"/>
        </w:rPr>
      </w:pPr>
    </w:p>
    <w:p w:rsidR="00F85242" w:rsidRPr="00DA76A7" w:rsidRDefault="00F85242"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Pr="00DA76A7" w:rsidRDefault="00A969C6" w:rsidP="0082759F">
      <w:pPr>
        <w:ind w:firstLine="567"/>
        <w:jc w:val="center"/>
        <w:rPr>
          <w:rFonts w:ascii="Arial" w:hAnsi="Arial" w:cs="Arial"/>
          <w:b/>
          <w:color w:val="000000" w:themeColor="text1"/>
          <w:sz w:val="22"/>
          <w:szCs w:val="22"/>
        </w:rPr>
      </w:pPr>
    </w:p>
    <w:p w:rsidR="00A969C6" w:rsidRDefault="00A969C6" w:rsidP="0082759F">
      <w:pPr>
        <w:ind w:firstLine="567"/>
        <w:jc w:val="center"/>
        <w:rPr>
          <w:rFonts w:ascii="Arial" w:hAnsi="Arial" w:cs="Arial"/>
          <w:b/>
          <w:color w:val="000000" w:themeColor="text1"/>
          <w:sz w:val="22"/>
          <w:szCs w:val="22"/>
        </w:rPr>
      </w:pPr>
    </w:p>
    <w:p w:rsidR="000E7DCF" w:rsidRPr="00DA76A7" w:rsidRDefault="000E7DCF" w:rsidP="0082759F">
      <w:pPr>
        <w:ind w:firstLine="567"/>
        <w:jc w:val="center"/>
        <w:rPr>
          <w:rFonts w:ascii="Arial" w:hAnsi="Arial" w:cs="Arial"/>
          <w:b/>
          <w:color w:val="000000" w:themeColor="text1"/>
          <w:sz w:val="22"/>
          <w:szCs w:val="22"/>
        </w:rPr>
      </w:pPr>
    </w:p>
    <w:p w:rsidR="00616DAD" w:rsidRPr="00DA76A7" w:rsidRDefault="00616DAD" w:rsidP="0082759F">
      <w:pPr>
        <w:ind w:firstLine="567"/>
        <w:jc w:val="center"/>
        <w:rPr>
          <w:rFonts w:ascii="Arial" w:hAnsi="Arial" w:cs="Arial"/>
          <w:b/>
          <w:color w:val="000000" w:themeColor="text1"/>
          <w:sz w:val="22"/>
          <w:szCs w:val="22"/>
        </w:rPr>
      </w:pPr>
    </w:p>
    <w:p w:rsidR="00616DAD" w:rsidRDefault="00616DAD" w:rsidP="0082759F">
      <w:pPr>
        <w:ind w:firstLine="567"/>
        <w:jc w:val="center"/>
        <w:rPr>
          <w:rFonts w:ascii="Arial" w:hAnsi="Arial" w:cs="Arial"/>
          <w:b/>
          <w:color w:val="000000" w:themeColor="text1"/>
          <w:sz w:val="22"/>
          <w:szCs w:val="22"/>
        </w:rPr>
      </w:pPr>
    </w:p>
    <w:p w:rsidR="00DA76A7" w:rsidRDefault="00DA76A7" w:rsidP="0082759F">
      <w:pPr>
        <w:ind w:firstLine="567"/>
        <w:jc w:val="center"/>
        <w:rPr>
          <w:rFonts w:ascii="Arial" w:hAnsi="Arial" w:cs="Arial"/>
          <w:b/>
          <w:color w:val="000000" w:themeColor="text1"/>
          <w:sz w:val="22"/>
          <w:szCs w:val="22"/>
        </w:rPr>
      </w:pPr>
    </w:p>
    <w:p w:rsidR="00DA76A7" w:rsidRDefault="00DA76A7" w:rsidP="0082759F">
      <w:pPr>
        <w:ind w:firstLine="567"/>
        <w:jc w:val="center"/>
        <w:rPr>
          <w:rFonts w:ascii="Arial" w:hAnsi="Arial" w:cs="Arial"/>
          <w:b/>
          <w:color w:val="000000" w:themeColor="text1"/>
          <w:sz w:val="22"/>
          <w:szCs w:val="22"/>
        </w:rPr>
      </w:pPr>
    </w:p>
    <w:p w:rsidR="00DA76A7" w:rsidRPr="00DA76A7" w:rsidRDefault="00DA76A7" w:rsidP="0082759F">
      <w:pPr>
        <w:ind w:firstLine="567"/>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ПРОБЛЕМЫ ПРАВОВОГО РЕГУЛИРОВАНИЯ МЕЖДУНАРОДНОГО УСЫНОВЛЕНИЯ В РОССИЙСКОЙ ФЕДЕРАЦИИ</w:t>
      </w:r>
    </w:p>
    <w:p w:rsidR="00A969C6" w:rsidRPr="00DA76A7" w:rsidRDefault="00A969C6" w:rsidP="00A969C6">
      <w:pPr>
        <w:shd w:val="clear" w:color="auto" w:fill="FFFFFF"/>
        <w:jc w:val="both"/>
        <w:rPr>
          <w:rFonts w:ascii="Arial" w:hAnsi="Arial" w:cs="Arial"/>
          <w:b/>
          <w:bCs/>
          <w:i/>
          <w:iCs/>
          <w:color w:val="000000" w:themeColor="text1"/>
          <w:sz w:val="22"/>
          <w:szCs w:val="22"/>
        </w:rPr>
      </w:pPr>
    </w:p>
    <w:p w:rsidR="00A969C6" w:rsidRPr="00DA76A7" w:rsidRDefault="00A969C6" w:rsidP="00A969C6">
      <w:pPr>
        <w:pStyle w:val="ac"/>
        <w:jc w:val="center"/>
        <w:rPr>
          <w:rFonts w:ascii="Arial" w:hAnsi="Arial" w:cs="Arial"/>
          <w:b/>
          <w:color w:val="000000" w:themeColor="text1"/>
        </w:rPr>
      </w:pPr>
      <w:r w:rsidRPr="00DA76A7">
        <w:rPr>
          <w:rFonts w:ascii="Arial" w:hAnsi="Arial" w:cs="Arial"/>
          <w:b/>
          <w:color w:val="000000" w:themeColor="text1"/>
        </w:rPr>
        <w:t>Абдулкаюм Рухшона</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 xml:space="preserve">магистрант 2-го года обучения очного отделения юридического факультета </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Российско-Таджикский (Славянский) университет</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734025, Республика Таджикистан, Душанбе, ул. М. Турсунзаде, 30</w:t>
      </w:r>
    </w:p>
    <w:p w:rsidR="00A969C6" w:rsidRPr="003A751C"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rPr>
        <w:t>тел</w:t>
      </w:r>
      <w:r w:rsidRPr="003A751C">
        <w:rPr>
          <w:rFonts w:ascii="Arial" w:hAnsi="Arial" w:cs="Arial"/>
          <w:color w:val="000000" w:themeColor="text1"/>
          <w:lang w:val="en-US"/>
        </w:rPr>
        <w:t xml:space="preserve">.: 98-838-30-95, </w:t>
      </w:r>
      <w:r w:rsidRPr="00DA76A7">
        <w:rPr>
          <w:rFonts w:ascii="Arial" w:hAnsi="Arial" w:cs="Arial"/>
          <w:color w:val="000000" w:themeColor="text1"/>
        </w:rPr>
        <w:t>е</w:t>
      </w:r>
      <w:r w:rsidRPr="003A751C">
        <w:rPr>
          <w:rFonts w:ascii="Arial" w:hAnsi="Arial" w:cs="Arial"/>
          <w:color w:val="000000" w:themeColor="text1"/>
          <w:lang w:val="en-US"/>
        </w:rPr>
        <w:t>-</w:t>
      </w:r>
      <w:r w:rsidRPr="00DA76A7">
        <w:rPr>
          <w:rFonts w:ascii="Arial" w:hAnsi="Arial" w:cs="Arial"/>
          <w:color w:val="000000" w:themeColor="text1"/>
          <w:lang w:val="en-US"/>
        </w:rPr>
        <w:t>mail</w:t>
      </w:r>
      <w:r w:rsidRPr="003A751C">
        <w:rPr>
          <w:rFonts w:ascii="Arial" w:hAnsi="Arial" w:cs="Arial"/>
          <w:color w:val="000000" w:themeColor="text1"/>
          <w:lang w:val="en-US"/>
        </w:rPr>
        <w:t xml:space="preserve">: </w:t>
      </w:r>
      <w:hyperlink r:id="rId8" w:history="1">
        <w:r w:rsidRPr="00DA76A7">
          <w:rPr>
            <w:rStyle w:val="af0"/>
            <w:rFonts w:ascii="Arial" w:hAnsi="Arial" w:cs="Arial"/>
            <w:color w:val="000000" w:themeColor="text1"/>
            <w:u w:val="none"/>
            <w:lang w:val="en-US"/>
          </w:rPr>
          <w:t>rukha</w:t>
        </w:r>
        <w:r w:rsidRPr="003A751C">
          <w:rPr>
            <w:rStyle w:val="af0"/>
            <w:rFonts w:ascii="Arial" w:hAnsi="Arial" w:cs="Arial"/>
            <w:color w:val="000000" w:themeColor="text1"/>
            <w:u w:val="none"/>
            <w:lang w:val="en-US"/>
          </w:rPr>
          <w:t>_95@</w:t>
        </w:r>
        <w:r w:rsidRPr="00DA76A7">
          <w:rPr>
            <w:rStyle w:val="af0"/>
            <w:rFonts w:ascii="Arial" w:hAnsi="Arial" w:cs="Arial"/>
            <w:color w:val="000000" w:themeColor="text1"/>
            <w:u w:val="none"/>
            <w:lang w:val="en-US"/>
          </w:rPr>
          <w:t>mail</w:t>
        </w:r>
        <w:r w:rsidRPr="003A751C">
          <w:rPr>
            <w:rStyle w:val="af0"/>
            <w:rFonts w:ascii="Arial" w:hAnsi="Arial" w:cs="Arial"/>
            <w:color w:val="000000" w:themeColor="text1"/>
            <w:u w:val="none"/>
            <w:lang w:val="en-US"/>
          </w:rPr>
          <w:t>.</w:t>
        </w:r>
        <w:r w:rsidRPr="00DA76A7">
          <w:rPr>
            <w:rStyle w:val="af0"/>
            <w:rFonts w:ascii="Arial" w:hAnsi="Arial" w:cs="Arial"/>
            <w:color w:val="000000" w:themeColor="text1"/>
            <w:u w:val="none"/>
            <w:lang w:val="en-US"/>
          </w:rPr>
          <w:t>ru</w:t>
        </w:r>
      </w:hyperlink>
    </w:p>
    <w:p w:rsidR="00A969C6" w:rsidRPr="003A751C"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PROBLEMS OF LEGAL REGULATION OF THE INTERNATIONAL ADOPTION IN THE RUSSIAN FEDERATION</w:t>
      </w:r>
    </w:p>
    <w:p w:rsidR="00A969C6" w:rsidRPr="00DA76A7" w:rsidRDefault="00A969C6" w:rsidP="00A969C6">
      <w:pPr>
        <w:shd w:val="clear" w:color="auto" w:fill="FFFFFF"/>
        <w:jc w:val="both"/>
        <w:rPr>
          <w:rFonts w:ascii="Arial" w:hAnsi="Arial" w:cs="Arial"/>
          <w:b/>
          <w:bCs/>
          <w:i/>
          <w:iCs/>
          <w:color w:val="000000" w:themeColor="text1"/>
          <w:sz w:val="22"/>
          <w:szCs w:val="22"/>
          <w:lang w:val="en-US"/>
        </w:rPr>
      </w:pPr>
    </w:p>
    <w:p w:rsidR="00A969C6" w:rsidRPr="00DA76A7" w:rsidRDefault="00A969C6" w:rsidP="00A969C6">
      <w:pPr>
        <w:pStyle w:val="ac"/>
        <w:jc w:val="center"/>
        <w:rPr>
          <w:rFonts w:ascii="Arial" w:hAnsi="Arial" w:cs="Arial"/>
          <w:b/>
          <w:color w:val="000000" w:themeColor="text1"/>
          <w:lang w:val="en-US"/>
        </w:rPr>
      </w:pPr>
      <w:r w:rsidRPr="00DA76A7">
        <w:rPr>
          <w:rFonts w:ascii="Arial" w:hAnsi="Arial" w:cs="Arial"/>
          <w:b/>
          <w:color w:val="000000" w:themeColor="text1"/>
          <w:lang w:val="en-US"/>
        </w:rPr>
        <w:t>Abdulkayum Rukhshona</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 xml:space="preserve">2nd year student of direction of the faculty of law </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Russian-Tajik (Slavonic) university</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734025, Republic of Tajikistan, Dushanbe city, M. Tursunzade str., 30</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 xml:space="preserve">tel.: 98-838-30-95, </w:t>
      </w:r>
      <w:r w:rsidRPr="00DA76A7">
        <w:rPr>
          <w:rFonts w:ascii="Arial" w:hAnsi="Arial" w:cs="Arial"/>
          <w:color w:val="000000" w:themeColor="text1"/>
        </w:rPr>
        <w:t>е</w:t>
      </w:r>
      <w:r w:rsidRPr="00DA76A7">
        <w:rPr>
          <w:rFonts w:ascii="Arial" w:hAnsi="Arial" w:cs="Arial"/>
          <w:color w:val="000000" w:themeColor="text1"/>
          <w:lang w:val="en-US"/>
        </w:rPr>
        <w:t xml:space="preserve">-mail: </w:t>
      </w:r>
      <w:hyperlink r:id="rId9" w:history="1">
        <w:r w:rsidRPr="00DA76A7">
          <w:rPr>
            <w:rStyle w:val="af0"/>
            <w:rFonts w:ascii="Arial" w:hAnsi="Arial" w:cs="Arial"/>
            <w:color w:val="000000" w:themeColor="text1"/>
            <w:u w:val="none"/>
            <w:lang w:val="en-US"/>
          </w:rPr>
          <w:t>rukha_95@mail.ru</w:t>
        </w:r>
      </w:hyperlink>
    </w:p>
    <w:p w:rsidR="00A969C6" w:rsidRPr="00DA76A7" w:rsidRDefault="00A969C6" w:rsidP="00A969C6">
      <w:pPr>
        <w:pStyle w:val="ac"/>
        <w:ind w:firstLine="567"/>
        <w:jc w:val="center"/>
        <w:rPr>
          <w:rFonts w:ascii="Arial" w:hAnsi="Arial" w:cs="Arial"/>
          <w:color w:val="000000" w:themeColor="text1"/>
          <w:lang w:val="en-US"/>
        </w:rPr>
      </w:pPr>
    </w:p>
    <w:p w:rsidR="00A969C6" w:rsidRPr="00DA76A7" w:rsidRDefault="00A969C6" w:rsidP="00A969C6">
      <w:pPr>
        <w:pStyle w:val="ac"/>
        <w:ind w:firstLine="567"/>
        <w:jc w:val="right"/>
        <w:rPr>
          <w:rFonts w:ascii="Arial" w:hAnsi="Arial" w:cs="Arial"/>
          <w:color w:val="000000" w:themeColor="text1"/>
        </w:rPr>
      </w:pPr>
      <w:r w:rsidRPr="00DA76A7">
        <w:rPr>
          <w:rFonts w:ascii="Arial" w:hAnsi="Arial" w:cs="Arial"/>
          <w:color w:val="000000" w:themeColor="text1"/>
        </w:rPr>
        <w:t>Научный руководитель: к.ю.н., доцент Химатов Х.Н.</w:t>
      </w:r>
    </w:p>
    <w:p w:rsidR="00A969C6" w:rsidRPr="00DA76A7" w:rsidRDefault="00A969C6" w:rsidP="00A969C6">
      <w:pPr>
        <w:pStyle w:val="ac"/>
        <w:ind w:firstLine="567"/>
        <w:jc w:val="center"/>
        <w:rPr>
          <w:rFonts w:ascii="Arial" w:hAnsi="Arial" w:cs="Arial"/>
          <w:color w:val="000000" w:themeColor="text1"/>
        </w:rPr>
      </w:pPr>
    </w:p>
    <w:p w:rsidR="00A969C6" w:rsidRPr="00DA76A7" w:rsidRDefault="00B46B9E" w:rsidP="00A969C6">
      <w:pPr>
        <w:ind w:firstLine="567"/>
        <w:jc w:val="both"/>
        <w:rPr>
          <w:rFonts w:ascii="Arial" w:hAnsi="Arial" w:cs="Arial"/>
          <w:color w:val="000000" w:themeColor="text1"/>
          <w:sz w:val="22"/>
          <w:szCs w:val="22"/>
          <w:shd w:val="clear" w:color="auto" w:fill="FFFFFF"/>
        </w:rPr>
      </w:pPr>
      <w:r w:rsidRPr="00DA76A7">
        <w:rPr>
          <w:rFonts w:ascii="Arial" w:hAnsi="Arial" w:cs="Arial"/>
          <w:b/>
          <w:i/>
          <w:color w:val="000000" w:themeColor="text1"/>
          <w:sz w:val="22"/>
          <w:szCs w:val="22"/>
          <w:shd w:val="clear" w:color="auto" w:fill="FFFFFF"/>
        </w:rPr>
        <w:t>Аннотация.</w:t>
      </w:r>
      <w:r w:rsidR="00A969C6" w:rsidRPr="00DA76A7">
        <w:rPr>
          <w:rFonts w:ascii="Arial" w:hAnsi="Arial" w:cs="Arial"/>
          <w:b/>
          <w:i/>
          <w:color w:val="000000" w:themeColor="text1"/>
          <w:sz w:val="22"/>
          <w:szCs w:val="22"/>
          <w:shd w:val="clear" w:color="auto" w:fill="FFFFFF"/>
        </w:rPr>
        <w:t xml:space="preserve"> </w:t>
      </w:r>
      <w:r w:rsidR="00A969C6" w:rsidRPr="00DA76A7">
        <w:rPr>
          <w:rFonts w:ascii="Arial" w:hAnsi="Arial" w:cs="Arial"/>
          <w:color w:val="000000" w:themeColor="text1"/>
          <w:sz w:val="22"/>
          <w:szCs w:val="22"/>
          <w:shd w:val="clear" w:color="auto" w:fill="FFFFFF"/>
        </w:rPr>
        <w:t xml:space="preserve"> </w:t>
      </w:r>
      <w:r w:rsidR="00A969C6" w:rsidRPr="00DA76A7">
        <w:rPr>
          <w:rFonts w:ascii="Arial" w:hAnsi="Arial" w:cs="Arial"/>
          <w:i/>
          <w:color w:val="000000" w:themeColor="text1"/>
          <w:sz w:val="22"/>
          <w:szCs w:val="22"/>
          <w:shd w:val="clear" w:color="auto" w:fill="FFFFFF"/>
        </w:rPr>
        <w:t>В данной статье рассматриваются общие положения усыновления и международного усыновления в Российской Федерации, проблемы международного усыновления и ее правовое регулирование.</w:t>
      </w:r>
      <w:r w:rsidR="00A969C6" w:rsidRPr="00DA76A7">
        <w:rPr>
          <w:rFonts w:ascii="Arial" w:hAnsi="Arial" w:cs="Arial"/>
          <w:color w:val="000000" w:themeColor="text1"/>
          <w:sz w:val="22"/>
          <w:szCs w:val="22"/>
          <w:shd w:val="clear" w:color="auto" w:fill="FFFFFF"/>
        </w:rPr>
        <w:t xml:space="preserve"> </w:t>
      </w:r>
    </w:p>
    <w:p w:rsidR="00A969C6" w:rsidRPr="00DA76A7" w:rsidRDefault="00081412" w:rsidP="00A969C6">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Annotation.</w:t>
      </w:r>
      <w:r w:rsidR="00A969C6" w:rsidRPr="00DA76A7">
        <w:rPr>
          <w:rFonts w:ascii="Arial" w:hAnsi="Arial" w:cs="Arial"/>
          <w:b/>
          <w:i/>
          <w:color w:val="000000" w:themeColor="text1"/>
          <w:sz w:val="22"/>
          <w:szCs w:val="22"/>
          <w:shd w:val="clear" w:color="auto" w:fill="FFFFFF"/>
          <w:lang w:val="en-US"/>
        </w:rPr>
        <w:t xml:space="preserve"> </w:t>
      </w:r>
      <w:r w:rsidR="00A969C6" w:rsidRPr="00DA76A7">
        <w:rPr>
          <w:rFonts w:ascii="Arial" w:hAnsi="Arial" w:cs="Arial"/>
          <w:i/>
          <w:color w:val="000000" w:themeColor="text1"/>
          <w:sz w:val="22"/>
          <w:szCs w:val="22"/>
          <w:shd w:val="clear" w:color="auto" w:fill="FFFFFF"/>
          <w:lang w:val="en-US"/>
        </w:rPr>
        <w:t>In this article considering the general position of adoption and international adoption in the Russian Federation, the problems of international adoption and its legal regulation</w:t>
      </w:r>
    </w:p>
    <w:p w:rsidR="00A969C6" w:rsidRPr="00DA76A7" w:rsidRDefault="00A969C6" w:rsidP="00A969C6">
      <w:pPr>
        <w:ind w:firstLine="567"/>
        <w:jc w:val="both"/>
        <w:rPr>
          <w:rFonts w:ascii="Arial" w:hAnsi="Arial" w:cs="Arial"/>
          <w:i/>
          <w:color w:val="000000" w:themeColor="text1"/>
          <w:sz w:val="22"/>
          <w:szCs w:val="22"/>
          <w:shd w:val="clear" w:color="auto" w:fill="FFFFFF"/>
        </w:rPr>
      </w:pPr>
      <w:r w:rsidRPr="00DA76A7">
        <w:rPr>
          <w:rFonts w:ascii="Arial" w:hAnsi="Arial" w:cs="Arial"/>
          <w:b/>
          <w:i/>
          <w:color w:val="000000" w:themeColor="text1"/>
          <w:sz w:val="22"/>
          <w:szCs w:val="22"/>
          <w:shd w:val="clear" w:color="auto" w:fill="FFFFFF"/>
        </w:rPr>
        <w:t xml:space="preserve">Ключевые слова: </w:t>
      </w:r>
      <w:r w:rsidRPr="00DA76A7">
        <w:rPr>
          <w:rFonts w:ascii="Arial" w:hAnsi="Arial" w:cs="Arial"/>
          <w:i/>
          <w:color w:val="000000" w:themeColor="text1"/>
          <w:sz w:val="22"/>
          <w:szCs w:val="22"/>
          <w:shd w:val="clear" w:color="auto" w:fill="FFFFFF"/>
        </w:rPr>
        <w:t>усыновление, международное усыновление, проблемы, возникающие при международном усыновлении, регулирование международного усыновления.</w:t>
      </w:r>
    </w:p>
    <w:p w:rsidR="00A969C6" w:rsidRPr="00DA76A7" w:rsidRDefault="00A969C6" w:rsidP="00A969C6">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 xml:space="preserve">Key words: </w:t>
      </w:r>
      <w:r w:rsidRPr="00DA76A7">
        <w:rPr>
          <w:rFonts w:ascii="Arial" w:hAnsi="Arial" w:cs="Arial"/>
          <w:i/>
          <w:color w:val="000000" w:themeColor="text1"/>
          <w:sz w:val="22"/>
          <w:szCs w:val="22"/>
          <w:shd w:val="clear" w:color="auto" w:fill="FFFFFF"/>
          <w:lang w:val="en-US"/>
        </w:rPr>
        <w:t>adoption, international adoption, problems arising from international adoption, regulation of international adoption.</w:t>
      </w:r>
    </w:p>
    <w:p w:rsidR="00A969C6" w:rsidRPr="00DA76A7" w:rsidRDefault="00A969C6" w:rsidP="00A969C6">
      <w:pPr>
        <w:ind w:firstLine="567"/>
        <w:jc w:val="both"/>
        <w:rPr>
          <w:rFonts w:ascii="Arial" w:hAnsi="Arial" w:cs="Arial"/>
          <w:i/>
          <w:color w:val="000000" w:themeColor="text1"/>
          <w:sz w:val="22"/>
          <w:szCs w:val="22"/>
          <w:shd w:val="clear" w:color="auto" w:fill="FFFFFF"/>
          <w:lang w:val="en-US"/>
        </w:rPr>
      </w:pP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В жизни каждого человека огромную роль играет семья, и особенно в жизни ребенка. Именно семья подготавливает ребенка к жизни, она является его первым и самым главным источником социальных идеалов, она закладывает основы общественного поведения, и у ребенка именно в семье формируется определенное мировоззрение на жизнь.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Российской Федерации без родительской опеки остаются сотни тысяч детей в силу различных жизненных обстоятельств: рост вне брачной рождаемости, смерть родителей, материальные или жилищные трудности, возникшие в семье.</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Усыновление (удочерение) является наиболее приоритетной формой устройства детей, которые остаются без родительской опеки. Усыновление допускается в отношении несовершеннолетних детей и с соблюдением требований абзаца 3 пункта 1 статьи 123 Семейного кодекса Российской Федерации [1], а также с учетом возможностей для обеспечения детям полноценного физического, психического, духовного и нравственного развития. Однако в СК РФ не содержится точное определение понятия «Усыновление (удочерение)». Пчелинцева Л. М., под усыновлением понимает юридический акт, в результате которого между усыновителем и его родственниками, с одной стороны, и усыновленным ребенком — с другой, возникают такие же права и обязанности, как между родителями и детьми, а также их родственниками по происхождению [5, 19]. А Батычко В. Т. рассматривает усыновление или удочерение как юридический акт, в силу которого между усыновленным ребенком и лицом или лицами, принявшими его на воспитание, устанавливаются личные и имущественные отношения, существующие между родителями и детьми [2].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В последние годы в России наблюдается тенденция возрастания случаев усыновления российских сирот иностранными гражданами. Прежде всего, этот факт, связан с социально-экономическими условиями граждан Российской Федерации. Всем известно о проблемах, связанных с отсутствием жилья, недостаточным материальным обеспечением и государственной поддержкой многодетных и бездетных семей. Законодательство предусматривает ряд мер материального характера, однако зачастую этого бывает недостаточно: люди не хотят брать детей на воспитание, понимая, что не в состоянии дать им должного обеспечения. </w:t>
      </w:r>
      <w:r w:rsidRPr="00DA76A7">
        <w:rPr>
          <w:rFonts w:ascii="Arial" w:hAnsi="Arial" w:cs="Arial"/>
          <w:color w:val="000000" w:themeColor="text1"/>
          <w:sz w:val="22"/>
          <w:szCs w:val="22"/>
        </w:rPr>
        <w:t>В России международное усыновление активно начало развиваться с распадом СССР на рубеже 1980 - 1990- годов. Усыновление детей иностранными гражданами в Российской Федерации было официально разрешено в 1992 году.</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Большинство российских детей усыновляются гражданами США, Италии, Испании, Германии и других стран. В ряде случаев усыновлялись даже тяжелобольные дети, и в новых семьях, в частности в Америке, для них были созданы соответствующие условия. Действительно, в международном усыновлении нуждаются многие дети. В первую очередь речь идет о тяжелобольных: в России таких детей усыновляют неохотно, а по казенной линии лечение оставляет желать лучшего. На Западе же лечение и условия для людей с ограниченными возможностями гораздо благоприятнее. Однако при существующих правилах, при которых на международное усыновление передаются только дети, не усыновленные в России в течении шести месяцев нахождения в банке данных, ускорить этот процесс невозможно, даже при условии того, что наносится существенный урон здоровью и развитию ребенка.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Основные правила усыновления детей регулируются Гаагской конвенцией по защите и международному усыновлению от 29 мая 1993 года. Главный посыл документа: «Международное усыновление должно осуществляться для наибольшего удовлетворения интересов ребенка и его фундаментальных прав, в частности, приоритета в области воссоединения с родными и близкими».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Основное условие международного усыновления, устанавливаемого на территории Российской Федерации - соблюдение прав и законных интересов несовершеннолетних усыновляемых детей. Согласно пункту 2 статьи 165 Семейного кодекса Российской Федерации, если в результате усыновления или удочерения права усыновляемого ребенка, установленные законодательством Российской Федерации и международными договорами Российской Федерации, будут нарушены, усыновление не может быть произведено независимо от гражданства усыновителя, а произведенное ранее подлежит отмене в судебном порядке [3].</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Что же касается усыновителей-иностранцев: </w:t>
      </w:r>
      <w:r w:rsidRPr="00DA76A7">
        <w:rPr>
          <w:rFonts w:ascii="Arial" w:hAnsi="Arial" w:cs="Arial"/>
          <w:color w:val="000000" w:themeColor="text1"/>
          <w:sz w:val="22"/>
          <w:szCs w:val="22"/>
        </w:rPr>
        <w:t>в СК РФ имеются только четыре статьи -  п. 4 ст. 124, п. 2 ст. 126, п. 4 ст. 127, ст. 165</w:t>
      </w:r>
      <w:r w:rsidRPr="00DA76A7">
        <w:rPr>
          <w:rFonts w:ascii="Arial" w:hAnsi="Arial" w:cs="Arial"/>
          <w:color w:val="000000" w:themeColor="text1"/>
          <w:sz w:val="22"/>
          <w:szCs w:val="22"/>
          <w:shd w:val="clear" w:color="auto" w:fill="FFFFFF"/>
        </w:rPr>
        <w:t xml:space="preserve">, </w:t>
      </w:r>
      <w:r w:rsidRPr="00DA76A7">
        <w:rPr>
          <w:rFonts w:ascii="Arial" w:hAnsi="Arial" w:cs="Arial"/>
          <w:color w:val="000000" w:themeColor="text1"/>
          <w:sz w:val="22"/>
          <w:szCs w:val="22"/>
        </w:rPr>
        <w:t>касающиеся усыновления детей иностранцами. Таким образом,</w:t>
      </w:r>
      <w:r w:rsidRPr="00DA76A7">
        <w:rPr>
          <w:rFonts w:ascii="Arial" w:hAnsi="Arial" w:cs="Arial"/>
          <w:color w:val="000000" w:themeColor="text1"/>
          <w:sz w:val="22"/>
          <w:szCs w:val="22"/>
          <w:shd w:val="clear" w:color="auto" w:fill="FFFFFF"/>
        </w:rPr>
        <w:t xml:space="preserve"> в статье 124 Семейного кодекса Российской Федерации говорится о том, что усыновление детей иностранными гражданами или лицами без гражданства допускается только в случаях, если не представляется возможным передать этих детей на воспитание в семьи граждан Российской Федерации, либо родственникам детей независимо от места их проживания.</w:t>
      </w:r>
      <w:r w:rsidRPr="00DA76A7">
        <w:rPr>
          <w:rFonts w:ascii="Arial" w:hAnsi="Arial" w:cs="Arial"/>
          <w:color w:val="000000" w:themeColor="text1"/>
          <w:sz w:val="22"/>
          <w:szCs w:val="22"/>
        </w:rPr>
        <w:t xml:space="preserve"> В соответствии с п. 3 статьи 122 СК РФ, дети могут быть переданы на усыновление гражданам Российской Федерации, постоянно проживающим за пределами Российской Федерации, иностранным гражданам или лицам без гражданства, не являющимся родственниками детей, по истечении шести месяцев со дня поступления сведений о таких детях в федеральный банк данных о детях, оставшихся без попечения родителей.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в законодательстве создаются новые препятствия для российских усыновителей в виде требований, предъявляемых к их усыновителям. Согласно Федеральному закону «О внесении изменений в Семейный кодекс Российской Федерации», кандидаты в усыновители должны иметь жилую площадь, отвечающую санитарным и техническим требованиям [3]. При этом не учитывается, что 60% жителей страны не имеют такого жилья. Складывается впечатление, что законодатель создает все условия для стимулирования международного усыновления, а российские граждане могут усыновить ребенка только при условии, если они являются обеспеченными людьми.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Естественно без необходимого материального дохода и нормальных жилищных условий надлежащее воспитание усыновленного ребенка осложняется, но, тем не менее, нельзя допускать, чтобы материальный аспект преобладал над морально-этическими качествами усыновителей. В противном случае невозможно говорить о достижении цели института усыновления как социального.</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Процедура международного усыновления требует повышенного внимания, поскольку усыновляемые дети передаются на воспитание в семьи иностранных граждан, проживающих за пределами Российской Федерации, что приводит к необходимости формирования особого порядка международного усыновления и системы контроля за усыновленными детьми в целях защиты прав и интересов детей на территории иностранного государства.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Зачастую на практике не только усыновители, но и сами дети часто сталкиваются с различными трудностями, особенно если усыновители являются гражданами иностранных государств.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Речь идет о сложностях, связанных с адаптацией усыновленного ребенка на территории иностранного государства. Международное усыновление - это уникальный способ взаимодействия двух разных культур. По мнению специалистов, такое противоречие обусловлено различными материальными, социальными, психологическими ресурсами. Дело в том, что усыновители находятся в привычной для них среде, ребенок же не знает ни языка, ни обычаев, ни культуры новой страны. Многие иностранные усыновители считают, что русский ребенок приезжает без так называемого культурного багажа и потому, по их мнению, может легко адаптироваться в чужой для него стране. Так же ситуация еще и осложнена тем, что ребенок не имеет в семье иностранных усыновителей той эмоциональной и культурной поддержки, которая имеется в любой русскоговорящей семье.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Исследования показали, что усыновленные дети ощущают неудобства из-за своего физического облика, стесняются своего происхождения, у них наблюдается «раздвоение личности», что провоцирует обострение психологических и социальных проблем, проявление симптомов душевного расстройства, чувства неполноценности, тревоги и депрессии.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Цель усыновления состоит не только в том, чтобы ребенок приобрел свою семью, но и в том, чтобы максимально были учтены интересы ребенка в результате усыновления. Категория «интересы ребенка» включает в себя такие структурные элементы, как культурная, этническая, национальная принадлежность, которые должны быть сохранены при усыновлении. В противном случае усыновление как «не отвечающее интересам усыновленного ребенка» может быть отменено.</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Статья 20 Конвенции ООН о правах ребенка содержит условие о том, что при замене ребенку ухода необходимо учитывать преемственность воспитания ребенка и его этническое происхождение, религиозную и культурную принадлежность и родной язык [1, 85]. Необходимо учитывать социокультурную обстановку, принимать во внимание социальный контекст, в котором происходит этот процесс. На Западе усыновление - это нормальное явление, потому что всегда престижнее иметь детей, даже если они не свои, нежели оставаться бездетным. К тому же перед западными усыновителями не возникает того ужасного психологического барьера, который приходится преодолевать нашим соотечественникам. От усыновленного ребенка не будут скрывать, что он в семье не родной. В России же, как и в Таджикистане, усыновители прилагают все возможные усилия, направленные на сохранение тайны усыновления: переезжают в другие районы и города, инсценируют беременность, только чтобы никто не заподозрил, что ребенок у них не родной. Страх усыновителей оказаться «разоблаченными» в кругу знакомых, друзей, других лиц оказывается сильнее по сравнению с желанием создать ребенку нормальные психологические условия для его адаптации в новой семье.</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Отсутствие действенного механизма контроля над судьбой усыновленных детей на территории иностранного государства требует проведения конкретных мероприятий на международном уровне. В частности, государствам предлагается заключать двусторонние договоры между собой либо ратифицировать Гаагскую конвенцию от 29 мая 1993 года «О защите детей и сотрудничестве в области международного усыновления». Даже если будут созданы условия для принятия решения о ратификации данной Конвенции, усыновление должно осуществляться с учетом основополагающего принципа, закрепленного в этом документе, а именно: «Иностранное усыновление может предоставить ребенку - преимущества, связанные с наличием постоянной семьи, если подходящая семья не может быть найдена для него в стране происхождения» [4]. Таким образом, усыновление иностранцами рассматривается только в качестве альтернативного способа устройства ребенка.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В</w:t>
      </w:r>
      <w:r w:rsidRPr="00DA76A7">
        <w:rPr>
          <w:rFonts w:ascii="Arial" w:hAnsi="Arial" w:cs="Arial"/>
          <w:color w:val="000000" w:themeColor="text1"/>
          <w:sz w:val="22"/>
          <w:szCs w:val="22"/>
        </w:rPr>
        <w:t xml:space="preserve">опросы усыновления имеют достаточно подробную регламентацию. Однако иногда при усыновлении иностранцами российских детей нарушались права ребенка, а также его родственников в России, осуществлялась преступная «торговля детьми», другие злоупотребления. К сожалению, имели место и случаи, когда иностранные граждане, усыновив ребенка, увозили его за границу, а затем отказывались от него и бросали на произвол судьбы. Однако соблюдение процедуры усыновления не дает полной гарантии, что ребенок не станет жертвой насилия в иностранной семье. </w:t>
      </w:r>
      <w:r w:rsidRPr="00DA76A7">
        <w:rPr>
          <w:rFonts w:ascii="Arial" w:hAnsi="Arial" w:cs="Arial"/>
          <w:color w:val="000000" w:themeColor="text1"/>
          <w:sz w:val="22"/>
          <w:szCs w:val="22"/>
          <w:shd w:val="clear" w:color="auto" w:fill="FFFFFF"/>
        </w:rPr>
        <w:t xml:space="preserve">Отдавая ребенка в приемную семью, органам опеки и попечительства необходимо строже проводить отбор личностей попечителя, чтобы мы потом не сталкиваться с проблемой жестокого обращения детей в семье. </w:t>
      </w:r>
      <w:r w:rsidRPr="00DA76A7">
        <w:rPr>
          <w:rFonts w:ascii="Arial" w:hAnsi="Arial" w:cs="Arial"/>
          <w:color w:val="000000" w:themeColor="text1"/>
          <w:sz w:val="22"/>
          <w:szCs w:val="22"/>
        </w:rPr>
        <w:t>На сегодняшний день проблема насилия в отношении детей, усыновленных иностранными гражданами, является одной из самых актуальных. Так, по данным американского Национального комитета по усыновлению, в период с 1996 по 2008 годы в США погибли 15 российских детей, усыновлённых американскими гражданами, ещё один — в Канаде. По данным, приведённым «Российской газетой», с 2006 года по первое полугодие 2010 года в США погибли 17 усыновлённых американскими родителями российских детей. Впрочем, газета «Новые известия» приводит сравнение: за 1991—2006 годы из общего количества детей, усыновлённых иностранцами, погибли пятеро, еще 16 стали жертвами несчастных случаев. В России за тот же период погибли 1220 приёмных детей, из них 12 человек были убиты усыновителями.</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Решая проблему насилия в отношении российских детей, депутаты Государственной Думы Российской Федерации приняли 18 декабря 2012 года Федеральный закон № 272-ФЗ «О мерах воздействия на лиц, причастных к нарушениям прав и свобод человека, прав и свобод граждан Российской Федерации». </w:t>
      </w:r>
      <w:r w:rsidRPr="00DA76A7">
        <w:rPr>
          <w:rFonts w:ascii="Arial" w:hAnsi="Arial" w:cs="Arial"/>
          <w:color w:val="000000" w:themeColor="text1"/>
          <w:sz w:val="22"/>
          <w:szCs w:val="22"/>
          <w:shd w:val="clear" w:color="auto" w:fill="FFFFFF"/>
        </w:rPr>
        <w:t>К нашему сожалению, законодательство закрепляет только формальные критерии усыновителей, и порой этого не достаточно. Во многих случаях сами органы опеки не проявляют должного внимания к данному процессу. Попадая в приемную иностранную семью, ребенку представляется сложный процесс адаптации в чужом для него государстве: незнание языка, обычаев, культуры очень часто являются существенными препятствиями для нормальной жизни и развития ребенка. В связи с этим, немаловажную роль играют вопросы профессиональной подготовки иностранных усыновителей к принятию в семью ребенка (статья 127 Семейного кодекса Российской Федерации предусматривает прохождение такой подготовки в качестве одного из критериев усыновителя).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заключении, следует отметить, что международное усыновление является важным фактором жизни современного российского общества. Но, однако, существует немало проблем, которые необходимо решить. Так, проблему насилия в отношении детей могут решить ряд законов об ограничении или полном запрете усыновления российских детей. Данные законы следует принять в отношении тех стран, где чаще возникают случаи насилия. Также необходимо заключение двусторонних соглашений, которые регламентировали бы вопросы усыновления. Данные законы и соглашения позволили бы предотвратить незаконную деятельность в отношении усыновляемых детей, а также похищения, подмены, торговлю детьми, эксплуатацию детского труда и насилие над детьми. Кроме того, в целях защиты интересов детей, необходимо детально проверять документы, предоставляемые иностранными усыновителями. Данные меры позволят сократить число несчастных случаев, связанных с усыновлением российских детей иностранными гражданами и защитят жизнь и здоровье этих детей.</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Исходя из выше сказанного, хотелось бы добавить, что проблема международного усыновления детей в России остается острой, поскольку многие механизмы законодательства не до конца регулируют данные отношения, необходимо ужесточить административную ответственность должностных лиц за нарушение порядка усыновления российских детей иностранцами. </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pStyle w:val="a6"/>
        <w:numPr>
          <w:ilvl w:val="0"/>
          <w:numId w:val="3"/>
        </w:numPr>
        <w:tabs>
          <w:tab w:val="left" w:pos="851"/>
        </w:tabs>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 xml:space="preserve">Арутюнова Э. В. Понятие и правовая природа усыновления [Электронный ресурс]. -Режим доступа: </w:t>
      </w:r>
      <w:hyperlink r:id="rId10" w:history="1">
        <w:r w:rsidRPr="00DA76A7">
          <w:rPr>
            <w:rStyle w:val="af0"/>
            <w:rFonts w:ascii="Arial" w:hAnsi="Arial" w:cs="Arial"/>
            <w:color w:val="000000" w:themeColor="text1"/>
            <w:u w:val="none"/>
            <w:shd w:val="clear" w:color="auto" w:fill="FFFFFF"/>
          </w:rPr>
          <w:t>http://www.juristlib.ru/book_9631.html</w:t>
        </w:r>
      </w:hyperlink>
      <w:r w:rsidRPr="00DA76A7">
        <w:rPr>
          <w:rFonts w:ascii="Arial" w:hAnsi="Arial" w:cs="Arial"/>
          <w:color w:val="000000" w:themeColor="text1"/>
          <w:shd w:val="clear" w:color="auto" w:fill="FFFFFF"/>
        </w:rPr>
        <w:t>. (дата обращения 12.03.2018).</w:t>
      </w:r>
    </w:p>
    <w:p w:rsidR="00A969C6" w:rsidRPr="00DA76A7" w:rsidRDefault="00A969C6" w:rsidP="00A969C6">
      <w:pPr>
        <w:widowControl/>
        <w:numPr>
          <w:ilvl w:val="0"/>
          <w:numId w:val="3"/>
        </w:numPr>
        <w:tabs>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Батычко В. Т. Международное частное право. Конспект лекций. [Электронный ресурс]. - Режим доступа: </w:t>
      </w:r>
      <w:hyperlink r:id="rId11" w:history="1">
        <w:r w:rsidRPr="00DA76A7">
          <w:rPr>
            <w:rStyle w:val="af0"/>
            <w:rFonts w:ascii="Arial" w:hAnsi="Arial" w:cs="Arial"/>
            <w:color w:val="000000" w:themeColor="text1"/>
            <w:sz w:val="22"/>
            <w:szCs w:val="22"/>
            <w:u w:val="none"/>
            <w:shd w:val="clear" w:color="auto" w:fill="FFFFFF"/>
          </w:rPr>
          <w:t>http://netprava.ru/ek/b8/14_6.htm</w:t>
        </w:r>
      </w:hyperlink>
      <w:r w:rsidRPr="00DA76A7">
        <w:rPr>
          <w:rFonts w:ascii="Arial" w:hAnsi="Arial" w:cs="Arial"/>
          <w:color w:val="000000" w:themeColor="text1"/>
          <w:sz w:val="22"/>
          <w:szCs w:val="22"/>
          <w:shd w:val="clear" w:color="auto" w:fill="FFFFFF"/>
        </w:rPr>
        <w:t>. (дата обращения 12.03.2018).</w:t>
      </w:r>
    </w:p>
    <w:p w:rsidR="00A969C6" w:rsidRPr="00DA76A7" w:rsidRDefault="00A969C6" w:rsidP="00A969C6">
      <w:pPr>
        <w:pStyle w:val="a6"/>
        <w:numPr>
          <w:ilvl w:val="0"/>
          <w:numId w:val="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Завражнов В. Усыновление иностранцами детей-граждан Российской Федерации // Российская юстиция. - 2004. - № 7. – С. 25–31.</w:t>
      </w:r>
    </w:p>
    <w:p w:rsidR="00A969C6" w:rsidRPr="00DA76A7" w:rsidRDefault="00A969C6" w:rsidP="00A969C6">
      <w:pPr>
        <w:pStyle w:val="a6"/>
        <w:numPr>
          <w:ilvl w:val="0"/>
          <w:numId w:val="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Летова И.В. Усыновление в Российской Федерации: правовые проблемы. </w:t>
      </w:r>
      <w:r w:rsidRPr="00DA76A7">
        <w:rPr>
          <w:rFonts w:ascii="Arial" w:hAnsi="Arial" w:cs="Arial"/>
          <w:color w:val="000000" w:themeColor="text1"/>
          <w:shd w:val="clear" w:color="auto" w:fill="FFFFFF"/>
        </w:rPr>
        <w:t>[Электронный ресурс]. - Режим доступа: </w:t>
      </w:r>
      <w:hyperlink r:id="rId12" w:history="1">
        <w:r w:rsidRPr="00DA76A7">
          <w:rPr>
            <w:rStyle w:val="af0"/>
            <w:rFonts w:ascii="Arial" w:hAnsi="Arial" w:cs="Arial"/>
            <w:color w:val="000000" w:themeColor="text1"/>
            <w:u w:val="none"/>
          </w:rPr>
          <w:t>http://www.lawmix.ru/commlaw/1193</w:t>
        </w:r>
      </w:hyperlink>
      <w:r w:rsidRPr="00DA76A7">
        <w:rPr>
          <w:rStyle w:val="af0"/>
          <w:rFonts w:ascii="Arial" w:hAnsi="Arial" w:cs="Arial"/>
          <w:color w:val="000000" w:themeColor="text1"/>
          <w:u w:val="none"/>
        </w:rPr>
        <w:t xml:space="preserve"> (дата обращения 12.03.2018).</w:t>
      </w:r>
    </w:p>
    <w:p w:rsidR="00A969C6" w:rsidRPr="00DA76A7" w:rsidRDefault="00A969C6" w:rsidP="00A969C6">
      <w:pPr>
        <w:pStyle w:val="a6"/>
        <w:numPr>
          <w:ilvl w:val="0"/>
          <w:numId w:val="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Паршукова  К.Ю.  Общая  характеристика  отношений,  порождаемых  усыновлением,  и  их  правовая  природа  //  Семейное  и  жилищное  право.  —  2008.  —  №  2. – С. 17 - 20.</w:t>
      </w:r>
    </w:p>
    <w:p w:rsidR="00A969C6" w:rsidRPr="00DA76A7" w:rsidRDefault="00A969C6" w:rsidP="00A969C6">
      <w:pPr>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РАЗВИТИЕ МЕЖДУНАРОДНОГО СОТРУДНИЧЕСТВА В ОБЛАСТИ ПРАВОВОГО РЕГУЛИРОВАНИЯ БАНКОВСКОЙ ДЕЯТЕЛЬНОСТИ </w:t>
      </w:r>
      <w:r w:rsidRPr="00DA76A7">
        <w:rPr>
          <w:rFonts w:ascii="Arial" w:hAnsi="Arial" w:cs="Arial"/>
          <w:b/>
          <w:color w:val="000000" w:themeColor="text1"/>
          <w:sz w:val="22"/>
          <w:szCs w:val="22"/>
        </w:rPr>
        <w:br/>
      </w: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Абдуллоев Рустам Зебдуллоевич</w:t>
      </w: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A969C6" w:rsidRPr="003A751C"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tg-Cyrl-TJ"/>
        </w:rPr>
        <w:t>903 55 7000</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tg-Cyrl-TJ"/>
        </w:rPr>
        <w:t xml:space="preserve">93-93-66666,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hyperlink r:id="rId13" w:history="1">
        <w:r w:rsidRPr="00DA76A7">
          <w:rPr>
            <w:rStyle w:val="af0"/>
            <w:rFonts w:ascii="Arial" w:hAnsi="Arial" w:cs="Arial"/>
            <w:color w:val="000000" w:themeColor="text1"/>
            <w:sz w:val="22"/>
            <w:szCs w:val="22"/>
            <w:u w:val="none"/>
            <w:lang w:val="en-US"/>
          </w:rPr>
          <w:t>abdulloev</w:t>
        </w:r>
        <w:r w:rsidRPr="00DA76A7">
          <w:rPr>
            <w:rStyle w:val="af0"/>
            <w:rFonts w:ascii="Arial" w:hAnsi="Arial" w:cs="Arial"/>
            <w:color w:val="000000" w:themeColor="text1"/>
            <w:sz w:val="22"/>
            <w:szCs w:val="22"/>
            <w:u w:val="none"/>
            <w:lang w:val="tg-Cyrl-TJ"/>
          </w:rPr>
          <w:t>66666</w:t>
        </w:r>
        <w:r w:rsidRPr="00DA76A7">
          <w:rPr>
            <w:rStyle w:val="af0"/>
            <w:rFonts w:ascii="Arial" w:hAnsi="Arial" w:cs="Arial"/>
            <w:color w:val="000000" w:themeColor="text1"/>
            <w:sz w:val="22"/>
            <w:szCs w:val="22"/>
            <w:u w:val="none"/>
            <w:lang w:val="en-US"/>
          </w:rPr>
          <w:t>gmail</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com</w:t>
        </w:r>
      </w:hyperlink>
    </w:p>
    <w:p w:rsidR="00A969C6" w:rsidRPr="003A751C" w:rsidRDefault="00A969C6" w:rsidP="00A969C6">
      <w:pPr>
        <w:ind w:firstLine="567"/>
        <w:jc w:val="center"/>
        <w:rPr>
          <w:rFonts w:ascii="Arial" w:hAnsi="Arial" w:cs="Arial"/>
          <w:color w:val="000000" w:themeColor="text1"/>
          <w:sz w:val="22"/>
          <w:szCs w:val="22"/>
          <w:lang w:val="en-US"/>
        </w:rPr>
      </w:pP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DEVELOPMENT OF INTERNATIONAL COOPERATION IN THE FIELD OF LEGAL REGULATION OF BANKING ACTIVITIES</w:t>
      </w:r>
      <w:r w:rsidRPr="00DA76A7">
        <w:rPr>
          <w:rFonts w:ascii="Arial" w:hAnsi="Arial" w:cs="Arial"/>
          <w:color w:val="000000" w:themeColor="text1"/>
          <w:sz w:val="22"/>
          <w:szCs w:val="22"/>
          <w:lang w:val="en-US"/>
        </w:rPr>
        <w:br/>
      </w:r>
      <w:r w:rsidRPr="00DA76A7">
        <w:rPr>
          <w:rFonts w:ascii="Arial" w:hAnsi="Arial" w:cs="Arial"/>
          <w:b/>
          <w:color w:val="000000" w:themeColor="text1"/>
          <w:sz w:val="22"/>
          <w:szCs w:val="22"/>
          <w:lang w:val="en-US"/>
        </w:rPr>
        <w:br/>
        <w:t>Abdulloev Rustam Zebdulloevich</w:t>
      </w:r>
    </w:p>
    <w:p w:rsidR="00A969C6" w:rsidRPr="005D1C4B"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graduate student of the second year of correspondence </w:t>
      </w:r>
      <w:r w:rsidRPr="005D1C4B">
        <w:rPr>
          <w:rFonts w:ascii="Arial" w:hAnsi="Arial" w:cs="Arial"/>
          <w:color w:val="000000" w:themeColor="text1"/>
          <w:sz w:val="22"/>
          <w:szCs w:val="22"/>
          <w:lang w:val="en-US"/>
        </w:rPr>
        <w:t>department of the law faculty</w:t>
      </w:r>
      <w:r w:rsidRPr="005D1C4B">
        <w:rPr>
          <w:rFonts w:ascii="Arial" w:hAnsi="Arial" w:cs="Arial"/>
          <w:color w:val="000000" w:themeColor="text1"/>
          <w:sz w:val="22"/>
          <w:szCs w:val="22"/>
          <w:lang w:val="en-US"/>
        </w:rPr>
        <w:br/>
        <w:t>Russian-Tajik (Slavonic) university</w:t>
      </w:r>
      <w:r w:rsidRPr="005D1C4B">
        <w:rPr>
          <w:rFonts w:ascii="Arial" w:hAnsi="Arial" w:cs="Arial"/>
          <w:color w:val="000000" w:themeColor="text1"/>
          <w:sz w:val="22"/>
          <w:szCs w:val="22"/>
          <w:lang w:val="en-US"/>
        </w:rPr>
        <w:br/>
        <w:t>734025, Republic of Tajikistan, Dushanbe, M. Tursunzade str., 30</w:t>
      </w:r>
      <w:r w:rsidRPr="005D1C4B">
        <w:rPr>
          <w:rFonts w:ascii="Arial" w:hAnsi="Arial" w:cs="Arial"/>
          <w:color w:val="000000" w:themeColor="text1"/>
          <w:sz w:val="22"/>
          <w:szCs w:val="22"/>
          <w:lang w:val="en-US"/>
        </w:rPr>
        <w:br/>
        <w:t xml:space="preserve">tel.: </w:t>
      </w:r>
      <w:r w:rsidRPr="005D1C4B">
        <w:rPr>
          <w:rFonts w:ascii="Arial" w:hAnsi="Arial" w:cs="Arial"/>
          <w:color w:val="000000" w:themeColor="text1"/>
          <w:sz w:val="22"/>
          <w:szCs w:val="22"/>
          <w:lang w:val="tg-Cyrl-TJ"/>
        </w:rPr>
        <w:t>903 55 7000</w:t>
      </w:r>
      <w:r w:rsidRPr="005D1C4B">
        <w:rPr>
          <w:rFonts w:ascii="Arial" w:hAnsi="Arial" w:cs="Arial"/>
          <w:color w:val="000000" w:themeColor="text1"/>
          <w:sz w:val="22"/>
          <w:szCs w:val="22"/>
          <w:lang w:val="en-US"/>
        </w:rPr>
        <w:t xml:space="preserve">, </w:t>
      </w:r>
      <w:r w:rsidRPr="005D1C4B">
        <w:rPr>
          <w:rFonts w:ascii="Arial" w:hAnsi="Arial" w:cs="Arial"/>
          <w:color w:val="000000" w:themeColor="text1"/>
          <w:sz w:val="22"/>
          <w:szCs w:val="22"/>
          <w:lang w:val="tg-Cyrl-TJ"/>
        </w:rPr>
        <w:t>93-93-66666</w:t>
      </w:r>
      <w:r w:rsidRPr="005D1C4B">
        <w:rPr>
          <w:rFonts w:ascii="Arial" w:hAnsi="Arial" w:cs="Arial"/>
          <w:color w:val="000000" w:themeColor="text1"/>
          <w:sz w:val="22"/>
          <w:szCs w:val="22"/>
          <w:lang w:val="en-US"/>
        </w:rPr>
        <w:t xml:space="preserve">, e-mail: </w:t>
      </w:r>
      <w:hyperlink r:id="rId14" w:history="1">
        <w:r w:rsidRPr="005D1C4B">
          <w:rPr>
            <w:rStyle w:val="af0"/>
            <w:rFonts w:ascii="Arial" w:hAnsi="Arial" w:cs="Arial"/>
            <w:color w:val="000000" w:themeColor="text1"/>
            <w:sz w:val="22"/>
            <w:szCs w:val="22"/>
            <w:u w:val="none"/>
            <w:lang w:val="en-US"/>
          </w:rPr>
          <w:t>abdulloev</w:t>
        </w:r>
        <w:r w:rsidRPr="005D1C4B">
          <w:rPr>
            <w:rStyle w:val="af0"/>
            <w:rFonts w:ascii="Arial" w:hAnsi="Arial" w:cs="Arial"/>
            <w:color w:val="000000" w:themeColor="text1"/>
            <w:sz w:val="22"/>
            <w:szCs w:val="22"/>
            <w:u w:val="none"/>
            <w:lang w:val="tg-Cyrl-TJ"/>
          </w:rPr>
          <w:t>66666</w:t>
        </w:r>
        <w:r w:rsidRPr="005D1C4B">
          <w:rPr>
            <w:rStyle w:val="af0"/>
            <w:rFonts w:ascii="Arial" w:hAnsi="Arial" w:cs="Arial"/>
            <w:color w:val="000000" w:themeColor="text1"/>
            <w:sz w:val="22"/>
            <w:szCs w:val="22"/>
            <w:u w:val="none"/>
            <w:lang w:val="en-US"/>
          </w:rPr>
          <w:t>gmail.com</w:t>
        </w:r>
      </w:hyperlink>
    </w:p>
    <w:p w:rsidR="00A969C6" w:rsidRPr="005D1C4B" w:rsidRDefault="00A969C6" w:rsidP="00A969C6">
      <w:pPr>
        <w:ind w:firstLine="567"/>
        <w:jc w:val="both"/>
        <w:rPr>
          <w:rFonts w:ascii="Arial" w:hAnsi="Arial" w:cs="Arial"/>
          <w:color w:val="000000" w:themeColor="text1"/>
          <w:sz w:val="22"/>
          <w:szCs w:val="22"/>
          <w:lang w:val="en-US"/>
        </w:rPr>
      </w:pPr>
    </w:p>
    <w:p w:rsidR="00A969C6" w:rsidRPr="005D1C4B" w:rsidRDefault="00A969C6" w:rsidP="00A969C6">
      <w:pPr>
        <w:ind w:firstLine="567"/>
        <w:jc w:val="right"/>
        <w:rPr>
          <w:rFonts w:ascii="Arial" w:hAnsi="Arial" w:cs="Arial"/>
          <w:b/>
          <w:color w:val="000000" w:themeColor="text1"/>
          <w:sz w:val="22"/>
          <w:szCs w:val="22"/>
        </w:rPr>
      </w:pPr>
      <w:r w:rsidRPr="005D1C4B">
        <w:rPr>
          <w:rFonts w:ascii="Arial" w:hAnsi="Arial" w:cs="Arial"/>
          <w:color w:val="000000" w:themeColor="text1"/>
          <w:sz w:val="22"/>
          <w:szCs w:val="22"/>
        </w:rPr>
        <w:t>Научный руководитель: к.ю.н., доцент</w:t>
      </w:r>
      <w:r w:rsidR="005D1C4B" w:rsidRPr="005D1C4B">
        <w:rPr>
          <w:rFonts w:ascii="Arial" w:hAnsi="Arial" w:cs="Arial"/>
          <w:color w:val="000000" w:themeColor="text1"/>
          <w:sz w:val="22"/>
          <w:szCs w:val="22"/>
        </w:rPr>
        <w:t xml:space="preserve"> Имомова Н.М.</w:t>
      </w:r>
    </w:p>
    <w:p w:rsidR="00A969C6" w:rsidRPr="005D1C4B" w:rsidRDefault="00A969C6" w:rsidP="00A969C6">
      <w:pPr>
        <w:ind w:firstLine="567"/>
        <w:jc w:val="both"/>
        <w:rPr>
          <w:rFonts w:ascii="Arial" w:hAnsi="Arial" w:cs="Arial"/>
          <w:b/>
          <w:color w:val="000000" w:themeColor="text1"/>
          <w:sz w:val="22"/>
          <w:szCs w:val="22"/>
        </w:rPr>
      </w:pPr>
    </w:p>
    <w:p w:rsidR="00A969C6" w:rsidRPr="005D1C4B" w:rsidRDefault="00A969C6" w:rsidP="00A969C6">
      <w:pPr>
        <w:ind w:firstLine="567"/>
        <w:jc w:val="both"/>
        <w:rPr>
          <w:rFonts w:ascii="Arial" w:hAnsi="Arial" w:cs="Arial"/>
          <w:i/>
          <w:color w:val="000000" w:themeColor="text1"/>
          <w:sz w:val="22"/>
          <w:szCs w:val="22"/>
        </w:rPr>
      </w:pPr>
      <w:r w:rsidRPr="005D1C4B">
        <w:rPr>
          <w:rFonts w:ascii="Arial" w:hAnsi="Arial" w:cs="Arial"/>
          <w:b/>
          <w:i/>
          <w:color w:val="000000" w:themeColor="text1"/>
          <w:sz w:val="22"/>
          <w:szCs w:val="22"/>
        </w:rPr>
        <w:t>Аннотация.</w:t>
      </w:r>
      <w:r w:rsidRPr="005D1C4B">
        <w:rPr>
          <w:rFonts w:ascii="Arial" w:hAnsi="Arial" w:cs="Arial"/>
          <w:b/>
          <w:i/>
          <w:color w:val="000000" w:themeColor="text1"/>
          <w:sz w:val="22"/>
          <w:szCs w:val="22"/>
        </w:rPr>
        <w:tab/>
      </w:r>
      <w:r w:rsidRPr="005D1C4B">
        <w:rPr>
          <w:rFonts w:ascii="Arial" w:hAnsi="Arial" w:cs="Arial"/>
          <w:i/>
          <w:color w:val="000000" w:themeColor="text1"/>
          <w:sz w:val="22"/>
          <w:szCs w:val="22"/>
        </w:rPr>
        <w:t xml:space="preserve">В статье рассмотрены вопросы, касающиеся международного сотрудничества в области банковской системы. Автором анализируются современное состояние рассматриваемой разновидности международного сотрудничества. Особое внимание уделяется вопросам интернационализации банковского бизнеса и ускоренной интеграции финансовых рынков.    </w:t>
      </w:r>
    </w:p>
    <w:p w:rsidR="00A969C6" w:rsidRPr="00DA76A7" w:rsidRDefault="00A969C6" w:rsidP="00A969C6">
      <w:pPr>
        <w:ind w:firstLine="567"/>
        <w:jc w:val="both"/>
        <w:rPr>
          <w:rFonts w:ascii="Arial" w:hAnsi="Arial" w:cs="Arial"/>
          <w:i/>
          <w:color w:val="000000" w:themeColor="text1"/>
          <w:sz w:val="22"/>
          <w:szCs w:val="22"/>
        </w:rPr>
      </w:pPr>
      <w:r w:rsidRPr="005D1C4B">
        <w:rPr>
          <w:rFonts w:ascii="Arial" w:hAnsi="Arial" w:cs="Arial"/>
          <w:b/>
          <w:i/>
          <w:color w:val="000000" w:themeColor="text1"/>
          <w:sz w:val="22"/>
          <w:szCs w:val="22"/>
          <w:lang w:val="en-US"/>
        </w:rPr>
        <w:t>Annotation.</w:t>
      </w:r>
      <w:r w:rsidRPr="005D1C4B">
        <w:rPr>
          <w:rFonts w:ascii="Arial" w:hAnsi="Arial" w:cs="Arial"/>
          <w:i/>
          <w:color w:val="000000" w:themeColor="text1"/>
          <w:sz w:val="22"/>
          <w:szCs w:val="22"/>
          <w:lang w:val="en-US"/>
        </w:rPr>
        <w:t xml:space="preserve"> This article examined the development of international banking cooperation</w:t>
      </w:r>
      <w:r w:rsidRPr="00DA76A7">
        <w:rPr>
          <w:rFonts w:ascii="Arial" w:hAnsi="Arial" w:cs="Arial"/>
          <w:i/>
          <w:color w:val="000000" w:themeColor="text1"/>
          <w:sz w:val="22"/>
          <w:szCs w:val="22"/>
          <w:lang w:val="en-US"/>
        </w:rPr>
        <w:t xml:space="preserve"> in the field of legal regulation of banking activities </w:t>
      </w:r>
      <w:r w:rsidRPr="00DA76A7">
        <w:rPr>
          <w:rFonts w:ascii="Arial" w:hAnsi="Arial" w:cs="Arial"/>
          <w:i/>
          <w:color w:val="000000" w:themeColor="text1"/>
          <w:sz w:val="22"/>
          <w:szCs w:val="22"/>
        </w:rPr>
        <w:t>Автором</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анализируются</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современное</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состояние</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рассматриваемой</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разновидности</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международного</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сотрудничества</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 xml:space="preserve">Особое внимание уделяется вопросам интернационализации банковского бизнеса и ускоренной интеграции финансовых рынков.    </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 xml:space="preserve">рыночная экономика, международное сотрудничество, механизм, финансовая стабильность, стандарт, надзор. </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market economy, international cooperation, mechanism, financial stability, standard, supervision.</w:t>
      </w:r>
    </w:p>
    <w:p w:rsidR="00A969C6" w:rsidRPr="00DA76A7" w:rsidRDefault="00A969C6" w:rsidP="00A969C6">
      <w:pPr>
        <w:ind w:firstLine="567"/>
        <w:jc w:val="both"/>
        <w:rPr>
          <w:rFonts w:ascii="Arial" w:hAnsi="Arial" w:cs="Arial"/>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rPr>
        <w:t xml:space="preserve">Финансовая система стран с развитой рыночной экономикой включает различные типы финансовых институтов, составляющих ее организационную структуру. Ключевым элементом такой структуры выступают банки, выполняющие на рынке финансовых услуг функцию финансового посредника, которая выражается в аккумулировании временно свободных денежных ресурсов и размещении их от своего имени на условиях возвратности, срочности и платности [5, 59]. Правовое регулирование банковской деятельности в разных странах до определенного времени имело существенные отличия, обусловленные историческими, политическими и иными факторами.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по мере развития и усложнения общественных отношений, обусловленных интернационализацией банковского бизнеса и интеграцией финансовых рынков, очевидным становится тот факт, что разный подход к правовой регламентации банковской деятельности приводит к расшатыванию самого рынка финансовых услуг.</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Также по мере усложнения сотрудничества в сфере банковской деятельности очевидным стало и то, что финансовая стабильность того или иного государства зависит не только от успешного функционирования внутренних банков, но также и от того, насколько налажена деятельность банков за пределами страны [4, 101]. Следовательно, актуальным становится вопрос международного сотрудничества государств, развитию которой безусловно дал процесс интернационализации банковской деятельности. Как справедливо подчеркивается в юридической литературе, только за последние три десятка лет в сфере банковского сотрудничества произошла настоящая революция [2, 58].  Именно данный период характеризуется трансформацией так называемых внутренних банковских отношений в отношения международные, сформировав тем самым «международный рынок капиталов. Интернационализация банковской деятельности породило также и понимание, что эффективный надзор за банковской деятельностью возможен тогда, когда налажено тесное сотрудничество между надзорными органами разных стран.  В силу сказанного можно утверждать, что появившаяся в процессе интеграции мирового сообщества и интернационализации хозяйственных отношений международная банковская деятельность породило появление целого комплекса нормативно-правовой базы, призванной регулировать рассматриваемые отношения.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Надо отметить, что в рамках международного банковского сотрудничества выделяются следующие механизмы осуществления такого сотрудничества: институционный и нормативный [5, 65]. Сущность первого указанного нами механизма заключается  в создании структурного образования (органа), в рамках которого идет выработка взаимосогласованных подходов. Суть нормативного механизма сводится к выработке комплекса нормативной базы, содержащей определенные стандарты регулирования в сфере банковской деятельности.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подчеркнуть, что отправной точкой в развитии международного банковского сотрудничества послужил крах крупного западногерманского банка BankhausHerschtatt в 1974 г. [1, 60]. В результате данного инцидента были закрыты иностранные филиалы данного банка, что безусловно привлекло внимание крупных развитых стран. В этот период на повестке дня был поставлен вопрос о существующем несовершенстве в банковском регулировании. Данное обстоятельство явно продемонстрировало наличие взаимосвязи национальных банковских систем.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результате краха указанного банка на международном уровне создаются специальные органы в сфере банковского регулирования. В частности, можно выделить,  Базельский комитет по банковскому надзору, как органа международного сотрудничества государств в области банковского регулирования, включающего на сегодняшний день представителей центральных банков более десяти государств.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Основная цель создания данного комитета заключается в сформулировании единообразного подхода к существенным вопросам банковского регулирования. Выработанный в рамках Базельского комитета в 1975 г. документ, получивший название Конкордат сочетал в себе целый ряд принципов по надзору за иностранными банковскими учреждениями. Несмотря на то, что данный документ имел огромное значение в вопросе развития международного сотрудничества, он не был лишен недостатков.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Результатом несовершенства банковского надзора стал крах в 1982 г. крупного итальянского банка BancoAmbrosiano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Второй международный банковский кризис привел к пересмотру Конкордата 1975 г. Его новая редакция «Принципы по надзору за иностранными банковскими учреждениями» была одобрена Базельским комитетом в 1983 г. В основу новой редакции были положены два принципа: 1) ни одно банковское учреждение не должно избежать надзора; 2) надзор должен быть адекватным.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Новый импульс развитию международного сотрудничества дал третий международный банковский кризис, вызванный крахом крупнейшего британского банка The Bank of Credit and Commerce International в 1991 г. К моменту закрытия этот банк имел сеть филиалов и дочерних банков по всему миру, его активы превышали 20 млрд долл. США. Закрытие банка последовало в результате выявления многочисленных нарушений.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Крах The Bank of Credit and Commerce International выявил целый ряд недостатков в международно-правовом режиме банковского регулирования, а именно: отсутствие консолидированного надзора, осуществляемого одним компетентным органом; неоправданно широкое использование офшорных центров банковского бизнеса, сочетающих весьма суровые законы о банковской тайне со слабым банковским надзором; неадекватное сотрудничество в области обмена информацией между органами банковского надзора разных государств. Все вышеизложенное обусловило разработку и принятие Базельским комитетом в 1992 г. нового документа о дальнейшем развитии сотрудничества по надзору за банками, осуществляющими международные операции. Этот документ под названием «Минимальные стандарты по надзору за международными банковскими группами и их трансграничными учреждениями» содержал иные отличные от предыдущих документов принципы в сфере банковского надзора.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Дальнейшее развитие международного сотрудничества в области правового регулирования банковской деятельности было определено четвертым международным банковским кризисом, явившимся следствием краха одного из крупнейших британских банков BaringsBank в 1995 г. Этот банк стоял во главе банковской группы (холдинга), объединявшей к моменту закрытия более 100 компаний по всему миру, которые вели банковский бизнес и фондовые операции, носившие трансграничный характер. Специальное расследование, проведенное Банком Англии в отношении причин краха BaringsBank, показало, что коллапс наступил в результате заведомо ошибочных и незаконных операций с производными ценными бумагами на фондовых рынках Сингапура и Японии, совершенных дочерней компанией Barings Bank – Barings Futures Singapore Ltd.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Крах Barings Bank привлек пристальное внимание не только надзорных органов Великобритании, но и Базельского комитета, дав тем самым новый импульс развитию международного сотрудничества. Учитывая печальный опыт четвертого международного банковского кризиса и подвергнув тщательному анализу ранее принятые документы, Базельский комитет разработал новый обширный документ, который получил название «Надзор за трансграничной банковской деятельностью» и вступил в силу в 1996 г. В документе сформулированы 29 рекомендаций, позволяющих на практике улучшить надзор за наиболее рискованными видами банковской деятельности в целях обеспечения надежного функционирования международных банковских групп и финансовой системы государства в целом [3, 135].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документе отмечается, что эффективный консолидированный надзор напрямую обусловлен структурой информационных потоков от трансграничного банковского учреждения к надзорному органу государства происхождения.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надзорных целях документ проводит четкое разграничение между двумя типами информации – количественным и качественным. Под количественной подразумевается информация относительно выполнения трансграничным банковским учреждением таких экономических стандартов деятельности, как достаточность капитала, крупные кредитные риски, степень концентрации депозитов, ликвидность и т. д. Речь идет о тех пруденциальных стандартах, которые позволяют минимизировать рисковую банковскую деятельность, причем риски такой деятельности могут быть присущи как статьям активной части банковского баланса (например, выданные займы), так и его пассивной части (например, принятые депозиты). В последнем случае необходимо обеспечить строгую конфиденциальность информации, получаемой надзорными органами государства происхождения и касающейся депозитных счетов клиентов трансграничного банковского учреждения, открытых ими на территории государства пребывания.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осуществления функции консолидированного надзора органы государства происхождения нуждаются в качественном типе информации о деятельности трансграничных банковских учреждений. Именно такая информация позволяет констатировать, что банковская группа, в которую входят соответствующие трансграничные банковские учреждения, в целом имеет эффективно функционирующую систему управления рисками.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Вслед за рассмотренным документом в 1997 г. Базельский комитет принял новый документ, целью которого служило создание системы стандартов пруденциального банковского регулирования и надзора, способствующих обеспечению стабильного и надежного функционирования банковской системы каждого отдельно взятого государства и международной банковской системы на глобальной основе, и который получил название «Основополагающие принципы для эффективного банковского надзора». В работе над данным документом приняли участие представители центральных банков не только государств, участвующих в Базельском комитете, но и ряда других, в частности России, Китая, Мексики, Чили, Чехии, Гонконга, Таиланда. По итогам обобщения практики применения «Основополагающих принципов» Базельский комитет в 2006 г. принял их новую редакцию, существенно не изменившую общую идеологию и структуру данного документа, однако внесшую уточнения и дополнения в содержание включенных в него принципов. Документ содержит 25 принципов эффективного банковского надзора, которые сгруппированы следующим образом: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Цели, полномочия, независимость, прозрачность и сотрудничество (принцип № 1).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Лицензирование и структура (принципы № 2–5).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Пруденциальное регулирование и стандарты (принципы № 6—18).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Методы текущего банковского надзора (принципы № 19–21).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Бухгалтерский учет и раскрытие информации (принцип № 22).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Формальные полномочия надзорных органов (принцип № 23).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Консолидированный и трансграничный банковский надзор (принципы № 24–25).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Анализ содержания «Основополагающих принципов» позволяет утверждать, что они явились новым и весьма важным шагом на пути развития международного сотрудничества в области пруденциального регулирования банковской деятельности. Эта новизна заключается в том, что сформулированные Базельским комитетом 25 принципов эффективного банковского надзора могут и должны применяться не только к международным банкам и банковским группам, но и к тем банкам, чья деятельность не выходит за рамки территории государства происхождения. Очевидно, что имеет место тенденция выравнивания, унификации требований, предъявляемых к банковской деятельности в разных государствах, причем это касается как трансграничных банковских учреждений, так и внутригосударственных.</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Принимая во внимание тот факт, что Базельский комитет представляет собой неформальное объединение, закономерно поставить вопрос о юридической силе его документов. В западной науке была высказана мысль о том, что документы Базельского комитета, не обладая прямой юридической силой (legalforce), имеют, однако, «юридическую значимость» (legalsignificance). «Юридическая значимость выражается в способности генерировать правовые нормы, затрагивать частные и публичные операции и влиять на процесс принятия решения компетентными органами банковского надзора». С этим утверждением трудно не согласиться. Действительно, не будучи формально юридическими актами, документы Базельского комитета содержат вместе с тем элемент юридической обязательности. Он выражается в том, что государства, юридически не обязанные следовать положениям этих документов, тем не менее, стараются как можно полнее и шире использовать их при осуществлении внутригосударственного правового регулирования банковской деятельности. Именно стремление государств инкорпорировать выработанные Базельским комитетом принципы в свое внутреннее право придает документам комитета элемент юридической обязательности. </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pStyle w:val="book-paragraph"/>
        <w:numPr>
          <w:ilvl w:val="0"/>
          <w:numId w:val="4"/>
        </w:numPr>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iCs/>
          <w:color w:val="000000" w:themeColor="text1"/>
          <w:sz w:val="22"/>
          <w:szCs w:val="22"/>
        </w:rPr>
        <w:t>Бабенко А.В.</w:t>
      </w:r>
      <w:r w:rsidRPr="00DA76A7">
        <w:rPr>
          <w:rFonts w:ascii="Arial" w:hAnsi="Arial" w:cs="Arial"/>
          <w:color w:val="000000" w:themeColor="text1"/>
          <w:sz w:val="22"/>
          <w:szCs w:val="22"/>
        </w:rPr>
        <w:t xml:space="preserve"> Правовые аспекты деятельности кредитных организаций // Право и экономика. - 2007. - № 4. – С. 56-64.</w:t>
      </w:r>
    </w:p>
    <w:p w:rsidR="00A969C6" w:rsidRPr="00DA76A7" w:rsidRDefault="00A969C6" w:rsidP="00A969C6">
      <w:pPr>
        <w:pStyle w:val="book-paragraph"/>
        <w:numPr>
          <w:ilvl w:val="0"/>
          <w:numId w:val="4"/>
        </w:numPr>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iCs/>
          <w:color w:val="000000" w:themeColor="text1"/>
          <w:sz w:val="22"/>
          <w:szCs w:val="22"/>
        </w:rPr>
        <w:t>Гогин А.А.</w:t>
      </w:r>
      <w:r w:rsidRPr="00DA76A7">
        <w:rPr>
          <w:rFonts w:ascii="Arial" w:hAnsi="Arial" w:cs="Arial"/>
          <w:color w:val="000000" w:themeColor="text1"/>
          <w:sz w:val="22"/>
          <w:szCs w:val="22"/>
        </w:rPr>
        <w:t xml:space="preserve"> Из истории российской банковской системы // Банковское право. -2008. - № 3. – С. 46-59.</w:t>
      </w:r>
    </w:p>
    <w:p w:rsidR="00A969C6" w:rsidRPr="00DA76A7" w:rsidRDefault="00A969C6" w:rsidP="00A969C6">
      <w:pPr>
        <w:pStyle w:val="book-paragraph"/>
        <w:numPr>
          <w:ilvl w:val="0"/>
          <w:numId w:val="4"/>
        </w:numPr>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iCs/>
          <w:color w:val="000000" w:themeColor="text1"/>
          <w:sz w:val="22"/>
          <w:szCs w:val="22"/>
        </w:rPr>
        <w:t>Гришин А.В.</w:t>
      </w:r>
      <w:r w:rsidRPr="00DA76A7">
        <w:rPr>
          <w:rFonts w:ascii="Arial" w:hAnsi="Arial" w:cs="Arial"/>
          <w:color w:val="000000" w:themeColor="text1"/>
          <w:sz w:val="22"/>
          <w:szCs w:val="22"/>
        </w:rPr>
        <w:t xml:space="preserve"> Проблемы институционального регулирования Экономического и валютного союза //Журнал зарубежного законодательства и сравнительного правоведения. - 2008. - № 1. – С. 132-145.</w:t>
      </w:r>
    </w:p>
    <w:p w:rsidR="00A969C6" w:rsidRPr="00DA76A7" w:rsidRDefault="00A969C6" w:rsidP="00A969C6">
      <w:pPr>
        <w:pStyle w:val="book-paragraph"/>
        <w:numPr>
          <w:ilvl w:val="0"/>
          <w:numId w:val="4"/>
        </w:numPr>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iCs/>
          <w:color w:val="000000" w:themeColor="text1"/>
          <w:sz w:val="22"/>
          <w:szCs w:val="22"/>
        </w:rPr>
        <w:t>Гришин А.В.</w:t>
      </w:r>
      <w:r w:rsidRPr="00DA76A7">
        <w:rPr>
          <w:rFonts w:ascii="Arial" w:hAnsi="Arial" w:cs="Arial"/>
          <w:color w:val="000000" w:themeColor="text1"/>
          <w:sz w:val="22"/>
          <w:szCs w:val="22"/>
        </w:rPr>
        <w:t xml:space="preserve"> Экономический и валютный союз в период мирового экономического кризиса: правовой аспект // Право. Журнал Высшей школы экономики. - 2009. - № 4. – С. 98-112.</w:t>
      </w:r>
    </w:p>
    <w:p w:rsidR="00A969C6" w:rsidRPr="00DA76A7" w:rsidRDefault="00A969C6" w:rsidP="00A969C6">
      <w:pPr>
        <w:pStyle w:val="book-paragraph"/>
        <w:numPr>
          <w:ilvl w:val="0"/>
          <w:numId w:val="4"/>
        </w:numPr>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iCs/>
          <w:color w:val="000000" w:themeColor="text1"/>
          <w:sz w:val="22"/>
          <w:szCs w:val="22"/>
        </w:rPr>
        <w:t>Ермаков С.Л.</w:t>
      </w:r>
      <w:r w:rsidRPr="00DA76A7">
        <w:rPr>
          <w:rFonts w:ascii="Arial" w:hAnsi="Arial" w:cs="Arial"/>
          <w:color w:val="000000" w:themeColor="text1"/>
          <w:sz w:val="22"/>
          <w:szCs w:val="22"/>
        </w:rPr>
        <w:t xml:space="preserve"> Экономико-правовое регулирование банковской деятельности в условиях мирового финансового кризиса // Банковское право. - 2009. – № 3. – С. 69-82.</w:t>
      </w: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ТЕРРИТОРИАЛЬНЫЕ СПОРЫ В МЕЖДУНАРОДНОМ ПРАВЕ: МЕХАНИЗМЫ И ПРИНЦИПЫ РАЗРЕШЕНИЯ</w:t>
      </w:r>
    </w:p>
    <w:p w:rsidR="00A969C6" w:rsidRPr="00DA76A7" w:rsidRDefault="00A969C6" w:rsidP="00A969C6">
      <w:pPr>
        <w:pStyle w:val="a6"/>
        <w:spacing w:after="0" w:line="240" w:lineRule="auto"/>
        <w:ind w:left="0"/>
        <w:jc w:val="center"/>
        <w:rPr>
          <w:rFonts w:ascii="Arial" w:hAnsi="Arial" w:cs="Arial"/>
          <w:b/>
          <w:color w:val="000000" w:themeColor="text1"/>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Абдурасулов Аслам Адхамович </w:t>
      </w:r>
    </w:p>
    <w:p w:rsidR="00A969C6" w:rsidRPr="00DA76A7" w:rsidRDefault="00A969C6" w:rsidP="00A969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A969C6" w:rsidRPr="00DA76A7" w:rsidRDefault="00A969C6" w:rsidP="00A969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A969C6" w:rsidRPr="003A751C"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906-44-44-93, </w:t>
      </w:r>
      <w:r w:rsidRPr="00DA76A7">
        <w:rPr>
          <w:rFonts w:ascii="Arial" w:hAnsi="Arial" w:cs="Arial"/>
          <w:color w:val="000000" w:themeColor="text1"/>
          <w:sz w:val="22"/>
          <w:szCs w:val="22"/>
        </w:rPr>
        <w:t>е</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chomoloko</w:t>
      </w:r>
      <w:r w:rsidRPr="003A751C">
        <w:rPr>
          <w:rFonts w:ascii="Arial" w:hAnsi="Arial" w:cs="Arial"/>
          <w:color w:val="000000" w:themeColor="text1"/>
          <w:sz w:val="22"/>
          <w:szCs w:val="22"/>
          <w:lang w:val="en-US"/>
        </w:rPr>
        <w:t>94@</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r w:rsidRPr="003A751C">
        <w:rPr>
          <w:rFonts w:ascii="Arial" w:hAnsi="Arial" w:cs="Arial"/>
          <w:color w:val="000000" w:themeColor="text1"/>
          <w:sz w:val="22"/>
          <w:szCs w:val="22"/>
          <w:lang w:val="en-US"/>
        </w:rPr>
        <w:t xml:space="preserve"> </w:t>
      </w:r>
    </w:p>
    <w:p w:rsidR="00A969C6" w:rsidRPr="003A751C"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TERRITORIAL DISPUTES IN INTERNATIONAL LAW: MECHANISMS AND PRINCIPLES OF RESOLUTION</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Abdurasulov Aslam Adhamovich</w:t>
      </w:r>
    </w:p>
    <w:p w:rsidR="00A969C6" w:rsidRPr="00DA76A7" w:rsidRDefault="00A969C6" w:rsidP="00A969C6">
      <w:pPr>
        <w:pStyle w:val="a9"/>
        <w:tabs>
          <w:tab w:val="left" w:pos="4380"/>
        </w:tabs>
        <w:ind w:firstLine="0"/>
        <w:jc w:val="center"/>
        <w:rPr>
          <w:rFonts w:ascii="Arial" w:hAnsi="Arial" w:cs="Arial"/>
          <w:color w:val="000000" w:themeColor="text1"/>
        </w:rPr>
      </w:pPr>
      <w:r w:rsidRPr="00DA76A7">
        <w:rPr>
          <w:rFonts w:ascii="Arial" w:hAnsi="Arial" w:cs="Arial"/>
          <w:color w:val="000000" w:themeColor="text1"/>
        </w:rPr>
        <w:t>undergraduate 2nd year students of full-time department of the law faculty</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906-44-44-93, e-mail: chomoloko94@mail.ru </w:t>
      </w:r>
    </w:p>
    <w:p w:rsidR="00A969C6" w:rsidRPr="00DA76A7" w:rsidRDefault="00A969C6" w:rsidP="00A969C6">
      <w:pPr>
        <w:ind w:firstLine="567"/>
        <w:jc w:val="center"/>
        <w:rPr>
          <w:rFonts w:ascii="Arial" w:hAnsi="Arial" w:cs="Arial"/>
          <w:b/>
          <w:i/>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к.ю.н., доцент Пулатов А.С. </w:t>
      </w:r>
    </w:p>
    <w:p w:rsidR="00A969C6" w:rsidRPr="00DA76A7" w:rsidRDefault="00A969C6" w:rsidP="00A969C6">
      <w:pPr>
        <w:ind w:firstLine="567"/>
        <w:jc w:val="right"/>
        <w:rPr>
          <w:rFonts w:ascii="Arial" w:hAnsi="Arial" w:cs="Arial"/>
          <w:b/>
          <w:i/>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данной статье рассматриваются общие положения территориального спора и все признаки государство, нерушимость границ, территориальная целостность, субъекты и объекты государства,   международные договоры и международные организации.</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In this article  considering the general position of the territorial dispute and all the signs of the state, the inviolability of borders, territorial integrity, the subjects and objects of the state, international treaties and international organizations.</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территориальные споры, сущность, и виды территориального спора, нарушения территориальная целостность, нерушимость границ. </w:t>
      </w:r>
    </w:p>
    <w:p w:rsidR="00A969C6" w:rsidRPr="00DA76A7" w:rsidRDefault="00A969C6" w:rsidP="00A969C6">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shd w:val="clear" w:color="auto" w:fill="FFFFFF"/>
          <w:lang w:val="en-US"/>
        </w:rPr>
        <w:t>territorial disputes, essence, and types of territorial dispute, violations of territorial integrity, inviolability of borders.</w:t>
      </w:r>
    </w:p>
    <w:p w:rsidR="00A969C6" w:rsidRPr="00DA76A7" w:rsidRDefault="00A969C6" w:rsidP="00A969C6">
      <w:pPr>
        <w:ind w:firstLine="567"/>
        <w:jc w:val="both"/>
        <w:rPr>
          <w:rFonts w:ascii="Arial" w:hAnsi="Arial" w:cs="Arial"/>
          <w:b/>
          <w:color w:val="000000" w:themeColor="text1"/>
          <w:sz w:val="22"/>
          <w:szCs w:val="22"/>
          <w:lang w:val="en-US"/>
        </w:rPr>
      </w:pPr>
    </w:p>
    <w:p w:rsidR="00A969C6" w:rsidRPr="00DA76A7" w:rsidRDefault="00A969C6" w:rsidP="00A969C6">
      <w:pPr>
        <w:shd w:val="clear" w:color="auto" w:fill="FFFFFF"/>
        <w:ind w:firstLine="567"/>
        <w:jc w:val="both"/>
        <w:rPr>
          <w:rFonts w:ascii="Arial" w:hAnsi="Arial" w:cs="Arial"/>
          <w:b/>
          <w:bCs/>
          <w:color w:val="000000" w:themeColor="text1"/>
          <w:sz w:val="22"/>
          <w:szCs w:val="22"/>
        </w:rPr>
      </w:pPr>
      <w:r w:rsidRPr="00DA76A7">
        <w:rPr>
          <w:rFonts w:ascii="Arial" w:hAnsi="Arial" w:cs="Arial"/>
          <w:color w:val="000000" w:themeColor="text1"/>
          <w:sz w:val="22"/>
          <w:szCs w:val="22"/>
          <w:shd w:val="clear" w:color="auto" w:fill="FFFFFF"/>
        </w:rPr>
        <w:t>Территория считается один из важнейших признаком государств.  В течении целой события проводились постоянные битвы из-за зону. Охрана территории один с основных вопросов страны. В нынешнем интернациональном льготе уверились подобные основные основы, равно как неиспользование мощи, территориальная единство, устойчивость пределов. Правительство должно остерегаться с опасности мощью либо её использования вопреки территориальной неприкосновенности каждого страны. Территория страны никак не способен являться предметом получения иным страной в следствии опасности мощью либо её использования. Развитие  науки и техники дали возможность  широко использовать пространства и  ресурсы, лежащие за пределами государственных  границ. Они приобрели большое  значение  для экономики, транспорта, связи и безопасности, что обусловило развитие международно-правового регулирования  в соответствующих областях [</w:t>
      </w:r>
      <w:r w:rsidRPr="00DA76A7">
        <w:rPr>
          <w:rFonts w:ascii="Arial" w:hAnsi="Arial" w:cs="Arial"/>
          <w:color w:val="000000" w:themeColor="text1"/>
          <w:sz w:val="22"/>
          <w:szCs w:val="22"/>
        </w:rPr>
        <w:t>3</w:t>
      </w:r>
      <w:r w:rsidRPr="00DA76A7">
        <w:rPr>
          <w:rFonts w:ascii="Arial" w:hAnsi="Arial" w:cs="Arial"/>
          <w:color w:val="000000" w:themeColor="text1"/>
          <w:sz w:val="22"/>
          <w:szCs w:val="22"/>
          <w:shd w:val="clear" w:color="auto" w:fill="FFFFFF"/>
        </w:rPr>
        <w:t>, 108].</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Гораздо чаще в международной практике встречаются другие пути решения проблемы:</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w:t>
      </w:r>
      <w:r w:rsidRPr="00DA76A7">
        <w:rPr>
          <w:rFonts w:ascii="Arial" w:hAnsi="Arial" w:cs="Arial"/>
          <w:iCs/>
          <w:color w:val="000000" w:themeColor="text1"/>
          <w:sz w:val="22"/>
          <w:szCs w:val="22"/>
        </w:rPr>
        <w:t>образование кондоминиума — совместного владения (Вануату, бывшие Новые Гебриды: Великобритания — Франция);</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w:t>
      </w:r>
      <w:r w:rsidRPr="00DA76A7">
        <w:rPr>
          <w:rFonts w:ascii="Arial" w:hAnsi="Arial" w:cs="Arial"/>
          <w:iCs/>
          <w:color w:val="000000" w:themeColor="text1"/>
          <w:sz w:val="22"/>
          <w:szCs w:val="22"/>
        </w:rPr>
        <w:t>признание суверенитета одного государства с немедленной передачей территории в аренду другому на длительный срок (Гонконг: Китай — Великобритания);</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w:t>
      </w:r>
      <w:r w:rsidRPr="00DA76A7">
        <w:rPr>
          <w:rFonts w:ascii="Arial" w:hAnsi="Arial" w:cs="Arial"/>
          <w:iCs/>
          <w:color w:val="000000" w:themeColor="text1"/>
          <w:sz w:val="22"/>
          <w:szCs w:val="22"/>
        </w:rPr>
        <w:t>в случае если спор возник из-за природных ресурсов — совместная разработка месторождения или его раздел (о. Шпицберген: Россия — Норвегия).</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отдельных государствах общая создание трансграничных месторождений зафиксирована законодательством. Фирмы, возымевшие разрешение в исследование подобного месторождения должны содействовать с фирмами государства-соседа.  К территориальным диспутам в просторном значении фразы принадлежат расхождения среди странами сравнительно приспособления тот или иной или территория  либо разделения среди ними. В данной обширной группы территориальных расхождений имеют все шансы являться расхождения меньше либо наиболее конкретные. В первоначальный случае заявляют о территориальных расхождениях в своем значении фразы, в 2-ой случае заявляют о территориальных диспутах. И эти и прочие подлежат урегулированию только миролюбивыми орудиями. Использование мощи либо опасности мощью с целью урегулирования данных расхождений запрещается нынешним интернациональным законном.</w:t>
      </w:r>
    </w:p>
    <w:p w:rsidR="00A969C6" w:rsidRPr="00DA76A7" w:rsidRDefault="00A969C6" w:rsidP="00A969C6">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Никак не считается территориальным несогласием в перечисленном значении национально-освободительная соперничество люди из-за реализация собственного полномочия в самоопределение. Данная соперничество зачастую берет на себя конфигурацию вооруженной войн, что сознается интернациональным законном легитимной.</w:t>
      </w:r>
    </w:p>
    <w:p w:rsidR="00A969C6" w:rsidRPr="00DA76A7" w:rsidRDefault="00A969C6" w:rsidP="00A969C6">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Территориальный конфликт характеризуется 3-мя компонентами в совокупности: субъектами-странами, присутствием оспариваемой пределы либо территории и отчетливо определившимся совпадением предмета либо объекта диспута</w:t>
      </w:r>
      <w:r w:rsidR="001A280B">
        <w:rPr>
          <w:color w:val="000000" w:themeColor="text1"/>
        </w:rPr>
        <w:t xml:space="preserve"> </w:t>
      </w:r>
      <w:r w:rsidR="001A280B" w:rsidRPr="001A280B">
        <w:rPr>
          <w:color w:val="000000" w:themeColor="text1"/>
        </w:rPr>
        <w:t>[2</w:t>
      </w:r>
      <w:r w:rsidRPr="00DA76A7">
        <w:rPr>
          <w:rFonts w:ascii="Arial" w:hAnsi="Arial" w:cs="Arial"/>
          <w:color w:val="000000" w:themeColor="text1"/>
          <w:sz w:val="22"/>
          <w:szCs w:val="22"/>
          <w:shd w:val="clear" w:color="auto" w:fill="FFFFFF"/>
        </w:rPr>
        <w:t>, 45]. Субъектами территориального диспута имеют все шансы являться только лишь страны. В основной массе территориальных диспутов субъектами считаются как правило 2 страны. Но вероятны эпизоды, если количество дискутирующих сторон увеличивается вплоть до трёх-4. Данное бывает в то время, если конфликт касается территории, находящейся в стыке 3-х либо 4 пределов.</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Основное отличие объединяется к объекту доказывания: в первоначальный случае обосновывается конкретное состояние направления пределы, в 2-ой — особенность конкретного места местности. Из числа диспутов о состоянии направления пределы возможно отметить 2 стандартных происшествия. В первоначальный случае никак не имеется буква делимитированной, буква демаркированной надлежащим способом пределы и конфликт проходит о этом, в каком месте и равно как данная грань обязана являться определена, в таком случае имеется, в первую очередь в целом, делимитирована. Соседние страны зачастую опровергают наличие тот или иной или делимитации либо акцентируют внимание собственное безучастие в давних договорах, какие устанавливали рубеж. В 2-ой случае или имеются 2 конкурирующие делимитации, в некоторых случаях совершающиеся с разных соглашений, и конфликт проходит о этом, которая с их на самом деле легитимна, или конфликт совершается спор из-за разного объяснения одной и этой ведь делимитации, то что создает неосуществимой демаркацию пределы. Подобные дискуссии характерны Нордовой Америке и Европе в минувшем. Попадаются они и в иных континентах. В двух вариантах понимание подтверждений и разрешение диспутов объединяются к установлению конкретного утверждения направления пределы.</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Споры о принадлежности участков территории имеют свои особенности. Наиболее ярким выражением этого вида споров является спор о принадлежности островов. Этот вид споров встречается и в отношении участков  сухопутной  территории. Поскольку  каждая  сторона в территориальном споре утверждает, что обладает суверенитетом над определенной территорией, то она должна этот суверенитет осуществлять в большей или меньшей мере в прошлом или в настоящем. </w:t>
      </w:r>
    </w:p>
    <w:p w:rsidR="00A969C6" w:rsidRPr="00DA76A7" w:rsidRDefault="00A969C6" w:rsidP="00A969C6">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Разногласия между сторонами должны совпадать как по объекту спора (стороны должны говорить об одном и том же участке границы, или территории), так и по предмету спора (разногласия сторон касаются утверждения или отрицания в принципе одних и тех же норм о положении границы или принадлежности участка территории). Необходимо установление того, что стороны спорят об определенных международно-правовых нормах, относящихся к соответствующему</w:t>
      </w:r>
      <w:r w:rsidR="001A280B">
        <w:rPr>
          <w:rFonts w:ascii="Arial" w:hAnsi="Arial" w:cs="Arial"/>
          <w:color w:val="000000" w:themeColor="text1"/>
          <w:sz w:val="22"/>
          <w:szCs w:val="22"/>
          <w:shd w:val="clear" w:color="auto" w:fill="FFFFFF"/>
        </w:rPr>
        <w:t xml:space="preserve"> участку границы или территории </w:t>
      </w:r>
      <w:r w:rsidRPr="00DA76A7">
        <w:rPr>
          <w:rFonts w:ascii="Arial" w:hAnsi="Arial" w:cs="Arial"/>
          <w:color w:val="000000" w:themeColor="text1"/>
          <w:sz w:val="22"/>
          <w:szCs w:val="22"/>
          <w:shd w:val="clear" w:color="auto" w:fill="FFFFFF"/>
        </w:rPr>
        <w:t>[</w:t>
      </w:r>
      <w:r w:rsidR="001A280B">
        <w:rPr>
          <w:rFonts w:ascii="Arial" w:hAnsi="Arial" w:cs="Arial"/>
          <w:color w:val="000000" w:themeColor="text1"/>
          <w:sz w:val="22"/>
          <w:szCs w:val="22"/>
          <w:shd w:val="clear" w:color="auto" w:fill="FFFFFF"/>
        </w:rPr>
        <w:t>4</w:t>
      </w:r>
      <w:r w:rsidRPr="00DA76A7">
        <w:rPr>
          <w:rFonts w:ascii="Arial" w:hAnsi="Arial" w:cs="Arial"/>
          <w:color w:val="000000" w:themeColor="text1"/>
          <w:sz w:val="22"/>
          <w:szCs w:val="22"/>
          <w:shd w:val="clear" w:color="auto" w:fill="FFFFFF"/>
        </w:rPr>
        <w:t>, 221]</w:t>
      </w:r>
      <w:r w:rsidR="001A280B">
        <w:rPr>
          <w:rFonts w:ascii="Arial" w:hAnsi="Arial" w:cs="Arial"/>
          <w:color w:val="000000" w:themeColor="text1"/>
          <w:sz w:val="22"/>
          <w:szCs w:val="22"/>
          <w:shd w:val="clear" w:color="auto" w:fill="FFFFFF"/>
        </w:rPr>
        <w:t>.</w:t>
      </w:r>
    </w:p>
    <w:p w:rsidR="00A969C6" w:rsidRPr="00DA76A7" w:rsidRDefault="00A969C6" w:rsidP="00A969C6">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Только в таких условиях   спор   может   считаться   оформившимся.</w:t>
      </w:r>
    </w:p>
    <w:p w:rsidR="00A969C6" w:rsidRPr="00DA76A7" w:rsidRDefault="00A969C6" w:rsidP="00A969C6">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тех случаях, когда разногласия  сторон не установлены достаточно ясно, когда позиции сторон неустойчивы и изменчивы, то есть каждая сторона выдвигает свой предмет и объект спора, следует считать, что территориального спора не существует, а имеются разногласия по территориальным вопросам. Подобные разногласия могут вырасти в территориальный спор, но могут быть решены на стадии разногласий.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К территориальным спорам в  широком  смысле слова относятся разногласия  между государствами относительно принадлежности какой-либо территории или разграничения между ними. В этой широкой категории территориальных разногласий могут быть разногласия менее или более определенные. В первом случае говорят о территориальных разногласиях в собственном смысле слова, во втором случае говорят о территориальных спорах. И те и другие подлежат урегулированию исключительно мирными средствами. Применение силы или угрозы силой для урегулирования этих разногласий запрещено современным международным правом.</w:t>
      </w:r>
    </w:p>
    <w:p w:rsidR="00A969C6" w:rsidRPr="00DA76A7" w:rsidRDefault="00A969C6" w:rsidP="00A969C6">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Не  является территориальным разногласием в упомянутом смысле национально-освободительная борьба народов за осуществление своего права на самоопределение. Эта борьба нередко принимает форму вооруженной борьбы, которая признается международным правом законной.</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Территориальный спор характеризуется тремя элементами в совокупности: субъектами-государствами, наличием оспариваемой границы или территории и четко определившимся совпадением объекта или предмета спора. Субъектами  территориального спора могут быть только государства. В большинстве территориальных споров субъектами являются обычно два государства. Однако возможны случаи, когда число спорящих сторонувеличивается до трёх-четырех. Это случается тогда, когда спор касаетсятерритории, расположенной на стыке трех или  четырех границ. Множество территориальных споров подразделяется в основном на два типа: споры о положении линии границы и споры о принадлежности определенного участка территории. Это различие может быть, в конечном счете, и не особенно существенным.</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Основное различие сводится к предмету доказывания: в первом случае доказывается  определенное положение линии границы, во втором — принадлежность определенного участка территории. Среди споров о положении линии границы  можно выделить два типичных случая. В первом случае не существует ни делимитированной, ни демаркированной должным образом границы и спор идет о том, где и как эта граница должна быть установлена, то есть, прежде всего, делимитирована. Сопредельные государства нередко отрицают существование какой-либо делимитации или подчеркивают свое неучастие в старых соглашениях, которые определяли границу. Во втором случае либо существуют две соперничающие делимитации, иногда происходящие из различных договоров, и спор идет о том, какая из них действительно законна, либо спор происходит из-за различного толкования одной и той же делимитации, что делает невозможной демаркацию границы. Такие споры свойственны Северной Америке и Европе в прошлом. Встречаются они и на других континентах. В обоих случаях представление доказательств и решение споров сводятся к  установлению определенного положения линии границы [1, 161].</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Споры о принадлежности участков территории имеют свои особенности. Наиболее ярким выражением этого вида споров является спор о принадлежности островов. Этот вид споров встречается и в отношении участков  сухопутной  территории. Поскольку  каждая  сторона в территориальном споре утверждает, что обладает суверенитетом над определенной территорией, то она должна этот суверенитет осуществлять в большей или меньшей мере в прошлом или в настоящем. </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Следствием  признания территориального спора является, согласно принципу мирного разрешения споров, обязанность сторон урегулировать его мирными средствами, не оставляя нерешенным, или, по крайней мере, стремиться к его решению. Одновременно стороны обязаны воздерживаться от действий, которые могут ухудшить положение в такой степени, что будет поставлено под угрозу поддержание международного мира и безопасности. Обязанность решать территориальный спор ставит вопрос о выборе одного из мирных средств для его решения и дает возможность одной из сторон предлагать обращение к арбитражу или суду, что невозможно в случае односторонних территориальных претензий.</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Вплоть до этих времен сейчас данное никак не выполнено, края обязаны удерживать имеющееся состояние. Основы нерушимости европейских пределов и отношений спокойного сосуществования, заявленные в Завершающем действии Хельсинкской декларации 1975 г., зафиксированы в Законе о Общегосударственной рубеже Российской Федерации. Таким образом, около территориальным спором необходимо подразумевать наличие сформулированных расхождений сравнительно понятно сформулированного и справедливо имеющегося объекта диспута: жизни либо использования общепризнанных мерок о рубеже либо проблемы о суверенитете надо конкретной землей.</w:t>
      </w:r>
    </w:p>
    <w:p w:rsidR="00A969C6" w:rsidRPr="00DA76A7" w:rsidRDefault="00A969C6" w:rsidP="00A969C6">
      <w:pPr>
        <w:ind w:firstLine="567"/>
        <w:jc w:val="center"/>
        <w:rPr>
          <w:rFonts w:ascii="Arial" w:hAnsi="Arial" w:cs="Arial"/>
          <w:b/>
          <w:color w:val="000000" w:themeColor="text1"/>
          <w:sz w:val="22"/>
          <w:szCs w:val="22"/>
          <w:shd w:val="clear" w:color="auto" w:fill="FFFFFF"/>
        </w:rPr>
      </w:pPr>
    </w:p>
    <w:p w:rsidR="00A969C6" w:rsidRPr="00DA76A7" w:rsidRDefault="00A969C6" w:rsidP="00A969C6">
      <w:pPr>
        <w:ind w:firstLine="567"/>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Список литературы:</w:t>
      </w:r>
    </w:p>
    <w:p w:rsidR="00A969C6" w:rsidRPr="00DA76A7" w:rsidRDefault="00A969C6" w:rsidP="00A969C6">
      <w:pPr>
        <w:pStyle w:val="a6"/>
        <w:numPr>
          <w:ilvl w:val="0"/>
          <w:numId w:val="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Бекяшев К.А. Международное публичное право: учебник. - М., - 2005. – 261 </w:t>
      </w:r>
      <w:r w:rsidRPr="00DA76A7">
        <w:rPr>
          <w:rFonts w:ascii="Arial" w:hAnsi="Arial" w:cs="Arial"/>
          <w:color w:val="000000" w:themeColor="text1"/>
          <w:lang w:val="en-US"/>
        </w:rPr>
        <w:t>c</w:t>
      </w:r>
      <w:r w:rsidRPr="00DA76A7">
        <w:rPr>
          <w:rFonts w:ascii="Arial" w:hAnsi="Arial" w:cs="Arial"/>
          <w:color w:val="000000" w:themeColor="text1"/>
        </w:rPr>
        <w:t>.</w:t>
      </w:r>
    </w:p>
    <w:p w:rsidR="00A969C6" w:rsidRPr="00DA76A7" w:rsidRDefault="00A969C6" w:rsidP="00A969C6">
      <w:pPr>
        <w:pStyle w:val="a6"/>
        <w:numPr>
          <w:ilvl w:val="0"/>
          <w:numId w:val="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shd w:val="clear" w:color="auto" w:fill="FFFFFF"/>
        </w:rPr>
        <w:t>Кембаев Ж.М. Общая внешняя политика и политика безопасности Европейского Союза // Международное публичное и частное право. - 2011. - № 5. – С.2-5.</w:t>
      </w:r>
    </w:p>
    <w:p w:rsidR="00A969C6" w:rsidRPr="00DA76A7" w:rsidRDefault="00A969C6" w:rsidP="00A969C6">
      <w:pPr>
        <w:pStyle w:val="a6"/>
        <w:numPr>
          <w:ilvl w:val="0"/>
          <w:numId w:val="5"/>
        </w:numPr>
        <w:tabs>
          <w:tab w:val="left" w:pos="851"/>
        </w:tabs>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Колодкин Р.А. Внешнеполитическая деятельность // Московский журнал международного права - 2007. - N1. – С. 108-125.</w:t>
      </w:r>
    </w:p>
    <w:p w:rsidR="00A969C6" w:rsidRPr="00DA76A7" w:rsidRDefault="00A969C6" w:rsidP="00A969C6">
      <w:pPr>
        <w:pStyle w:val="a6"/>
        <w:numPr>
          <w:ilvl w:val="0"/>
          <w:numId w:val="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shd w:val="clear" w:color="auto" w:fill="FFFFFF"/>
        </w:rPr>
        <w:t xml:space="preserve">Лавров В.С. </w:t>
      </w:r>
      <w:r w:rsidRPr="00DA76A7">
        <w:rPr>
          <w:rFonts w:ascii="Arial" w:hAnsi="Arial" w:cs="Arial"/>
          <w:color w:val="000000" w:themeColor="text1"/>
        </w:rPr>
        <w:t xml:space="preserve">Динамика развития Шанхайской организации сотрудничества </w:t>
      </w:r>
      <w:r w:rsidRPr="00DA76A7">
        <w:rPr>
          <w:rFonts w:ascii="Arial" w:hAnsi="Arial" w:cs="Arial"/>
          <w:color w:val="000000" w:themeColor="text1"/>
          <w:lang w:val="tg-Cyrl-TJ"/>
        </w:rPr>
        <w:t>//</w:t>
      </w:r>
      <w:r w:rsidRPr="00DA76A7">
        <w:rPr>
          <w:rFonts w:ascii="Arial" w:hAnsi="Arial" w:cs="Arial"/>
          <w:color w:val="000000" w:themeColor="text1"/>
        </w:rPr>
        <w:t xml:space="preserve"> </w:t>
      </w:r>
      <w:r w:rsidRPr="00DA76A7">
        <w:rPr>
          <w:rFonts w:ascii="Arial" w:hAnsi="Arial" w:cs="Arial"/>
          <w:color w:val="000000" w:themeColor="text1"/>
          <w:shd w:val="clear" w:color="auto" w:fill="FFFFFF"/>
        </w:rPr>
        <w:t xml:space="preserve">Московский журнал международного права. - 2008. - N1. – С. 204-221. </w:t>
      </w:r>
    </w:p>
    <w:p w:rsidR="00A969C6" w:rsidRPr="00DA76A7" w:rsidRDefault="00A969C6" w:rsidP="00A969C6">
      <w:pPr>
        <w:pStyle w:val="a6"/>
        <w:numPr>
          <w:ilvl w:val="0"/>
          <w:numId w:val="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shd w:val="clear" w:color="auto" w:fill="FFFFFF"/>
        </w:rPr>
        <w:t xml:space="preserve">Орлов А.С. Понятие международного территориального спора // Вестник Удмуртского Университета. - 2013.- № 3. – </w:t>
      </w:r>
      <w:r w:rsidRPr="00DA76A7">
        <w:rPr>
          <w:rFonts w:ascii="Arial" w:hAnsi="Arial" w:cs="Arial"/>
          <w:color w:val="000000" w:themeColor="text1"/>
          <w:shd w:val="clear" w:color="auto" w:fill="FFFFFF"/>
          <w:lang w:val="en-US"/>
        </w:rPr>
        <w:t xml:space="preserve">C. </w:t>
      </w:r>
      <w:r w:rsidRPr="00DA76A7">
        <w:rPr>
          <w:rFonts w:ascii="Arial" w:hAnsi="Arial" w:cs="Arial"/>
          <w:color w:val="000000" w:themeColor="text1"/>
          <w:shd w:val="clear" w:color="auto" w:fill="FFFFFF"/>
        </w:rPr>
        <w:t>45-48.</w:t>
      </w:r>
    </w:p>
    <w:p w:rsidR="00A969C6" w:rsidRPr="00DA76A7" w:rsidRDefault="00A969C6" w:rsidP="00A969C6">
      <w:pPr>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НЕКОТОРЫЕ АСПЕКТЫ ВНЕШНЕЙ ПОЛИТИКИ РЕСПУБЛИКИ ТАДЖИКИСТАН НА СОВРЕМЕННОМ ЭТАПЕ</w:t>
      </w: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Абдурасулов Шухрат </w:t>
      </w:r>
      <w:r w:rsidRPr="00DA76A7">
        <w:rPr>
          <w:rFonts w:ascii="Arial" w:hAnsi="Arial" w:cs="Arial"/>
          <w:b/>
          <w:color w:val="000000" w:themeColor="text1"/>
          <w:sz w:val="22"/>
          <w:szCs w:val="22"/>
          <w:shd w:val="clear" w:color="auto" w:fill="FFFFFF"/>
        </w:rPr>
        <w:t>Мухамадиевич</w:t>
      </w:r>
    </w:p>
    <w:p w:rsidR="00A969C6" w:rsidRPr="00DA76A7" w:rsidRDefault="00A969C6" w:rsidP="00A969C6">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A969C6" w:rsidRPr="00DA76A7" w:rsidRDefault="00A969C6" w:rsidP="00A969C6">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pStyle w:val="Default"/>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A969C6" w:rsidRPr="003A751C"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908889100, </w:t>
      </w:r>
      <w:r w:rsidRPr="00DA76A7">
        <w:rPr>
          <w:rFonts w:ascii="Arial" w:hAnsi="Arial" w:cs="Arial"/>
          <w:color w:val="000000" w:themeColor="text1"/>
          <w:sz w:val="22"/>
          <w:szCs w:val="22"/>
        </w:rPr>
        <w:t>е</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abdurasul</w:t>
      </w:r>
      <w:r w:rsidRPr="003A751C">
        <w:rPr>
          <w:rFonts w:ascii="Arial" w:hAnsi="Arial" w:cs="Arial"/>
          <w:color w:val="000000" w:themeColor="text1"/>
          <w:sz w:val="22"/>
          <w:szCs w:val="22"/>
          <w:lang w:val="en-US"/>
        </w:rPr>
        <w:t>82@</w:t>
      </w:r>
      <w:r w:rsidRPr="00DA76A7">
        <w:rPr>
          <w:rFonts w:ascii="Arial" w:hAnsi="Arial" w:cs="Arial"/>
          <w:color w:val="000000" w:themeColor="text1"/>
          <w:sz w:val="22"/>
          <w:szCs w:val="22"/>
          <w:lang w:val="en-US"/>
        </w:rPr>
        <w:t>gmail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com</w:t>
      </w:r>
    </w:p>
    <w:p w:rsidR="00A969C6" w:rsidRPr="003A751C" w:rsidRDefault="00A969C6" w:rsidP="00A969C6">
      <w:pPr>
        <w:pStyle w:val="a4"/>
        <w:ind w:firstLine="567"/>
        <w:jc w:val="center"/>
        <w:rPr>
          <w:rFonts w:ascii="Arial" w:hAnsi="Arial" w:cs="Arial"/>
          <w:color w:val="000000" w:themeColor="text1"/>
          <w:sz w:val="22"/>
          <w:szCs w:val="22"/>
          <w:lang w:val="en-US"/>
        </w:rPr>
      </w:pP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SOME ASPECTS OF THE FOREIGN POLICY OF THE REPUBLIC OF TAJIKISTAN AT THE PRESENT STAGE</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p>
    <w:p w:rsidR="00A969C6" w:rsidRPr="00DA76A7" w:rsidRDefault="00A969C6" w:rsidP="00A969C6">
      <w:pPr>
        <w:pStyle w:val="HTML"/>
        <w:shd w:val="clear" w:color="auto" w:fill="FFFFFF"/>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Abdurasulov Shukhrat Mukhamedievich</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full-time department of the faculty of law</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5D1C4B"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w:t>
      </w:r>
      <w:r w:rsidRPr="005D1C4B">
        <w:rPr>
          <w:rFonts w:ascii="Arial" w:hAnsi="Arial" w:cs="Arial"/>
          <w:color w:val="000000" w:themeColor="text1"/>
          <w:sz w:val="22"/>
          <w:szCs w:val="22"/>
          <w:lang w:val="en-US"/>
        </w:rPr>
        <w:t>, M. Tursunzade str., 30</w:t>
      </w:r>
    </w:p>
    <w:p w:rsidR="00A969C6" w:rsidRPr="005D1C4B"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5D1C4B">
        <w:rPr>
          <w:rFonts w:ascii="Arial" w:hAnsi="Arial" w:cs="Arial"/>
          <w:color w:val="000000" w:themeColor="text1"/>
          <w:sz w:val="22"/>
          <w:szCs w:val="22"/>
          <w:lang w:val="en-US"/>
        </w:rPr>
        <w:t>tel.: 908889100, e-mail: abdurasul82@gmail.com</w:t>
      </w:r>
    </w:p>
    <w:p w:rsidR="00A969C6" w:rsidRPr="005D1C4B" w:rsidRDefault="00A969C6" w:rsidP="00A969C6">
      <w:pPr>
        <w:pStyle w:val="a4"/>
        <w:ind w:firstLine="567"/>
        <w:jc w:val="center"/>
        <w:rPr>
          <w:rFonts w:ascii="Arial" w:hAnsi="Arial" w:cs="Arial"/>
          <w:color w:val="000000" w:themeColor="text1"/>
          <w:sz w:val="22"/>
          <w:szCs w:val="22"/>
          <w:lang w:val="en-US"/>
        </w:rPr>
      </w:pPr>
      <w:r w:rsidRPr="005D1C4B">
        <w:rPr>
          <w:rFonts w:ascii="Arial" w:hAnsi="Arial" w:cs="Arial"/>
          <w:color w:val="000000" w:themeColor="text1"/>
          <w:sz w:val="22"/>
          <w:szCs w:val="22"/>
          <w:lang w:val="en-US"/>
        </w:rPr>
        <w:t xml:space="preserve"> </w:t>
      </w:r>
    </w:p>
    <w:p w:rsidR="00A969C6" w:rsidRPr="00DA76A7" w:rsidRDefault="00A969C6" w:rsidP="00A969C6">
      <w:pPr>
        <w:pStyle w:val="a4"/>
        <w:ind w:firstLine="567"/>
        <w:jc w:val="right"/>
        <w:rPr>
          <w:rFonts w:ascii="Arial" w:hAnsi="Arial" w:cs="Arial"/>
          <w:color w:val="000000" w:themeColor="text1"/>
          <w:sz w:val="22"/>
          <w:szCs w:val="22"/>
        </w:rPr>
      </w:pPr>
      <w:r w:rsidRPr="005D1C4B">
        <w:rPr>
          <w:rFonts w:ascii="Arial" w:hAnsi="Arial" w:cs="Arial"/>
          <w:color w:val="000000" w:themeColor="text1"/>
          <w:sz w:val="22"/>
          <w:szCs w:val="22"/>
        </w:rPr>
        <w:t xml:space="preserve">Научный руководитель: к.ю.н., </w:t>
      </w:r>
      <w:r w:rsidR="005D1C4B" w:rsidRPr="005D1C4B">
        <w:rPr>
          <w:rFonts w:ascii="Arial" w:hAnsi="Arial" w:cs="Arial"/>
          <w:color w:val="000000" w:themeColor="text1"/>
          <w:sz w:val="22"/>
          <w:szCs w:val="22"/>
        </w:rPr>
        <w:t>ст. преподаватель</w:t>
      </w:r>
      <w:r w:rsidR="005D1C4B">
        <w:rPr>
          <w:rFonts w:ascii="Arial" w:hAnsi="Arial" w:cs="Arial"/>
          <w:color w:val="000000" w:themeColor="text1"/>
          <w:sz w:val="22"/>
          <w:szCs w:val="22"/>
        </w:rPr>
        <w:t xml:space="preserve"> Додоматов С.И.</w:t>
      </w:r>
      <w:r w:rsidRPr="00DA76A7">
        <w:rPr>
          <w:rFonts w:ascii="Arial" w:hAnsi="Arial" w:cs="Arial"/>
          <w:color w:val="000000" w:themeColor="text1"/>
          <w:sz w:val="22"/>
          <w:szCs w:val="22"/>
        </w:rPr>
        <w:t xml:space="preserve"> </w:t>
      </w:r>
    </w:p>
    <w:p w:rsidR="00A969C6" w:rsidRPr="00DA76A7" w:rsidRDefault="00A969C6" w:rsidP="00A969C6">
      <w:pPr>
        <w:pStyle w:val="a4"/>
        <w:ind w:firstLine="567"/>
        <w:jc w:val="right"/>
        <w:rPr>
          <w:rFonts w:ascii="Arial" w:hAnsi="Arial" w:cs="Arial"/>
          <w:color w:val="000000" w:themeColor="text1"/>
          <w:sz w:val="22"/>
          <w:szCs w:val="22"/>
        </w:rPr>
      </w:pPr>
    </w:p>
    <w:p w:rsidR="00A969C6" w:rsidRPr="00DA76A7" w:rsidRDefault="00B46B9E" w:rsidP="00A969C6">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статье исследуются этапы становления и деятельность внешней политики Республики Таджикистан после обретения государственной независимости. Анализируются различные аспекты многостороннего и двустороннего сотрудничества Республики Таджикистан на международной арене. Рассматривается</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деятельность</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Республики</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Таджикистан</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в</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рамках</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международных</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организаций</w:t>
      </w:r>
      <w:r w:rsidR="00A969C6" w:rsidRPr="00DA76A7">
        <w:rPr>
          <w:rFonts w:ascii="Arial" w:hAnsi="Arial" w:cs="Arial"/>
          <w:i/>
          <w:color w:val="000000" w:themeColor="text1"/>
          <w:sz w:val="22"/>
          <w:szCs w:val="22"/>
          <w:lang w:val="en-US"/>
        </w:rPr>
        <w:t xml:space="preserve">. </w:t>
      </w:r>
    </w:p>
    <w:p w:rsidR="00A969C6" w:rsidRPr="00DA76A7" w:rsidRDefault="00081412" w:rsidP="00A969C6">
      <w:pPr>
        <w:pStyle w:val="a4"/>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Annotation.</w:t>
      </w:r>
      <w:r w:rsidR="00A969C6" w:rsidRPr="00DA76A7">
        <w:rPr>
          <w:rFonts w:ascii="Arial" w:hAnsi="Arial" w:cs="Arial"/>
          <w:i/>
          <w:color w:val="000000" w:themeColor="text1"/>
          <w:sz w:val="22"/>
          <w:szCs w:val="22"/>
          <w:shd w:val="clear" w:color="auto" w:fill="FFFFFF"/>
          <w:lang w:val="en-US"/>
        </w:rPr>
        <w:t xml:space="preserve"> The article studies the stages of formation and activities of the foreign policy of the Republic of Tajikistan after gaining state independence. Various aspects of multilateral and bilateral cooperation of the Republic of Tajikistan in the international arena are analyzed. The activities of the Republic of Tajikistan within the framework of international organizations are considered.</w:t>
      </w:r>
    </w:p>
    <w:p w:rsidR="00A969C6" w:rsidRPr="00DA76A7" w:rsidRDefault="00A969C6" w:rsidP="00A969C6">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внешняя политика, Республика Таджикистан, внешнеполитический курс, Россия, Центральная Азия, СНГ, мировое сообщество, политика открытых дверей, региональная безопасность, национальные интересы.</w:t>
      </w:r>
    </w:p>
    <w:p w:rsidR="00A969C6" w:rsidRPr="00DA76A7" w:rsidRDefault="00A969C6" w:rsidP="00A969C6">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shd w:val="clear" w:color="auto" w:fill="FFFFFF"/>
          <w:lang w:val="en-US"/>
        </w:rPr>
        <w:t>Key words:</w:t>
      </w:r>
      <w:r w:rsidRPr="00DA76A7">
        <w:rPr>
          <w:rFonts w:ascii="Arial" w:hAnsi="Arial" w:cs="Arial"/>
          <w:i/>
          <w:color w:val="000000" w:themeColor="text1"/>
          <w:sz w:val="22"/>
          <w:szCs w:val="22"/>
          <w:shd w:val="clear" w:color="auto" w:fill="FFFFFF"/>
          <w:lang w:val="en-US"/>
        </w:rPr>
        <w:t xml:space="preserve"> foreign policy, the Republic of Tajikistan, foreign policy course, Russia, Central Asia, CIS, world community, open door policy, regional security, national interests.</w:t>
      </w:r>
    </w:p>
    <w:p w:rsidR="00A969C6" w:rsidRPr="00DA76A7" w:rsidRDefault="00A969C6" w:rsidP="00A969C6">
      <w:pPr>
        <w:pStyle w:val="a4"/>
        <w:ind w:firstLine="567"/>
        <w:jc w:val="both"/>
        <w:rPr>
          <w:rFonts w:ascii="Arial" w:hAnsi="Arial" w:cs="Arial"/>
          <w:color w:val="000000" w:themeColor="text1"/>
          <w:sz w:val="22"/>
          <w:szCs w:val="22"/>
          <w:lang w:val="en-US"/>
        </w:rPr>
      </w:pP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После обретения независимости Республикой Таджикистан 9 сентября 1991 года, достаточно остро стоял вопрос о признании суверенитета государства международным сообществом, т.е. государствами-членами ООН и международными организациями. Первым и огромным шагом нашей независимой страны стало вступление в ряды Организации Объединенных Наций 2 марта 1992 года. </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тот период страна переживала гражданское противостояние, которая породила серьезные социально-экономические, политические и идеологические потери, которые необходимо было восстанавливать долго.</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 установлением мира и конституционной власти, важной задачей и основной целью руководства Таджикистана стал вопрос о прекращении огня и прихода согласия в стране.</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Реализации этих целей была подчинена вся внешняя политика и дипломатия Республики Таджикистан, с тем чтобы обеспечить безопасность страны, стабильное развитие, упрочить её суверенитет и территориальную целостность.</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становление и утверждение внешней политики Республики Таджикистан сопровождалось огромными трудностями.</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27 июня 1997 г. в Москве завершились переговоры по урегулирования межтаджикского конфликта. Их итогом стало Общее соглашение об установлении мира и национального согласия в Таджикистане [2,114]. </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В дальнейшем, с наработкой определенного опыта дипломатической деятельности первостепенной выступила задача формирования механизма обеспечения стратегических национальных интересов за рубежом. </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Сложность становления внешней политики Таджикистана на раннем этапе состояла в том, что она начиналась практически с нуля. На тот период не было полноценных устоявшихся традиций внешнеполитической деятельности. Принципы сложившейся советской дипломатии были несовместимы с целями и задачами независимого Таджикистана. Как отмечает эксперт по внешнеполитическим вопросам  З. Саидов: «Наступившее после распада СССР состояние неопределенности и нестабильности поставило перед государственным руководством Таджикистана сложную задачу адаптации к новой геополитической ситуации и выработки внешнеполитических приоритетов, которые соответствовали бы новым региональным и глобальным политическим, экономическим и духовно-культурным условиям и реальному месту современного Таджикистана в мировом сообществе» [3,12].</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процессе формирования государственных институтов важную роль играет дипломатическая служба. Внешняя политика самым тесным образом связана с дипломатией, которая представляет собой совокупность методов и способов ее осуществления. Перспективы Таджикистана во многом зависят от деятельности дипломатов на внешнеполитической арене.</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Внешнеполитический курс Президента Эмомали Рахмона, и его дипломатия основаны на прочном фундаменте дружбы, укрепления доверия, взаимного уважения и сотрудничества между странами.</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Формирование внешней политики Республики Таджикистан делится на два этапа:</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Первый этап начинается с года обретения независимости страной и до марта 2000 г. Достигнутые успехи относятся к первому этапу международной деятельности Республики Таджикистан. На этом этапе наше государство прошло путь от актуальных для международной обстановки тех лет дипломатических акций до уровня реализации взаимодействия с внешним миром.</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Второй этап начинается с апреля 2000 года и продолжается по настоящее время. Этот период отражает переход внешней политики Таджикистана в новое русло. В ходе этого процесса (в 2002 году) была окончательно сформирована действующая концепция внешней политики государства, т.е. концепция «политики открытых дверей». Был достигнут существенный сдвиг в формировании зарубежной инфраструктуры -посольств, консульств, дипломатических миссий. В стране происходит процесс подготовки дипломатических кадров, и с принятием в 2002 году закона РТ «О дипломатической службе» укрепилась нормативно-правовая база деятельности отечественных дипломатов. Эти успехи эффективно повлияли на уровень и качество осуществления внешней политики.</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Доктрина «политики открытых дверей» означает открытость всем политическим направлениям, международным контактам, торговым отношениям. </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На сегодняшний день Республика Таджикистан наладила дипломатические отношения со 124 государствами мира, а также является активным участником ООН, ОБСЕ, СНГ, ОДКБ, ШОС, ОИС и множества других международных и региональных организаций по многостороннему сотрудничеству.</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Республика Таджикистан тесно сотрудничает во многих сферах с международными и региональными организациями.</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Во внешнеполитической деятельности Республики Таджикистан особое значение придается развитию и укреплению двусторонних и многосторонних связей со странами-членами СНГ. За период независимости совместной экономической и политической деятельности государства-участники Содружества создали прочный организационно-правовой фундамент, позволивший за короткий промежуток времени преодолеть системный кризис, повысить темпы экономического роста и увеличить объемы взаимной торговли[1,119]. Одобренная государствами-членами Содружества Стратегия экономического развития СНГ на период до 2020 года, а также определение сотрудничества в области энергетики как ключевой сферы взаимодействия государств-участников СНГ послужили дополнительным импульсом в развитии интеграционных процессов, расширении взаимовыгодного сотрудничества, повышении уровня благосостояния народов наших стран.</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деятельности СНГ центральную роль играла Россия - самая большая страна по территории, населению, экономическому, научно-техническому и оборонному потенциалу. По ряду объективных причин решение вопроса о том, какой быть интеграции, определяется, прежде всего, позицией России, той политикой, которую она будет на деле проводить.</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Тесные связи и контакты с Россией обусловлены не только ее политическим и экономическим весом в мировом сообществе и на постсоветском пространстве, но и осознанием такого важного фактора, как духовная близость и общность исторических судеб народов наших стран, которые сложились в советские времена.</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Таджикистан также сотрудничает с региональными организациями экономического характера в двустороннем и многостороннем формате.</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Евразийское экономическое сообщество (ЕврАзЭС) является международной организацией, созданной главами государств Республики Беларусь, Республики Казахстан, Кыргызской Республики, Российской Федерации и Республики Таджикистан на базе Таможенного союза, который, в свою очередь, был создан в 1996 году первыми четырьмя государствами.</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Таджикистан выражает удовлетворение последовательным ходом развития взаимоотношений между государствами-участниками ЕврАзЭС. Позиция РТ по основным направлениям перспективного развития ЕврАзЭС в целом совпадает с позициями других государств - участников.</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Жизнь подтверждает востребованность созданного при непосредственном участии Таджикистана Евразийского Экономического Сообщества. Республика Таджикистан продолжает в рамках ЕврАзЭС своё заинтересованное участие в работе, которая сделает возможным её присоединение к Таможенному союзу и единому экономическому пространству [3,256].</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Сложившееся положение в обществе ставит перед необходимостью выстраивать такую систему продвижения и защиты наших экономических интересов за рубежом, которая гарантировала бы максимальную отдачу экономике страны, сводила бы к минимуму риски на путях нашей интеграции в мировое и евразийское сообщество.</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Правительство Таджикистана поставило задачу проводить более активную и системную работу, направленную на расширение инвестиционной деятельности индустриально развитых государств и богатых мусульманских стран и строительство ими крупных современных экономических и иных объектов в стране.</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Хорошим примером в этом плане могут служить плодотворные отношения сотрудничества Таджикистана с такими институтами, как МВФ, Всемирный Банк, ЕБРР, АБР, Исламский Банк Развития и Евразийский Банк Развития.</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Защита национальных экономических интересов в полной мере должна стать особым направлением деятельности таджикской дипломатии. Ибо внешнеполитические национальные интересы Таджикистана во многом связаны с реализацией его экономических приоритетов.</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Серьезные внешнеполитические эксперты, как правило, выделяют несколько ключевых признаков - компонентов подобных механизмов в развитых, конкурентоспособных государствах мира. По этому поводу эксперт по внешнеполитическим вопросам З. Саидов выделяет следующие ключевые признаки:</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1. Коллегиальный характер выработки и принятия внешнеполитических решений;</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2. Вовлеченность в этот процесс всех субъектов международной деятельности государства;</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3. Опора при принятии и выработке ключевых внешнеполитических решений на глубокий анализ и экспертизу не только государственных исследовательских центров, но и широкого экспертного общества;</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4. Стратегическое планирование как основа внешнеполитического механизма;</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5. Прозрачность механизма принятия внешнеполитических решений, связанная с грамотной и кропотливой работой со средствами массовой информации с целью обеспечения ясного понимания у широкой общественности;</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6. Строгая исполнительская дисциплина в деле реализации внешнеполитических решений государства[4,92].</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заключение отметим, что суть внешней политики Таджикистана сегодня заключается в концепции «открытых дверей», прочной прагматичной позиции страны в отношении актуальных международных и региональных проблем и расширении и углублении двусторонних и многосторонних отношений с зарубежными странами.</w:t>
      </w:r>
    </w:p>
    <w:p w:rsidR="00A969C6" w:rsidRPr="00DA76A7" w:rsidRDefault="00A969C6" w:rsidP="00A969C6">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Благодаря инициативам Таджикистана Генеральной Ассамблеей ООН 2003 год был провозглашен «Международным годом чистой воды», 2005-2015 годы - Международным десятилетием действий «Вода для жизни», и 2013 год - «Международным годом сотрудничества в водной сфере».</w:t>
      </w:r>
    </w:p>
    <w:p w:rsidR="00A969C6" w:rsidRPr="00DA76A7" w:rsidRDefault="00A969C6" w:rsidP="000E7DCF">
      <w:pPr>
        <w:ind w:firstLine="567"/>
        <w:jc w:val="both"/>
        <w:textAlignment w:val="top"/>
        <w:rPr>
          <w:rFonts w:ascii="Arial" w:hAnsi="Arial" w:cs="Arial"/>
          <w:b/>
          <w:color w:val="000000" w:themeColor="text1"/>
          <w:sz w:val="22"/>
          <w:szCs w:val="22"/>
        </w:rPr>
      </w:pPr>
      <w:r w:rsidRPr="00DA76A7">
        <w:rPr>
          <w:rFonts w:ascii="Arial" w:hAnsi="Arial" w:cs="Arial"/>
          <w:color w:val="000000" w:themeColor="text1"/>
          <w:sz w:val="22"/>
          <w:szCs w:val="22"/>
        </w:rPr>
        <w:t>Основной задачей внешней политики страны на современном этапе является защита и обеспечение национальных интересов государства, повышение его имиджа и авторитета на международной арене, создание внешних благоприятных условий для укрепления национальной независимости и обеспечения устойчивого развития государства.</w:t>
      </w:r>
    </w:p>
    <w:p w:rsidR="00A969C6" w:rsidRPr="00DA76A7" w:rsidRDefault="00A969C6" w:rsidP="00A969C6">
      <w:pPr>
        <w:ind w:firstLine="567"/>
        <w:jc w:val="center"/>
        <w:textAlignment w:val="top"/>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pStyle w:val="a6"/>
        <w:numPr>
          <w:ilvl w:val="0"/>
          <w:numId w:val="6"/>
        </w:numPr>
        <w:tabs>
          <w:tab w:val="left" w:pos="851"/>
        </w:tabs>
        <w:spacing w:after="0" w:line="240" w:lineRule="auto"/>
        <w:ind w:left="0" w:firstLine="567"/>
        <w:jc w:val="both"/>
        <w:textAlignment w:val="top"/>
        <w:rPr>
          <w:rFonts w:ascii="Arial" w:hAnsi="Arial" w:cs="Arial"/>
          <w:b/>
          <w:color w:val="000000" w:themeColor="text1"/>
        </w:rPr>
      </w:pPr>
      <w:r w:rsidRPr="00DA76A7">
        <w:rPr>
          <w:rFonts w:ascii="Arial" w:hAnsi="Arial" w:cs="Arial"/>
          <w:color w:val="000000" w:themeColor="text1"/>
        </w:rPr>
        <w:t>Назаров Т.Н. Таджикистан: экономическое сотрудничество и безопасность. Сборник статей и выступлений. - Душанбе, 2003. -264 с.</w:t>
      </w:r>
    </w:p>
    <w:p w:rsidR="00A969C6" w:rsidRPr="00DA76A7" w:rsidRDefault="00A969C6" w:rsidP="00A969C6">
      <w:pPr>
        <w:pStyle w:val="a6"/>
        <w:numPr>
          <w:ilvl w:val="0"/>
          <w:numId w:val="6"/>
        </w:numPr>
        <w:tabs>
          <w:tab w:val="left" w:pos="851"/>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Рахматуллоев Э. Миротворчество ООН в Таджикистане и перспективы дипломатии в Центральной Азии - М., 2001. - 229 с.</w:t>
      </w:r>
    </w:p>
    <w:p w:rsidR="00A969C6" w:rsidRPr="00DA76A7" w:rsidRDefault="00A969C6" w:rsidP="00A969C6">
      <w:pPr>
        <w:pStyle w:val="a6"/>
        <w:numPr>
          <w:ilvl w:val="0"/>
          <w:numId w:val="6"/>
        </w:numPr>
        <w:tabs>
          <w:tab w:val="left" w:pos="851"/>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Саидов 3. Внешняя политика Республики Таджикистан на современном этапе (1992-2005 гг.). - Душанбе: Авесто, 2006. - 560 с.</w:t>
      </w:r>
    </w:p>
    <w:p w:rsidR="00A969C6" w:rsidRPr="00DA76A7" w:rsidRDefault="00A969C6" w:rsidP="00A969C6">
      <w:pPr>
        <w:pStyle w:val="a6"/>
        <w:numPr>
          <w:ilvl w:val="0"/>
          <w:numId w:val="6"/>
        </w:numPr>
        <w:tabs>
          <w:tab w:val="left" w:pos="851"/>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Саидов З. Таджикистан - надежный партнер в международных отношениях - Душанбе: Авесто, 2003. - 160 с.</w:t>
      </w: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ОСНОВНЫЕ КОЛЛИЗИОННЫЕ ПРИНЦИПЫ, ПРИМЕНЯЕМЫЕ К ОБЯЗАТЕЛЬСТВАМ ИЗ НЕДОБРОСОВЕСТНОЙ КОНКУРЕНЦИИ</w:t>
      </w:r>
    </w:p>
    <w:p w:rsidR="00A969C6" w:rsidRPr="00DA76A7" w:rsidRDefault="00A969C6" w:rsidP="00A969C6">
      <w:pPr>
        <w:shd w:val="clear" w:color="auto" w:fill="FFFFFF"/>
        <w:jc w:val="both"/>
        <w:rPr>
          <w:rFonts w:ascii="Arial" w:hAnsi="Arial" w:cs="Arial"/>
          <w:b/>
          <w:bCs/>
          <w:i/>
          <w:iCs/>
          <w:color w:val="000000" w:themeColor="text1"/>
          <w:sz w:val="22"/>
          <w:szCs w:val="22"/>
        </w:rPr>
      </w:pPr>
    </w:p>
    <w:p w:rsidR="00A969C6" w:rsidRPr="00DA76A7" w:rsidRDefault="00A969C6" w:rsidP="00A969C6">
      <w:pPr>
        <w:pStyle w:val="ac"/>
        <w:jc w:val="center"/>
        <w:rPr>
          <w:rFonts w:ascii="Arial" w:hAnsi="Arial" w:cs="Arial"/>
          <w:b/>
          <w:color w:val="000000" w:themeColor="text1"/>
        </w:rPr>
      </w:pPr>
      <w:r w:rsidRPr="00DA76A7">
        <w:rPr>
          <w:rFonts w:ascii="Arial" w:hAnsi="Arial" w:cs="Arial"/>
          <w:b/>
          <w:color w:val="000000" w:themeColor="text1"/>
        </w:rPr>
        <w:t>Азизов Фируз Хайриддинович</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 xml:space="preserve">магистрант 2-го года обучения очного отделенияюридического факультета </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Российско-Таджикский (Славянский) университет</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734025, Республика Таджикистан, Душанбе, ул. М. Турсунзаде, 30</w:t>
      </w:r>
    </w:p>
    <w:p w:rsidR="00A969C6" w:rsidRPr="003A751C"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rPr>
        <w:t>тел</w:t>
      </w:r>
      <w:r w:rsidRPr="003A751C">
        <w:rPr>
          <w:rFonts w:ascii="Arial" w:hAnsi="Arial" w:cs="Arial"/>
          <w:color w:val="000000" w:themeColor="text1"/>
          <w:lang w:val="en-US"/>
        </w:rPr>
        <w:t xml:space="preserve">.: 987-24-18-19, </w:t>
      </w:r>
      <w:r w:rsidRPr="00DA76A7">
        <w:rPr>
          <w:rFonts w:ascii="Arial" w:hAnsi="Arial" w:cs="Arial"/>
          <w:color w:val="000000" w:themeColor="text1"/>
        </w:rPr>
        <w:t>е</w:t>
      </w:r>
      <w:r w:rsidRPr="003A751C">
        <w:rPr>
          <w:rFonts w:ascii="Arial" w:hAnsi="Arial" w:cs="Arial"/>
          <w:color w:val="000000" w:themeColor="text1"/>
          <w:lang w:val="en-US"/>
        </w:rPr>
        <w:t>-</w:t>
      </w:r>
      <w:r w:rsidRPr="00DA76A7">
        <w:rPr>
          <w:rFonts w:ascii="Arial" w:hAnsi="Arial" w:cs="Arial"/>
          <w:color w:val="000000" w:themeColor="text1"/>
          <w:lang w:val="en-US"/>
        </w:rPr>
        <w:t>mail</w:t>
      </w:r>
      <w:r w:rsidRPr="003A751C">
        <w:rPr>
          <w:rFonts w:ascii="Arial" w:hAnsi="Arial" w:cs="Arial"/>
          <w:color w:val="000000" w:themeColor="text1"/>
          <w:lang w:val="en-US"/>
        </w:rPr>
        <w:t xml:space="preserve">: </w:t>
      </w:r>
      <w:hyperlink r:id="rId15" w:history="1">
        <w:r w:rsidRPr="00DA76A7">
          <w:rPr>
            <w:rStyle w:val="af0"/>
            <w:rFonts w:ascii="Arial" w:hAnsi="Arial" w:cs="Arial"/>
            <w:color w:val="000000" w:themeColor="text1"/>
            <w:u w:val="none"/>
            <w:lang w:val="en-US"/>
          </w:rPr>
          <w:t>f</w:t>
        </w:r>
        <w:r w:rsidRPr="003A751C">
          <w:rPr>
            <w:rStyle w:val="af0"/>
            <w:rFonts w:ascii="Arial" w:hAnsi="Arial" w:cs="Arial"/>
            <w:color w:val="000000" w:themeColor="text1"/>
            <w:u w:val="none"/>
            <w:lang w:val="en-US"/>
          </w:rPr>
          <w:t>.</w:t>
        </w:r>
        <w:r w:rsidRPr="00DA76A7">
          <w:rPr>
            <w:rStyle w:val="af0"/>
            <w:rFonts w:ascii="Arial" w:hAnsi="Arial" w:cs="Arial"/>
            <w:color w:val="000000" w:themeColor="text1"/>
            <w:u w:val="none"/>
            <w:lang w:val="en-US"/>
          </w:rPr>
          <w:t>azizov</w:t>
        </w:r>
        <w:r w:rsidRPr="003A751C">
          <w:rPr>
            <w:rStyle w:val="af0"/>
            <w:rFonts w:ascii="Arial" w:hAnsi="Arial" w:cs="Arial"/>
            <w:color w:val="000000" w:themeColor="text1"/>
            <w:u w:val="none"/>
            <w:lang w:val="en-US"/>
          </w:rPr>
          <w:t>@</w:t>
        </w:r>
        <w:r w:rsidRPr="00DA76A7">
          <w:rPr>
            <w:rStyle w:val="af0"/>
            <w:rFonts w:ascii="Arial" w:hAnsi="Arial" w:cs="Arial"/>
            <w:color w:val="000000" w:themeColor="text1"/>
            <w:u w:val="none"/>
            <w:lang w:val="en-US"/>
          </w:rPr>
          <w:t>hotmail</w:t>
        </w:r>
        <w:r w:rsidRPr="003A751C">
          <w:rPr>
            <w:rStyle w:val="af0"/>
            <w:rFonts w:ascii="Arial" w:hAnsi="Arial" w:cs="Arial"/>
            <w:color w:val="000000" w:themeColor="text1"/>
            <w:u w:val="none"/>
            <w:lang w:val="en-US"/>
          </w:rPr>
          <w:t>.</w:t>
        </w:r>
        <w:r w:rsidRPr="00DA76A7">
          <w:rPr>
            <w:rStyle w:val="af0"/>
            <w:rFonts w:ascii="Arial" w:hAnsi="Arial" w:cs="Arial"/>
            <w:color w:val="000000" w:themeColor="text1"/>
            <w:u w:val="none"/>
            <w:lang w:val="en-US"/>
          </w:rPr>
          <w:t>com</w:t>
        </w:r>
      </w:hyperlink>
    </w:p>
    <w:p w:rsidR="00A969C6" w:rsidRPr="003A751C" w:rsidRDefault="00A969C6" w:rsidP="00A969C6">
      <w:pPr>
        <w:pStyle w:val="ac"/>
        <w:jc w:val="center"/>
        <w:rPr>
          <w:rFonts w:ascii="Arial" w:hAnsi="Arial" w:cs="Arial"/>
          <w:color w:val="000000" w:themeColor="text1"/>
          <w:lang w:val="en-US"/>
        </w:rPr>
      </w:pPr>
    </w:p>
    <w:p w:rsidR="00A969C6" w:rsidRPr="003A751C"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BASIC COLLISION PRINCIPLES APPLICABLE TO COMMITMENTS FROM UNFEATURE COMPETITION</w:t>
      </w:r>
    </w:p>
    <w:p w:rsidR="00A969C6" w:rsidRPr="00DA76A7" w:rsidRDefault="00A969C6" w:rsidP="00A969C6">
      <w:pPr>
        <w:shd w:val="clear" w:color="auto" w:fill="FFFFFF"/>
        <w:jc w:val="both"/>
        <w:rPr>
          <w:rFonts w:ascii="Arial" w:hAnsi="Arial" w:cs="Arial"/>
          <w:b/>
          <w:bCs/>
          <w:i/>
          <w:iCs/>
          <w:color w:val="000000" w:themeColor="text1"/>
          <w:sz w:val="22"/>
          <w:szCs w:val="22"/>
          <w:lang w:val="en-US"/>
        </w:rPr>
      </w:pPr>
    </w:p>
    <w:p w:rsidR="00A969C6" w:rsidRPr="00DA76A7" w:rsidRDefault="00A969C6" w:rsidP="00A969C6">
      <w:pPr>
        <w:pStyle w:val="ac"/>
        <w:jc w:val="center"/>
        <w:rPr>
          <w:rFonts w:ascii="Arial" w:hAnsi="Arial" w:cs="Arial"/>
          <w:b/>
          <w:color w:val="000000" w:themeColor="text1"/>
          <w:lang w:val="en-US"/>
        </w:rPr>
      </w:pPr>
      <w:r w:rsidRPr="00DA76A7">
        <w:rPr>
          <w:rFonts w:ascii="Arial" w:hAnsi="Arial" w:cs="Arial"/>
          <w:b/>
          <w:color w:val="000000" w:themeColor="text1"/>
          <w:lang w:val="en-US"/>
        </w:rPr>
        <w:t>Azizov Firuz Hayriddinovich</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full-time department of the faculty of law</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Russian-Tajik (Slavonic) university</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734025, Republic of Tajikistan, Dushanbe, M. Tursunzade str., 30</w:t>
      </w:r>
    </w:p>
    <w:p w:rsidR="00A969C6" w:rsidRPr="00DA76A7" w:rsidRDefault="00A969C6" w:rsidP="00A969C6">
      <w:pPr>
        <w:pStyle w:val="ac"/>
        <w:jc w:val="center"/>
        <w:rPr>
          <w:rStyle w:val="af0"/>
          <w:rFonts w:ascii="Arial" w:hAnsi="Arial" w:cs="Arial"/>
          <w:color w:val="000000" w:themeColor="text1"/>
          <w:u w:val="none"/>
          <w:lang w:val="en-US"/>
        </w:rPr>
      </w:pPr>
      <w:r w:rsidRPr="00DA76A7">
        <w:rPr>
          <w:rFonts w:ascii="Arial" w:hAnsi="Arial" w:cs="Arial"/>
          <w:color w:val="000000" w:themeColor="text1"/>
          <w:lang w:val="en-US"/>
        </w:rPr>
        <w:t xml:space="preserve">tel.: 987-24-18-19, </w:t>
      </w:r>
      <w:r w:rsidRPr="00DA76A7">
        <w:rPr>
          <w:rFonts w:ascii="Arial" w:hAnsi="Arial" w:cs="Arial"/>
          <w:color w:val="000000" w:themeColor="text1"/>
        </w:rPr>
        <w:t>е</w:t>
      </w:r>
      <w:r w:rsidRPr="00DA76A7">
        <w:rPr>
          <w:rFonts w:ascii="Arial" w:hAnsi="Arial" w:cs="Arial"/>
          <w:color w:val="000000" w:themeColor="text1"/>
          <w:lang w:val="en-US"/>
        </w:rPr>
        <w:t xml:space="preserve">-mail: </w:t>
      </w:r>
      <w:hyperlink r:id="rId16" w:history="1">
        <w:r w:rsidRPr="00DA76A7">
          <w:rPr>
            <w:rStyle w:val="af0"/>
            <w:rFonts w:ascii="Arial" w:hAnsi="Arial" w:cs="Arial"/>
            <w:color w:val="000000" w:themeColor="text1"/>
            <w:u w:val="none"/>
            <w:lang w:val="en-US"/>
          </w:rPr>
          <w:t>f.azizov@hotmail.com</w:t>
        </w:r>
      </w:hyperlink>
    </w:p>
    <w:p w:rsidR="00A969C6" w:rsidRPr="00DA76A7" w:rsidRDefault="00A969C6" w:rsidP="00A969C6">
      <w:pPr>
        <w:pStyle w:val="ac"/>
        <w:ind w:firstLine="567"/>
        <w:jc w:val="center"/>
        <w:rPr>
          <w:rFonts w:ascii="Arial" w:hAnsi="Arial" w:cs="Arial"/>
          <w:color w:val="000000" w:themeColor="text1"/>
          <w:lang w:val="en-US"/>
        </w:rPr>
      </w:pPr>
    </w:p>
    <w:p w:rsidR="00A969C6" w:rsidRPr="00DA76A7" w:rsidRDefault="00A969C6" w:rsidP="00A969C6">
      <w:pPr>
        <w:pStyle w:val="ac"/>
        <w:ind w:firstLine="567"/>
        <w:jc w:val="right"/>
        <w:rPr>
          <w:rFonts w:ascii="Arial" w:hAnsi="Arial" w:cs="Arial"/>
          <w:color w:val="000000" w:themeColor="text1"/>
        </w:rPr>
      </w:pPr>
      <w:r w:rsidRPr="00DA76A7">
        <w:rPr>
          <w:rFonts w:ascii="Arial" w:hAnsi="Arial" w:cs="Arial"/>
          <w:color w:val="000000" w:themeColor="text1"/>
        </w:rPr>
        <w:t>Научный руководитель: к.ю.н., доцент Имомова Н.М.</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p>
    <w:p w:rsidR="00A969C6" w:rsidRPr="00DA76A7" w:rsidRDefault="00B46B9E" w:rsidP="00A969C6">
      <w:pPr>
        <w:tabs>
          <w:tab w:val="left" w:pos="851"/>
        </w:tabs>
        <w:ind w:firstLine="567"/>
        <w:jc w:val="both"/>
        <w:rPr>
          <w:rFonts w:ascii="Arial" w:hAnsi="Arial" w:cs="Arial"/>
          <w:i/>
          <w:color w:val="000000" w:themeColor="text1"/>
          <w:sz w:val="22"/>
          <w:szCs w:val="22"/>
          <w:shd w:val="clear" w:color="auto" w:fill="FFFFFF"/>
        </w:rPr>
      </w:pPr>
      <w:r w:rsidRPr="00DA76A7">
        <w:rPr>
          <w:rFonts w:ascii="Arial" w:hAnsi="Arial" w:cs="Arial"/>
          <w:b/>
          <w:i/>
          <w:color w:val="000000" w:themeColor="text1"/>
          <w:sz w:val="22"/>
          <w:szCs w:val="22"/>
          <w:shd w:val="clear" w:color="auto" w:fill="FFFFFF"/>
        </w:rPr>
        <w:t>Аннотация.</w:t>
      </w:r>
      <w:r w:rsidR="00A969C6" w:rsidRPr="00DA76A7">
        <w:rPr>
          <w:rFonts w:ascii="Arial" w:hAnsi="Arial" w:cs="Arial"/>
          <w:i/>
          <w:color w:val="000000" w:themeColor="text1"/>
          <w:sz w:val="22"/>
          <w:szCs w:val="22"/>
          <w:shd w:val="clear" w:color="auto" w:fill="FFFFFF"/>
        </w:rPr>
        <w:t xml:space="preserve"> В данной статье рассматриваются основные коллизионные принципы, которые применяются к обязательствам вследствие недобросовестной конкуренции, проводится сравнительно-правовой анализ коллизионных привязок, указанных в Гражданском кодексе Республики Таджикистан и некоторых стран Европы.</w:t>
      </w:r>
    </w:p>
    <w:p w:rsidR="00A969C6" w:rsidRPr="00DA76A7" w:rsidRDefault="00081412" w:rsidP="00A969C6">
      <w:pPr>
        <w:tabs>
          <w:tab w:val="left" w:pos="851"/>
        </w:tabs>
        <w:ind w:firstLine="567"/>
        <w:jc w:val="both"/>
        <w:rPr>
          <w:rFonts w:ascii="Arial" w:hAnsi="Arial" w:cs="Arial"/>
          <w:b/>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Annotation.</w:t>
      </w:r>
      <w:r w:rsidR="00A969C6" w:rsidRPr="00DA76A7">
        <w:rPr>
          <w:rFonts w:ascii="Arial" w:hAnsi="Arial" w:cs="Arial"/>
          <w:b/>
          <w:i/>
          <w:color w:val="000000" w:themeColor="text1"/>
          <w:sz w:val="22"/>
          <w:szCs w:val="22"/>
          <w:shd w:val="clear" w:color="auto" w:fill="FFFFFF"/>
          <w:lang w:val="en-US"/>
        </w:rPr>
        <w:t xml:space="preserve"> </w:t>
      </w:r>
      <w:r w:rsidR="00A969C6" w:rsidRPr="00DA76A7">
        <w:rPr>
          <w:rFonts w:ascii="Arial" w:hAnsi="Arial" w:cs="Arial"/>
          <w:i/>
          <w:color w:val="000000" w:themeColor="text1"/>
          <w:sz w:val="22"/>
          <w:szCs w:val="22"/>
          <w:shd w:val="clear" w:color="auto" w:fill="FFFFFF"/>
          <w:lang w:val="en-US"/>
        </w:rPr>
        <w:t>This article examines the main conflict principles, which are applied to obligations due to unfair competition, a comparative legal analysis of the conflict bindings specified in the Civil Code of the Republic of Tajikistan and some European countries is carried out.</w:t>
      </w:r>
    </w:p>
    <w:p w:rsidR="00A969C6" w:rsidRPr="00DA76A7" w:rsidRDefault="00A969C6" w:rsidP="00A969C6">
      <w:pPr>
        <w:tabs>
          <w:tab w:val="left" w:pos="851"/>
        </w:tabs>
        <w:ind w:firstLine="567"/>
        <w:jc w:val="both"/>
        <w:rPr>
          <w:rFonts w:ascii="Arial" w:hAnsi="Arial" w:cs="Arial"/>
          <w:i/>
          <w:color w:val="000000" w:themeColor="text1"/>
          <w:sz w:val="22"/>
          <w:szCs w:val="22"/>
          <w:shd w:val="clear" w:color="auto" w:fill="FFFFFF"/>
        </w:rPr>
      </w:pPr>
      <w:r w:rsidRPr="00DA76A7">
        <w:rPr>
          <w:rFonts w:ascii="Arial" w:hAnsi="Arial" w:cs="Arial"/>
          <w:b/>
          <w:i/>
          <w:color w:val="000000" w:themeColor="text1"/>
          <w:sz w:val="22"/>
          <w:szCs w:val="22"/>
          <w:shd w:val="clear" w:color="auto" w:fill="FFFFFF"/>
        </w:rPr>
        <w:t xml:space="preserve">Ключевые слова: </w:t>
      </w:r>
      <w:r w:rsidRPr="00DA76A7">
        <w:rPr>
          <w:rFonts w:ascii="Arial" w:hAnsi="Arial" w:cs="Arial"/>
          <w:i/>
          <w:color w:val="000000" w:themeColor="text1"/>
          <w:sz w:val="22"/>
          <w:szCs w:val="22"/>
          <w:shd w:val="clear" w:color="auto" w:fill="FFFFFF"/>
        </w:rPr>
        <w:t>недобросовестная конкуренция, коллизионная привязка, Таджикистан, Лихтенштейн, Швейцария, Европейский союз.</w:t>
      </w:r>
    </w:p>
    <w:p w:rsidR="00A969C6" w:rsidRPr="00DA76A7" w:rsidRDefault="00A969C6" w:rsidP="00A969C6">
      <w:pPr>
        <w:tabs>
          <w:tab w:val="left" w:pos="851"/>
        </w:tabs>
        <w:ind w:firstLine="567"/>
        <w:jc w:val="both"/>
        <w:rPr>
          <w:rFonts w:ascii="Arial" w:hAnsi="Arial" w:cs="Arial"/>
          <w:b/>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 xml:space="preserve">Key words: </w:t>
      </w:r>
      <w:r w:rsidRPr="00DA76A7">
        <w:rPr>
          <w:rFonts w:ascii="Arial" w:hAnsi="Arial" w:cs="Arial"/>
          <w:i/>
          <w:color w:val="000000" w:themeColor="text1"/>
          <w:sz w:val="22"/>
          <w:szCs w:val="22"/>
          <w:shd w:val="clear" w:color="auto" w:fill="FFFFFF"/>
          <w:lang w:val="en-US"/>
        </w:rPr>
        <w:t>unfair competition, conflict-binding, Tajikistan, Liechtenstein, Switzerland, the European Union.</w:t>
      </w:r>
    </w:p>
    <w:p w:rsidR="00A969C6" w:rsidRPr="00DA76A7" w:rsidRDefault="00A969C6" w:rsidP="00A969C6">
      <w:pPr>
        <w:pStyle w:val="a7"/>
        <w:shd w:val="clear" w:color="auto" w:fill="FFFFFF"/>
        <w:tabs>
          <w:tab w:val="left" w:pos="851"/>
        </w:tabs>
        <w:spacing w:before="0" w:beforeAutospacing="0" w:after="0" w:afterAutospacing="0"/>
        <w:ind w:firstLine="567"/>
        <w:jc w:val="both"/>
        <w:textAlignment w:val="baseline"/>
        <w:rPr>
          <w:rFonts w:ascii="Arial" w:hAnsi="Arial" w:cs="Arial"/>
          <w:color w:val="000000" w:themeColor="text1"/>
          <w:sz w:val="22"/>
          <w:szCs w:val="22"/>
          <w:lang w:val="en-US"/>
        </w:rPr>
      </w:pPr>
    </w:p>
    <w:p w:rsidR="00A969C6" w:rsidRPr="00DA76A7" w:rsidRDefault="00A969C6" w:rsidP="00A969C6">
      <w:pPr>
        <w:pStyle w:val="a7"/>
        <w:shd w:val="clear" w:color="auto" w:fill="FFFFFF"/>
        <w:tabs>
          <w:tab w:val="left" w:pos="851"/>
        </w:tabs>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Частью третьей ГК РТ впервые в коллизионное право Республики Таджикистан была введена норма (ст. 1228), определяющая право, подлежащее применению к обязательствам, возникающим вследствие недобросовестной конкуренции.</w:t>
      </w:r>
    </w:p>
    <w:p w:rsidR="00A969C6" w:rsidRPr="00DA76A7" w:rsidRDefault="00A969C6" w:rsidP="00A969C6">
      <w:pPr>
        <w:pStyle w:val="a7"/>
        <w:shd w:val="clear" w:color="auto" w:fill="FFFFFF"/>
        <w:tabs>
          <w:tab w:val="left" w:pos="851"/>
        </w:tabs>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Если в предыдущей редакции ГК РТ ст. 1222 именовалась «Право, подлежащее применению к обязательствам, возникающим вследствие недобросовестной конкуренции», то в новой редакции как наименование, так и содержание коллизионной нормы изменены на «Право, подлежащее применению к обязательствам, возникающим вследствие недобросовестной конкуренции и ограничения конкуренции». Изменения отражают общую тенденцию коллизионного регулирования обязательств, возникающих вследствие недобросовестной конкуренции и ограничения конкуренции, закрепленную в Регламенте ЕС «Рим II» (ст. 6).</w:t>
      </w:r>
    </w:p>
    <w:p w:rsidR="00A969C6" w:rsidRPr="00DA76A7" w:rsidRDefault="00A969C6" w:rsidP="00A969C6">
      <w:pPr>
        <w:pStyle w:val="a7"/>
        <w:shd w:val="clear" w:color="auto" w:fill="FFFFFF"/>
        <w:tabs>
          <w:tab w:val="left" w:pos="851"/>
        </w:tabs>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Действие ст. 1222 ГК РТ включает в себя не только обязательства, которые возникли вследствие недобросовестной конкуренции, но в том числе распространяется на обязательства, которые возникли при ограничении конкуренции.</w:t>
      </w:r>
    </w:p>
    <w:p w:rsidR="00A969C6" w:rsidRPr="00DA76A7" w:rsidRDefault="00A969C6" w:rsidP="00A969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Формы проявления этого объема весьма сложны и разнообразны. Если в Парижской конвенции по охране промышленной собственности 1883 г. содержится примерный перечень действий (актов) недобросовестных конкурентных действий, то статья 9. Антимонопольного Закона РТ выделяет следующие формы недобросовестной конкуренции:</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изъятие товаров из обращения, целью и результатом которого является создание или поддержание дефицита на рынке, либо повышение цен;</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навязывание сторонам условий договора, не выгодных для них или не относящихся к предмету договора (необоснованные требования передачи финансовых средств, иного имущества, имущественных прав, рабочей силы, согласие заключить договор лишь при условии внесения в него положений, касающихся товаров, в которых стороны договора, в том числе потребитель, не заинтересованы и другие требования);</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внесение в договор дискриминирующих условий, которые ставят стороны договора в неравное положение относительно к другим хозяйствующим субъектам;</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препятствование другим хозяйствующим субъектам при вхождении в рынок (при выходе из рынка);</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нарушение установленного нормативными правовыми актами порядка ценообразования;</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установление и поддержание монопольно высоких (низких) цен;</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установление различных цен (тарифов), которые для покупателей одного и того же товара являются необоснованными с экономической, технической и другой точки зрения;</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создание дискриминирующих условий;</w:t>
      </w:r>
    </w:p>
    <w:p w:rsidR="00A969C6" w:rsidRPr="00DA76A7" w:rsidRDefault="00A969C6" w:rsidP="00A969C6">
      <w:pPr>
        <w:pStyle w:val="a7"/>
        <w:numPr>
          <w:ilvl w:val="0"/>
          <w:numId w:val="7"/>
        </w:numPr>
        <w:shd w:val="clear" w:color="auto" w:fill="F9F9F9"/>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необоснованное сокращение или прекращение производства товаров, на которые имеются спрос или заказы потребителей, если существует возможность их безубыточного производства;</w:t>
      </w:r>
    </w:p>
    <w:p w:rsidR="00A969C6" w:rsidRPr="00DA76A7" w:rsidRDefault="00A969C6" w:rsidP="00A969C6">
      <w:pPr>
        <w:pStyle w:val="a7"/>
        <w:numPr>
          <w:ilvl w:val="0"/>
          <w:numId w:val="7"/>
        </w:numPr>
        <w:shd w:val="clear" w:color="auto" w:fill="F9F9F9"/>
        <w:tabs>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необоснованный отказ от заключения договора с отдельными покупателями (заказчиками) при наличии возможности производства или поставки соответствующего товара;</w:t>
      </w:r>
    </w:p>
    <w:p w:rsidR="00A969C6" w:rsidRPr="00DA76A7" w:rsidRDefault="00A969C6" w:rsidP="00A969C6">
      <w:pPr>
        <w:pStyle w:val="a7"/>
        <w:numPr>
          <w:ilvl w:val="0"/>
          <w:numId w:val="7"/>
        </w:numPr>
        <w:shd w:val="clear" w:color="auto" w:fill="F9F9F9"/>
        <w:tabs>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введение цен (тарифов) и внесение соответствующих изменений в них без предварительного уведомления (предоставления информации) государственного антимонопольного органа.</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Определяя объем коллизионной нормы ст. 1228 ГК РТ, следует разграничивать недобросовестную конкуренцию от действий ограничивающих конкуренцию. К подобным действиям в антимонопольном законе Республики Таджикистан относятся соглашения между хозяйствующими субъектами, являющимися конкурентами, которые занимаются предпринимательской деятельностью на одном товарном рынке, если данные соглашения по своему характеру приводят или могут привести к установлению либо поддержанию цен, надбавок, наценок; повышению, снижению или поддержанию цен на торгах;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 сокращению или прекращению производства товаров; отказу от заключения договоров с определенными продавцами или покупателями (заказчиками). К ограничительной конкурентной практике отнесены «вертикальные» соглашения между хозяйствующими субъектами. К особому случаю ограничительной конкурентной практики отнесены соглашения хозяйствующих субъектов оптового и розничного рынка электрической энергии, организаций коммерческой инфраструктуры, организаций технологической инфраструктуры, сетевых организаций, если такие соглашения приводят к манипулированию ценами на оптовом и (или) розничных рынках электрической энергии, а также все иные соглашения между участниками одного товарного рынка, которые приводят к навязыванию контрагентам условий договора, не выгодных для него, к экономически, технологически или иным образом не обоснованному установлению цен на один и тот же товар, созданию препятствий доступу на товарный рынок или выходу из товарного рынка. К ограничительной конкурентной практике Закон относит также не только соглашения, но и согласованные действия хозяйствующих субъектов, ограничивающие конкуренцию[5, 604]. По смыслу ограничительной конкурентной практики к ней относится и злоупотребление доминирующим положением (ст. 10). В большинстве зарубежных стран (Франция, ФРГ, Швейцария, США, Великобритания) ограничительная конкурентная практика отнесена к монополистической деятельности конкурентов, использованию ими своего доминирующего положения.</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Регламенте ЕС «Рим II» специально подчеркивается (п. 22 преамбулы), что «внедоговорные обязательства, возникающие вследствие ограничений конкуренции, охватывают ограничения, установленные как национальным правом стран-участниц, так и правом Сообщества» [3, 4]. К ограничениям конкуренции (п. 23) Регламент относит запреты соглашений между предприятиями, решений объединения предприятий, согласованной практики, имеющих своей целью или следствием создание препятствий, ограничений или искажений конкуренции в стране — участнице Сообщества или на внутреннем рынке Сообщества. К ограничениям конкуренции относится также запрет на злоупотребление доминирующим положением, установленный как национальным законодательством, так и правом Сообщества, в той части, в какой такой запрет предусмотрен Договором об учреждении ЕС. Общая норма о коллизионном регулировании отношений, вытекающих из недобросовестной конкуренции и ограничений конкуренции, сформулированная в ст. 6 Регламента, имеет своей целью защитить конкурентов, потребителей и общество в целом от недобросовестных конкурентных действий и обеспечить надлежащее функционирование рыночной экономики.</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Законе Швейцарии 1987 г. о международном частном праве сформулированы две коллизионные нормы: одна касается права, применимого к требованиям из недобросовестной конкуренции (ст. 136), вторая — к требованиям из ограничения конкуренции (ст. 137).</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Основная</w:t>
      </w:r>
      <w:r w:rsidRPr="00DA76A7">
        <w:rPr>
          <w:rStyle w:val="apple-converted-space"/>
          <w:rFonts w:ascii="Arial" w:hAnsi="Arial" w:cs="Arial"/>
          <w:color w:val="000000" w:themeColor="text1"/>
          <w:sz w:val="22"/>
          <w:szCs w:val="22"/>
        </w:rPr>
        <w:t> </w:t>
      </w:r>
      <w:r w:rsidRPr="00DA76A7">
        <w:rPr>
          <w:rStyle w:val="ab"/>
          <w:rFonts w:ascii="Arial" w:hAnsi="Arial" w:cs="Arial"/>
          <w:b w:val="0"/>
          <w:color w:val="000000" w:themeColor="text1"/>
          <w:sz w:val="22"/>
          <w:szCs w:val="22"/>
          <w:bdr w:val="none" w:sz="0" w:space="0" w:color="auto" w:frame="1"/>
        </w:rPr>
        <w:t>коллизионная привязка</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ст. 1228 ГК РТ отсылает к праву страны, рынок которой затронут такой конкуренцией, если иное не вытекает из закона или существа обязательства. Так как вред причиненный недобросовестной конкуренцией или ограничительной практикой является деликтным обязательством, логично было бы предположить, что коллизионной привязкой должно быть право страны, в которой явилось данная недобросовестная конкуренция или ограничительная практика, которое служит основанием для требования возмещения вреда либо место наступления вреда. Однако такая общая формула прикрепления не отражает специфики возникновения обязательств по возмещению вреда в сфере конкурентных отношений. Для обязательств возникающих вследствие недобросовестной конкуренции не важно место, где было совершено данное действие. Учитывается рынок, который затронут такой конкуренцией, если иное не указано в законе. Норма ст. 1228 ГК РТ, равно как и аналогичные коллизионные нормы зарубежного законодательства, не дает разъяснений, что следует понимать под таким рынком.</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Дополнительной коллизионной привязкой (абз. 2 п. 1 ст. 1228 ГК РТ) применительно к обязательствам, возникающим вследствие недобросовестной конкуренции (причинение вреда), введено новое коллизионное правило, применимое в том случае, если недобросовестная конкуренция затрагивает исключительно интересы отдельного лица. Тогда применимое право определяется по коллизионным правилам, касающимся деликтных обязательств (ст. 1225 ГК РТ). </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Напротив, хозяйствующие субъекты — участники конкурентных отношений не вправе совершать выбор права, применимого к обязательствам, возникающим вследствие недобросовестной конкуренции и ограничения конкуренции (п. 3 ст. 1228 ГК РТ), и, следовательно, коллизионная норма ст. 1228 ГК РТ, за одним исключением, носит императивный характер.</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зарубежном праве формула прикрепления коллизионных норм, применяемых к требованиям из недобросовестной конкуренции, формулируется как «право государства, на рынке которого наступили вредные последствия» (ч. 1 ст. 136 Закона Швейцарии 1987 г. «О международном частном праве») [2, 8]; «право того государства, на чей рынок конкуренция оказывает влияние» (ч. 2 § 48 Закона Австрии 1978 г. «О международном частном праве»); «право того государства, на чей рынок конкуренция оказывает влияние» (ч. 2 ст. 52 Закона Лихтенштейна 1996 г. «О международном частном праве») [1, 13].</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отличие от национального законодательства коллизионная привязка ч. 1 ст. 6 Регламента ЕС «Рим II» сформулирована гораздо шире: «к внедоговорным обязательствам, возникающим из недобросовестной конкуренции, применяется право страны, в которой затронуты или могут быть затронуты конкурентные отношения или коллективные интересы потребителей». К отношениям, возникающим из ограничений конкуренции, применяется право страны, рынок которой затронут или может быть затронут подобным действием (ч. 3 (a) ст. 6). Эта коллизионная привязка совпадает с теми, которые применяются и в национальном законодательстве зарубежных стран. Однако Регламент «Рим II» вводит дополнительную формулу прикрепления к обязательствам, возникающим из ограничений конкуренции. Если затронут или может быть затронут рынок нескольких стран, лицо, требующее возмещения вреда в суде по месту нахождения ответчика (причинителя вреда), вправе выбрать в качестве применимого право страны суда, при условии, что рынок этой страны относится к числу рынков, прямо и существенным образом затронутых ограничением конкуренции, из которого возникло обязательство, служащее основанием иска. При наличии нескольких ответчиков, привлекаемых в соответствии с правилами подсудности страны суда, истец вправе выбрать право страны суда лишь в том случае, когда ограничение конкуренции, в отношении которого предъявлен иск к каждому из ответчиков, прямо и существенным образом затрагивает также рынок в стране — участнице Сообщества, в которой находится суд.</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Коллизионная норма ст. 6 Регламента «Рим II» не допускает автономии воли сторон выбрать иное применимое право и тем самым имеет императивный характер.</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Несмотря на то что коллизионная привязка, отсылающая к применимому праву «страны, рынок которой затронут или может быть затронут недобросовестным конкурентным действием», наполнилась в Регламенте «Рим II» более сложным содержанием, она не раскрывает понятия «рынок». Точно так же ни российское, ни таджикское, ни зарубежное национальное коллизионное право этого понятия не раскрывают. Следует ли понимать, что коллизионная привязка под «рынком» подразумевает территориальный рынок, поскольку отсылка осуществляется к праву того государства, «рынок которого затронут недобросовестной конкуренцией», «на котором наступили вредоносные последствия», «на который недобросовестная конкуренция оказывает влияние»? Логично, что понятие «рынок» следует искать в материальном праве государства, учитывая при этом, что субъекты конкурентных отношений необязательно должны выступать на этом рынке сообща. Воздействие на затронутый недобросовестной конкуренцией рынок происходит и в ситуации, когда хозяйствующие субъекты осуществляют товарную интервенцию, обладающую признаками недобросовестной конкуренции, или применяют недобросовестную конкуренцию иным способом.</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Сфера применения закона РТ «О защите конкуренции» от 2017 г. ст. 12 круг лиц затрагивающих данные отношения, в которых входят юридические лица, частные предприниматели, государственные органы, органы местного самоуправления и другие. Ст. 15 указанного Закона дает следующее понятие товарного рынка: под товарным рынком понимается сфера обращения товара, в том числе товара иностранного производства, который не может быть заменен другим товаром, или взаимозаменяемых товаров, в границах которой, исходя из экономической, технической или иной возможности либо целесообразности, приобретатель может приобрести товар, и такая возможность либо целесообразность отсутствует за ее пределами. Товарным рынком в Республике Таджикистан считается территориальный рынок определенного товара, не имеющего заменителей. Соответственно, применительно к конкурентным отношениям для определения рынка используется не только территориальный, но и товарный признак, что позволяет точнее выяснить привязку обязательства, возникающего вследствие недобросовестной конкуренции, к географическому рынку, который затронут конкуренцией.</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Коллизионная привязка ст. 1228 ГК РТ не исключает применения к требованиям из недобросовестной конкуренции и ограничения конкуренции права иного государства, если это вытекает из закона или существа обязательства.</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Регулирование конкурентных отношений в любом государстве предусматривает наличие императивных норм, содержащих запреты действий (бездействия), нарушающих свободу конкуренции, и недобросовестную конкуренцию. Эти запреты адресованы не только хозяйствующим субъектам, но и органам исполнительной власти, местного самоуправления. Запрет на принятие актов и (или) осуществление действий (бездействия), которые приводят или могут привести к недопущению, ограничению, устранению конкуренции, адресован ст. 15 Закона РТ «О защите конкуренции» от 2017 г. органам местного самоуправления, иным осуществляющим функции указанных органов органам и организациям. Императивная норма ст. ст. 10, 11, 11.1, 14 того же Закона содержит запреты, адресованные хозяйствующим субъектам. Подобные запреты и ограничения могут содержаться и в законодательстве зарубежных стран. Вследствие этого не исключается применение положений ст. 1192 ГК РТ о применении императивных норм.</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Законом Швейцарии установлено, что право страны рынок которой затронут недобросовестной конкуренцией или ограничительной практикой, может применяться иное право, если это вытекает из обязательства [4, 377]. Законом Швейцарии 1987 г. о международном частном праве предусмотрен случай возмещения вреда, причиненного недобросовестной конкуренцией, если между участниками конкурентных отношений существуют договорные отношения (ч. 3 ст. 136, ч. 3 ст. 133). В подобном случае к требованию, основанному на противоправном действии, нарушающем существующее между причинителем вреда и потерпевшим правоотношение, применяется право, применимое к этому правоотношению. К обязательствам из недобросовестной конкуренции, затрагивающей интересы не всего рынка, а отдельного предприятия, подлежит применению право места нахождения этого предприятия (ч. 2 ст. 136).</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отличие от содержания коллизионных норм национального права стран-участниц (и права стран, не входящих в Сообщество) Регламент ЕС «Рим II» предписывает применение общего коллизионного начала к обязательствам из причинения вреда права страны, в которой наступил вред, если действие недобросовестной конкуренции привело к возникновению вреда у одного отдельного конкурента. В этом случае право страны, в которой наступил вред, применяется независимо от того, в какой стране имело место действие, в результате которого такой вред возник, и независимо от того, в какой стране или странах возникли косвенные последствия такого вреда (ч. 1 ст. 4). Однако, если лицо, причинившее вред, и лицо, которому вред причинен, на момент возникновения вреда имели обычное место жительства в одной и той же стране, применяется право этой страны (ч. 2 ст. 4). Регламент также допускает применение коллизионной привязки «более тесной связи», если из обстоятельств вытекает, что причинение вреда имеет явно более тесную связь с другой страной, чем страна, в которой вред возник, или страна общего места жительства причинителя вреда и лица, потерпевшего вред.</w:t>
      </w: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tabs>
          <w:tab w:val="left" w:pos="851"/>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Закон Лихтенштейна «О международном частном праве» 1996 г. [Электронный ресурс]. - Режим доступа: </w:t>
      </w:r>
      <w:hyperlink r:id="rId17" w:history="1">
        <w:r w:rsidRPr="00DA76A7">
          <w:rPr>
            <w:rStyle w:val="af0"/>
            <w:rFonts w:ascii="Arial" w:hAnsi="Arial" w:cs="Arial"/>
            <w:color w:val="000000" w:themeColor="text1"/>
            <w:sz w:val="22"/>
            <w:szCs w:val="22"/>
            <w:u w:val="none"/>
          </w:rPr>
          <w:t>https://pravo.hse.ru/intprilaw/doc/042801</w:t>
        </w:r>
      </w:hyperlink>
      <w:r w:rsidRPr="00DA76A7">
        <w:rPr>
          <w:rFonts w:ascii="Arial" w:hAnsi="Arial" w:cs="Arial"/>
          <w:color w:val="000000" w:themeColor="text1"/>
          <w:sz w:val="22"/>
          <w:szCs w:val="22"/>
        </w:rPr>
        <w:t xml:space="preserve"> (дата обращения 27.03.2018).</w:t>
      </w:r>
    </w:p>
    <w:p w:rsidR="00A969C6" w:rsidRPr="00DA76A7" w:rsidRDefault="00A969C6" w:rsidP="00A969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Закон Швейцарии «О международном частном праве» 1987 г. [Электронный ресурс]. - Режим доступа: </w:t>
      </w:r>
      <w:hyperlink r:id="rId18" w:history="1">
        <w:r w:rsidRPr="00DA76A7">
          <w:rPr>
            <w:rStyle w:val="af0"/>
            <w:rFonts w:ascii="Arial" w:hAnsi="Arial" w:cs="Arial"/>
            <w:color w:val="000000" w:themeColor="text1"/>
            <w:sz w:val="22"/>
            <w:szCs w:val="22"/>
            <w:u w:val="none"/>
          </w:rPr>
          <w:t>https://pravo.hse.ru/intprilaw/doc/042901</w:t>
        </w:r>
      </w:hyperlink>
      <w:r w:rsidRPr="00DA76A7">
        <w:rPr>
          <w:rFonts w:ascii="Arial" w:hAnsi="Arial" w:cs="Arial"/>
          <w:color w:val="000000" w:themeColor="text1"/>
          <w:sz w:val="22"/>
          <w:szCs w:val="22"/>
        </w:rPr>
        <w:t xml:space="preserve"> (дата обращения 27.03.2018).</w:t>
      </w:r>
    </w:p>
    <w:p w:rsidR="00A969C6" w:rsidRPr="00DA76A7" w:rsidRDefault="00A969C6" w:rsidP="00A969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Регламенте ЕС «Рим II», 2007 г. [Электронный ресурс]. - Режим доступа: </w:t>
      </w:r>
      <w:hyperlink r:id="rId19" w:history="1">
        <w:r w:rsidRPr="00DA76A7">
          <w:rPr>
            <w:rStyle w:val="af0"/>
            <w:rFonts w:ascii="Arial" w:hAnsi="Arial" w:cs="Arial"/>
            <w:color w:val="000000" w:themeColor="text1"/>
            <w:sz w:val="22"/>
            <w:szCs w:val="22"/>
            <w:u w:val="none"/>
          </w:rPr>
          <w:t>http://eulaw.edu.ru/documents/legislation/collision/vnedogovornoe.htm</w:t>
        </w:r>
      </w:hyperlink>
      <w:r w:rsidRPr="00DA76A7">
        <w:rPr>
          <w:rStyle w:val="af0"/>
          <w:rFonts w:ascii="Arial" w:hAnsi="Arial" w:cs="Arial"/>
          <w:color w:val="000000" w:themeColor="text1"/>
          <w:sz w:val="22"/>
          <w:szCs w:val="22"/>
          <w:u w:val="none"/>
        </w:rPr>
        <w:t xml:space="preserve"> (дата обращения 27.03.2018).</w:t>
      </w:r>
    </w:p>
    <w:p w:rsidR="00A969C6" w:rsidRPr="00DA76A7" w:rsidRDefault="00A969C6" w:rsidP="00A969C6">
      <w:pPr>
        <w:tabs>
          <w:tab w:val="left" w:pos="851"/>
        </w:tabs>
        <w:ind w:firstLine="567"/>
        <w:jc w:val="both"/>
        <w:rPr>
          <w:rStyle w:val="130"/>
          <w:rFonts w:ascii="Arial" w:eastAsiaTheme="minorEastAsia" w:hAnsi="Arial" w:cs="Arial"/>
          <w:i w:val="0"/>
          <w:iCs w:val="0"/>
          <w:color w:val="000000" w:themeColor="text1"/>
          <w:sz w:val="22"/>
          <w:szCs w:val="22"/>
        </w:rPr>
      </w:pPr>
      <w:r w:rsidRPr="00DA76A7">
        <w:rPr>
          <w:rStyle w:val="130"/>
          <w:rFonts w:ascii="Arial" w:eastAsia="Arial Unicode MS" w:hAnsi="Arial" w:cs="Arial"/>
          <w:i w:val="0"/>
          <w:color w:val="000000" w:themeColor="text1"/>
          <w:sz w:val="22"/>
          <w:szCs w:val="22"/>
        </w:rPr>
        <w:t>4. Боденхаузен Г.</w:t>
      </w:r>
      <w:r w:rsidRPr="00DA76A7">
        <w:rPr>
          <w:rStyle w:val="131"/>
          <w:rFonts w:ascii="Arial" w:eastAsiaTheme="minorHAnsi" w:hAnsi="Arial" w:cs="Arial"/>
          <w:color w:val="000000" w:themeColor="text1"/>
          <w:sz w:val="22"/>
          <w:szCs w:val="22"/>
        </w:rPr>
        <w:t xml:space="preserve"> Парижская конвенция по охране промышленной собственности. Комментарий. - М., 1977. - 377 c</w:t>
      </w:r>
    </w:p>
    <w:p w:rsidR="00A969C6" w:rsidRPr="00DA76A7" w:rsidRDefault="00A969C6" w:rsidP="00A969C6">
      <w:pPr>
        <w:tabs>
          <w:tab w:val="left" w:pos="851"/>
        </w:tabs>
        <w:ind w:firstLine="567"/>
        <w:jc w:val="both"/>
        <w:rPr>
          <w:rFonts w:ascii="Arial" w:hAnsi="Arial" w:cs="Arial"/>
          <w:color w:val="000000" w:themeColor="text1"/>
          <w:sz w:val="22"/>
          <w:szCs w:val="22"/>
        </w:rPr>
      </w:pPr>
      <w:r w:rsidRPr="00DA76A7">
        <w:rPr>
          <w:rStyle w:val="130"/>
          <w:rFonts w:ascii="Arial" w:eastAsia="Arial Unicode MS" w:hAnsi="Arial" w:cs="Arial"/>
          <w:i w:val="0"/>
          <w:color w:val="000000" w:themeColor="text1"/>
          <w:sz w:val="22"/>
          <w:szCs w:val="22"/>
        </w:rPr>
        <w:t>5. Богуславский М.М.</w:t>
      </w:r>
      <w:r w:rsidRPr="00DA76A7">
        <w:rPr>
          <w:rStyle w:val="131"/>
          <w:rFonts w:ascii="Arial" w:eastAsiaTheme="minorHAnsi" w:hAnsi="Arial" w:cs="Arial"/>
          <w:color w:val="000000" w:themeColor="text1"/>
          <w:sz w:val="22"/>
          <w:szCs w:val="22"/>
        </w:rPr>
        <w:t xml:space="preserve"> Международное частное право: учебник. -  М., 2005. - 604 c.</w:t>
      </w:r>
    </w:p>
    <w:p w:rsidR="00A969C6" w:rsidRDefault="00A969C6" w:rsidP="00A969C6">
      <w:pPr>
        <w:tabs>
          <w:tab w:val="left" w:pos="851"/>
        </w:tabs>
        <w:ind w:firstLine="567"/>
        <w:rPr>
          <w:rFonts w:ascii="Arial" w:hAnsi="Arial" w:cs="Arial"/>
          <w:color w:val="000000" w:themeColor="text1"/>
          <w:sz w:val="22"/>
          <w:szCs w:val="22"/>
        </w:rPr>
      </w:pPr>
    </w:p>
    <w:p w:rsidR="000E7DCF" w:rsidRPr="00DA76A7" w:rsidRDefault="000E7DCF" w:rsidP="00A969C6">
      <w:pPr>
        <w:tabs>
          <w:tab w:val="left" w:pos="851"/>
        </w:tabs>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pStyle w:val="11"/>
        <w:spacing w:line="240" w:lineRule="auto"/>
        <w:jc w:val="center"/>
        <w:rPr>
          <w:rFonts w:eastAsia="Times New Roman"/>
          <w:b/>
          <w:color w:val="000000" w:themeColor="text1"/>
        </w:rPr>
      </w:pPr>
      <w:r w:rsidRPr="00DA76A7">
        <w:rPr>
          <w:rFonts w:eastAsia="Times New Roman"/>
          <w:b/>
          <w:color w:val="000000" w:themeColor="text1"/>
        </w:rPr>
        <w:t>ПРОБЛЕМА НАБЛЮДЕНИЯ ЗА РАБОТНИКАМИ В ПРАВОВЫХ ПОЗИЦИЯХ ЕВРОПЕЙСКОГО СУДА ПО ПРАВАМ ЧЕЛОВЕКА</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Акопян Владимир Георгиевич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 3-го курса юридического факультета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Северо-Кавказский филиал «Российский государственный университет правосудия»</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350015, Российская Федерация, г. Краснодар, ул. Янковского, 137</w:t>
      </w:r>
    </w:p>
    <w:p w:rsidR="00A969C6" w:rsidRPr="003A751C"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900-275-76-46, </w:t>
      </w:r>
      <w:r w:rsidRPr="00DA76A7">
        <w:rPr>
          <w:rFonts w:ascii="Arial" w:hAnsi="Arial" w:cs="Arial"/>
          <w:color w:val="000000" w:themeColor="text1"/>
          <w:sz w:val="22"/>
          <w:szCs w:val="22"/>
        </w:rPr>
        <w:t>е</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hyperlink r:id="rId20" w:history="1">
        <w:r w:rsidRPr="00DA76A7">
          <w:rPr>
            <w:rStyle w:val="af0"/>
            <w:rFonts w:ascii="Arial" w:hAnsi="Arial" w:cs="Arial"/>
            <w:color w:val="000000" w:themeColor="text1"/>
            <w:sz w:val="22"/>
            <w:szCs w:val="22"/>
            <w:u w:val="none"/>
            <w:lang w:val="en-US"/>
          </w:rPr>
          <w:t>mr</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mortem</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list</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r w:rsidRPr="003A751C">
        <w:rPr>
          <w:rFonts w:ascii="Arial" w:hAnsi="Arial" w:cs="Arial"/>
          <w:color w:val="000000" w:themeColor="text1"/>
          <w:sz w:val="22"/>
          <w:szCs w:val="22"/>
          <w:lang w:val="en-US"/>
        </w:rPr>
        <w:t xml:space="preserve"> </w:t>
      </w:r>
    </w:p>
    <w:p w:rsidR="000E7DCF" w:rsidRPr="003A751C" w:rsidRDefault="000E7DCF"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PROBLEM OF OBSERVING EMPLOYEES IN THE LEGAL POSITIONS OF THE EUROPEAN COURT OF HUMAN RIGHTS</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Akopyan Vladimir Georgievich</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3rd year student of the law faculty</w:t>
      </w:r>
    </w:p>
    <w:p w:rsidR="00A969C6" w:rsidRPr="00DA76A7" w:rsidRDefault="00A969C6" w:rsidP="00A96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A969C6" w:rsidRPr="00DA76A7" w:rsidRDefault="00A969C6" w:rsidP="00A96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350015, Russian Federation, Krasnodar, Yankovskogo str., 137</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900-275-76-46,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21" w:history="1">
        <w:r w:rsidRPr="00DA76A7">
          <w:rPr>
            <w:rStyle w:val="af0"/>
            <w:rFonts w:ascii="Arial" w:hAnsi="Arial" w:cs="Arial"/>
            <w:color w:val="000000" w:themeColor="text1"/>
            <w:sz w:val="22"/>
            <w:szCs w:val="22"/>
            <w:u w:val="none"/>
            <w:lang w:val="en-US"/>
          </w:rPr>
          <w:t>mr.mortem@list.ru</w:t>
        </w:r>
      </w:hyperlink>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w:t>
      </w:r>
      <w:r w:rsidRPr="00DA76A7">
        <w:rPr>
          <w:rFonts w:ascii="Arial" w:hAnsi="Arial" w:cs="Arial"/>
          <w:i/>
          <w:color w:val="000000" w:themeColor="text1"/>
          <w:sz w:val="22"/>
          <w:szCs w:val="22"/>
        </w:rPr>
        <w:t>Оганесян Т.Д.</w:t>
      </w:r>
    </w:p>
    <w:p w:rsidR="00A969C6" w:rsidRPr="00DA76A7" w:rsidRDefault="00A969C6" w:rsidP="00A969C6">
      <w:pPr>
        <w:ind w:firstLine="567"/>
        <w:jc w:val="right"/>
        <w:rPr>
          <w:rFonts w:ascii="Arial" w:hAnsi="Arial" w:cs="Arial"/>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данной статье рассматриваются основные проблемы, связанные с наблюдением за работниками в правовых позициях Европейского суда по правам человека, а так тенденция развития данных позиций.</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In this article considering the main problems associated with monitoring of workers in the legal positions of the European Court of Human Rights, and the trend in the development of these positions.</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наблюдение за работниками, Европейский суд по правам человека, правовые позиции, работники. </w:t>
      </w:r>
    </w:p>
    <w:p w:rsidR="00A969C6" w:rsidRPr="00DA76A7" w:rsidRDefault="00A969C6" w:rsidP="00A969C6">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monitoring of workers, European Court of Human Rights, legal positions, employees.</w:t>
      </w:r>
    </w:p>
    <w:p w:rsidR="00A969C6" w:rsidRPr="00DA76A7" w:rsidRDefault="00A969C6" w:rsidP="00A969C6">
      <w:pPr>
        <w:pStyle w:val="11"/>
        <w:spacing w:line="240" w:lineRule="auto"/>
        <w:ind w:firstLine="567"/>
        <w:jc w:val="right"/>
        <w:rPr>
          <w:rFonts w:eastAsia="Times New Roman"/>
          <w:b/>
          <w:color w:val="000000" w:themeColor="text1"/>
          <w:lang w:val="en-US"/>
        </w:rPr>
      </w:pP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Сегодня проблемные вопросы в сфере защиты персональных данных в ходе наблюдения за работниками выделены особо остро в практике Европейского суда (далее – ЕСПЧ). Во многом это связано с позиции, согласно которой любое хранение данных касающихся личной жизни является вмешательством.</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Европейский суд – механизм, созданный для защиты прав, гарантированных Европейской Конвенцией по правам человека, ратифицированный 47-ю государствами, являющимися членами Совета Европы, включая РФ. ЕСПЧ предоставляет любому человеку, пострадавшему от действий государства обратится за защитой своих прав, гарантированных Конвенцией. ЕСПЧ занимается расширительным толкованием и применением конвенции.</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 xml:space="preserve">Практика ЕСПЧ в области защиты прав работника на конфиденциальность частной жизни является довольно исчерпывающей и не ограничивается узким кругом дел, в основном, в практике суда главным вопросом ставится, попадает ли хранимая и полученная в ходе наблюдения информация под определение «личная» или «частная» жизнь.  </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Европейская Конвенция в ст. 8 устанавливает право на защиту от сбора и использования персональных данных как составную часть права на уважение частной и семейной жизни, жилища и переписки [1].</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Исключением  в вопросах о защите персональных данных может являться «законное» или «оправданное» [2, 46] вмешательство. Согласно практике ЕСПЧ данную проблему необходимо рассматривать комплексно, так как она состоит из ряда взаимосвязанных вопросов, касающихся ключевых определений.</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 xml:space="preserve"> </w:t>
      </w:r>
      <w:r w:rsidRPr="00DA76A7">
        <w:rPr>
          <w:rFonts w:eastAsia="Times New Roman"/>
          <w:color w:val="000000" w:themeColor="text1"/>
        </w:rPr>
        <w:tab/>
        <w:t>Так, например, в практике ЕСПЧ довольно часто затрагивалось понятие «частная жизнь». Согласно делу  «</w:t>
      </w:r>
      <w:r w:rsidRPr="00DA76A7">
        <w:rPr>
          <w:rFonts w:eastAsia="Times New Roman"/>
          <w:color w:val="000000" w:themeColor="text1"/>
          <w:highlight w:val="white"/>
        </w:rPr>
        <w:t xml:space="preserve">Fernández Martínez v. Spain»  </w:t>
      </w:r>
      <w:r w:rsidRPr="00DA76A7">
        <w:rPr>
          <w:rFonts w:eastAsia="Times New Roman"/>
          <w:color w:val="000000" w:themeColor="text1"/>
        </w:rPr>
        <w:t xml:space="preserve">частная жизнь - широкий термин, не поддающийся исчерпывающему определению, охватывающий физическую и психологическую неприкосновенность человека [3, 109-110]. Поэтому он может охватывать множество аспектов физической и социальной идентичности человека [4, 53].  </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Статья 8 защищает, кроме того, право на личное развитие и право устанавливать и развивать отношения с другими людьми и внешним миром [5].</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Следующим принципиальным вопросом является интерес общества и интересы личности [6, 29],  а именно: что является с точки зрения суда нарушением права на частную жизнь путем несанкционированного сбора и обработки данных.  И при наличии интереса или угрозы обществу необходимо подтверждение [7, 59].</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 xml:space="preserve">При установлении того, содержит ли личная информация, сохраненная властями, какой-либо из аспектов частной жизни, учитывается конкретный контекст, в котором информация, о которой идет речь, была записана и сохранена, характер записей, способ использования и обработки, и результаты, которые могут быть получены. </w:t>
      </w:r>
    </w:p>
    <w:p w:rsidR="00A969C6" w:rsidRPr="00DA76A7" w:rsidRDefault="00A969C6" w:rsidP="00A969C6">
      <w:pPr>
        <w:pStyle w:val="11"/>
        <w:spacing w:line="240" w:lineRule="auto"/>
        <w:ind w:firstLine="567"/>
        <w:jc w:val="both"/>
        <w:rPr>
          <w:rFonts w:eastAsia="Times New Roman"/>
          <w:color w:val="000000" w:themeColor="text1"/>
          <w:highlight w:val="white"/>
        </w:rPr>
      </w:pPr>
      <w:r w:rsidRPr="00DA76A7">
        <w:rPr>
          <w:rFonts w:eastAsia="Times New Roman"/>
          <w:color w:val="000000" w:themeColor="text1"/>
        </w:rPr>
        <w:t xml:space="preserve">Так, в деле </w:t>
      </w:r>
      <w:r w:rsidRPr="00DA76A7">
        <w:rPr>
          <w:rFonts w:eastAsia="Times New Roman"/>
          <w:color w:val="000000" w:themeColor="text1"/>
          <w:highlight w:val="white"/>
        </w:rPr>
        <w:t>Antović and Mirković v. Montenegro, в открытую встал вопрос, связанный как с интересами граждан и общества, так и государства. В ходе дела за заявителями велась видеосъемка, которая на их взгляд противоречила их правам, гарантированным ст. 8 Конвенции. Данная съемка осуществлялась в университете, в служебных помещениях с целью предотвращения возможных нарушений как со стороны студентов, так и иных лиц.</w:t>
      </w:r>
    </w:p>
    <w:p w:rsidR="00A969C6" w:rsidRPr="00DA76A7" w:rsidRDefault="00A969C6" w:rsidP="00A969C6">
      <w:pPr>
        <w:pStyle w:val="11"/>
        <w:spacing w:line="240" w:lineRule="auto"/>
        <w:ind w:firstLine="567"/>
        <w:jc w:val="both"/>
        <w:rPr>
          <w:rFonts w:eastAsia="Times New Roman"/>
          <w:color w:val="000000" w:themeColor="text1"/>
        </w:rPr>
      </w:pPr>
      <w:r w:rsidRPr="00DA76A7">
        <w:rPr>
          <w:color w:val="000000" w:themeColor="text1"/>
          <w:highlight w:val="white"/>
        </w:rPr>
        <w:t>Суд отметил, что п</w:t>
      </w:r>
      <w:r w:rsidRPr="00DA76A7">
        <w:rPr>
          <w:rFonts w:eastAsia="Times New Roman"/>
          <w:color w:val="000000" w:themeColor="text1"/>
        </w:rPr>
        <w:t xml:space="preserve">онятие частной жизни включает в себя и деятельность профессоров в деловой и профессиональной сферах. С точки зрения Черногории университет - государственное учреждение - видеосъемка на его территории защищает общественные интересы. При этом правительство утверждало, что профессора никогда не были одни, следовательно, не могли ссылаться на право на неприкосновенность частной жизни, которое могло бы быть нарушено. Поэтому ввиду вышеупомянутых причин собранные данные не считаются персональными. </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highlight w:val="white"/>
        </w:rPr>
        <w:t xml:space="preserve">Суд решил, что, </w:t>
      </w:r>
      <w:r w:rsidRPr="00DA76A7">
        <w:rPr>
          <w:rFonts w:eastAsia="Times New Roman"/>
          <w:color w:val="000000" w:themeColor="text1"/>
        </w:rPr>
        <w:t xml:space="preserve">в течение трудовой жизни большинство людей имеют значительную, если не самую большую возможность развивать отношения с внешним миром, и не всегда можно четко различать, какие из действий человека составляют часть его профессиональной или деловой жизни, а какие нет.  Суд определяет, что существует «зона взаимодействия человека с другими людьми, даже в общественном контексте, которая может подпадать под сферу «личной жизни» [5, 30-31]. </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Таким образом, из данного дела выходит, что на рабочих местах, в которых установлено видеонаблюдение помимо осуществления своей профессиональной деятельности работники взаимодействуют с людьми с точки зрения социальной идентичности помимо выполнения своих трудовых обязательств. Следовательно, тайное видеонаблюдение за сотрудником на его рабочем месте с точки зрения суда является серьезным вторжением в личную жизнь,  ввиду того что это влечет за собой запись и воспроизведение документации о поведении человека на его рабочем месте от которого  работник  не может уклониться [8].</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В правовых позициях ЕСПЧ так же отмечается, что даже в тех случаях, когда правила работодателя являются ограничительными,  в отношении личной общественной жизни сотрудников на рабочем мест они не могут уменьшить его до нуля, то есть</w:t>
      </w:r>
      <w:r w:rsidRPr="00DA76A7">
        <w:rPr>
          <w:rFonts w:eastAsia="Times New Roman"/>
          <w:i/>
          <w:color w:val="000000" w:themeColor="text1"/>
        </w:rPr>
        <w:t xml:space="preserve"> </w:t>
      </w:r>
      <w:r w:rsidRPr="00DA76A7">
        <w:rPr>
          <w:rFonts w:eastAsia="Times New Roman"/>
          <w:color w:val="000000" w:themeColor="text1"/>
        </w:rPr>
        <w:t>уважение к частной жизни продолжает существовать, даже если оно может быть ограничено [7, 80].</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 xml:space="preserve">Видеонаблюдение за работником на рабочем месте, будь то скрытое или нет, должно рассматриваться как значительное вторжение в частную жизнь сотрудника, и, следовательно, представляет собой вмешательство по смыслу статьи 8. </w:t>
      </w:r>
    </w:p>
    <w:p w:rsidR="00A969C6" w:rsidRPr="00DA76A7" w:rsidRDefault="00A969C6" w:rsidP="00A969C6">
      <w:pPr>
        <w:pStyle w:val="11"/>
        <w:spacing w:line="240" w:lineRule="auto"/>
        <w:ind w:firstLine="567"/>
        <w:jc w:val="both"/>
        <w:rPr>
          <w:rFonts w:eastAsia="Times New Roman"/>
          <w:color w:val="000000" w:themeColor="text1"/>
          <w:highlight w:val="white"/>
        </w:rPr>
      </w:pPr>
      <w:r w:rsidRPr="00DA76A7">
        <w:rPr>
          <w:rFonts w:eastAsia="Times New Roman"/>
          <w:color w:val="000000" w:themeColor="text1"/>
        </w:rPr>
        <w:t>Актуальным на сегодняшний день является дело «</w:t>
      </w:r>
      <w:r w:rsidRPr="00DA76A7">
        <w:rPr>
          <w:rFonts w:eastAsia="Times New Roman"/>
          <w:color w:val="000000" w:themeColor="text1"/>
          <w:highlight w:val="white"/>
        </w:rPr>
        <w:t xml:space="preserve">Bărbulescu v. Romania», в ходе которого заявитель Б. Барбулеску был уволен частной компанией после мониторинга его электронных сообщений и доступа к их содержимому. Заявитель жаловался, что решение его работодателя было основано на нарушении конфиденциальности и то, что национальные суды не смогли защитить его право на уважение его частной жизни и переписки. </w:t>
      </w:r>
    </w:p>
    <w:p w:rsidR="00A969C6" w:rsidRPr="00DA76A7" w:rsidRDefault="00A969C6" w:rsidP="00A969C6">
      <w:pPr>
        <w:pStyle w:val="11"/>
        <w:spacing w:line="240" w:lineRule="auto"/>
        <w:ind w:firstLine="567"/>
        <w:jc w:val="both"/>
        <w:rPr>
          <w:rFonts w:eastAsia="Times New Roman"/>
          <w:color w:val="000000" w:themeColor="text1"/>
          <w:highlight w:val="white"/>
        </w:rPr>
      </w:pPr>
      <w:r w:rsidRPr="00DA76A7">
        <w:rPr>
          <w:rFonts w:eastAsia="Times New Roman"/>
          <w:color w:val="000000" w:themeColor="text1"/>
          <w:highlight w:val="white"/>
        </w:rPr>
        <w:t xml:space="preserve">Большая палата ЕСПЧ постановила одиннадцатью голосами против шести, что имело место нарушение Статьи 8 Конвенции, признав, что румынские власти не адекватно защитили права заявителя на уважение его частной жизни и корреспонденции. Поэтому они не смогли добиться справедливого баланса между интересами. Кроме того, национальные суды не смогли определить, конкретные причины, обосновывающие необходимость введения мер контроля и то, может ли работодатель использовать меры, влекущие за собой меньшее вмешательство в частной жизни заявителя и переписки. Таким образом, Суд постановил, что </w:t>
      </w:r>
      <w:r w:rsidRPr="00DA76A7">
        <w:rPr>
          <w:rFonts w:eastAsia="Times New Roman"/>
          <w:color w:val="000000" w:themeColor="text1"/>
        </w:rPr>
        <w:t>«частная жизнь» может включать профессиональную деятельность или деятельность, происходящую в общественном контексте.</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Существующие проблемы в сфере защиты персональных данных в ходе наблюдения за работниками имеет специфическую и сложную правовую природу так как они: носят комплексный характер, часто нарушение данных прав осуществляется в интересах работодателей или государства, которое ввиду своих собственных интересов делает все, чтобы нарушения такого типа приобретали законный характер. Фактически, на практике это обусловлено тем, что государство часто предвзято относится к данным правоотношениям, поддерживая работодателя как сторонника общественного интереса или интереса государства.</w:t>
      </w:r>
    </w:p>
    <w:p w:rsidR="00A969C6" w:rsidRPr="00DA76A7" w:rsidRDefault="00A969C6" w:rsidP="00A969C6">
      <w:pPr>
        <w:pStyle w:val="11"/>
        <w:spacing w:line="240" w:lineRule="auto"/>
        <w:ind w:firstLine="567"/>
        <w:jc w:val="both"/>
        <w:rPr>
          <w:rFonts w:eastAsia="Times New Roman"/>
          <w:color w:val="000000" w:themeColor="text1"/>
        </w:rPr>
      </w:pPr>
      <w:r w:rsidRPr="00DA76A7">
        <w:rPr>
          <w:rFonts w:eastAsia="Times New Roman"/>
          <w:color w:val="000000" w:themeColor="text1"/>
        </w:rPr>
        <w:t>Таким образом, проблема наблюдения за работником на рабочем месте представляется актуальной для современного мира, в том числе Европейского сообщества. Расширение технического прогресса и сопутствующее ему увеличение возможных сфер информационного пространства, количества способов мониторинга являются тенденцией расширения области правоприменения и права в целом касательно данного вопроса и различного спектра возможных проблем в условиях реальной действительности.</w:t>
      </w:r>
    </w:p>
    <w:p w:rsidR="00A969C6" w:rsidRPr="00DA76A7" w:rsidRDefault="00A969C6" w:rsidP="00A969C6">
      <w:pPr>
        <w:pStyle w:val="11"/>
        <w:spacing w:line="240" w:lineRule="auto"/>
        <w:ind w:firstLine="567"/>
        <w:rPr>
          <w:color w:val="000000" w:themeColor="text1"/>
        </w:rPr>
      </w:pPr>
    </w:p>
    <w:p w:rsidR="00A969C6" w:rsidRPr="00DA76A7" w:rsidRDefault="00A969C6" w:rsidP="00A969C6">
      <w:pPr>
        <w:ind w:firstLine="567"/>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rPr>
        <w:t>Список</w:t>
      </w:r>
      <w:r w:rsidRPr="00DA76A7">
        <w:rPr>
          <w:rFonts w:ascii="Arial" w:hAnsi="Arial" w:cs="Arial"/>
          <w:b/>
          <w:color w:val="000000" w:themeColor="text1"/>
          <w:sz w:val="22"/>
          <w:szCs w:val="22"/>
          <w:shd w:val="clear" w:color="auto" w:fill="FFFFFF"/>
          <w:lang w:val="en-US"/>
        </w:rPr>
        <w:t xml:space="preserve"> </w:t>
      </w:r>
      <w:r w:rsidRPr="00DA76A7">
        <w:rPr>
          <w:rFonts w:ascii="Arial" w:hAnsi="Arial" w:cs="Arial"/>
          <w:b/>
          <w:color w:val="000000" w:themeColor="text1"/>
          <w:sz w:val="22"/>
          <w:szCs w:val="22"/>
          <w:shd w:val="clear" w:color="auto" w:fill="FFFFFF"/>
        </w:rPr>
        <w:t>литературы</w:t>
      </w:r>
      <w:r w:rsidRPr="00DA76A7">
        <w:rPr>
          <w:rFonts w:ascii="Arial" w:hAnsi="Arial" w:cs="Arial"/>
          <w:b/>
          <w:color w:val="000000" w:themeColor="text1"/>
          <w:sz w:val="22"/>
          <w:szCs w:val="22"/>
          <w:shd w:val="clear" w:color="auto" w:fill="FFFFFF"/>
          <w:lang w:val="en-US"/>
        </w:rPr>
        <w:t>:</w:t>
      </w:r>
    </w:p>
    <w:p w:rsidR="00A969C6" w:rsidRPr="00DA76A7" w:rsidRDefault="00A969C6" w:rsidP="00D45D6B">
      <w:pPr>
        <w:pStyle w:val="a6"/>
        <w:numPr>
          <w:ilvl w:val="0"/>
          <w:numId w:val="8"/>
        </w:numPr>
        <w:tabs>
          <w:tab w:val="left" w:pos="915"/>
        </w:tabs>
        <w:spacing w:after="0" w:line="240" w:lineRule="auto"/>
        <w:ind w:left="0" w:firstLine="567"/>
        <w:contextualSpacing w:val="0"/>
        <w:jc w:val="both"/>
        <w:rPr>
          <w:rFonts w:ascii="Arial" w:hAnsi="Arial" w:cs="Arial"/>
          <w:color w:val="000000" w:themeColor="text1"/>
          <w:lang w:val="en-US"/>
        </w:rPr>
      </w:pPr>
      <w:r w:rsidRPr="00DA76A7">
        <w:rPr>
          <w:rFonts w:ascii="Arial" w:hAnsi="Arial" w:cs="Arial"/>
          <w:color w:val="000000" w:themeColor="text1"/>
          <w:lang w:val="en-US"/>
        </w:rPr>
        <w:t>Case of S. and Marper v. the United Kingdom, judgment (Grand Chamber) of 4 December 2008, § 67) Applications № 30562/04 and 30566/04 [</w:t>
      </w:r>
      <w:r w:rsidRPr="00DA76A7">
        <w:rPr>
          <w:rFonts w:ascii="Arial" w:hAnsi="Arial" w:cs="Arial"/>
          <w:color w:val="000000" w:themeColor="text1"/>
        </w:rPr>
        <w:t>Электронный</w:t>
      </w:r>
      <w:r w:rsidRPr="00DA76A7">
        <w:rPr>
          <w:rFonts w:ascii="Arial" w:hAnsi="Arial" w:cs="Arial"/>
          <w:color w:val="000000" w:themeColor="text1"/>
          <w:lang w:val="en-US"/>
        </w:rPr>
        <w:t xml:space="preserve"> </w:t>
      </w:r>
      <w:r w:rsidRPr="00DA76A7">
        <w:rPr>
          <w:rFonts w:ascii="Arial" w:hAnsi="Arial" w:cs="Arial"/>
          <w:color w:val="000000" w:themeColor="text1"/>
        </w:rPr>
        <w:t>ресурс</w:t>
      </w:r>
      <w:r w:rsidRPr="00DA76A7">
        <w:rPr>
          <w:rFonts w:ascii="Arial" w:hAnsi="Arial" w:cs="Arial"/>
          <w:color w:val="000000" w:themeColor="text1"/>
          <w:lang w:val="en-US"/>
        </w:rPr>
        <w:t xml:space="preserve">] // </w:t>
      </w:r>
      <w:r w:rsidRPr="00DA76A7">
        <w:rPr>
          <w:rFonts w:ascii="Arial" w:hAnsi="Arial" w:cs="Arial"/>
          <w:color w:val="000000" w:themeColor="text1"/>
        </w:rPr>
        <w:t>Официальный</w:t>
      </w:r>
      <w:r w:rsidRPr="00DA76A7">
        <w:rPr>
          <w:rFonts w:ascii="Arial" w:hAnsi="Arial" w:cs="Arial"/>
          <w:color w:val="000000" w:themeColor="text1"/>
          <w:lang w:val="en-US"/>
        </w:rPr>
        <w:t xml:space="preserve"> </w:t>
      </w:r>
      <w:r w:rsidRPr="00DA76A7">
        <w:rPr>
          <w:rFonts w:ascii="Arial" w:hAnsi="Arial" w:cs="Arial"/>
          <w:color w:val="000000" w:themeColor="text1"/>
        </w:rPr>
        <w:t>сайт</w:t>
      </w:r>
      <w:r w:rsidRPr="00DA76A7">
        <w:rPr>
          <w:rFonts w:ascii="Arial" w:hAnsi="Arial" w:cs="Arial"/>
          <w:color w:val="000000" w:themeColor="text1"/>
          <w:lang w:val="en-US"/>
        </w:rPr>
        <w:t xml:space="preserve"> </w:t>
      </w:r>
      <w:r w:rsidRPr="00DA76A7">
        <w:rPr>
          <w:rFonts w:ascii="Arial" w:hAnsi="Arial" w:cs="Arial"/>
          <w:color w:val="000000" w:themeColor="text1"/>
        </w:rPr>
        <w:t>Европейского</w:t>
      </w:r>
      <w:r w:rsidRPr="00DA76A7">
        <w:rPr>
          <w:rFonts w:ascii="Arial" w:hAnsi="Arial" w:cs="Arial"/>
          <w:color w:val="000000" w:themeColor="text1"/>
          <w:lang w:val="en-US"/>
        </w:rPr>
        <w:t xml:space="preserve"> </w:t>
      </w:r>
      <w:r w:rsidRPr="00DA76A7">
        <w:rPr>
          <w:rFonts w:ascii="Arial" w:hAnsi="Arial" w:cs="Arial"/>
          <w:color w:val="000000" w:themeColor="text1"/>
        </w:rPr>
        <w:t>суда</w:t>
      </w:r>
      <w:r w:rsidRPr="00DA76A7">
        <w:rPr>
          <w:rFonts w:ascii="Arial" w:hAnsi="Arial" w:cs="Arial"/>
          <w:color w:val="000000" w:themeColor="text1"/>
          <w:lang w:val="en-US"/>
        </w:rPr>
        <w:t xml:space="preserve"> </w:t>
      </w:r>
      <w:r w:rsidRPr="00DA76A7">
        <w:rPr>
          <w:rFonts w:ascii="Arial" w:hAnsi="Arial" w:cs="Arial"/>
          <w:color w:val="000000" w:themeColor="text1"/>
        </w:rPr>
        <w:t>по</w:t>
      </w:r>
      <w:r w:rsidRPr="00DA76A7">
        <w:rPr>
          <w:rFonts w:ascii="Arial" w:hAnsi="Arial" w:cs="Arial"/>
          <w:color w:val="000000" w:themeColor="text1"/>
          <w:lang w:val="en-US"/>
        </w:rPr>
        <w:t xml:space="preserve"> </w:t>
      </w:r>
      <w:r w:rsidRPr="00DA76A7">
        <w:rPr>
          <w:rFonts w:ascii="Arial" w:hAnsi="Arial" w:cs="Arial"/>
          <w:color w:val="000000" w:themeColor="text1"/>
        </w:rPr>
        <w:t>правам</w:t>
      </w:r>
      <w:r w:rsidRPr="00DA76A7">
        <w:rPr>
          <w:rFonts w:ascii="Arial" w:hAnsi="Arial" w:cs="Arial"/>
          <w:color w:val="000000" w:themeColor="text1"/>
          <w:lang w:val="en-US"/>
        </w:rPr>
        <w:t xml:space="preserve"> </w:t>
      </w:r>
      <w:r w:rsidRPr="00DA76A7">
        <w:rPr>
          <w:rFonts w:ascii="Arial" w:hAnsi="Arial" w:cs="Arial"/>
          <w:color w:val="000000" w:themeColor="text1"/>
        </w:rPr>
        <w:t>человека</w:t>
      </w:r>
      <w:r w:rsidRPr="00DA76A7">
        <w:rPr>
          <w:rFonts w:ascii="Arial" w:hAnsi="Arial" w:cs="Arial"/>
          <w:color w:val="000000" w:themeColor="text1"/>
          <w:lang w:val="en-US"/>
        </w:rPr>
        <w:t xml:space="preserve">. – </w:t>
      </w:r>
      <w:r w:rsidRPr="00DA76A7">
        <w:rPr>
          <w:rFonts w:ascii="Arial" w:hAnsi="Arial" w:cs="Arial"/>
          <w:color w:val="000000" w:themeColor="text1"/>
        </w:rPr>
        <w:t>Режим</w:t>
      </w:r>
      <w:r w:rsidRPr="00DA76A7">
        <w:rPr>
          <w:rFonts w:ascii="Arial" w:hAnsi="Arial" w:cs="Arial"/>
          <w:color w:val="000000" w:themeColor="text1"/>
          <w:lang w:val="en-US"/>
        </w:rPr>
        <w:t xml:space="preserve"> </w:t>
      </w:r>
      <w:r w:rsidRPr="00DA76A7">
        <w:rPr>
          <w:rFonts w:ascii="Arial" w:hAnsi="Arial" w:cs="Arial"/>
          <w:color w:val="000000" w:themeColor="text1"/>
        </w:rPr>
        <w:t>доступа</w:t>
      </w:r>
      <w:r w:rsidRPr="00DA76A7">
        <w:rPr>
          <w:rFonts w:ascii="Arial" w:hAnsi="Arial" w:cs="Arial"/>
          <w:color w:val="000000" w:themeColor="text1"/>
          <w:lang w:val="en-US"/>
        </w:rPr>
        <w:t xml:space="preserve">: </w:t>
      </w:r>
      <w:hyperlink r:id="rId22" w:history="1">
        <w:r w:rsidRPr="00DA76A7">
          <w:rPr>
            <w:rStyle w:val="af0"/>
            <w:rFonts w:ascii="Arial" w:hAnsi="Arial" w:cs="Arial"/>
            <w:color w:val="000000" w:themeColor="text1"/>
            <w:u w:val="none"/>
            <w:lang w:val="en-US"/>
          </w:rPr>
          <w:t>http://hudoc.echr.coe.int/</w:t>
        </w:r>
      </w:hyperlink>
      <w:r w:rsidRPr="00DA76A7">
        <w:rPr>
          <w:rFonts w:ascii="Arial" w:hAnsi="Arial" w:cs="Arial"/>
          <w:color w:val="000000" w:themeColor="text1"/>
          <w:lang w:val="en-US"/>
        </w:rPr>
        <w:t xml:space="preserve"> (</w:t>
      </w:r>
      <w:r w:rsidRPr="00DA76A7">
        <w:rPr>
          <w:rFonts w:ascii="Arial" w:hAnsi="Arial" w:cs="Arial"/>
          <w:color w:val="000000" w:themeColor="text1"/>
        </w:rPr>
        <w:t>дата</w:t>
      </w:r>
      <w:r w:rsidRPr="00DA76A7">
        <w:rPr>
          <w:rFonts w:ascii="Arial" w:hAnsi="Arial" w:cs="Arial"/>
          <w:color w:val="000000" w:themeColor="text1"/>
          <w:lang w:val="en-US"/>
        </w:rPr>
        <w:t xml:space="preserve"> </w:t>
      </w:r>
      <w:r w:rsidRPr="00DA76A7">
        <w:rPr>
          <w:rFonts w:ascii="Arial" w:hAnsi="Arial" w:cs="Arial"/>
          <w:color w:val="000000" w:themeColor="text1"/>
        </w:rPr>
        <w:t>обращения</w:t>
      </w:r>
      <w:r w:rsidRPr="00DA76A7">
        <w:rPr>
          <w:rFonts w:ascii="Arial" w:hAnsi="Arial" w:cs="Arial"/>
          <w:color w:val="000000" w:themeColor="text1"/>
          <w:lang w:val="en-US"/>
        </w:rPr>
        <w:t xml:space="preserve"> – 25.03.2018).</w:t>
      </w:r>
    </w:p>
    <w:p w:rsidR="00A969C6" w:rsidRPr="00DA76A7" w:rsidRDefault="00A969C6" w:rsidP="00D45D6B">
      <w:pPr>
        <w:pStyle w:val="a6"/>
        <w:numPr>
          <w:ilvl w:val="0"/>
          <w:numId w:val="8"/>
        </w:numPr>
        <w:tabs>
          <w:tab w:val="left" w:pos="915"/>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highlight w:val="white"/>
          <w:lang w:val="en-US"/>
        </w:rPr>
        <w:t>M</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v</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the</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Netherlands</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no</w:t>
      </w:r>
      <w:r w:rsidRPr="00DA76A7">
        <w:rPr>
          <w:rFonts w:ascii="Arial" w:hAnsi="Arial" w:cs="Arial"/>
          <w:color w:val="000000" w:themeColor="text1"/>
          <w:highlight w:val="white"/>
        </w:rPr>
        <w:t xml:space="preserve">. 39339/97, § 46, 8 </w:t>
      </w:r>
      <w:r w:rsidRPr="00DA76A7">
        <w:rPr>
          <w:rFonts w:ascii="Arial" w:hAnsi="Arial" w:cs="Arial"/>
          <w:color w:val="000000" w:themeColor="text1"/>
          <w:highlight w:val="white"/>
          <w:lang w:val="en-US"/>
        </w:rPr>
        <w:t>April</w:t>
      </w:r>
      <w:r w:rsidRPr="00DA76A7">
        <w:rPr>
          <w:rFonts w:ascii="Arial" w:hAnsi="Arial" w:cs="Arial"/>
          <w:color w:val="000000" w:themeColor="text1"/>
          <w:highlight w:val="white"/>
        </w:rPr>
        <w:t xml:space="preserve"> 2003</w:t>
      </w:r>
      <w:r w:rsidRPr="00DA76A7">
        <w:rPr>
          <w:rFonts w:ascii="Arial" w:hAnsi="Arial" w:cs="Arial"/>
          <w:color w:val="000000" w:themeColor="text1"/>
        </w:rPr>
        <w:t xml:space="preserve"> [Электронный ресурс] // Официальный сайт Европейского суда по правам человека. – Режим доступа: </w:t>
      </w:r>
      <w:hyperlink r:id="rId23" w:history="1">
        <w:r w:rsidRPr="00DA76A7">
          <w:rPr>
            <w:rStyle w:val="af0"/>
            <w:rFonts w:ascii="Arial" w:hAnsi="Arial" w:cs="Arial"/>
            <w:color w:val="000000" w:themeColor="text1"/>
            <w:u w:val="none"/>
          </w:rPr>
          <w:t>http://hudoc.echr.coe.int/</w:t>
        </w:r>
      </w:hyperlink>
      <w:r w:rsidRPr="00DA76A7">
        <w:rPr>
          <w:rFonts w:ascii="Arial" w:hAnsi="Arial" w:cs="Arial"/>
          <w:color w:val="000000" w:themeColor="text1"/>
        </w:rPr>
        <w:t xml:space="preserve"> (дата обращения – 25.03.2018).</w:t>
      </w:r>
    </w:p>
    <w:p w:rsidR="00A969C6" w:rsidRPr="00DA76A7" w:rsidRDefault="00A969C6" w:rsidP="00D45D6B">
      <w:pPr>
        <w:pStyle w:val="a6"/>
        <w:numPr>
          <w:ilvl w:val="0"/>
          <w:numId w:val="8"/>
        </w:numPr>
        <w:tabs>
          <w:tab w:val="left" w:pos="915"/>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highlight w:val="white"/>
          <w:lang w:val="en-US"/>
        </w:rPr>
        <w:t>Fern</w:t>
      </w:r>
      <w:r w:rsidRPr="00DA76A7">
        <w:rPr>
          <w:rFonts w:ascii="Arial" w:hAnsi="Arial" w:cs="Arial"/>
          <w:color w:val="000000" w:themeColor="text1"/>
          <w:highlight w:val="white"/>
        </w:rPr>
        <w:t>á</w:t>
      </w:r>
      <w:r w:rsidRPr="00DA76A7">
        <w:rPr>
          <w:rFonts w:ascii="Arial" w:hAnsi="Arial" w:cs="Arial"/>
          <w:color w:val="000000" w:themeColor="text1"/>
          <w:highlight w:val="white"/>
          <w:lang w:val="en-US"/>
        </w:rPr>
        <w:t>ndez</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Mart</w:t>
      </w:r>
      <w:r w:rsidRPr="00DA76A7">
        <w:rPr>
          <w:rFonts w:ascii="Arial" w:hAnsi="Arial" w:cs="Arial"/>
          <w:color w:val="000000" w:themeColor="text1"/>
          <w:highlight w:val="white"/>
        </w:rPr>
        <w:t>í</w:t>
      </w:r>
      <w:r w:rsidRPr="00DA76A7">
        <w:rPr>
          <w:rFonts w:ascii="Arial" w:hAnsi="Arial" w:cs="Arial"/>
          <w:color w:val="000000" w:themeColor="text1"/>
          <w:highlight w:val="white"/>
          <w:lang w:val="en-US"/>
        </w:rPr>
        <w:t>nez</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v</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Spain</w:t>
      </w:r>
      <w:r w:rsidRPr="00DA76A7">
        <w:rPr>
          <w:rFonts w:ascii="Arial" w:hAnsi="Arial" w:cs="Arial"/>
          <w:color w:val="000000" w:themeColor="text1"/>
          <w:highlight w:val="white"/>
        </w:rPr>
        <w:t xml:space="preserve">,  </w:t>
      </w:r>
      <w:r w:rsidRPr="00DA76A7">
        <w:rPr>
          <w:rFonts w:ascii="Arial" w:hAnsi="Arial" w:cs="Arial"/>
          <w:color w:val="000000" w:themeColor="text1"/>
        </w:rPr>
        <w:t>№</w:t>
      </w:r>
      <w:r w:rsidRPr="00DA76A7">
        <w:rPr>
          <w:rFonts w:ascii="Arial" w:hAnsi="Arial" w:cs="Arial"/>
          <w:color w:val="000000" w:themeColor="text1"/>
          <w:highlight w:val="white"/>
        </w:rPr>
        <w:t xml:space="preserve">. 56030/07, §§ 109-110, </w:t>
      </w:r>
      <w:r w:rsidRPr="00DA76A7">
        <w:rPr>
          <w:rFonts w:ascii="Arial" w:hAnsi="Arial" w:cs="Arial"/>
          <w:color w:val="000000" w:themeColor="text1"/>
          <w:highlight w:val="white"/>
          <w:lang w:val="en-US"/>
        </w:rPr>
        <w:t>ECHR</w:t>
      </w:r>
      <w:r w:rsidRPr="00DA76A7">
        <w:rPr>
          <w:rFonts w:ascii="Arial" w:hAnsi="Arial" w:cs="Arial"/>
          <w:color w:val="000000" w:themeColor="text1"/>
          <w:highlight w:val="white"/>
        </w:rPr>
        <w:t xml:space="preserve"> 2014</w:t>
      </w:r>
      <w:r w:rsidRPr="00DA76A7">
        <w:rPr>
          <w:rFonts w:ascii="Arial" w:hAnsi="Arial" w:cs="Arial"/>
          <w:color w:val="000000" w:themeColor="text1"/>
        </w:rPr>
        <w:t xml:space="preserve"> [Электронный ресурс] // Официальный сайт Европейского суда по правам человека. – Режим доступа: </w:t>
      </w:r>
      <w:hyperlink r:id="rId24" w:history="1">
        <w:r w:rsidRPr="00DA76A7">
          <w:rPr>
            <w:rStyle w:val="af0"/>
            <w:rFonts w:ascii="Arial" w:hAnsi="Arial" w:cs="Arial"/>
            <w:color w:val="000000" w:themeColor="text1"/>
            <w:u w:val="none"/>
          </w:rPr>
          <w:t>http://hudoc.echr.coe.int/</w:t>
        </w:r>
      </w:hyperlink>
      <w:r w:rsidRPr="00DA76A7">
        <w:rPr>
          <w:rFonts w:ascii="Arial" w:hAnsi="Arial" w:cs="Arial"/>
          <w:color w:val="000000" w:themeColor="text1"/>
        </w:rPr>
        <w:t xml:space="preserve"> (дата обращения – 25.03.2018).</w:t>
      </w:r>
    </w:p>
    <w:p w:rsidR="00A969C6" w:rsidRPr="00DA76A7" w:rsidRDefault="00A969C6" w:rsidP="00D45D6B">
      <w:pPr>
        <w:pStyle w:val="a6"/>
        <w:numPr>
          <w:ilvl w:val="0"/>
          <w:numId w:val="8"/>
        </w:numPr>
        <w:tabs>
          <w:tab w:val="left" w:pos="915"/>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Mikulić v. Croatia, № 53176/99, § 53 [Электронный ресурс] // Официальный сайт Европейского суда по правам человека. – Режим доступа: </w:t>
      </w:r>
      <w:hyperlink r:id="rId25" w:history="1">
        <w:r w:rsidRPr="00DA76A7">
          <w:rPr>
            <w:rStyle w:val="af0"/>
            <w:rFonts w:ascii="Arial" w:hAnsi="Arial" w:cs="Arial"/>
            <w:color w:val="000000" w:themeColor="text1"/>
            <w:u w:val="none"/>
          </w:rPr>
          <w:t>http://hudoc.echr.coe.int/</w:t>
        </w:r>
      </w:hyperlink>
      <w:r w:rsidRPr="00DA76A7">
        <w:rPr>
          <w:rFonts w:ascii="Arial" w:hAnsi="Arial" w:cs="Arial"/>
          <w:color w:val="000000" w:themeColor="text1"/>
        </w:rPr>
        <w:t xml:space="preserve"> (дата обращения – 25.03.2018).</w:t>
      </w:r>
    </w:p>
    <w:p w:rsidR="00A969C6" w:rsidRPr="00DA76A7" w:rsidRDefault="00A969C6" w:rsidP="00D45D6B">
      <w:pPr>
        <w:pStyle w:val="a6"/>
        <w:numPr>
          <w:ilvl w:val="0"/>
          <w:numId w:val="8"/>
        </w:numPr>
        <w:tabs>
          <w:tab w:val="left" w:pos="915"/>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lang w:val="en-US"/>
        </w:rPr>
        <w:t>Friedl</w:t>
      </w:r>
      <w:r w:rsidRPr="00DA76A7">
        <w:rPr>
          <w:rFonts w:ascii="Arial" w:hAnsi="Arial" w:cs="Arial"/>
          <w:color w:val="000000" w:themeColor="text1"/>
        </w:rPr>
        <w:t xml:space="preserve"> </w:t>
      </w:r>
      <w:r w:rsidRPr="00DA76A7">
        <w:rPr>
          <w:rFonts w:ascii="Arial" w:hAnsi="Arial" w:cs="Arial"/>
          <w:color w:val="000000" w:themeColor="text1"/>
          <w:lang w:val="en-US"/>
        </w:rPr>
        <w:t>v</w:t>
      </w:r>
      <w:r w:rsidRPr="00DA76A7">
        <w:rPr>
          <w:rFonts w:ascii="Arial" w:hAnsi="Arial" w:cs="Arial"/>
          <w:color w:val="000000" w:themeColor="text1"/>
        </w:rPr>
        <w:t xml:space="preserve">. </w:t>
      </w:r>
      <w:r w:rsidRPr="00DA76A7">
        <w:rPr>
          <w:rFonts w:ascii="Arial" w:hAnsi="Arial" w:cs="Arial"/>
          <w:color w:val="000000" w:themeColor="text1"/>
          <w:lang w:val="en-US"/>
        </w:rPr>
        <w:t>Austria</w:t>
      </w:r>
      <w:r w:rsidRPr="00DA76A7">
        <w:rPr>
          <w:rFonts w:ascii="Arial" w:hAnsi="Arial" w:cs="Arial"/>
          <w:color w:val="000000" w:themeColor="text1"/>
        </w:rPr>
        <w:t xml:space="preserve">, 31 января 1995 года [Электронный ресурс] // Официальный сайт Европейского суда по правам человека. –  Режим доступа:: </w:t>
      </w:r>
      <w:hyperlink r:id="rId26" w:history="1">
        <w:r w:rsidRPr="00DA76A7">
          <w:rPr>
            <w:rStyle w:val="af0"/>
            <w:rFonts w:ascii="Arial" w:hAnsi="Arial" w:cs="Arial"/>
            <w:color w:val="000000" w:themeColor="text1"/>
            <w:u w:val="none"/>
          </w:rPr>
          <w:t>http://hudoc.echr.coe.int/</w:t>
        </w:r>
      </w:hyperlink>
      <w:r w:rsidRPr="00DA76A7">
        <w:rPr>
          <w:rFonts w:ascii="Arial" w:hAnsi="Arial" w:cs="Arial"/>
          <w:color w:val="000000" w:themeColor="text1"/>
        </w:rPr>
        <w:t xml:space="preserve"> (дата обращения – 25.03.2018).</w:t>
      </w:r>
    </w:p>
    <w:p w:rsidR="00A969C6" w:rsidRPr="00DA76A7" w:rsidRDefault="00A969C6" w:rsidP="00D45D6B">
      <w:pPr>
        <w:pStyle w:val="a6"/>
        <w:numPr>
          <w:ilvl w:val="0"/>
          <w:numId w:val="8"/>
        </w:numPr>
        <w:tabs>
          <w:tab w:val="left" w:pos="915"/>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lang w:val="en-US"/>
        </w:rPr>
        <w:t>Sciacca</w:t>
      </w:r>
      <w:r w:rsidRPr="00DA76A7">
        <w:rPr>
          <w:rFonts w:ascii="Arial" w:hAnsi="Arial" w:cs="Arial"/>
          <w:color w:val="000000" w:themeColor="text1"/>
        </w:rPr>
        <w:t xml:space="preserve"> </w:t>
      </w:r>
      <w:r w:rsidRPr="00DA76A7">
        <w:rPr>
          <w:rFonts w:ascii="Arial" w:hAnsi="Arial" w:cs="Arial"/>
          <w:color w:val="000000" w:themeColor="text1"/>
          <w:lang w:val="en-US"/>
        </w:rPr>
        <w:t>v</w:t>
      </w:r>
      <w:r w:rsidRPr="00DA76A7">
        <w:rPr>
          <w:rFonts w:ascii="Arial" w:hAnsi="Arial" w:cs="Arial"/>
          <w:color w:val="000000" w:themeColor="text1"/>
        </w:rPr>
        <w:t xml:space="preserve">. </w:t>
      </w:r>
      <w:r w:rsidRPr="00DA76A7">
        <w:rPr>
          <w:rFonts w:ascii="Arial" w:hAnsi="Arial" w:cs="Arial"/>
          <w:color w:val="000000" w:themeColor="text1"/>
          <w:lang w:val="en-US"/>
        </w:rPr>
        <w:t>Italy</w:t>
      </w:r>
      <w:r w:rsidRPr="00DA76A7">
        <w:rPr>
          <w:rFonts w:ascii="Arial" w:hAnsi="Arial" w:cs="Arial"/>
          <w:color w:val="000000" w:themeColor="text1"/>
        </w:rPr>
        <w:t xml:space="preserve">, № 50774/99, § 29-31 [Электронный ресурс] // Официальный сайт Европейского суда по правам человека. –– Режим доступа: </w:t>
      </w:r>
      <w:hyperlink r:id="rId27" w:history="1">
        <w:r w:rsidRPr="00DA76A7">
          <w:rPr>
            <w:rStyle w:val="af0"/>
            <w:rFonts w:ascii="Arial" w:hAnsi="Arial" w:cs="Arial"/>
            <w:color w:val="000000" w:themeColor="text1"/>
            <w:u w:val="none"/>
          </w:rPr>
          <w:t>http://hudoc.echr.coe.int/</w:t>
        </w:r>
      </w:hyperlink>
      <w:r w:rsidRPr="00DA76A7">
        <w:rPr>
          <w:rFonts w:ascii="Arial" w:hAnsi="Arial" w:cs="Arial"/>
          <w:color w:val="000000" w:themeColor="text1"/>
        </w:rPr>
        <w:t xml:space="preserve"> (дата обращения – 25.03.2018).</w:t>
      </w:r>
    </w:p>
    <w:p w:rsidR="00A969C6" w:rsidRPr="00DA76A7" w:rsidRDefault="00A969C6" w:rsidP="00D45D6B">
      <w:pPr>
        <w:pStyle w:val="a6"/>
        <w:numPr>
          <w:ilvl w:val="0"/>
          <w:numId w:val="8"/>
        </w:numPr>
        <w:tabs>
          <w:tab w:val="left" w:pos="915"/>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highlight w:val="white"/>
          <w:lang w:val="en-US"/>
        </w:rPr>
        <w:t>Antovi</w:t>
      </w:r>
      <w:r w:rsidRPr="00DA76A7">
        <w:rPr>
          <w:rFonts w:ascii="Arial" w:hAnsi="Arial" w:cs="Arial"/>
          <w:color w:val="000000" w:themeColor="text1"/>
          <w:highlight w:val="white"/>
        </w:rPr>
        <w:t xml:space="preserve">ć </w:t>
      </w:r>
      <w:r w:rsidRPr="00DA76A7">
        <w:rPr>
          <w:rFonts w:ascii="Arial" w:hAnsi="Arial" w:cs="Arial"/>
          <w:color w:val="000000" w:themeColor="text1"/>
          <w:highlight w:val="white"/>
          <w:lang w:val="en-US"/>
        </w:rPr>
        <w:t>and</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Mirkovi</w:t>
      </w:r>
      <w:r w:rsidRPr="00DA76A7">
        <w:rPr>
          <w:rFonts w:ascii="Arial" w:hAnsi="Arial" w:cs="Arial"/>
          <w:color w:val="000000" w:themeColor="text1"/>
          <w:highlight w:val="white"/>
        </w:rPr>
        <w:t xml:space="preserve">ć </w:t>
      </w:r>
      <w:r w:rsidRPr="00DA76A7">
        <w:rPr>
          <w:rFonts w:ascii="Arial" w:hAnsi="Arial" w:cs="Arial"/>
          <w:color w:val="000000" w:themeColor="text1"/>
          <w:highlight w:val="white"/>
          <w:lang w:val="en-US"/>
        </w:rPr>
        <w:t>v</w:t>
      </w:r>
      <w:r w:rsidRPr="00DA76A7">
        <w:rPr>
          <w:rFonts w:ascii="Arial" w:hAnsi="Arial" w:cs="Arial"/>
          <w:color w:val="000000" w:themeColor="text1"/>
          <w:highlight w:val="white"/>
        </w:rPr>
        <w:t xml:space="preserve">. </w:t>
      </w:r>
      <w:r w:rsidRPr="00DA76A7">
        <w:rPr>
          <w:rFonts w:ascii="Arial" w:hAnsi="Arial" w:cs="Arial"/>
          <w:color w:val="000000" w:themeColor="text1"/>
          <w:highlight w:val="white"/>
          <w:lang w:val="en-US"/>
        </w:rPr>
        <w:t>Montenegro</w:t>
      </w:r>
      <w:r w:rsidRPr="00DA76A7">
        <w:rPr>
          <w:rFonts w:ascii="Arial" w:hAnsi="Arial" w:cs="Arial"/>
          <w:color w:val="000000" w:themeColor="text1"/>
          <w:highlight w:val="white"/>
        </w:rPr>
        <w:t xml:space="preserve">, </w:t>
      </w:r>
      <w:r w:rsidRPr="00DA76A7">
        <w:rPr>
          <w:rFonts w:ascii="Arial" w:hAnsi="Arial" w:cs="Arial"/>
          <w:color w:val="000000" w:themeColor="text1"/>
        </w:rPr>
        <w:t>№</w:t>
      </w:r>
      <w:r w:rsidRPr="00DA76A7">
        <w:rPr>
          <w:rFonts w:ascii="Arial" w:hAnsi="Arial" w:cs="Arial"/>
          <w:color w:val="000000" w:themeColor="text1"/>
          <w:highlight w:val="white"/>
        </w:rPr>
        <w:t xml:space="preserve"> 70838/13, §</w:t>
      </w:r>
      <w:r w:rsidRPr="00DA76A7">
        <w:rPr>
          <w:rFonts w:ascii="Arial" w:hAnsi="Arial" w:cs="Arial"/>
          <w:color w:val="000000" w:themeColor="text1"/>
        </w:rPr>
        <w:t xml:space="preserve">59 [Электронный ресурс] // Официальный сайт Европейского суда по правам человека. – Режим доступа: </w:t>
      </w:r>
      <w:hyperlink r:id="rId28" w:history="1">
        <w:r w:rsidRPr="00DA76A7">
          <w:rPr>
            <w:rStyle w:val="af0"/>
            <w:rFonts w:ascii="Arial" w:hAnsi="Arial" w:cs="Arial"/>
            <w:color w:val="000000" w:themeColor="text1"/>
            <w:u w:val="none"/>
          </w:rPr>
          <w:t>http://hudoc.echr.coe.int/</w:t>
        </w:r>
      </w:hyperlink>
      <w:r w:rsidRPr="00DA76A7">
        <w:rPr>
          <w:rFonts w:ascii="Arial" w:hAnsi="Arial" w:cs="Arial"/>
          <w:color w:val="000000" w:themeColor="text1"/>
        </w:rPr>
        <w:t xml:space="preserve"> (дата обращения – 25.03.2018).</w:t>
      </w:r>
    </w:p>
    <w:p w:rsidR="00A969C6" w:rsidRPr="00DA76A7" w:rsidRDefault="00A969C6" w:rsidP="00A969C6">
      <w:pPr>
        <w:ind w:firstLine="567"/>
        <w:rPr>
          <w:rFonts w:ascii="Arial" w:hAnsi="Arial" w:cs="Arial"/>
          <w:color w:val="000000" w:themeColor="text1"/>
          <w:sz w:val="22"/>
          <w:szCs w:val="22"/>
        </w:rPr>
      </w:pPr>
    </w:p>
    <w:p w:rsidR="00A969C6" w:rsidRDefault="00A969C6" w:rsidP="00A969C6">
      <w:pPr>
        <w:shd w:val="clear" w:color="auto" w:fill="FFFFFF"/>
        <w:ind w:firstLine="567"/>
        <w:jc w:val="center"/>
        <w:rPr>
          <w:rFonts w:ascii="Arial" w:hAnsi="Arial" w:cs="Arial"/>
          <w:b/>
          <w:bCs/>
          <w:color w:val="000000" w:themeColor="text1"/>
          <w:sz w:val="22"/>
          <w:szCs w:val="22"/>
        </w:rPr>
      </w:pPr>
    </w:p>
    <w:p w:rsidR="000E7DCF" w:rsidRPr="00DA76A7" w:rsidRDefault="000E7DCF" w:rsidP="00A969C6">
      <w:pPr>
        <w:shd w:val="clear" w:color="auto" w:fill="FFFFFF"/>
        <w:ind w:firstLine="567"/>
        <w:jc w:val="center"/>
        <w:rPr>
          <w:rFonts w:ascii="Arial" w:hAnsi="Arial" w:cs="Arial"/>
          <w:b/>
          <w:bCs/>
          <w:color w:val="000000" w:themeColor="text1"/>
          <w:sz w:val="22"/>
          <w:szCs w:val="22"/>
        </w:rPr>
      </w:pPr>
    </w:p>
    <w:p w:rsidR="00A969C6" w:rsidRPr="00DA76A7" w:rsidRDefault="00A969C6" w:rsidP="00A969C6">
      <w:pPr>
        <w:shd w:val="clear" w:color="auto" w:fill="FFFFFF"/>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ВОПРОСЫ ПРАВОВОГО РЕГУЛИРОВАНИЯ МЕЖДУНАРОДНОЙ ПЕРЕВОЗКИ ПАССАЖИРА И БАГАЖА В ЖЕЛЕЗНОДОРОЖНОМ ТРАНСПОРТЕ</w:t>
      </w:r>
    </w:p>
    <w:p w:rsidR="00A969C6" w:rsidRPr="00DA76A7" w:rsidRDefault="00A969C6" w:rsidP="00A969C6">
      <w:pPr>
        <w:shd w:val="clear" w:color="auto" w:fill="FFFFFF"/>
        <w:jc w:val="center"/>
        <w:rPr>
          <w:rFonts w:ascii="Arial" w:hAnsi="Arial" w:cs="Arial"/>
          <w:color w:val="000000" w:themeColor="text1"/>
          <w:sz w:val="22"/>
          <w:szCs w:val="22"/>
        </w:rPr>
      </w:pPr>
    </w:p>
    <w:p w:rsidR="00A969C6" w:rsidRPr="00DA76A7" w:rsidRDefault="00A969C6" w:rsidP="00A969C6">
      <w:pPr>
        <w:shd w:val="clear" w:color="auto" w:fill="FFFFFF"/>
        <w:jc w:val="center"/>
        <w:rPr>
          <w:rFonts w:ascii="Arial" w:hAnsi="Arial" w:cs="Arial"/>
          <w:color w:val="000000" w:themeColor="text1"/>
          <w:sz w:val="22"/>
          <w:szCs w:val="22"/>
        </w:rPr>
      </w:pPr>
      <w:r w:rsidRPr="00DA76A7">
        <w:rPr>
          <w:rFonts w:ascii="Arial" w:hAnsi="Arial" w:cs="Arial"/>
          <w:b/>
          <w:bCs/>
          <w:color w:val="000000" w:themeColor="text1"/>
          <w:sz w:val="22"/>
          <w:szCs w:val="22"/>
        </w:rPr>
        <w:t>Ахунджанов Элмурод Пайзуллаевич</w:t>
      </w:r>
    </w:p>
    <w:p w:rsidR="00A969C6" w:rsidRPr="00DA76A7" w:rsidRDefault="00A969C6" w:rsidP="00A969C6">
      <w:pPr>
        <w:shd w:val="clear" w:color="auto" w:fill="FFFFFF"/>
        <w:jc w:val="center"/>
        <w:rPr>
          <w:rFonts w:ascii="Arial" w:hAnsi="Arial" w:cs="Arial"/>
          <w:color w:val="000000" w:themeColor="text1"/>
          <w:spacing w:val="-1"/>
          <w:sz w:val="22"/>
          <w:szCs w:val="22"/>
        </w:rPr>
      </w:pPr>
      <w:r w:rsidRPr="00DA76A7">
        <w:rPr>
          <w:rFonts w:ascii="Arial" w:hAnsi="Arial" w:cs="Arial"/>
          <w:color w:val="000000" w:themeColor="text1"/>
          <w:spacing w:val="-1"/>
          <w:sz w:val="22"/>
          <w:szCs w:val="22"/>
        </w:rPr>
        <w:t>докторант кафедры международного коммерческого права</w:t>
      </w:r>
    </w:p>
    <w:p w:rsidR="00A969C6" w:rsidRPr="00DA76A7" w:rsidRDefault="00A969C6" w:rsidP="00A969C6">
      <w:pPr>
        <w:shd w:val="clear" w:color="auto" w:fill="FFFFFF"/>
        <w:jc w:val="center"/>
        <w:rPr>
          <w:rFonts w:ascii="Arial" w:hAnsi="Arial" w:cs="Arial"/>
          <w:color w:val="000000" w:themeColor="text1"/>
          <w:spacing w:val="-1"/>
          <w:sz w:val="22"/>
          <w:szCs w:val="22"/>
        </w:rPr>
      </w:pPr>
      <w:r w:rsidRPr="00DA76A7">
        <w:rPr>
          <w:rFonts w:ascii="Arial" w:hAnsi="Arial" w:cs="Arial"/>
          <w:color w:val="000000" w:themeColor="text1"/>
          <w:spacing w:val="-1"/>
          <w:sz w:val="22"/>
          <w:szCs w:val="22"/>
        </w:rPr>
        <w:t xml:space="preserve"> Ташкентский государственный юридический университет</w:t>
      </w:r>
    </w:p>
    <w:p w:rsidR="00A969C6" w:rsidRPr="00DA76A7" w:rsidRDefault="00A969C6" w:rsidP="00A969C6">
      <w:pPr>
        <w:shd w:val="clear" w:color="auto" w:fill="FFFFFF"/>
        <w:jc w:val="center"/>
        <w:rPr>
          <w:rFonts w:ascii="Arial" w:hAnsi="Arial" w:cs="Arial"/>
          <w:color w:val="000000" w:themeColor="text1"/>
          <w:sz w:val="22"/>
          <w:szCs w:val="22"/>
        </w:rPr>
      </w:pPr>
      <w:r w:rsidRPr="00DA76A7">
        <w:rPr>
          <w:rFonts w:ascii="Arial" w:eastAsia="MS Mincho" w:hAnsi="Arial" w:cs="Arial"/>
          <w:bCs/>
          <w:color w:val="000000" w:themeColor="text1"/>
          <w:sz w:val="22"/>
          <w:szCs w:val="22"/>
          <w:lang w:val="uz-Cyrl-UZ" w:eastAsia="ja-JP"/>
        </w:rPr>
        <w:t>100047,</w:t>
      </w:r>
      <w:r w:rsidRPr="00DA76A7">
        <w:rPr>
          <w:rFonts w:ascii="Arial" w:hAnsi="Arial" w:cs="Arial"/>
          <w:color w:val="000000" w:themeColor="text1"/>
          <w:sz w:val="22"/>
          <w:szCs w:val="22"/>
        </w:rPr>
        <w:t xml:space="preserve"> Республика Узбекистан, г. Ташкент, ул. Сайилгох 35</w:t>
      </w:r>
    </w:p>
    <w:p w:rsidR="00A969C6" w:rsidRPr="003A751C" w:rsidRDefault="00A969C6" w:rsidP="00A969C6">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+998974340075,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barclays</w:t>
      </w:r>
      <w:r w:rsidRPr="003A751C">
        <w:rPr>
          <w:rFonts w:ascii="Arial" w:hAnsi="Arial" w:cs="Arial"/>
          <w:color w:val="000000" w:themeColor="text1"/>
          <w:sz w:val="22"/>
          <w:szCs w:val="22"/>
          <w:lang w:val="en-US"/>
        </w:rPr>
        <w:t>1988@</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hyperlink r:id="rId29" w:history="1"/>
    </w:p>
    <w:p w:rsidR="00A969C6" w:rsidRPr="003A751C" w:rsidRDefault="00A969C6" w:rsidP="00A969C6">
      <w:pPr>
        <w:shd w:val="clear" w:color="auto" w:fill="FFFFFF"/>
        <w:jc w:val="center"/>
        <w:rPr>
          <w:rFonts w:ascii="Arial" w:hAnsi="Arial" w:cs="Arial"/>
          <w:color w:val="000000" w:themeColor="text1"/>
          <w:sz w:val="22"/>
          <w:szCs w:val="22"/>
          <w:lang w:val="en-US"/>
        </w:rPr>
      </w:pPr>
    </w:p>
    <w:p w:rsidR="000E7DCF" w:rsidRPr="003A751C" w:rsidRDefault="000E7DCF" w:rsidP="00A969C6">
      <w:pPr>
        <w:shd w:val="clear" w:color="auto" w:fill="FFFFFF"/>
        <w:jc w:val="center"/>
        <w:rPr>
          <w:rFonts w:ascii="Arial" w:hAnsi="Arial" w:cs="Arial"/>
          <w:color w:val="000000" w:themeColor="text1"/>
          <w:sz w:val="22"/>
          <w:szCs w:val="22"/>
          <w:lang w:val="en-US"/>
        </w:rPr>
      </w:pPr>
    </w:p>
    <w:p w:rsidR="000E7DCF" w:rsidRPr="003A751C" w:rsidRDefault="000E7DCF" w:rsidP="00A969C6">
      <w:pPr>
        <w:shd w:val="clear" w:color="auto" w:fill="FFFFFF"/>
        <w:jc w:val="center"/>
        <w:rPr>
          <w:rFonts w:ascii="Arial" w:hAnsi="Arial" w:cs="Arial"/>
          <w:color w:val="000000" w:themeColor="text1"/>
          <w:sz w:val="22"/>
          <w:szCs w:val="22"/>
          <w:lang w:val="en-US"/>
        </w:rPr>
      </w:pPr>
    </w:p>
    <w:p w:rsidR="000E7DCF" w:rsidRPr="003A751C" w:rsidRDefault="000E7DCF" w:rsidP="00A969C6">
      <w:pPr>
        <w:shd w:val="clear" w:color="auto" w:fill="FFFFFF"/>
        <w:jc w:val="center"/>
        <w:rPr>
          <w:rFonts w:ascii="Arial" w:hAnsi="Arial" w:cs="Arial"/>
          <w:color w:val="000000" w:themeColor="text1"/>
          <w:sz w:val="22"/>
          <w:szCs w:val="22"/>
          <w:lang w:val="en-US"/>
        </w:rPr>
      </w:pPr>
    </w:p>
    <w:p w:rsidR="000E7DCF" w:rsidRPr="003A751C" w:rsidRDefault="000E7DCF" w:rsidP="00A969C6">
      <w:pPr>
        <w:shd w:val="clear" w:color="auto" w:fill="FFFFFF"/>
        <w:jc w:val="center"/>
        <w:rPr>
          <w:rFonts w:ascii="Arial" w:hAnsi="Arial" w:cs="Arial"/>
          <w:color w:val="000000" w:themeColor="text1"/>
          <w:sz w:val="22"/>
          <w:szCs w:val="22"/>
          <w:lang w:val="en-US"/>
        </w:rPr>
      </w:pPr>
    </w:p>
    <w:p w:rsidR="000E7DCF" w:rsidRPr="003A751C" w:rsidRDefault="000E7DCF" w:rsidP="00A969C6">
      <w:pPr>
        <w:shd w:val="clear" w:color="auto" w:fill="FFFFFF"/>
        <w:jc w:val="center"/>
        <w:rPr>
          <w:rFonts w:ascii="Arial" w:hAnsi="Arial" w:cs="Arial"/>
          <w:color w:val="000000" w:themeColor="text1"/>
          <w:sz w:val="22"/>
          <w:szCs w:val="22"/>
          <w:lang w:val="en-US"/>
        </w:rPr>
      </w:pPr>
    </w:p>
    <w:p w:rsidR="00A969C6" w:rsidRPr="00DA76A7" w:rsidRDefault="00A969C6" w:rsidP="00A969C6">
      <w:pPr>
        <w:shd w:val="clear" w:color="auto" w:fill="FFFFFF"/>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ISSUES OF LEGAL REGULATION OF THE INTERNATIONAL CARRIAGE OF PASSENGERS AND BAGGAGE IN RAILWAY TRANSPORT</w:t>
      </w:r>
    </w:p>
    <w:p w:rsidR="00A969C6" w:rsidRPr="00DA76A7" w:rsidRDefault="00A969C6" w:rsidP="00A969C6">
      <w:pPr>
        <w:shd w:val="clear" w:color="auto" w:fill="FFFFFF"/>
        <w:jc w:val="center"/>
        <w:rPr>
          <w:rFonts w:ascii="Arial" w:hAnsi="Arial" w:cs="Arial"/>
          <w:color w:val="000000" w:themeColor="text1"/>
          <w:sz w:val="22"/>
          <w:szCs w:val="22"/>
          <w:lang w:val="en-US"/>
        </w:rPr>
      </w:pPr>
    </w:p>
    <w:p w:rsidR="00A969C6" w:rsidRPr="00DA76A7" w:rsidRDefault="00A969C6" w:rsidP="00A969C6">
      <w:pPr>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А</w:t>
      </w:r>
      <w:r w:rsidRPr="00DA76A7">
        <w:rPr>
          <w:rFonts w:ascii="Arial" w:hAnsi="Arial" w:cs="Arial"/>
          <w:b/>
          <w:color w:val="000000" w:themeColor="text1"/>
          <w:sz w:val="22"/>
          <w:szCs w:val="22"/>
          <w:lang w:val="en-US"/>
        </w:rPr>
        <w:t>khundjanov Elmurod Payzullayevich</w:t>
      </w:r>
    </w:p>
    <w:p w:rsidR="00A969C6" w:rsidRPr="00DA76A7" w:rsidRDefault="00A969C6" w:rsidP="00A969C6">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doctoral candidate of the international commercial law</w:t>
      </w:r>
    </w:p>
    <w:p w:rsidR="00A969C6" w:rsidRPr="00DA76A7" w:rsidRDefault="00A969C6" w:rsidP="00A969C6">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Tashkent state law university</w:t>
      </w:r>
    </w:p>
    <w:p w:rsidR="00A969C6" w:rsidRPr="00DA76A7" w:rsidRDefault="00A969C6" w:rsidP="00A969C6">
      <w:pPr>
        <w:shd w:val="clear" w:color="auto" w:fill="FFFFFF"/>
        <w:jc w:val="center"/>
        <w:rPr>
          <w:rFonts w:ascii="Arial" w:eastAsia="MS Mincho" w:hAnsi="Arial" w:cs="Arial"/>
          <w:bCs/>
          <w:color w:val="000000" w:themeColor="text1"/>
          <w:sz w:val="22"/>
          <w:szCs w:val="22"/>
          <w:lang w:val="en-US" w:eastAsia="ja-JP"/>
        </w:rPr>
      </w:pPr>
      <w:r w:rsidRPr="00DA76A7">
        <w:rPr>
          <w:rFonts w:ascii="Arial" w:eastAsia="MS Mincho" w:hAnsi="Arial" w:cs="Arial"/>
          <w:bCs/>
          <w:color w:val="000000" w:themeColor="text1"/>
          <w:sz w:val="22"/>
          <w:szCs w:val="22"/>
          <w:lang w:val="uz-Cyrl-UZ" w:eastAsia="ja-JP"/>
        </w:rPr>
        <w:t>100047</w:t>
      </w:r>
      <w:r w:rsidRPr="00DA76A7">
        <w:rPr>
          <w:rFonts w:ascii="Arial" w:eastAsia="MS Mincho" w:hAnsi="Arial" w:cs="Arial"/>
          <w:bCs/>
          <w:color w:val="000000" w:themeColor="text1"/>
          <w:sz w:val="22"/>
          <w:szCs w:val="22"/>
          <w:lang w:val="en-US" w:eastAsia="ja-JP"/>
        </w:rPr>
        <w:t>, Republic of Uzbekistan, Tashkent, Sayilgokh str., 35</w:t>
      </w:r>
    </w:p>
    <w:p w:rsidR="00A969C6" w:rsidRPr="00DA76A7" w:rsidRDefault="00A969C6" w:rsidP="00A969C6">
      <w:pPr>
        <w:shd w:val="clear" w:color="auto" w:fill="FFFFFF"/>
        <w:jc w:val="center"/>
        <w:rPr>
          <w:rFonts w:ascii="Arial" w:hAnsi="Arial" w:cs="Arial"/>
          <w:color w:val="000000" w:themeColor="text1"/>
          <w:sz w:val="22"/>
          <w:szCs w:val="22"/>
          <w:lang w:val="en-US"/>
        </w:rPr>
      </w:pPr>
      <w:r w:rsidRPr="00DA76A7">
        <w:rPr>
          <w:rFonts w:ascii="Arial" w:eastAsia="MS Mincho" w:hAnsi="Arial" w:cs="Arial"/>
          <w:bCs/>
          <w:color w:val="000000" w:themeColor="text1"/>
          <w:sz w:val="22"/>
          <w:szCs w:val="22"/>
          <w:lang w:val="en-US" w:eastAsia="ja-JP"/>
        </w:rPr>
        <w:t xml:space="preserve"> tel.:</w:t>
      </w:r>
      <w:r w:rsidRPr="00DA76A7">
        <w:rPr>
          <w:rFonts w:ascii="Arial" w:hAnsi="Arial" w:cs="Arial"/>
          <w:color w:val="000000" w:themeColor="text1"/>
          <w:sz w:val="22"/>
          <w:szCs w:val="22"/>
          <w:lang w:val="en-US"/>
        </w:rPr>
        <w:t xml:space="preserve"> +998974340075,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barclays1988@mail.ru</w:t>
      </w:r>
    </w:p>
    <w:p w:rsidR="00A969C6" w:rsidRPr="00DA76A7" w:rsidRDefault="00A969C6" w:rsidP="00A969C6">
      <w:pPr>
        <w:shd w:val="clear" w:color="auto" w:fill="FFFFFF"/>
        <w:ind w:firstLine="567"/>
        <w:jc w:val="both"/>
        <w:rPr>
          <w:rFonts w:ascii="Arial" w:hAnsi="Arial" w:cs="Arial"/>
          <w:b/>
          <w:color w:val="000000" w:themeColor="text1"/>
          <w:sz w:val="22"/>
          <w:szCs w:val="22"/>
          <w:lang w:val="en-US"/>
        </w:rPr>
      </w:pPr>
    </w:p>
    <w:p w:rsidR="00A969C6" w:rsidRPr="00DA76A7" w:rsidRDefault="00B46B9E" w:rsidP="00A969C6">
      <w:pPr>
        <w:shd w:val="clear" w:color="auto" w:fill="FFFFFF"/>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данной статье проанализированы вопросы правового регулирования международной перевозки пассажиров и багажа в железнодорожном транспорте, нормы международных документов и национального законодательства по перевозке пассажира и грузов, а также роль общих и специальных норм по регулированию отношений по перевозке.</w:t>
      </w:r>
    </w:p>
    <w:p w:rsidR="00A969C6" w:rsidRPr="00DA76A7" w:rsidRDefault="00081412" w:rsidP="00A969C6">
      <w:pPr>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in this article questions of legal regulation of the international transportation of passengers and baggage in railway transport, standards of the international documents and the national legislation on transportation of the passenger and freights, and also a role of the general and special norms on regulation of the relations on transportation are analysed.</w:t>
      </w:r>
    </w:p>
    <w:p w:rsidR="00A969C6" w:rsidRPr="00DA76A7" w:rsidRDefault="00A969C6" w:rsidP="00A969C6">
      <w:pPr>
        <w:shd w:val="clear" w:color="auto" w:fill="FFFFFF"/>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понятие международной перевозки пассажира и грузов; международно-правовое регулирование отношений по перевозке грузов; регулирование отношений по перевозке грузов нормами специального законодательства; СМГС; КОТИФ; Бернская Конвенция; ОСЖД; МСЖД.</w:t>
      </w:r>
    </w:p>
    <w:p w:rsidR="00A969C6" w:rsidRPr="00DA76A7" w:rsidRDefault="00A969C6" w:rsidP="00A969C6">
      <w:pPr>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concept of the international transportation of the passenger and freights; international legal regulation of the relations on transportation of goods; a regulation of the relations on transportation of goods by standards of the special legislation; SMGS; </w:t>
      </w:r>
      <w:r w:rsidRPr="00DA76A7">
        <w:rPr>
          <w:rFonts w:ascii="Arial" w:hAnsi="Arial" w:cs="Arial"/>
          <w:i/>
          <w:color w:val="000000" w:themeColor="text1"/>
          <w:sz w:val="22"/>
          <w:szCs w:val="22"/>
          <w:lang w:val="uz-Cyrl-UZ"/>
        </w:rPr>
        <w:t>С</w:t>
      </w:r>
      <w:r w:rsidRPr="00DA76A7">
        <w:rPr>
          <w:rFonts w:ascii="Arial" w:hAnsi="Arial" w:cs="Arial"/>
          <w:i/>
          <w:color w:val="000000" w:themeColor="text1"/>
          <w:sz w:val="22"/>
          <w:szCs w:val="22"/>
          <w:lang w:val="en-US"/>
        </w:rPr>
        <w:t>OTIF; the Bern Convention; OSJD; MSJD.</w:t>
      </w:r>
    </w:p>
    <w:p w:rsidR="00A969C6" w:rsidRPr="00DA76A7" w:rsidRDefault="00A969C6" w:rsidP="00A969C6">
      <w:pPr>
        <w:shd w:val="clear" w:color="auto" w:fill="FFFFFF"/>
        <w:ind w:firstLine="567"/>
        <w:jc w:val="both"/>
        <w:rPr>
          <w:rFonts w:ascii="Arial" w:hAnsi="Arial" w:cs="Arial"/>
          <w:i/>
          <w:color w:val="000000" w:themeColor="text1"/>
          <w:sz w:val="22"/>
          <w:szCs w:val="22"/>
          <w:lang w:val="en-US"/>
        </w:rPr>
      </w:pP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Республика Узбекистан относится к государствам с развитой системой транспортных коммуникаций. В настоящее время дальнейшее развитие и повышение качественного уровня эффективности данной отрасли обеспечивает усиление экономических, научно-технических, культурных взаимоотношений с зарубежными странами, экономической интеграции в мировую экономическую систему, повышает эффективность работу по перевозке груза и пассажиров.</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Международная перевозка пассажира и груза в железнодорожном транспорте является составной частью международной транспортной системы. В отличие от других видов транспортных средств железнодорожный транспорт имеет несколько преимуществ. Например, возможность широкой перевозки пассажира и багажа; возможность быстрой перевозки на дальние расстояния; сравнительная дешевость перевозки в отличие от других транспортных средств. Но, несмотря на указанные преимущества, объем перевозок пассажира и груза в железнодорожном транспорте значительно меньше, чем в автомобильном и воздушном транспорте. В частности, данное обстоятельство характеризуется тем, что указанные преимущества дают эффект лишь при организации перевозок на расстояние более чем 500 км. [7, 64]. Практика показывает, что дороговизна автомобильных перевозок и ее проблемы с экологической точки зрения наблюдается тенденция перехода от автомобильных перевозок к перевозкам в международном железнодорожном транспорте.</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Особенности организации международных железнодорожных перевозок характеризуются следующим: во-первых, в международных железнодорожных перевозках используются железные дороги нескольких стран. Данное обстоятельство требует координации деятельности участвующих в международной железнодорожной перевозке государств, учета несоответствия путей железнодорожного сообщения стран Западной Европы и железных дорог стран Восточной Европы и некоторых стран Азии, разработки нормативной базы, регулирующей правовые отношения между государствами в железнодорожной сфере. Во-вторых, в этих перевозках переход государственной границы означает перевод пассажира в субъект железнодорожного транспорта другого государства. В-третьих, в международной перевозке груза и пассажира железнодорожные вагоны одной страны ограниченное время пользуется железными дорогами второго государства. </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Анализ особенностей международной железнодорожной перевозки показывает, что указанные особенности связаны правилами, которые определяют порядок перевозки пассажира в железнодорожном транспорте. Данное обстоятельство, в частности, проявляется в системе нормативных актов, связанных с порядком пересечения границы и перевода пассажира в пограничных станциях железнодорожному субъекту другой страны.</w:t>
      </w:r>
    </w:p>
    <w:p w:rsidR="00A969C6" w:rsidRPr="00DA76A7" w:rsidRDefault="00A969C6" w:rsidP="00A969C6">
      <w:pPr>
        <w:shd w:val="clear" w:color="auto" w:fill="FFFFFF"/>
        <w:tabs>
          <w:tab w:val="left" w:pos="142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наличии Конвенций касательно международной железнодорожной перевозке, национальное законодательство может быть применено, если в Конвенциях содержится, правило о применении национального законодательства, либо в случае отсутствия или не регулирования определенных вопросов в нормах конвенции. Среди международных договоров, упорядочивающих международную перевозку груза и пассажира особое значение имеют договоры КОТИФ, СМГС и СМПС.</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Унификация правового регулирования международных железнодорожных перевозок начался в Европе в конце XIX века. В 1890 году была принята Бернская конвенция о международных перевозках груза по железной дороге, подписанная 9 странами Европы (Россия также подписала). В дальнейшем данная конвенция стала сокращенно наименоваться МГК или СИМ. В 1923 году была принята Бернская конвенция о перевозке груза и пассажира по международной железной дороге, имеющая краткое название в виде МПК или СИВ.</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Широкое применение Бернской конвенции стало причиной внесения в нее важных изменений и дополнений. Если в момент принятия конвенции его участниками были только страны Европы, то по истечении времени ее участниками стали некоторые страны Азии (Иран), а также Северной Африки (Алжир, Марокко). В результате этого, Бернская конвенция расширилась и превратилась из региональной конвенции в универсальную конвенцию. В </w:t>
      </w:r>
      <w:r w:rsidRPr="00DA76A7">
        <w:rPr>
          <w:rFonts w:ascii="Arial" w:hAnsi="Arial" w:cs="Arial"/>
          <w:color w:val="000000" w:themeColor="text1"/>
          <w:spacing w:val="-1"/>
          <w:sz w:val="22"/>
          <w:szCs w:val="22"/>
        </w:rPr>
        <w:t xml:space="preserve">1980 году на Конференции по пересмотру Бернской конвенции было принято решение о необходимости объединения данной конвенции в новую редакцию КОТИФ. Соглашение КОТИФ с момента вступления в силу дважды пересматривалась в силу практического опыт его применения и расширения круга участников данного соглашения. В качестве приложения к КОТИФ были разработаны единые правовые предписания к договору международной железнодорожной перевозке пассажиров (Приложение А – ЦИВ) и международной железнодорожной перевозке грузов (Приложение Б – ЦИМ). В рамках </w:t>
      </w:r>
      <w:r w:rsidRPr="00DA76A7">
        <w:rPr>
          <w:rFonts w:ascii="Arial" w:hAnsi="Arial" w:cs="Arial"/>
          <w:color w:val="000000" w:themeColor="text1"/>
          <w:sz w:val="22"/>
          <w:szCs w:val="22"/>
        </w:rPr>
        <w:t>КОТИФ была создана Организация международного железнодорожного транспорта (Бернская организация), которая имеет свои задачи и уполномоченные органы, порядок ведения своей деятельности. Исходя из вышеизложенного можно отметить, что основная цель КОТИФ – создание единой правовой системы в отношении перевозки груза, багажа и пассажира в прямых международных железнодорожных рейсах. Данная правовая система также применяется в отношении в смешанных перевозках с использованием железнодорожного, речного и морского транспорта.</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международном договоре КОТИФ урегулированы важные вопросы касательно перевозок. Например, урегулированы вопросы особых условий перевозки детей, багажа и ручной клади, ответственность перевозчика, срок давности и другие обстоятельства. В частности, в договоре КОТИФ закреплены требования в отношении билета пассажира, указаны обязательные реквизиты билета. Но форма билета пассажира определяется по соглашениями между железнодорожными организациями. В этих соглашениях указаны срок действия билета пассажира. Пассажир может прекратить право на перевозку в течение указанного времени в установленном в нормативных документах порядке. Пассажир может отказаться полностью или частично от услуг по железнодорожной перевозке. В этом случае, внесенная плата возвращается пассажиру в полном или частичном объеме.</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соглашению КОТИФ перевозка ручной клади осуществляется бесплатно. В качестве ручной клади признаются легкие предметы, которые можно поместить в верхнюю или нижнюю часть места пассажира. Перевозка багажа осуществляется на основании установленных тарифов. Перевозка багажа осуществляется на основании квитанции в строго установленной форме. При нарушении оформления багажа, делается специальная отметка в квитанции.</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договора КОТИФ, регулирующего отношения по международной железнодорожной перевозке пассажира и багажа существует соглашение СМПС [</w:t>
      </w:r>
      <w:r w:rsidRPr="00DA76A7">
        <w:rPr>
          <w:rFonts w:ascii="Arial" w:hAnsi="Arial" w:cs="Arial"/>
          <w:color w:val="000000" w:themeColor="text1"/>
          <w:sz w:val="22"/>
          <w:szCs w:val="22"/>
          <w:lang w:val="uz-Cyrl-UZ"/>
        </w:rPr>
        <w:t>1</w:t>
      </w:r>
      <w:r w:rsidRPr="00DA76A7">
        <w:rPr>
          <w:rFonts w:ascii="Arial" w:hAnsi="Arial" w:cs="Arial"/>
          <w:color w:val="000000" w:themeColor="text1"/>
          <w:sz w:val="22"/>
          <w:szCs w:val="22"/>
        </w:rPr>
        <w:t>]. Можно отметить, что соглашение применяется и после распада Советского Союза и не утратило свою актуальность в вопросе регулирования организации деятельности по перевозке груза и пассажира. В соглашении СМПС указаны вопросы ответственности и обязанности железнодорожной организации, закреплен порядок перевозки пассажира, груза, багажа и товарного багажа.</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соглашении СМПС закреплен отдельный раздел касательно организации и осуществления перевозки пассажира, который называется «Перевозка пассажира». Данный раздел состоит из норм касательно билетов пассажиров, условий действия билетов, контроль за билетами, предоставления места в поезде, условий перевозки детей, перерывов между железнодорожными перевозками, отказа в железнодорожной перевозке и отношений по поводу прекращения договора перевозки.</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числу национальных законодательных актов, регулирующих вопросы железнодорожной перевозки пассажира и багажа относятся:</w:t>
      </w:r>
    </w:p>
    <w:p w:rsidR="00A969C6" w:rsidRPr="00DA76A7" w:rsidRDefault="00A969C6" w:rsidP="00D45D6B">
      <w:pPr>
        <w:pStyle w:val="a6"/>
        <w:widowControl w:val="0"/>
        <w:numPr>
          <w:ilvl w:val="0"/>
          <w:numId w:val="9"/>
        </w:numPr>
        <w:shd w:val="clear" w:color="auto" w:fill="FFFFFF"/>
        <w:tabs>
          <w:tab w:val="left" w:pos="709"/>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spacing w:val="-5"/>
        </w:rPr>
        <w:t>Закон Республики Узбекистан «О железнодорожном транспорте»;</w:t>
      </w:r>
    </w:p>
    <w:p w:rsidR="00A969C6" w:rsidRPr="00DA76A7" w:rsidRDefault="00A969C6" w:rsidP="00D45D6B">
      <w:pPr>
        <w:pStyle w:val="a6"/>
        <w:widowControl w:val="0"/>
        <w:numPr>
          <w:ilvl w:val="0"/>
          <w:numId w:val="9"/>
        </w:numPr>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Правила перевозки пассажиров, багажа и груза в железнодорожном транспорте Республики Узбекистан, утвержденные постановлением Кабинета Министров Республики Узбекистан от 13 апреля 2012 № 109</w:t>
      </w:r>
      <w:r w:rsidRPr="00DA76A7">
        <w:rPr>
          <w:rFonts w:ascii="Arial" w:hAnsi="Arial" w:cs="Arial"/>
          <w:bCs/>
          <w:color w:val="000000" w:themeColor="text1"/>
        </w:rPr>
        <w:t>.</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Законе Республики Узбекистан «О железнодорожном транспорте» указано, что международные сообщения – это перевозки грузов, пассажиров, багажа и грузобагажа между Республикой Узбекистан и другими государствами. Исходя из этого правила можно отметить, что для признания перевозок в качестве международных требуется пересечение государственной границы Республики Узбекистан [2].</w:t>
      </w:r>
    </w:p>
    <w:p w:rsidR="00A969C6" w:rsidRPr="00DA76A7" w:rsidRDefault="00A969C6" w:rsidP="00A969C6">
      <w:pPr>
        <w:ind w:firstLine="567"/>
        <w:jc w:val="both"/>
        <w:rPr>
          <w:rFonts w:ascii="Arial" w:hAnsi="Arial" w:cs="Arial"/>
          <w:bCs/>
          <w:color w:val="000000" w:themeColor="text1"/>
          <w:sz w:val="22"/>
          <w:szCs w:val="22"/>
        </w:rPr>
      </w:pPr>
      <w:bookmarkStart w:id="2" w:name="411835"/>
      <w:r w:rsidRPr="00DA76A7">
        <w:rPr>
          <w:rFonts w:ascii="Arial" w:hAnsi="Arial" w:cs="Arial"/>
          <w:bCs/>
          <w:color w:val="000000" w:themeColor="text1"/>
          <w:sz w:val="22"/>
          <w:szCs w:val="22"/>
        </w:rPr>
        <w:t xml:space="preserve">Основным и важным требованием в отношении перевозки пассажира и груза в железнодорожном транспорте является наличие лицензии для осуществления данной деятельности. Согласно Постановлению Олий Мажлиса Республики Узбекистан «О </w:t>
      </w:r>
      <w:r w:rsidRPr="00DA76A7">
        <w:rPr>
          <w:rFonts w:ascii="Arial" w:hAnsi="Arial" w:cs="Arial"/>
          <w:bCs/>
          <w:color w:val="000000" w:themeColor="text1"/>
          <w:sz w:val="22"/>
          <w:szCs w:val="22"/>
          <w:bdr w:val="none" w:sz="0" w:space="0" w:color="auto" w:frame="1"/>
        </w:rPr>
        <w:t>перечне видов деятельности, на осуществление которых требуются лицензии</w:t>
      </w:r>
      <w:r w:rsidRPr="00DA76A7">
        <w:rPr>
          <w:rFonts w:ascii="Arial" w:hAnsi="Arial" w:cs="Arial"/>
          <w:bCs/>
          <w:color w:val="000000" w:themeColor="text1"/>
          <w:sz w:val="22"/>
          <w:szCs w:val="22"/>
        </w:rPr>
        <w:t xml:space="preserve">» от 12 мая 2001 года </w:t>
      </w:r>
      <w:r w:rsidRPr="00DA76A7">
        <w:rPr>
          <w:rFonts w:ascii="Arial" w:hAnsi="Arial" w:cs="Arial"/>
          <w:bCs/>
          <w:color w:val="000000" w:themeColor="text1"/>
          <w:sz w:val="22"/>
          <w:szCs w:val="22"/>
        </w:rPr>
        <w:br/>
        <w:t>№ 222-</w:t>
      </w:r>
      <w:r w:rsidRPr="00DA76A7">
        <w:rPr>
          <w:rFonts w:ascii="Arial" w:hAnsi="Arial" w:cs="Arial"/>
          <w:bCs/>
          <w:color w:val="000000" w:themeColor="text1"/>
          <w:sz w:val="22"/>
          <w:szCs w:val="22"/>
          <w:lang w:val="en-US"/>
        </w:rPr>
        <w:t>II</w:t>
      </w:r>
      <w:r w:rsidRPr="00DA76A7">
        <w:rPr>
          <w:rFonts w:ascii="Arial" w:hAnsi="Arial" w:cs="Arial"/>
          <w:bCs/>
          <w:color w:val="000000" w:themeColor="text1"/>
          <w:sz w:val="22"/>
          <w:szCs w:val="22"/>
        </w:rPr>
        <w:t xml:space="preserve"> [</w:t>
      </w:r>
      <w:r w:rsidRPr="00DA76A7">
        <w:rPr>
          <w:rFonts w:ascii="Arial" w:hAnsi="Arial" w:cs="Arial"/>
          <w:bCs/>
          <w:color w:val="000000" w:themeColor="text1"/>
          <w:sz w:val="22"/>
          <w:szCs w:val="22"/>
          <w:lang w:val="uz-Cyrl-UZ"/>
        </w:rPr>
        <w:t>3</w:t>
      </w:r>
      <w:r w:rsidRPr="00DA76A7">
        <w:rPr>
          <w:rFonts w:ascii="Arial" w:hAnsi="Arial" w:cs="Arial"/>
          <w:bCs/>
          <w:color w:val="000000" w:themeColor="text1"/>
          <w:sz w:val="22"/>
          <w:szCs w:val="22"/>
        </w:rPr>
        <w:t xml:space="preserve">] и Положению «О лицензировании деятельности по перевозке пассажиров и грузов железнодорожным транспортом внутреннего и международного сообщения», утвержденного Постановлением Кабинета Министров Республики Узбекистан </w:t>
      </w:r>
      <w:bookmarkEnd w:id="2"/>
      <w:r w:rsidRPr="00DA76A7">
        <w:rPr>
          <w:rFonts w:ascii="Arial" w:hAnsi="Arial" w:cs="Arial"/>
          <w:bCs/>
          <w:color w:val="000000" w:themeColor="text1"/>
          <w:sz w:val="22"/>
          <w:szCs w:val="22"/>
        </w:rPr>
        <w:t>от 21 августа 2003 года № 360 железнодорожная перевозка пассажира и груза указана в качестве лицензируемого вида деятельности [</w:t>
      </w:r>
      <w:r w:rsidRPr="00DA76A7">
        <w:rPr>
          <w:rFonts w:ascii="Arial" w:hAnsi="Arial" w:cs="Arial"/>
          <w:bCs/>
          <w:color w:val="000000" w:themeColor="text1"/>
          <w:sz w:val="22"/>
          <w:szCs w:val="22"/>
          <w:lang w:val="uz-Cyrl-UZ"/>
        </w:rPr>
        <w:t>4</w:t>
      </w:r>
      <w:r w:rsidRPr="00DA76A7">
        <w:rPr>
          <w:rFonts w:ascii="Arial" w:hAnsi="Arial" w:cs="Arial"/>
          <w:bCs/>
          <w:color w:val="000000" w:themeColor="text1"/>
          <w:sz w:val="22"/>
          <w:szCs w:val="22"/>
        </w:rPr>
        <w:t>]. Решения о выдаче лицензии, приостановлении действия или прекращении лицензии, ее переоформлении принимаются комиссией Кабинета Министров Республики Узбекистан по лицензированию деятельности в сфере авиацонного и железнодорожного транспорта</w:t>
      </w:r>
      <w:r w:rsidRPr="00DA76A7">
        <w:rPr>
          <w:rFonts w:ascii="Arial" w:hAnsi="Arial" w:cs="Arial"/>
          <w:color w:val="000000" w:themeColor="text1"/>
          <w:sz w:val="22"/>
          <w:szCs w:val="22"/>
        </w:rPr>
        <w:t>. Лицензия, дающая право на осуществление деятельности по железнодорожной перевозке пассажира и груза по международным направлениям выдается на срок не менее 5 лет.</w:t>
      </w:r>
    </w:p>
    <w:p w:rsidR="00A969C6" w:rsidRPr="00DA76A7" w:rsidRDefault="00A969C6" w:rsidP="00A969C6">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Согласно Положению о лицензировании деятельности по перевозке пассажиров и грузов железнодорожным транспортом внутреннего и международного сообщения перевозчик должен соблюдать следующие условия:</w:t>
      </w:r>
    </w:p>
    <w:p w:rsidR="00A969C6" w:rsidRPr="00DA76A7" w:rsidRDefault="00A969C6" w:rsidP="00D45D6B">
      <w:pPr>
        <w:pStyle w:val="a6"/>
        <w:numPr>
          <w:ilvl w:val="0"/>
          <w:numId w:val="40"/>
        </w:numPr>
        <w:tabs>
          <w:tab w:val="left" w:pos="851"/>
        </w:tabs>
        <w:spacing w:after="0" w:line="240" w:lineRule="auto"/>
        <w:ind w:left="0" w:firstLine="567"/>
        <w:jc w:val="both"/>
        <w:rPr>
          <w:rFonts w:ascii="Arial" w:hAnsi="Arial" w:cs="Arial"/>
          <w:bCs/>
          <w:color w:val="000000" w:themeColor="text1"/>
        </w:rPr>
      </w:pPr>
      <w:r w:rsidRPr="00DA76A7">
        <w:rPr>
          <w:rFonts w:ascii="Arial" w:hAnsi="Arial" w:cs="Arial"/>
          <w:bCs/>
          <w:color w:val="000000" w:themeColor="text1"/>
        </w:rPr>
        <w:t>обязательное соблюдение законодательства, правил перевозок грузов, правил перевозок пассажиров и багажа;</w:t>
      </w:r>
    </w:p>
    <w:p w:rsidR="00A969C6" w:rsidRPr="00DA76A7" w:rsidRDefault="00A969C6" w:rsidP="00D45D6B">
      <w:pPr>
        <w:pStyle w:val="a6"/>
        <w:numPr>
          <w:ilvl w:val="0"/>
          <w:numId w:val="40"/>
        </w:numPr>
        <w:tabs>
          <w:tab w:val="left" w:pos="851"/>
        </w:tabs>
        <w:spacing w:after="0" w:line="240" w:lineRule="auto"/>
        <w:ind w:left="0" w:firstLine="567"/>
        <w:jc w:val="both"/>
        <w:rPr>
          <w:rFonts w:ascii="Arial" w:hAnsi="Arial" w:cs="Arial"/>
          <w:bCs/>
          <w:color w:val="000000" w:themeColor="text1"/>
        </w:rPr>
      </w:pPr>
      <w:r w:rsidRPr="00DA76A7">
        <w:rPr>
          <w:rFonts w:ascii="Arial" w:hAnsi="Arial" w:cs="Arial"/>
          <w:bCs/>
          <w:color w:val="000000" w:themeColor="text1"/>
        </w:rPr>
        <w:t>обеспечение безопасности движения, техники безопасности, требований и норм пожарной безопасности, производственной санитарии и экологии;</w:t>
      </w:r>
    </w:p>
    <w:p w:rsidR="00A969C6" w:rsidRPr="00DA76A7" w:rsidRDefault="00A969C6" w:rsidP="00D45D6B">
      <w:pPr>
        <w:pStyle w:val="a6"/>
        <w:numPr>
          <w:ilvl w:val="0"/>
          <w:numId w:val="40"/>
        </w:numPr>
        <w:tabs>
          <w:tab w:val="left" w:pos="851"/>
        </w:tabs>
        <w:spacing w:after="0" w:line="240" w:lineRule="auto"/>
        <w:ind w:left="0" w:firstLine="567"/>
        <w:jc w:val="both"/>
        <w:rPr>
          <w:rFonts w:ascii="Arial" w:hAnsi="Arial" w:cs="Arial"/>
          <w:bCs/>
          <w:color w:val="000000" w:themeColor="text1"/>
        </w:rPr>
      </w:pPr>
      <w:r w:rsidRPr="00DA76A7">
        <w:rPr>
          <w:rFonts w:ascii="Arial" w:hAnsi="Arial" w:cs="Arial"/>
          <w:bCs/>
          <w:color w:val="000000" w:themeColor="text1"/>
        </w:rPr>
        <w:t>соответствие подвижного состава, используемого для перевозки пассажиров и грузов, а также персонала требованиям, установленным на железнодорожном транспорте;</w:t>
      </w:r>
    </w:p>
    <w:p w:rsidR="00A969C6" w:rsidRPr="00DA76A7" w:rsidRDefault="00A969C6" w:rsidP="00D45D6B">
      <w:pPr>
        <w:pStyle w:val="a6"/>
        <w:numPr>
          <w:ilvl w:val="0"/>
          <w:numId w:val="40"/>
        </w:numPr>
        <w:tabs>
          <w:tab w:val="left" w:pos="851"/>
        </w:tabs>
        <w:spacing w:after="0" w:line="240" w:lineRule="auto"/>
        <w:ind w:left="0" w:firstLine="567"/>
        <w:jc w:val="both"/>
        <w:rPr>
          <w:rFonts w:ascii="Arial" w:hAnsi="Arial" w:cs="Arial"/>
          <w:bCs/>
          <w:color w:val="000000" w:themeColor="text1"/>
        </w:rPr>
      </w:pPr>
      <w:r w:rsidRPr="00DA76A7">
        <w:rPr>
          <w:rFonts w:ascii="Arial" w:hAnsi="Arial" w:cs="Arial"/>
          <w:bCs/>
          <w:color w:val="000000" w:themeColor="text1"/>
        </w:rPr>
        <w:t>наличие необходимых свидетельств, сертификатов и других документов, предусмотренных действующим законодательством для осуществления лицензируемой деятельности;</w:t>
      </w:r>
    </w:p>
    <w:p w:rsidR="00A969C6" w:rsidRPr="00DA76A7" w:rsidRDefault="00A969C6" w:rsidP="00D45D6B">
      <w:pPr>
        <w:pStyle w:val="a6"/>
        <w:numPr>
          <w:ilvl w:val="0"/>
          <w:numId w:val="4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bCs/>
          <w:color w:val="000000" w:themeColor="text1"/>
        </w:rPr>
        <w:t>осуществление лицензируемой деятельности в пределах зоны действия, указанной в лицензии</w:t>
      </w:r>
      <w:r w:rsidRPr="00DA76A7">
        <w:rPr>
          <w:rFonts w:ascii="Arial" w:hAnsi="Arial" w:cs="Arial"/>
          <w:color w:val="000000" w:themeColor="text1"/>
        </w:rPr>
        <w:t xml:space="preserve"> [</w:t>
      </w:r>
      <w:r w:rsidRPr="00DA76A7">
        <w:rPr>
          <w:rFonts w:ascii="Arial" w:hAnsi="Arial" w:cs="Arial"/>
          <w:color w:val="000000" w:themeColor="text1"/>
          <w:lang w:val="uz-Cyrl-UZ"/>
        </w:rPr>
        <w:t>4</w:t>
      </w:r>
      <w:r w:rsidRPr="00DA76A7">
        <w:rPr>
          <w:rFonts w:ascii="Arial" w:hAnsi="Arial" w:cs="Arial"/>
          <w:color w:val="000000" w:themeColor="text1"/>
        </w:rPr>
        <w:t>].</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результате проведенного анализа международных актов и национального законодательства касательно международной железнодорожной перевозке груза и пассажира можно прийти к следующим выводам. Во-первых, нормы международного частного права влияют на национальную транспортную систему, в то время как в отдельных случаях национальные нормы находят свое отражение в нормах международного частного права. Во-вторых, законодательство в сфере международной перевозке пассажира и багажа разработано в меньшей степени, чем законодательство по перевозке груза. Вместе с этим, существуют сходства международных грузоперевозок с международной перевозкой пассажира и багажа. В обеих отношениях целью перевозки является обеспечение доставки пассажира или груза с одного места в другое. Необходимо отметить, что в Республике Узбекистан создана нормативно-правовая база касательно регулирования перевозки пассажира и груза в различных транспортах. Данные нормы направлены на регулирование отношений между перевозчиками и клиентами, и совершенствуются исходя из роста экономики страны и конкуренции в сфере оказания услуг.</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Принятие отдельных законодательных актов по видам транспортной перевозке имеет преимущества, которые указаны в научной литературе. К примеру, О.Н.Садиков отмечает, что данный вопрос характеризуется следующим образом. Во-первых, каждый вид перевозки различается по своей сущности и транспортно-технологической и правовой регламентации. Во-вторых, в силу объема данной сфере осуществление регулирования на основании одного документа не представляется возможным [5, 369-370]. Н.С.Ковалевская по этому поводу также отмечает, что правовое регулирование отношений по перевозке регулируется в основном нормами Гражданского кодекса. Но особенности деятельности организаций, осуществляющим перевозки, также влияют на специфику условий перевозки. Поэтому правовое регулирование договоров перевозки по видам транспорта осуществляется специальными транспортными законами [6</w:t>
      </w:r>
      <w:r w:rsidRPr="00DA76A7">
        <w:rPr>
          <w:rFonts w:ascii="Arial" w:hAnsi="Arial" w:cs="Arial"/>
          <w:color w:val="000000" w:themeColor="text1"/>
          <w:sz w:val="22"/>
          <w:szCs w:val="22"/>
          <w:lang w:val="uz-Cyrl-UZ"/>
        </w:rPr>
        <w:t>, 305</w:t>
      </w:r>
      <w:r w:rsidRPr="00DA76A7">
        <w:rPr>
          <w:rFonts w:ascii="Arial" w:hAnsi="Arial" w:cs="Arial"/>
          <w:color w:val="000000" w:themeColor="text1"/>
          <w:sz w:val="22"/>
          <w:szCs w:val="22"/>
        </w:rPr>
        <w:t>].</w:t>
      </w:r>
    </w:p>
    <w:p w:rsidR="00A969C6" w:rsidRPr="000E7DCF" w:rsidRDefault="00A969C6" w:rsidP="00A969C6">
      <w:pPr>
        <w:shd w:val="clear" w:color="auto" w:fill="FFFFFF"/>
        <w:ind w:firstLine="567"/>
        <w:jc w:val="both"/>
        <w:rPr>
          <w:rFonts w:ascii="Arial" w:hAnsi="Arial" w:cs="Arial"/>
          <w:color w:val="000000" w:themeColor="text1"/>
          <w:spacing w:val="-6"/>
          <w:sz w:val="22"/>
          <w:szCs w:val="22"/>
        </w:rPr>
      </w:pPr>
      <w:r w:rsidRPr="000E7DCF">
        <w:rPr>
          <w:rFonts w:ascii="Arial" w:hAnsi="Arial" w:cs="Arial"/>
          <w:color w:val="000000" w:themeColor="text1"/>
          <w:spacing w:val="-6"/>
          <w:sz w:val="22"/>
          <w:szCs w:val="22"/>
        </w:rPr>
        <w:t xml:space="preserve">На примере законодательства Республики Узбекистан можно отметить, что правовые вопросы, вытекающие из договора перевозки, а также общее регулирование данных договоров регулируются нормами Гражданского кодекса Республики Узбекистан. При этом гражданское законодательство регулирует общие положения договора перевозки. Основное значение имеют нормы транспортного законодательства. В них нашли свое отражение правила перевозки, права и обязанности сторон договора перевозки. В литературе такой юридико-технический подход аргументируется двумя причинами. Во-первых, транспорт как вид общественной деятельности требует единого подхода в правовом регулировании. Согласно Закону Республики Узбекистан «Об естественных монополиях», </w:t>
      </w:r>
      <w:bookmarkStart w:id="3" w:name="1713169"/>
      <w:r w:rsidRPr="000E7DCF">
        <w:rPr>
          <w:rFonts w:ascii="Arial" w:hAnsi="Arial" w:cs="Arial"/>
          <w:color w:val="000000" w:themeColor="text1"/>
          <w:spacing w:val="-6"/>
          <w:sz w:val="22"/>
          <w:szCs w:val="22"/>
        </w:rPr>
        <w:t>с учетом пользования железнодорожной инфраструктурой, железнодорожная перевозка является естественной монополией и регулируется государством</w:t>
      </w:r>
      <w:bookmarkEnd w:id="3"/>
      <w:r w:rsidRPr="000E7DCF">
        <w:rPr>
          <w:rFonts w:ascii="Arial" w:hAnsi="Arial" w:cs="Arial"/>
          <w:color w:val="000000" w:themeColor="text1"/>
          <w:spacing w:val="-6"/>
          <w:sz w:val="22"/>
          <w:szCs w:val="22"/>
          <w:bdr w:val="none" w:sz="0" w:space="0" w:color="auto" w:frame="1"/>
          <w:shd w:val="clear" w:color="auto" w:fill="FFFFFF"/>
        </w:rPr>
        <w:t xml:space="preserve">. Поэтому в транспортном законодательстве роль императивных норм велика. Условия перевозки по отдельным видам транспорта могут быть установлены соглашением сторон. Если иное не предусмотрено Гражданским кодексом Республики Узбекистан, транспортным законодательством и уставом. </w:t>
      </w:r>
      <w:r w:rsidRPr="000E7DCF">
        <w:rPr>
          <w:rFonts w:ascii="Arial" w:hAnsi="Arial" w:cs="Arial"/>
          <w:color w:val="000000" w:themeColor="text1"/>
          <w:spacing w:val="-6"/>
          <w:sz w:val="22"/>
          <w:szCs w:val="22"/>
        </w:rPr>
        <w:t>Во-вторых, перевозки имеют комплексный характер в силу транспортной инфраструктуры государства. Комплексность достигается лишь в случае объединения в одном документе норм частного и публичного права. В результате этого создается единая система управления транспортным средством, организации перевозок, условий пользования видами и средствами транспорта, прав и обязанностей сторон. Можно отметить, что основная часть транспортных отношений регулируется специально принятыми законами.</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нашему мнению, для создания эффективной системы транспортного законодательства необходимо унифицировать нормы данной сферы. Сокращение числа различных источников в транспортной сфере, определение эффективных источников, их формы и структуры является основной задачей унификации.</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 следует отметить, что сокращение числа источников транспортного законодательства может привести к негативным последствиям работы этой системы и не достижению поставленных целей. В связи с этим, следует необходимо четко определить систему транспортного законодательства, конкретную цель каждого нормативно-правового акта, входящего в эту систему и его роль в повышении эффективности транспортных отношений.</w:t>
      </w: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f2"/>
        <w:widowControl w:val="0"/>
        <w:numPr>
          <w:ilvl w:val="0"/>
          <w:numId w:val="10"/>
        </w:numPr>
        <w:tabs>
          <w:tab w:val="left" w:pos="426"/>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Соглашение о международном пассажирском сообщении (СМПС) </w:t>
      </w:r>
      <w:r w:rsidRPr="00DA76A7">
        <w:rPr>
          <w:rFonts w:ascii="Arial" w:hAnsi="Arial" w:cs="Arial"/>
          <w:iCs/>
          <w:color w:val="000000" w:themeColor="text1"/>
          <w:sz w:val="22"/>
          <w:szCs w:val="22"/>
          <w:bdr w:val="none" w:sz="0" w:space="0" w:color="auto" w:frame="1"/>
          <w:shd w:val="clear" w:color="auto" w:fill="FFFFFF"/>
        </w:rPr>
        <w:t>[Электронный ресурс]. – Режим доступа: https://nrm.uz/contentf?doc=78235 (дата обращения: 20.03.2018).</w:t>
      </w:r>
    </w:p>
    <w:p w:rsidR="00A969C6" w:rsidRPr="00DA76A7" w:rsidRDefault="00A969C6" w:rsidP="00D45D6B">
      <w:pPr>
        <w:pStyle w:val="af2"/>
        <w:widowControl w:val="0"/>
        <w:numPr>
          <w:ilvl w:val="0"/>
          <w:numId w:val="10"/>
        </w:numPr>
        <w:tabs>
          <w:tab w:val="left" w:pos="426"/>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Закон Республики Узбекистан «О железнодорожном транспорте» // </w:t>
      </w:r>
      <w:bookmarkStart w:id="4" w:name="13219"/>
      <w:r w:rsidRPr="00DA76A7">
        <w:rPr>
          <w:rFonts w:ascii="Arial" w:hAnsi="Arial" w:cs="Arial"/>
          <w:iCs/>
          <w:color w:val="000000" w:themeColor="text1"/>
          <w:sz w:val="22"/>
          <w:szCs w:val="22"/>
          <w:shd w:val="clear" w:color="auto" w:fill="FFFFFF"/>
        </w:rPr>
        <w:t>Ведомости Олий Мажлиса Республики Узбекистан, 1999 г., № 5, ст. 118; Собрание законодательства Республики Узбекистан, 2006 г., № 14, ст. 113; 2011 г., № 36, ст. 364; 2015 г., № 23, ст. 301</w:t>
      </w:r>
      <w:bookmarkEnd w:id="4"/>
      <w:r w:rsidRPr="00DA76A7">
        <w:rPr>
          <w:rFonts w:ascii="Arial" w:hAnsi="Arial" w:cs="Arial"/>
          <w:iCs/>
          <w:color w:val="000000" w:themeColor="text1"/>
          <w:sz w:val="22"/>
          <w:szCs w:val="22"/>
          <w:shd w:val="clear" w:color="auto" w:fill="FFFFFF"/>
        </w:rPr>
        <w:t>.</w:t>
      </w:r>
      <w:r w:rsidRPr="00DA76A7">
        <w:rPr>
          <w:rFonts w:ascii="Arial" w:hAnsi="Arial" w:cs="Arial"/>
          <w:bCs/>
          <w:color w:val="000000" w:themeColor="text1"/>
          <w:sz w:val="22"/>
          <w:szCs w:val="22"/>
        </w:rPr>
        <w:t xml:space="preserve"> </w:t>
      </w:r>
    </w:p>
    <w:p w:rsidR="00A969C6" w:rsidRPr="00DA76A7" w:rsidRDefault="00A969C6" w:rsidP="00D45D6B">
      <w:pPr>
        <w:pStyle w:val="af2"/>
        <w:widowControl w:val="0"/>
        <w:numPr>
          <w:ilvl w:val="0"/>
          <w:numId w:val="10"/>
        </w:numPr>
        <w:tabs>
          <w:tab w:val="left" w:pos="426"/>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Постановление Олий Мажлиса Республики Узбекистан «О </w:t>
      </w:r>
      <w:r w:rsidRPr="00DA76A7">
        <w:rPr>
          <w:rFonts w:ascii="Arial" w:hAnsi="Arial" w:cs="Arial"/>
          <w:bCs/>
          <w:color w:val="000000" w:themeColor="text1"/>
          <w:sz w:val="22"/>
          <w:szCs w:val="22"/>
          <w:bdr w:val="none" w:sz="0" w:space="0" w:color="auto" w:frame="1"/>
        </w:rPr>
        <w:t>перечне видов деятельности, на осуществление которых требуются лицензии</w:t>
      </w:r>
      <w:r w:rsidRPr="00DA76A7">
        <w:rPr>
          <w:rFonts w:ascii="Arial" w:hAnsi="Arial" w:cs="Arial"/>
          <w:bCs/>
          <w:color w:val="000000" w:themeColor="text1"/>
          <w:sz w:val="22"/>
          <w:szCs w:val="22"/>
        </w:rPr>
        <w:t>» от 12 мая 2001 года № 222-</w:t>
      </w:r>
      <w:r w:rsidRPr="00DA76A7">
        <w:rPr>
          <w:rFonts w:ascii="Arial" w:hAnsi="Arial" w:cs="Arial"/>
          <w:bCs/>
          <w:color w:val="000000" w:themeColor="text1"/>
          <w:sz w:val="22"/>
          <w:szCs w:val="22"/>
          <w:lang w:val="en-US"/>
        </w:rPr>
        <w:t>II</w:t>
      </w:r>
      <w:r w:rsidRPr="00DA76A7">
        <w:rPr>
          <w:rFonts w:ascii="Arial" w:hAnsi="Arial" w:cs="Arial"/>
          <w:iCs/>
          <w:color w:val="000000" w:themeColor="text1"/>
          <w:sz w:val="22"/>
          <w:szCs w:val="22"/>
          <w:bdr w:val="none" w:sz="0" w:space="0" w:color="auto" w:frame="1"/>
          <w:shd w:val="clear" w:color="auto" w:fill="FFFFFF"/>
        </w:rPr>
        <w:t xml:space="preserve"> // Собрание законодательства Республики Узбекистан, 2015 г., № 23, 301-ст.</w:t>
      </w:r>
    </w:p>
    <w:p w:rsidR="00A969C6" w:rsidRPr="00DA76A7" w:rsidRDefault="00A969C6" w:rsidP="00D45D6B">
      <w:pPr>
        <w:pStyle w:val="af2"/>
        <w:widowControl w:val="0"/>
        <w:numPr>
          <w:ilvl w:val="0"/>
          <w:numId w:val="10"/>
        </w:numPr>
        <w:tabs>
          <w:tab w:val="left" w:pos="426"/>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Положение «О лицензировании деятельности по перевозке пассажиров и грузов железнодорожным транспортом внутреннего и международного сообщения» утвержденного постановлением Кабинета Министров Республики Узбекистан от 21 августа 2003 года № 360 //</w:t>
      </w:r>
      <w:r w:rsidRPr="00DA76A7">
        <w:rPr>
          <w:rFonts w:ascii="Arial" w:hAnsi="Arial" w:cs="Arial"/>
          <w:iCs/>
          <w:color w:val="000000" w:themeColor="text1"/>
          <w:sz w:val="22"/>
          <w:szCs w:val="22"/>
          <w:bdr w:val="none" w:sz="0" w:space="0" w:color="auto" w:frame="1"/>
          <w:shd w:val="clear" w:color="auto" w:fill="FFFFFF"/>
        </w:rPr>
        <w:t xml:space="preserve"> Собрание законодательства Республики Узбекистан, 2014 г., № 50, 588-ст.</w:t>
      </w:r>
    </w:p>
    <w:p w:rsidR="00A969C6" w:rsidRPr="00DA76A7" w:rsidRDefault="00A969C6" w:rsidP="00D45D6B">
      <w:pPr>
        <w:pStyle w:val="af2"/>
        <w:widowControl w:val="0"/>
        <w:numPr>
          <w:ilvl w:val="0"/>
          <w:numId w:val="10"/>
        </w:numPr>
        <w:tabs>
          <w:tab w:val="left" w:pos="426"/>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Гражданское право России: курс лекций: в 2 ч. / отв. ред. О.Н. Садиков. </w:t>
      </w:r>
      <w:r w:rsidRPr="00DA76A7">
        <w:rPr>
          <w:rFonts w:ascii="Arial" w:hAnsi="Arial" w:cs="Arial"/>
          <w:iCs/>
          <w:color w:val="000000" w:themeColor="text1"/>
          <w:sz w:val="22"/>
          <w:szCs w:val="22"/>
          <w:bdr w:val="none" w:sz="0" w:space="0" w:color="auto" w:frame="1"/>
          <w:shd w:val="clear" w:color="auto" w:fill="FFFFFF"/>
        </w:rPr>
        <w:sym w:font="Symbol" w:char="F02D"/>
      </w:r>
      <w:r w:rsidRPr="00DA76A7">
        <w:rPr>
          <w:rFonts w:ascii="Arial" w:hAnsi="Arial" w:cs="Arial"/>
          <w:iCs/>
          <w:color w:val="000000" w:themeColor="text1"/>
          <w:sz w:val="22"/>
          <w:szCs w:val="22"/>
          <w:bdr w:val="none" w:sz="0" w:space="0" w:color="auto" w:frame="1"/>
          <w:shd w:val="clear" w:color="auto" w:fill="FFFFFF"/>
        </w:rPr>
        <w:t xml:space="preserve"> </w:t>
      </w:r>
      <w:r w:rsidRPr="00DA76A7">
        <w:rPr>
          <w:rFonts w:ascii="Arial" w:hAnsi="Arial" w:cs="Arial"/>
          <w:color w:val="000000" w:themeColor="text1"/>
          <w:sz w:val="22"/>
          <w:szCs w:val="22"/>
        </w:rPr>
        <w:t xml:space="preserve">М.: Бек, 1997. </w:t>
      </w:r>
      <w:r w:rsidRPr="00DA76A7">
        <w:rPr>
          <w:rFonts w:ascii="Arial" w:hAnsi="Arial" w:cs="Arial"/>
          <w:iCs/>
          <w:color w:val="000000" w:themeColor="text1"/>
          <w:sz w:val="22"/>
          <w:szCs w:val="22"/>
          <w:bdr w:val="none" w:sz="0" w:space="0" w:color="auto" w:frame="1"/>
          <w:shd w:val="clear" w:color="auto" w:fill="FFFFFF"/>
        </w:rPr>
        <w:sym w:font="Symbol" w:char="F02D"/>
      </w:r>
      <w:r w:rsidRPr="00DA76A7">
        <w:rPr>
          <w:rFonts w:ascii="Arial" w:hAnsi="Arial" w:cs="Arial"/>
          <w:iCs/>
          <w:color w:val="000000" w:themeColor="text1"/>
          <w:sz w:val="22"/>
          <w:szCs w:val="22"/>
          <w:bdr w:val="none" w:sz="0" w:space="0" w:color="auto" w:frame="1"/>
          <w:shd w:val="clear" w:color="auto" w:fill="FFFFFF"/>
        </w:rPr>
        <w:t xml:space="preserve"> </w:t>
      </w:r>
      <w:r w:rsidRPr="00DA76A7">
        <w:rPr>
          <w:rFonts w:ascii="Arial" w:hAnsi="Arial" w:cs="Arial"/>
          <w:color w:val="000000" w:themeColor="text1"/>
          <w:sz w:val="22"/>
          <w:szCs w:val="22"/>
        </w:rPr>
        <w:t xml:space="preserve">Ч. 2. - </w:t>
      </w:r>
      <w:r w:rsidRPr="00DA76A7">
        <w:rPr>
          <w:rFonts w:ascii="Arial" w:hAnsi="Arial" w:cs="Arial"/>
          <w:iCs/>
          <w:color w:val="000000" w:themeColor="text1"/>
          <w:sz w:val="22"/>
          <w:szCs w:val="22"/>
          <w:bdr w:val="none" w:sz="0" w:space="0" w:color="auto" w:frame="1"/>
          <w:shd w:val="clear" w:color="auto" w:fill="FFFFFF"/>
        </w:rPr>
        <w:t>704 с.</w:t>
      </w:r>
    </w:p>
    <w:p w:rsidR="00A969C6" w:rsidRPr="00DA76A7" w:rsidRDefault="00A969C6" w:rsidP="00D45D6B">
      <w:pPr>
        <w:pStyle w:val="af2"/>
        <w:widowControl w:val="0"/>
        <w:numPr>
          <w:ilvl w:val="0"/>
          <w:numId w:val="10"/>
        </w:numPr>
        <w:tabs>
          <w:tab w:val="left" w:pos="426"/>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Коммерческое право: учебник / под ред. В.Ф. Попондопуло, В.Ф. Яковлевой. </w:t>
      </w:r>
      <w:r w:rsidRPr="00DA76A7">
        <w:rPr>
          <w:rFonts w:ascii="Arial" w:hAnsi="Arial" w:cs="Arial"/>
          <w:iCs/>
          <w:color w:val="000000" w:themeColor="text1"/>
          <w:sz w:val="22"/>
          <w:szCs w:val="22"/>
          <w:bdr w:val="none" w:sz="0" w:space="0" w:color="auto" w:frame="1"/>
          <w:shd w:val="clear" w:color="auto" w:fill="FFFFFF"/>
        </w:rPr>
        <w:sym w:font="Symbol" w:char="F02D"/>
      </w:r>
      <w:r w:rsidRPr="00DA76A7">
        <w:rPr>
          <w:rFonts w:ascii="Arial" w:hAnsi="Arial" w:cs="Arial"/>
          <w:iCs/>
          <w:color w:val="000000" w:themeColor="text1"/>
          <w:sz w:val="22"/>
          <w:szCs w:val="22"/>
          <w:bdr w:val="none" w:sz="0" w:space="0" w:color="auto" w:frame="1"/>
          <w:shd w:val="clear" w:color="auto" w:fill="FFFFFF"/>
        </w:rPr>
        <w:t xml:space="preserve"> </w:t>
      </w:r>
      <w:r w:rsidRPr="00DA76A7">
        <w:rPr>
          <w:rFonts w:ascii="Arial" w:hAnsi="Arial" w:cs="Arial"/>
          <w:color w:val="000000" w:themeColor="text1"/>
          <w:sz w:val="22"/>
          <w:szCs w:val="22"/>
        </w:rPr>
        <w:t xml:space="preserve">СПб., 1997. </w:t>
      </w:r>
      <w:r w:rsidRPr="00DA76A7">
        <w:rPr>
          <w:rFonts w:ascii="Arial" w:hAnsi="Arial" w:cs="Arial"/>
          <w:iCs/>
          <w:color w:val="000000" w:themeColor="text1"/>
          <w:sz w:val="22"/>
          <w:szCs w:val="22"/>
          <w:bdr w:val="none" w:sz="0" w:space="0" w:color="auto" w:frame="1"/>
          <w:shd w:val="clear" w:color="auto" w:fill="FFFFFF"/>
        </w:rPr>
        <w:sym w:font="Symbol" w:char="F02D"/>
      </w:r>
      <w:r w:rsidRPr="00DA76A7">
        <w:rPr>
          <w:rFonts w:ascii="Arial" w:hAnsi="Arial" w:cs="Arial"/>
          <w:iCs/>
          <w:color w:val="000000" w:themeColor="text1"/>
          <w:sz w:val="22"/>
          <w:szCs w:val="22"/>
          <w:bdr w:val="none" w:sz="0" w:space="0" w:color="auto" w:frame="1"/>
          <w:shd w:val="clear" w:color="auto" w:fill="FFFFFF"/>
        </w:rPr>
        <w:t xml:space="preserve"> 480 с.</w:t>
      </w:r>
    </w:p>
    <w:p w:rsidR="00A969C6" w:rsidRPr="00DA76A7" w:rsidRDefault="00A969C6" w:rsidP="00D45D6B">
      <w:pPr>
        <w:pStyle w:val="af2"/>
        <w:widowControl w:val="0"/>
        <w:numPr>
          <w:ilvl w:val="0"/>
          <w:numId w:val="10"/>
        </w:numPr>
        <w:tabs>
          <w:tab w:val="left" w:pos="426"/>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iCs/>
          <w:color w:val="000000" w:themeColor="text1"/>
          <w:sz w:val="22"/>
          <w:szCs w:val="22"/>
        </w:rPr>
        <w:t>Чижова О.В.</w:t>
      </w:r>
      <w:r w:rsidRPr="00DA76A7">
        <w:rPr>
          <w:rFonts w:ascii="Arial" w:hAnsi="Arial" w:cs="Arial"/>
          <w:i/>
          <w:iCs/>
          <w:color w:val="000000" w:themeColor="text1"/>
          <w:sz w:val="22"/>
          <w:szCs w:val="22"/>
        </w:rPr>
        <w:t xml:space="preserve"> </w:t>
      </w:r>
      <w:r w:rsidRPr="00DA76A7">
        <w:rPr>
          <w:rFonts w:ascii="Arial" w:hAnsi="Arial" w:cs="Arial"/>
          <w:color w:val="000000" w:themeColor="text1"/>
          <w:sz w:val="22"/>
          <w:szCs w:val="22"/>
        </w:rPr>
        <w:t xml:space="preserve">Международные железнодорожные перевозки // Закон. - 2003. </w:t>
      </w:r>
      <w:r w:rsidRPr="00DA76A7">
        <w:rPr>
          <w:rFonts w:ascii="Arial" w:hAnsi="Arial" w:cs="Arial"/>
          <w:iCs/>
          <w:color w:val="000000" w:themeColor="text1"/>
          <w:sz w:val="22"/>
          <w:szCs w:val="22"/>
          <w:bdr w:val="none" w:sz="0" w:space="0" w:color="auto" w:frame="1"/>
          <w:shd w:val="clear" w:color="auto" w:fill="FFFFFF"/>
        </w:rPr>
        <w:sym w:font="Symbol" w:char="F02D"/>
      </w:r>
      <w:r w:rsidRPr="00DA76A7">
        <w:rPr>
          <w:rFonts w:ascii="Arial" w:hAnsi="Arial" w:cs="Arial"/>
          <w:iCs/>
          <w:color w:val="000000" w:themeColor="text1"/>
          <w:sz w:val="22"/>
          <w:szCs w:val="22"/>
          <w:bdr w:val="none" w:sz="0" w:space="0" w:color="auto" w:frame="1"/>
          <w:shd w:val="clear" w:color="auto" w:fill="FFFFFF"/>
        </w:rPr>
        <w:t xml:space="preserve"> </w:t>
      </w:r>
      <w:r w:rsidRPr="00DA76A7">
        <w:rPr>
          <w:rFonts w:ascii="Arial" w:hAnsi="Arial" w:cs="Arial"/>
          <w:color w:val="000000" w:themeColor="text1"/>
          <w:sz w:val="22"/>
          <w:szCs w:val="22"/>
        </w:rPr>
        <w:t xml:space="preserve">№ 7. </w:t>
      </w:r>
      <w:r w:rsidRPr="00DA76A7">
        <w:rPr>
          <w:rFonts w:ascii="Arial" w:hAnsi="Arial" w:cs="Arial"/>
          <w:iCs/>
          <w:color w:val="000000" w:themeColor="text1"/>
          <w:sz w:val="22"/>
          <w:szCs w:val="22"/>
          <w:bdr w:val="none" w:sz="0" w:space="0" w:color="auto" w:frame="1"/>
          <w:shd w:val="clear" w:color="auto" w:fill="FFFFFF"/>
        </w:rPr>
        <w:sym w:font="Symbol" w:char="F02D"/>
      </w:r>
      <w:r w:rsidRPr="00DA76A7">
        <w:rPr>
          <w:rFonts w:ascii="Arial" w:hAnsi="Arial" w:cs="Arial"/>
          <w:iCs/>
          <w:color w:val="000000" w:themeColor="text1"/>
          <w:sz w:val="22"/>
          <w:szCs w:val="22"/>
          <w:bdr w:val="none" w:sz="0" w:space="0" w:color="auto" w:frame="1"/>
          <w:shd w:val="clear" w:color="auto" w:fill="FFFFFF"/>
        </w:rPr>
        <w:t xml:space="preserve"> </w:t>
      </w:r>
      <w:r w:rsidRPr="00DA76A7">
        <w:rPr>
          <w:rFonts w:ascii="Arial" w:hAnsi="Arial" w:cs="Arial"/>
          <w:color w:val="000000" w:themeColor="text1"/>
          <w:sz w:val="22"/>
          <w:szCs w:val="22"/>
        </w:rPr>
        <w:t>С. 61-65.</w:t>
      </w:r>
    </w:p>
    <w:p w:rsidR="00A969C6" w:rsidRPr="00DA76A7" w:rsidRDefault="00A969C6" w:rsidP="00A969C6">
      <w:pPr>
        <w:ind w:firstLine="567"/>
        <w:rPr>
          <w:rFonts w:ascii="Arial" w:hAnsi="Arial" w:cs="Arial"/>
          <w:color w:val="000000" w:themeColor="text1"/>
          <w:sz w:val="22"/>
          <w:szCs w:val="22"/>
        </w:rPr>
      </w:pPr>
    </w:p>
    <w:p w:rsidR="009162F9" w:rsidRPr="00DA76A7" w:rsidRDefault="009162F9" w:rsidP="00A969C6">
      <w:pPr>
        <w:jc w:val="center"/>
        <w:rPr>
          <w:rFonts w:ascii="Arial" w:hAnsi="Arial" w:cs="Arial"/>
          <w:b/>
          <w:color w:val="000000" w:themeColor="text1"/>
          <w:sz w:val="22"/>
          <w:szCs w:val="22"/>
        </w:rPr>
      </w:pPr>
    </w:p>
    <w:p w:rsidR="009162F9" w:rsidRPr="00DA76A7" w:rsidRDefault="009162F9" w:rsidP="009162F9">
      <w:pPr>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 xml:space="preserve">УПРАВЛЕНИЕ ВЕРХОВНОГО КОМИССАРА ООН ПО ДЕЛАМ БЕЖЕНЦЕВ: ИСТОРИЯ, ЗАДАЧИ И СТРУКТУРА </w:t>
      </w:r>
    </w:p>
    <w:p w:rsidR="009162F9" w:rsidRPr="00DA76A7" w:rsidRDefault="009162F9" w:rsidP="009162F9">
      <w:pPr>
        <w:jc w:val="center"/>
        <w:rPr>
          <w:rFonts w:ascii="Arial" w:hAnsi="Arial" w:cs="Arial"/>
          <w:b/>
          <w:color w:val="000000" w:themeColor="text1"/>
          <w:sz w:val="22"/>
          <w:szCs w:val="22"/>
          <w:shd w:val="clear" w:color="auto" w:fill="FFFFFF"/>
        </w:rPr>
      </w:pPr>
    </w:p>
    <w:p w:rsidR="009162F9" w:rsidRPr="00DA76A7" w:rsidRDefault="009162F9" w:rsidP="009162F9">
      <w:pPr>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Ашурова Фарида Закирджоновна</w:t>
      </w:r>
    </w:p>
    <w:p w:rsidR="009162F9" w:rsidRPr="00DA76A7" w:rsidRDefault="009162F9" w:rsidP="009162F9">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9162F9" w:rsidRPr="00DA76A7" w:rsidRDefault="009162F9" w:rsidP="009162F9">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9162F9" w:rsidRPr="00DA76A7" w:rsidRDefault="009162F9" w:rsidP="009162F9">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w:t>
      </w:r>
      <w:r w:rsidR="00491D75">
        <w:rPr>
          <w:rFonts w:ascii="Arial" w:hAnsi="Arial" w:cs="Arial"/>
          <w:color w:val="000000" w:themeColor="text1"/>
          <w:sz w:val="22"/>
          <w:szCs w:val="22"/>
        </w:rPr>
        <w:t xml:space="preserve"> г. Душанбе, ул. М. Турсунзаде,</w:t>
      </w:r>
      <w:r w:rsidRPr="00DA76A7">
        <w:rPr>
          <w:rFonts w:ascii="Arial" w:hAnsi="Arial" w:cs="Arial"/>
          <w:color w:val="000000" w:themeColor="text1"/>
          <w:sz w:val="22"/>
          <w:szCs w:val="22"/>
        </w:rPr>
        <w:t xml:space="preserve"> 30</w:t>
      </w:r>
    </w:p>
    <w:p w:rsidR="009162F9" w:rsidRPr="003A751C" w:rsidRDefault="009162F9" w:rsidP="009162F9">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rPr>
        <w:t>тел</w:t>
      </w:r>
      <w:r w:rsidRPr="003A751C">
        <w:rPr>
          <w:rFonts w:ascii="Arial" w:hAnsi="Arial" w:cs="Arial"/>
          <w:color w:val="000000" w:themeColor="text1"/>
          <w:sz w:val="22"/>
          <w:szCs w:val="22"/>
          <w:shd w:val="clear" w:color="auto" w:fill="FFFFFF"/>
          <w:lang w:val="en-US"/>
        </w:rPr>
        <w:t xml:space="preserve">.:939239114, </w:t>
      </w:r>
      <w:r w:rsidRPr="00DA76A7">
        <w:rPr>
          <w:rFonts w:ascii="Arial" w:hAnsi="Arial" w:cs="Arial"/>
          <w:color w:val="000000" w:themeColor="text1"/>
          <w:sz w:val="22"/>
          <w:szCs w:val="22"/>
          <w:shd w:val="clear" w:color="auto" w:fill="FFFFFF"/>
          <w:lang w:val="en-US"/>
        </w:rPr>
        <w:t>e</w:t>
      </w:r>
      <w:r w:rsidRPr="003A751C">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mail</w:t>
      </w:r>
      <w:r w:rsidRPr="003A751C">
        <w:rPr>
          <w:rFonts w:ascii="Arial" w:hAnsi="Arial" w:cs="Arial"/>
          <w:color w:val="000000" w:themeColor="text1"/>
          <w:sz w:val="22"/>
          <w:szCs w:val="22"/>
          <w:shd w:val="clear" w:color="auto" w:fill="FFFFFF"/>
          <w:lang w:val="en-US"/>
        </w:rPr>
        <w:t xml:space="preserve">: </w:t>
      </w:r>
      <w:hyperlink r:id="rId30" w:history="1">
        <w:r w:rsidRPr="00DA76A7">
          <w:rPr>
            <w:rStyle w:val="af0"/>
            <w:rFonts w:ascii="Arial" w:hAnsi="Arial" w:cs="Arial"/>
            <w:color w:val="000000" w:themeColor="text1"/>
            <w:sz w:val="22"/>
            <w:szCs w:val="22"/>
            <w:u w:val="none"/>
            <w:shd w:val="clear" w:color="auto" w:fill="FFFFFF"/>
            <w:lang w:val="en-US"/>
          </w:rPr>
          <w:t>a</w:t>
        </w:r>
        <w:r w:rsidRPr="003A751C">
          <w:rPr>
            <w:rStyle w:val="af0"/>
            <w:rFonts w:ascii="Arial" w:hAnsi="Arial" w:cs="Arial"/>
            <w:color w:val="000000" w:themeColor="text1"/>
            <w:sz w:val="22"/>
            <w:szCs w:val="22"/>
            <w:u w:val="none"/>
            <w:shd w:val="clear" w:color="auto" w:fill="FFFFFF"/>
            <w:lang w:val="en-US"/>
          </w:rPr>
          <w:t>_</w:t>
        </w:r>
        <w:r w:rsidRPr="00DA76A7">
          <w:rPr>
            <w:rStyle w:val="af0"/>
            <w:rFonts w:ascii="Arial" w:hAnsi="Arial" w:cs="Arial"/>
            <w:color w:val="000000" w:themeColor="text1"/>
            <w:sz w:val="22"/>
            <w:szCs w:val="22"/>
            <w:u w:val="none"/>
            <w:shd w:val="clear" w:color="auto" w:fill="FFFFFF"/>
            <w:lang w:val="en-US"/>
          </w:rPr>
          <w:t>farida</w:t>
        </w:r>
        <w:r w:rsidRPr="003A751C">
          <w:rPr>
            <w:rStyle w:val="af0"/>
            <w:rFonts w:ascii="Arial" w:hAnsi="Arial" w:cs="Arial"/>
            <w:color w:val="000000" w:themeColor="text1"/>
            <w:sz w:val="22"/>
            <w:szCs w:val="22"/>
            <w:u w:val="none"/>
            <w:shd w:val="clear" w:color="auto" w:fill="FFFFFF"/>
            <w:lang w:val="en-US"/>
          </w:rPr>
          <w:t>@</w:t>
        </w:r>
        <w:r w:rsidRPr="00DA76A7">
          <w:rPr>
            <w:rStyle w:val="af0"/>
            <w:rFonts w:ascii="Arial" w:hAnsi="Arial" w:cs="Arial"/>
            <w:color w:val="000000" w:themeColor="text1"/>
            <w:sz w:val="22"/>
            <w:szCs w:val="22"/>
            <w:u w:val="none"/>
            <w:shd w:val="clear" w:color="auto" w:fill="FFFFFF"/>
            <w:lang w:val="en-US"/>
          </w:rPr>
          <w:t>list</w:t>
        </w:r>
        <w:r w:rsidRPr="003A751C">
          <w:rPr>
            <w:rStyle w:val="af0"/>
            <w:rFonts w:ascii="Arial" w:hAnsi="Arial" w:cs="Arial"/>
            <w:color w:val="000000" w:themeColor="text1"/>
            <w:sz w:val="22"/>
            <w:szCs w:val="22"/>
            <w:u w:val="none"/>
            <w:shd w:val="clear" w:color="auto" w:fill="FFFFFF"/>
            <w:lang w:val="en-US"/>
          </w:rPr>
          <w:t>.</w:t>
        </w:r>
        <w:r w:rsidRPr="00DA76A7">
          <w:rPr>
            <w:rStyle w:val="af0"/>
            <w:rFonts w:ascii="Arial" w:hAnsi="Arial" w:cs="Arial"/>
            <w:color w:val="000000" w:themeColor="text1"/>
            <w:sz w:val="22"/>
            <w:szCs w:val="22"/>
            <w:u w:val="none"/>
            <w:shd w:val="clear" w:color="auto" w:fill="FFFFFF"/>
            <w:lang w:val="en-US"/>
          </w:rPr>
          <w:t>ru</w:t>
        </w:r>
      </w:hyperlink>
    </w:p>
    <w:p w:rsidR="009162F9" w:rsidRPr="00DA76A7" w:rsidRDefault="009162F9" w:rsidP="009162F9">
      <w:pPr>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 xml:space="preserve">UNITED NATIONS HIGH COMMISSIONER FOR REFUGEES HISTORY: OBJECTIVES AND STRUCTURE </w:t>
      </w:r>
    </w:p>
    <w:p w:rsidR="00491D75" w:rsidRPr="00240D8D" w:rsidRDefault="00491D75" w:rsidP="009162F9">
      <w:pPr>
        <w:jc w:val="center"/>
        <w:rPr>
          <w:rFonts w:ascii="Arial" w:hAnsi="Arial" w:cs="Arial"/>
          <w:b/>
          <w:color w:val="000000" w:themeColor="text1"/>
          <w:sz w:val="22"/>
          <w:szCs w:val="22"/>
          <w:shd w:val="clear" w:color="auto" w:fill="FFFFFF"/>
          <w:lang w:val="en-US"/>
        </w:rPr>
      </w:pPr>
    </w:p>
    <w:p w:rsidR="009162F9" w:rsidRPr="00DA76A7" w:rsidRDefault="009162F9" w:rsidP="009162F9">
      <w:pPr>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Ashurova Farida Zakirdjonovna</w:t>
      </w:r>
    </w:p>
    <w:p w:rsidR="009162F9" w:rsidRPr="00DA76A7" w:rsidRDefault="009162F9" w:rsidP="009162F9">
      <w:pPr>
        <w:pStyle w:val="a9"/>
        <w:tabs>
          <w:tab w:val="left" w:pos="4380"/>
        </w:tabs>
        <w:ind w:firstLine="567"/>
        <w:jc w:val="center"/>
        <w:rPr>
          <w:rFonts w:ascii="Arial" w:hAnsi="Arial" w:cs="Arial"/>
          <w:color w:val="000000" w:themeColor="text1"/>
        </w:rPr>
      </w:pPr>
      <w:r w:rsidRPr="00DA76A7">
        <w:rPr>
          <w:rFonts w:ascii="Arial" w:hAnsi="Arial" w:cs="Arial"/>
          <w:color w:val="000000" w:themeColor="text1"/>
        </w:rPr>
        <w:t>undergraduate 2nd year students of full-time department of the law faculty</w:t>
      </w:r>
    </w:p>
    <w:p w:rsidR="009162F9" w:rsidRPr="00DA76A7" w:rsidRDefault="009162F9" w:rsidP="009162F9">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9162F9" w:rsidRPr="00DA76A7" w:rsidRDefault="009162F9" w:rsidP="009162F9">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9162F9" w:rsidRPr="00DA76A7" w:rsidRDefault="009162F9" w:rsidP="009162F9">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tel.:939239114, e-mail: </w:t>
      </w:r>
      <w:hyperlink r:id="rId31" w:history="1">
        <w:r w:rsidRPr="00DA76A7">
          <w:rPr>
            <w:rStyle w:val="af0"/>
            <w:rFonts w:ascii="Arial" w:hAnsi="Arial" w:cs="Arial"/>
            <w:color w:val="000000" w:themeColor="text1"/>
            <w:sz w:val="22"/>
            <w:szCs w:val="22"/>
            <w:u w:val="none"/>
            <w:shd w:val="clear" w:color="auto" w:fill="FFFFFF"/>
            <w:lang w:val="en-US"/>
          </w:rPr>
          <w:t>a_farida@list.ru</w:t>
        </w:r>
      </w:hyperlink>
    </w:p>
    <w:p w:rsidR="009162F9" w:rsidRPr="00DA76A7" w:rsidRDefault="009162F9" w:rsidP="009162F9">
      <w:pPr>
        <w:rPr>
          <w:rFonts w:ascii="Arial" w:hAnsi="Arial" w:cs="Arial"/>
          <w:color w:val="000000" w:themeColor="text1"/>
          <w:sz w:val="22"/>
          <w:szCs w:val="22"/>
          <w:lang w:val="en-US"/>
        </w:rPr>
      </w:pPr>
    </w:p>
    <w:p w:rsidR="009162F9" w:rsidRPr="00DA76A7" w:rsidRDefault="009162F9" w:rsidP="009162F9">
      <w:pPr>
        <w:pStyle w:val="ac"/>
        <w:ind w:firstLine="567"/>
        <w:jc w:val="right"/>
        <w:rPr>
          <w:rFonts w:ascii="Arial" w:hAnsi="Arial" w:cs="Arial"/>
          <w:color w:val="000000" w:themeColor="text1"/>
        </w:rPr>
      </w:pPr>
      <w:r w:rsidRPr="00DA76A7">
        <w:rPr>
          <w:rFonts w:ascii="Arial" w:hAnsi="Arial" w:cs="Arial"/>
          <w:color w:val="000000" w:themeColor="text1"/>
        </w:rPr>
        <w:t>Научный руководитель: к.ю.н., доцент Идиев Ф.Ф.</w:t>
      </w:r>
    </w:p>
    <w:p w:rsidR="009162F9" w:rsidRPr="00DA76A7" w:rsidRDefault="009162F9" w:rsidP="009162F9">
      <w:pPr>
        <w:rPr>
          <w:rFonts w:ascii="Arial" w:hAnsi="Arial" w:cs="Arial"/>
          <w:color w:val="000000" w:themeColor="text1"/>
          <w:sz w:val="22"/>
          <w:szCs w:val="22"/>
        </w:rPr>
      </w:pPr>
    </w:p>
    <w:p w:rsidR="009162F9" w:rsidRPr="00DA76A7" w:rsidRDefault="009162F9" w:rsidP="009162F9">
      <w:pPr>
        <w:ind w:firstLine="567"/>
        <w:jc w:val="both"/>
        <w:rPr>
          <w:rFonts w:ascii="Arial" w:hAnsi="Arial" w:cs="Arial"/>
          <w:i/>
          <w:color w:val="000000" w:themeColor="text1"/>
          <w:sz w:val="22"/>
          <w:szCs w:val="22"/>
          <w:shd w:val="clear" w:color="auto" w:fill="FFFFFF"/>
        </w:rPr>
      </w:pPr>
      <w:r w:rsidRPr="00DA76A7">
        <w:rPr>
          <w:rFonts w:ascii="Arial" w:hAnsi="Arial" w:cs="Arial"/>
          <w:b/>
          <w:i/>
          <w:color w:val="000000" w:themeColor="text1"/>
          <w:sz w:val="22"/>
          <w:szCs w:val="22"/>
          <w:shd w:val="clear" w:color="auto" w:fill="FFFFFF"/>
        </w:rPr>
        <w:t xml:space="preserve">Аннотация.  </w:t>
      </w:r>
      <w:r w:rsidRPr="00DA76A7">
        <w:rPr>
          <w:rFonts w:ascii="Arial" w:hAnsi="Arial" w:cs="Arial"/>
          <w:i/>
          <w:color w:val="000000" w:themeColor="text1"/>
          <w:sz w:val="22"/>
          <w:szCs w:val="22"/>
          <w:shd w:val="clear" w:color="auto" w:fill="FFFFFF"/>
        </w:rPr>
        <w:t>В настоящей статье  рассматриваются становление Управление Верховного Комиссара ООН по делам беженцев, а также ссылается на международные конвенции, деятельность организации по уставу и история организации из жизни сотрудников на реальных событиях.</w:t>
      </w:r>
    </w:p>
    <w:p w:rsidR="009162F9" w:rsidRPr="00DA76A7" w:rsidRDefault="009162F9" w:rsidP="009162F9">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 xml:space="preserve">Annotation. </w:t>
      </w:r>
      <w:r w:rsidRPr="00DA76A7">
        <w:rPr>
          <w:rFonts w:ascii="Arial" w:hAnsi="Arial" w:cs="Arial"/>
          <w:i/>
          <w:color w:val="000000" w:themeColor="text1"/>
          <w:sz w:val="22"/>
          <w:szCs w:val="22"/>
          <w:shd w:val="clear" w:color="auto" w:fill="FFFFFF"/>
          <w:lang w:val="en-US"/>
        </w:rPr>
        <w:t>The article considers the establishment of the United Nations High Commissioner for Refugees, and also refers to international conventions, the activities of the organization by the statute and the history of the organization from the life of employees on real events.</w:t>
      </w:r>
    </w:p>
    <w:p w:rsidR="009162F9" w:rsidRPr="00DA76A7" w:rsidRDefault="009162F9" w:rsidP="009162F9">
      <w:pPr>
        <w:ind w:firstLine="567"/>
        <w:jc w:val="both"/>
        <w:rPr>
          <w:rFonts w:ascii="Arial" w:hAnsi="Arial" w:cs="Arial"/>
          <w:i/>
          <w:color w:val="000000" w:themeColor="text1"/>
          <w:sz w:val="22"/>
          <w:szCs w:val="22"/>
          <w:shd w:val="clear" w:color="auto" w:fill="FFFFFF"/>
        </w:rPr>
      </w:pPr>
      <w:r w:rsidRPr="00DA76A7">
        <w:rPr>
          <w:rFonts w:ascii="Arial" w:hAnsi="Arial" w:cs="Arial"/>
          <w:b/>
          <w:i/>
          <w:color w:val="000000" w:themeColor="text1"/>
          <w:sz w:val="22"/>
          <w:szCs w:val="22"/>
          <w:shd w:val="clear" w:color="auto" w:fill="FFFFFF"/>
        </w:rPr>
        <w:t xml:space="preserve">Ключевые слова: </w:t>
      </w:r>
      <w:r w:rsidRPr="00DA76A7">
        <w:rPr>
          <w:rFonts w:ascii="Arial" w:hAnsi="Arial" w:cs="Arial"/>
          <w:i/>
          <w:color w:val="000000" w:themeColor="text1"/>
          <w:sz w:val="22"/>
          <w:szCs w:val="22"/>
          <w:shd w:val="clear" w:color="auto" w:fill="FFFFFF"/>
        </w:rPr>
        <w:t>Управление Верховного Комиссара ООН по делам беженцев</w:t>
      </w:r>
    </w:p>
    <w:p w:rsidR="009162F9" w:rsidRPr="00DA76A7" w:rsidRDefault="009162F9" w:rsidP="009162F9">
      <w:pPr>
        <w:ind w:firstLine="567"/>
        <w:jc w:val="both"/>
        <w:rPr>
          <w:rFonts w:ascii="Arial" w:hAnsi="Arial" w:cs="Arial"/>
          <w:b/>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 xml:space="preserve">Key words: </w:t>
      </w:r>
      <w:r w:rsidRPr="00DA76A7">
        <w:rPr>
          <w:rFonts w:ascii="Arial" w:hAnsi="Arial" w:cs="Arial"/>
          <w:i/>
          <w:color w:val="000000" w:themeColor="text1"/>
          <w:sz w:val="22"/>
          <w:szCs w:val="22"/>
          <w:shd w:val="clear" w:color="auto" w:fill="FFFFFF"/>
          <w:lang w:val="en-US"/>
        </w:rPr>
        <w:t xml:space="preserve">United Nations High Commissioner for refugees </w:t>
      </w:r>
      <w:r w:rsidRPr="00DA76A7">
        <w:rPr>
          <w:rFonts w:ascii="Arial" w:hAnsi="Arial" w:cs="Arial"/>
          <w:b/>
          <w:i/>
          <w:color w:val="000000" w:themeColor="text1"/>
          <w:sz w:val="22"/>
          <w:szCs w:val="22"/>
          <w:shd w:val="clear" w:color="auto" w:fill="FFFFFF"/>
          <w:lang w:val="en-US"/>
        </w:rPr>
        <w:t xml:space="preserve"> </w:t>
      </w:r>
    </w:p>
    <w:p w:rsidR="009162F9" w:rsidRPr="00DA76A7" w:rsidRDefault="009162F9" w:rsidP="009162F9">
      <w:pPr>
        <w:ind w:firstLine="567"/>
        <w:jc w:val="both"/>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 xml:space="preserve"> </w:t>
      </w:r>
    </w:p>
    <w:p w:rsidR="009162F9" w:rsidRPr="00DA76A7" w:rsidRDefault="009162F9" w:rsidP="009162F9">
      <w:pPr>
        <w:ind w:firstLine="567"/>
        <w:jc w:val="both"/>
        <w:rPr>
          <w:rFonts w:ascii="Arial" w:hAnsi="Arial" w:cs="Arial"/>
          <w:b/>
          <w:color w:val="000000" w:themeColor="text1"/>
          <w:sz w:val="22"/>
          <w:szCs w:val="22"/>
          <w:shd w:val="clear" w:color="auto" w:fill="FFFFFF"/>
        </w:rPr>
      </w:pPr>
      <w:r w:rsidRPr="00DA76A7">
        <w:rPr>
          <w:rFonts w:ascii="Arial" w:hAnsi="Arial" w:cs="Arial"/>
          <w:color w:val="000000" w:themeColor="text1"/>
          <w:sz w:val="22"/>
          <w:szCs w:val="22"/>
        </w:rPr>
        <w:t>Управление Верховного комиссара ООН по делам беженцев (УВКБ ООН) было создано 14 декабря 1950г. по решению Генеральной Ассамблеи ООН. В мандат Агентства входит координация международных усилий по защите беженцев и решение их проблем во всем мире. Основная цель Агентства это защита прав и благосостояния беженцев, надзор за исполнением Конвенции ООН 1951года, касающейся статуса беженцев, посредством поддержки деятельности правительств по созданию приемлемых механизмов защиты и обеспечение эффективного решения проблем беженцев, а именно местной интеграции и добровольного возвращение на родину. Переселение также является долговременным решением, применяемым в исключительных случаях, которые соответствуют строгим критериям защиты, в том числе установленным страной переселения. Мандат УВКБ ООН также предусматривает содействие деятельности по сокращению и предотвращению без гражданства в мире и продвижение международных стандартов, содержащихся в Конвенции ООН 1951года, касающейся статуса беженцев, и Конвенции ООН 1961года о сокращении безгражданства. Ссылаясь на статью 13-ой из декларации по правам человека говориться следующее: «Каждый человек имеет право искать убежище от преследования в других странах и пользоваться этим убежищем» [1, 3].</w:t>
      </w:r>
      <w:r w:rsidRPr="00DA76A7">
        <w:rPr>
          <w:rFonts w:ascii="Arial" w:hAnsi="Arial" w:cs="Arial"/>
          <w:b/>
          <w:color w:val="000000" w:themeColor="text1"/>
          <w:sz w:val="22"/>
          <w:szCs w:val="22"/>
          <w:shd w:val="clear" w:color="auto" w:fill="FFFFFF"/>
        </w:rPr>
        <w:t xml:space="preserve">  </w:t>
      </w:r>
    </w:p>
    <w:p w:rsidR="009162F9" w:rsidRPr="00DA76A7" w:rsidRDefault="009162F9" w:rsidP="009162F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 УВКБ не хватает истории его прошлых операций и эволюции. Значительная часть ранней истории УВКБ, особенно ее роли и деятельности в формировании глобальной политики в отношении беженцев, ее стратегий и влияния на разработку политики были мало оценены. В литературе по международным отношениям, касающейся глобальной политики в отношении беженцев, в основном принимается статистическая перспектива, в которой утверждается, что УВКБ, как и все международные организации, испытывает недостаток в автономии и является всего лишь механизмом, посредством которого действуют государства. Отчасти из-за влияния реалистической парадигмы в теории международных отношений руководство в международных организациях не является широко исследованной темой. В общей перспективе утверждается, что УВКБ полностью зависит от стран-доноров, финансируя его деятельность, а также правительствам принимающих стран за разрешение инициировать программы на своей территории. Поэтому Управление не в состоянии оспаривать политику своего спонсора и правительства принимающих стран и просто выступает в качестве инструмента государств. Фактически, как основной институт в делах беженцев и как самый главный авторитет в мире по отношению к беженцам и перемещенным лицам. Управление обладает уникальными полномочиями в гуманитарной области, которые иногда могут использоваться как влияние и даже власть в глобальной политике в отношении беженцев. Когда в декабре 1950 года было создано УВКБ ООН, Европа была основной сферой интересов беженцев для западных государств. УВКБ было создано западными правительствами таким образом, чтобы оно не создавало угрозы для их суверенитета не налагать на них новые финансовые обязательства. </w:t>
      </w:r>
    </w:p>
    <w:p w:rsidR="009162F9" w:rsidRPr="00DA76A7" w:rsidRDefault="009162F9" w:rsidP="009162F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Исторический мандат организации, ее формальные структуры, ранняя конкуренция, с которой она сталкивалась в других международных агентствах и институтах, а также внутренние процессы и внутреннее иерархическое принятие решений самого Управление, все это повлияло на направление политики УВКБ в отношении беженцев в течение почти первых трех десятилетий его существования. Во-первых, Устав УВКБ 1950 года и Конвенция ООН о статусе беженцев 1951 года стали образцом того, как УВКБ должно функционировать и как оно должно проводить глобальную политику в отношении беженцев. Эти документы предоставили Управлению беспрецедентный моральный авторитет и монополию на юридические и защитные вопросы, касающиеся беженцев. Что наиболее важно, они также обеспечили правовую основу для расширения деятельности Управление и его требований к легитимности в отношении его нового географического охвата деятельности с середины 1950-х до конца 1970-х годов.  УВКБ является межправительственной организацией, созданной государствами для защиты беженцев и предоставления долговременных решений для их тяжелого положения. Устав УВКБ ООН поставил временные ограничения на работу Управление, потребовав, чтобы он мог касаться только беженцев, которые покинули свои родные страны до 1951 года. В Статуте также было предусмотрено, что УВКБ официально подчиняется полномочиям Генеральной Ассамблей ООН и Экономического и Социального Совета. Поставив УВКБ под руководством Генеральной Ассамблей ООН, государства предоставили законный механизм для дальнейшего расширения мандата и деятельности Управление. </w:t>
      </w:r>
    </w:p>
    <w:p w:rsidR="009162F9" w:rsidRPr="00DA76A7" w:rsidRDefault="009162F9" w:rsidP="009162F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Устав, который учредил УВКБ, вложил все полномочия Управление в лице Верховного комиссара. В ходе межгосударственных дискуссий в то время Генеральный секретарь ООН (Трюгве Ли) утверждал, что верховный комиссар должен «обладать особым статусом в ООН» и должен также «обладать степенью независимости и престижа, которые, как представляется, необходимы для эффективных его функций». </w:t>
      </w:r>
    </w:p>
    <w:p w:rsidR="009162F9" w:rsidRPr="00DA76A7" w:rsidRDefault="009162F9" w:rsidP="009162F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 время Всемирного года беженцев (1959-60), транснациональной информационно-пропагандистской сети НПО, церквей и видных лиц, которые обменялись идеями и информацией, чтобы влиять на политику правительства в отношении беженцев. Деколонизация и появление новых государств в развивающемся мире начали создавать массовые новые проблемы беженцев. Еще в конце 1950-х годов УВКБ ООН под руководством Линдта предприняло первые шаги, чтобы заложить основу для расширения своей деятельности, от кризисов беженцев в Европе до тех, кто живет в развивающихся странах. Этот новый подход представляет собой формулу «добрых услуг», в которой Генеральная Ассамблея ООН предоставляет УВКБ полномочия на привлечение средств или инициирование программ помощи беженцам, которые не полностью вошли в свое уставное определение, но положение которых вызывает озабоченность международного сообщества. </w:t>
      </w:r>
    </w:p>
    <w:p w:rsidR="009162F9" w:rsidRPr="00DA76A7" w:rsidRDefault="009162F9" w:rsidP="009162F9">
      <w:pPr>
        <w:pStyle w:val="bodytext"/>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Деятельность Агентства ООН по делам беженцев руководят Экономический и Социальный Совет (ЭКОСОС) и Генеральная Ассамблея ООН. Работа организации направлена на обеспечение беженцам основных прав человека, контроль за соблюдением правительствами принципа невысылки и соответствующих норм международного права, а также в зависимости от обстоятельств репатриацию, интеграцию или переселение беженцев в третьи страны. УВКБ ООН все чаще оказывает помощь другим группам лиц, оказавшейся в ситуации, схожей с положением беженцев – внутренне перемещенным лицам, лицам без гражданства. Утверждается двухгодичная программа Агентства и соответствующий бюджет исполнительным комитетом УВКБ ООН. Мандат Агентства ООН по делам беженцев определяется Уставом УВКБ ООН 1950 г. Генеральная Ассамблея ООН в 2003 году продлила мандат организации то тех пор, пока не будет решена проблема беженцев. Ежегодно Верховный комиссар отчитывается о своей работе УВКБ ООН в ЭКОСОС и Генеральной Ассамблее. Верховный комиссар является ответственным за руководство работой УВКБ ООН. Верховный комиссар имеет заместителя и помощника Верховного комиссара, которые содействуют и отвечают за вопросы защиты и операции. В Агентстве работают более 7 685 местных и международных сотрудников в 126 странах. Большая часть работы УВКБ ООН осуществляется на местах. УВКБ работает по всему миру, для того чтобы постоянно решать множество задач, начиная от набора новых сотрудников и обеспечения их безопасности, до закупки медикаментов, продовольствия и организации авиачартеров. В Женеве в штаб-квартире расположена специальные подразделения, которые отвечают за деятельность УВКБ ООН по ключевым направлениям, таким как операции, защита, внешние связи, человеческие ресурсы и финансы. Несколько региональных бюро осуществляют взаимосвязь между офисами на местах и штаб-квартирой. На местах основная работа УВКБ ООН осуществляется рядом региональных офисов, отделений, дополнительных и полевых офисов. В странах, где работает Агентство, операциями руководят представители Верховного комиссара, также есть ряд региональных представителей.</w:t>
      </w:r>
    </w:p>
    <w:p w:rsidR="009162F9" w:rsidRPr="00DA76A7" w:rsidRDefault="009162F9" w:rsidP="009162F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Помимо своей регулярной деятельности УВКБ также выступало в качестве координатора или координационного центра ООН широкие программы гуманитарной помощи и помощи в целях развития, иногда включающие бюджеты в сотни миллионов долларов. В течение первой половины истории УВКБ Бюро продемонстрировало важность прочной основы международных норм и эффективного и инновационного лидерства и предпринимательства от отдельных высокопоставленных комиссаров. Руководствуясь «холодной войной» и периодом деколонизации и конфликтов в развивающемся мире. Это контрастировало со второй половиной истории УВКБ, когда государства в основном назначали высокопоставленных комиссаров, которые были вовлечены в государственную политику и которые не имели большого опыта работы с Организацией Объединенных Наций и УВКБ. </w:t>
      </w:r>
    </w:p>
    <w:p w:rsidR="009162F9" w:rsidRPr="00DA76A7" w:rsidRDefault="009162F9" w:rsidP="009162F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 второй половине истории УВКБ многие государства разработали собственную юридическую экспертизу и создали свои собственные сети для борьбы с УВКБ и создания альтернативной политики. Сегодня Управление сталкивается с миром, кардинально изменившимся с того, который он впервые ввел в начале 1950-х годов, и сталкивается с новыми и возникающими проблемами, включая миграцию, урбанизацию, потерю состояния и хрупкость, изменение климата и переопределение среды защиты и помощи в которой он работает. Институционально она сталкивается с все более густой глобальной обстановкой, в которой ряд других международных и региональных организаций потенциально может конкурировать с УВКБ и позволить государствам обходить Управление в решении их проблем в отношении убежища и миграции. В политическом плане, как на глобальном Севере, так и на Юге мира, популизм, предрассудки, этническая, религиозная и политическая нетерпимость растут. Ксенофобия и страх, частично обусловленные враждебностью к мигрантам и беженцам, присутствуют во многих бывших принимающих странах и усугубляются ростом и влиянием социальных и политических средств массовой информации. Защита и убежище уменьшаются, и УВКБ сталкивается с проблемой того, как активизировать приверженность государств беженцам и другим перемещенным лицам. В 2016 году был назначен новый комиссар ООН по делам беженцев. Филиппо Гранди имеет большой опыт работы с ООН. Его недавнее назначение в качестве одиннадцатого Верховного комиссара УВКБ ООН совпадает с крупными новыми и затяжными кризисами беженцев в Европе, на Ближнем Востоке, в Африке и в Азии. Как и в предыдущие десятилетия истории УВКБ ООН, глобальные нынешние кризисы беженцев требуют сильного руководства со стороны высокопоставленного комиссара и международного сообщества.</w:t>
      </w:r>
    </w:p>
    <w:p w:rsidR="009162F9" w:rsidRPr="00DA76A7" w:rsidRDefault="009162F9" w:rsidP="009162F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Он также играет активную роль в межучережденческом «кластерном» подходе, лидируя в определенных областях своего опыта. УВКБ сотрудничает с Сестринскими агентствами Организации Объединенных Наций, Всемирной продовольственной программы (МПП), Детский фонд ООН (ЮНИСЕФ), Всемирной организацией здравоохранения (ВОЗ), Развитие ООН Программы (ПРООН), Управление по координации гуманитарных вопросов (УКГД), Верховного комиссара ООН по правам человека (УВКПЧ) и Управление ООН по наркотикам и преступности (ЮНОДК), Международный комитет Красного Креста (МККК), и Международной организации по миграции (МОМ. </w:t>
      </w:r>
    </w:p>
    <w:p w:rsidR="009162F9" w:rsidRPr="00DA76A7" w:rsidRDefault="009162F9" w:rsidP="009162F9">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автор пришел к выводу, что деятельность УВКБ ООН нацелена на поддержку усилий правительства Таджикистана по созданию функционирующего механизма направления лиц, ищущих убежище, беженцам, между границей и компетентными государственными органами. УВКБ направлена на расширение круга прав беженцев из Конвенции для обеспечения значимой местной интеграции, главным образом путем пропаганды поправки к национальному законодательству. УВКБ активно содействует и помогает правительству в разработке и укреплении правовых и административных рамок, направленных на выявление, регистрацию и защиту беженцам, лиц без гражданства, предотвращения и сокращения без гражданства.</w:t>
      </w:r>
    </w:p>
    <w:p w:rsidR="009162F9" w:rsidRPr="00DA76A7" w:rsidRDefault="009162F9" w:rsidP="009162F9">
      <w:pPr>
        <w:ind w:firstLine="567"/>
        <w:jc w:val="center"/>
        <w:rPr>
          <w:rFonts w:ascii="Arial" w:hAnsi="Arial" w:cs="Arial"/>
          <w:b/>
          <w:color w:val="000000" w:themeColor="text1"/>
          <w:sz w:val="22"/>
          <w:szCs w:val="22"/>
        </w:rPr>
      </w:pPr>
    </w:p>
    <w:p w:rsidR="009162F9" w:rsidRPr="00DA76A7" w:rsidRDefault="009162F9" w:rsidP="009162F9">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9162F9" w:rsidRPr="00DA76A7" w:rsidRDefault="009162F9" w:rsidP="009162F9">
      <w:pPr>
        <w:pStyle w:val="a6"/>
        <w:numPr>
          <w:ilvl w:val="0"/>
          <w:numId w:val="3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Всеобщая декларация прав человека от 10 декабря 1948 г.</w:t>
      </w:r>
    </w:p>
    <w:p w:rsidR="009162F9" w:rsidRPr="00DA76A7" w:rsidRDefault="009162F9" w:rsidP="009162F9">
      <w:pPr>
        <w:widowControl/>
        <w:numPr>
          <w:ilvl w:val="0"/>
          <w:numId w:val="39"/>
        </w:numPr>
        <w:shd w:val="clear" w:color="auto" w:fill="FFFFFF"/>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Бангкокские принципы в отношении статуса беженцев и обращения с ними от 31.12.1966 г. [Электронный ресурс]. – Режим доступа: </w:t>
      </w:r>
      <w:hyperlink r:id="rId32" w:history="1">
        <w:r w:rsidRPr="00DA76A7">
          <w:rPr>
            <w:rStyle w:val="af0"/>
            <w:rFonts w:ascii="Arial" w:hAnsi="Arial" w:cs="Arial"/>
            <w:color w:val="000000" w:themeColor="text1"/>
            <w:sz w:val="22"/>
            <w:szCs w:val="22"/>
            <w:u w:val="none"/>
          </w:rPr>
          <w:t>http://www.refworld.org/docid /3de5f2d52.html</w:t>
        </w:r>
      </w:hyperlink>
      <w:r w:rsidRPr="00DA76A7">
        <w:rPr>
          <w:rFonts w:ascii="Arial" w:hAnsi="Arial" w:cs="Arial"/>
          <w:color w:val="000000" w:themeColor="text1"/>
          <w:sz w:val="22"/>
          <w:szCs w:val="22"/>
        </w:rPr>
        <w:t xml:space="preserve"> (дата обращения 25.01.2018).</w:t>
      </w:r>
    </w:p>
    <w:p w:rsidR="009162F9" w:rsidRPr="00DA76A7" w:rsidRDefault="009162F9" w:rsidP="009162F9">
      <w:pPr>
        <w:pStyle w:val="a6"/>
        <w:numPr>
          <w:ilvl w:val="0"/>
          <w:numId w:val="39"/>
        </w:numPr>
        <w:tabs>
          <w:tab w:val="left" w:pos="851"/>
        </w:tabs>
        <w:spacing w:after="0" w:line="240" w:lineRule="auto"/>
        <w:ind w:left="0" w:firstLine="567"/>
        <w:jc w:val="both"/>
        <w:outlineLvl w:val="0"/>
        <w:rPr>
          <w:rFonts w:ascii="Arial" w:hAnsi="Arial" w:cs="Arial"/>
          <w:color w:val="000000" w:themeColor="text1"/>
        </w:rPr>
      </w:pPr>
      <w:r w:rsidRPr="00DA76A7">
        <w:rPr>
          <w:rFonts w:ascii="Arial" w:hAnsi="Arial" w:cs="Arial"/>
          <w:color w:val="000000" w:themeColor="text1"/>
        </w:rPr>
        <w:t xml:space="preserve">Устав УВКБ ООН // Сборник международно-правовых документов и национальных законодательных актов по вопросам беженцев. [Электронный ресурс]. – Режим доступа: </w:t>
      </w:r>
      <w:hyperlink r:id="rId33" w:history="1">
        <w:r w:rsidRPr="00DA76A7">
          <w:rPr>
            <w:rStyle w:val="af0"/>
            <w:rFonts w:ascii="Arial" w:hAnsi="Arial" w:cs="Arial"/>
            <w:color w:val="000000" w:themeColor="text1"/>
            <w:u w:val="none"/>
          </w:rPr>
          <w:t>http://www.un.org/ru/documents/decl_conv/conventions/unhcr_statute.shtml</w:t>
        </w:r>
      </w:hyperlink>
      <w:r w:rsidRPr="00DA76A7">
        <w:rPr>
          <w:rFonts w:ascii="Arial" w:hAnsi="Arial" w:cs="Arial"/>
          <w:color w:val="000000" w:themeColor="text1"/>
        </w:rPr>
        <w:t xml:space="preserve"> (дата обращения .01.03 2018)</w:t>
      </w:r>
    </w:p>
    <w:p w:rsidR="009162F9" w:rsidRPr="00DA76A7" w:rsidRDefault="009162F9" w:rsidP="009162F9">
      <w:pPr>
        <w:pStyle w:val="a6"/>
        <w:numPr>
          <w:ilvl w:val="0"/>
          <w:numId w:val="3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Абдухоликов А.,  Раджабов М. Дастурамали расмиёти муайян кардани макомоти гуреза. – Душанбе, 2011.- 32 с.</w:t>
      </w:r>
    </w:p>
    <w:p w:rsidR="009162F9" w:rsidRPr="00DA76A7" w:rsidRDefault="009162F9" w:rsidP="009162F9">
      <w:pPr>
        <w:pStyle w:val="a6"/>
        <w:numPr>
          <w:ilvl w:val="0"/>
          <w:numId w:val="3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Право беженцев: учебно-практическое пособие / отв. ред. д.ю.н., проф. Менглиев Ш.М.- Душанбе, 2012 .-300 с.</w:t>
      </w:r>
    </w:p>
    <w:p w:rsidR="009162F9" w:rsidRPr="00DA76A7" w:rsidRDefault="009162F9" w:rsidP="009162F9">
      <w:pPr>
        <w:pStyle w:val="a6"/>
        <w:numPr>
          <w:ilvl w:val="0"/>
          <w:numId w:val="39"/>
        </w:numPr>
        <w:tabs>
          <w:tab w:val="left" w:pos="851"/>
        </w:tabs>
        <w:spacing w:after="0" w:line="240" w:lineRule="auto"/>
        <w:ind w:left="0" w:firstLine="567"/>
        <w:jc w:val="both"/>
        <w:outlineLvl w:val="0"/>
        <w:rPr>
          <w:rFonts w:ascii="Arial" w:hAnsi="Arial" w:cs="Arial"/>
          <w:color w:val="000000" w:themeColor="text1"/>
        </w:rPr>
      </w:pPr>
      <w:r w:rsidRPr="00DA76A7">
        <w:rPr>
          <w:rFonts w:ascii="Arial" w:hAnsi="Arial" w:cs="Arial"/>
          <w:color w:val="000000" w:themeColor="text1"/>
        </w:rPr>
        <w:t>Соловьева Р. ООН и холодная война/Пути к миру и безопасности // ИМЭМО РАН. -2015. - № 1(48). – С. 150-153.</w:t>
      </w:r>
    </w:p>
    <w:p w:rsidR="009162F9" w:rsidRPr="00DA76A7" w:rsidRDefault="009162F9" w:rsidP="009162F9">
      <w:pPr>
        <w:pStyle w:val="a6"/>
        <w:numPr>
          <w:ilvl w:val="0"/>
          <w:numId w:val="39"/>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lang w:val="en-US"/>
        </w:rPr>
        <w:t> </w:t>
      </w:r>
      <w:r w:rsidRPr="00DA76A7">
        <w:rPr>
          <w:rFonts w:ascii="Arial" w:hAnsi="Arial" w:cs="Arial"/>
          <w:color w:val="000000" w:themeColor="text1"/>
        </w:rPr>
        <w:t>Шауро И.Г. «Омбудсмен» для беженцев/ Актуальные проблемы современной науки: сборник материалов международной научно-практической конференции (8 мая 2015 г. – Липецк: Издательство Першина Р.В., 2015.  – С. 91-93 с.</w:t>
      </w:r>
    </w:p>
    <w:p w:rsidR="009162F9" w:rsidRPr="00DA76A7" w:rsidRDefault="009162F9" w:rsidP="00A969C6">
      <w:pPr>
        <w:jc w:val="center"/>
        <w:rPr>
          <w:rFonts w:ascii="Arial" w:hAnsi="Arial" w:cs="Arial"/>
          <w:b/>
          <w:color w:val="000000" w:themeColor="text1"/>
          <w:sz w:val="22"/>
          <w:szCs w:val="22"/>
        </w:rPr>
      </w:pPr>
    </w:p>
    <w:p w:rsidR="009162F9" w:rsidRPr="00DA76A7" w:rsidRDefault="009162F9"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О ПОНЯТИИ МЕЖДУНАРОДНОГО ВОЗДУШНОГО СООБЩЕНИЯ</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Бехрузи Аламхон</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отеделния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w:t>
      </w:r>
      <w:r w:rsidR="009A2FFA" w:rsidRPr="00DA76A7">
        <w:rPr>
          <w:rFonts w:ascii="Arial" w:hAnsi="Arial" w:cs="Arial"/>
          <w:color w:val="000000" w:themeColor="text1"/>
          <w:sz w:val="22"/>
          <w:szCs w:val="22"/>
        </w:rPr>
        <w:t>Турсунзаде,</w:t>
      </w:r>
      <w:r w:rsidRPr="00DA76A7">
        <w:rPr>
          <w:rFonts w:ascii="Arial" w:hAnsi="Arial" w:cs="Arial"/>
          <w:color w:val="000000" w:themeColor="text1"/>
          <w:sz w:val="22"/>
          <w:szCs w:val="22"/>
        </w:rPr>
        <w:t>, 30</w:t>
      </w:r>
    </w:p>
    <w:p w:rsidR="00A969C6" w:rsidRPr="003A751C"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(+992) 989052323, </w:t>
      </w:r>
      <w:r w:rsidRPr="00DA76A7">
        <w:rPr>
          <w:rFonts w:ascii="Arial" w:hAnsi="Arial" w:cs="Arial"/>
          <w:color w:val="000000" w:themeColor="text1"/>
          <w:sz w:val="22"/>
          <w:szCs w:val="22"/>
          <w:lang w:val="en-US"/>
        </w:rPr>
        <w:t>email</w:t>
      </w:r>
      <w:r w:rsidRPr="003A751C">
        <w:rPr>
          <w:rFonts w:ascii="Arial" w:hAnsi="Arial" w:cs="Arial"/>
          <w:color w:val="000000" w:themeColor="text1"/>
          <w:sz w:val="22"/>
          <w:szCs w:val="22"/>
          <w:lang w:val="en-US"/>
        </w:rPr>
        <w:t xml:space="preserve">: </w:t>
      </w:r>
      <w:hyperlink r:id="rId34" w:history="1">
        <w:r w:rsidRPr="00DA76A7">
          <w:rPr>
            <w:rStyle w:val="af0"/>
            <w:rFonts w:ascii="Arial" w:hAnsi="Arial" w:cs="Arial"/>
            <w:color w:val="000000" w:themeColor="text1"/>
            <w:sz w:val="22"/>
            <w:szCs w:val="22"/>
            <w:u w:val="none"/>
            <w:lang w:val="en-US"/>
          </w:rPr>
          <w:t>abehruz</w:t>
        </w:r>
        <w:r w:rsidRPr="003A751C">
          <w:rPr>
            <w:rStyle w:val="af0"/>
            <w:rFonts w:ascii="Arial" w:hAnsi="Arial" w:cs="Arial"/>
            <w:color w:val="000000" w:themeColor="text1"/>
            <w:sz w:val="22"/>
            <w:szCs w:val="22"/>
            <w:u w:val="none"/>
            <w:lang w:val="en-US"/>
          </w:rPr>
          <w:t>93@</w:t>
        </w:r>
        <w:r w:rsidRPr="00DA76A7">
          <w:rPr>
            <w:rStyle w:val="af0"/>
            <w:rFonts w:ascii="Arial" w:hAnsi="Arial" w:cs="Arial"/>
            <w:color w:val="000000" w:themeColor="text1"/>
            <w:sz w:val="22"/>
            <w:szCs w:val="22"/>
            <w:u w:val="none"/>
            <w:lang w:val="en-US"/>
          </w:rPr>
          <w:t>mail</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r w:rsidRPr="003A751C">
        <w:rPr>
          <w:rFonts w:ascii="Arial" w:hAnsi="Arial" w:cs="Arial"/>
          <w:color w:val="000000" w:themeColor="text1"/>
          <w:sz w:val="22"/>
          <w:szCs w:val="22"/>
          <w:lang w:val="en-US"/>
        </w:rPr>
        <w:t xml:space="preserve"> </w:t>
      </w:r>
    </w:p>
    <w:p w:rsidR="00A969C6" w:rsidRPr="003A751C" w:rsidRDefault="00A969C6" w:rsidP="00A969C6">
      <w:pPr>
        <w:jc w:val="center"/>
        <w:rPr>
          <w:rFonts w:ascii="Arial" w:hAnsi="Arial" w:cs="Arial"/>
          <w:color w:val="000000" w:themeColor="text1"/>
          <w:sz w:val="22"/>
          <w:szCs w:val="22"/>
          <w:lang w:val="en-US"/>
        </w:rPr>
      </w:pPr>
    </w:p>
    <w:p w:rsidR="00A969C6" w:rsidRPr="00DA76A7" w:rsidRDefault="00A969C6" w:rsidP="00A969C6">
      <w:pP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ABOUT THE CONCEPT OF INTERNATIONAL AIR COMMUNICATION</w:t>
      </w:r>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Behruzi Alamhon</w:t>
      </w:r>
    </w:p>
    <w:p w:rsidR="00A969C6" w:rsidRPr="00DA76A7" w:rsidRDefault="00A969C6" w:rsidP="00A969C6">
      <w:pPr>
        <w:pStyle w:val="a9"/>
        <w:tabs>
          <w:tab w:val="left" w:pos="4380"/>
        </w:tabs>
        <w:ind w:firstLine="0"/>
        <w:jc w:val="center"/>
        <w:rPr>
          <w:rFonts w:ascii="Arial" w:hAnsi="Arial" w:cs="Arial"/>
          <w:color w:val="000000" w:themeColor="text1"/>
        </w:rPr>
      </w:pPr>
      <w:r w:rsidRPr="00DA76A7">
        <w:rPr>
          <w:rFonts w:ascii="Arial" w:hAnsi="Arial" w:cs="Arial"/>
          <w:color w:val="000000" w:themeColor="text1"/>
        </w:rPr>
        <w:t>undergraduate 2nd year students of full-time department of the law faculty</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989052323, e-mail: </w:t>
      </w:r>
      <w:hyperlink r:id="rId35" w:history="1">
        <w:r w:rsidRPr="00DA76A7">
          <w:rPr>
            <w:rStyle w:val="af0"/>
            <w:rFonts w:ascii="Arial" w:hAnsi="Arial" w:cs="Arial"/>
            <w:color w:val="000000" w:themeColor="text1"/>
            <w:sz w:val="22"/>
            <w:szCs w:val="22"/>
            <w:u w:val="none"/>
            <w:lang w:val="en-US"/>
          </w:rPr>
          <w:t>abehruz93@mail.ru</w:t>
        </w:r>
      </w:hyperlink>
      <w:r w:rsidRPr="00DA76A7">
        <w:rPr>
          <w:rFonts w:ascii="Arial" w:hAnsi="Arial" w:cs="Arial"/>
          <w:color w:val="000000" w:themeColor="text1"/>
          <w:sz w:val="22"/>
          <w:szCs w:val="22"/>
          <w:lang w:val="en-US"/>
        </w:rPr>
        <w:t xml:space="preserve"> </w:t>
      </w:r>
    </w:p>
    <w:p w:rsidR="00A969C6" w:rsidRPr="00DA76A7" w:rsidRDefault="00A969C6" w:rsidP="00A969C6">
      <w:pPr>
        <w:ind w:firstLine="567"/>
        <w:jc w:val="center"/>
        <w:rPr>
          <w:rFonts w:ascii="Arial" w:hAnsi="Arial" w:cs="Arial"/>
          <w:color w:val="000000" w:themeColor="text1"/>
          <w:sz w:val="22"/>
          <w:szCs w:val="22"/>
          <w:lang w:val="en-US"/>
        </w:rPr>
      </w:pPr>
    </w:p>
    <w:p w:rsidR="00A969C6" w:rsidRPr="00DA76A7" w:rsidRDefault="00A969C6" w:rsidP="00A969C6">
      <w:pPr>
        <w:pStyle w:val="ac"/>
        <w:ind w:firstLine="567"/>
        <w:jc w:val="right"/>
        <w:rPr>
          <w:rFonts w:ascii="Arial" w:hAnsi="Arial" w:cs="Arial"/>
          <w:color w:val="000000" w:themeColor="text1"/>
        </w:rPr>
      </w:pPr>
      <w:r w:rsidRPr="00DA76A7">
        <w:rPr>
          <w:rFonts w:ascii="Arial" w:hAnsi="Arial" w:cs="Arial"/>
          <w:color w:val="000000" w:themeColor="text1"/>
        </w:rPr>
        <w:t>Научный руководитель: к.ю.н., доцент Химатов Х.Н.</w:t>
      </w:r>
    </w:p>
    <w:p w:rsidR="00A969C6" w:rsidRPr="00DA76A7" w:rsidRDefault="00A969C6" w:rsidP="00A969C6">
      <w:pPr>
        <w:ind w:firstLine="567"/>
        <w:jc w:val="center"/>
        <w:rPr>
          <w:rFonts w:ascii="Arial" w:hAnsi="Arial" w:cs="Arial"/>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статье рассматриваются различные подходы к понятию международного воздушного сообщения. Дается определение международного воздушного сообщения с учетом соответствующих норм Чикагской конвенции и национальных правовых актов, исходя из тех целей, для которых совершаются международные воздушные сообщения. </w:t>
      </w:r>
    </w:p>
    <w:p w:rsidR="00A969C6" w:rsidRPr="00DA76A7" w:rsidRDefault="00081412" w:rsidP="00A969C6">
      <w:pPr>
        <w:ind w:firstLine="567"/>
        <w:jc w:val="both"/>
        <w:rPr>
          <w:rStyle w:val="af0"/>
          <w:rFonts w:ascii="Arial" w:hAnsi="Arial" w:cs="Arial"/>
          <w:i/>
          <w:color w:val="000000" w:themeColor="text1"/>
          <w:sz w:val="22"/>
          <w:szCs w:val="22"/>
          <w:u w:val="none"/>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article discusses various approaches to the concept of international air communication. The definition of international air communication is given taking into account the relevant provisions of the Chicago Convention and national legal acts, on the assumption of those purposes for which air communication are made.</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международные воздушные сообщения; конвенция; </w:t>
      </w:r>
      <w:r w:rsidRPr="00DA76A7">
        <w:rPr>
          <w:rFonts w:ascii="Arial" w:hAnsi="Arial" w:cs="Arial"/>
          <w:i/>
          <w:iCs/>
          <w:color w:val="000000" w:themeColor="text1"/>
          <w:sz w:val="22"/>
          <w:szCs w:val="22"/>
        </w:rPr>
        <w:t>воздушная перевозка</w:t>
      </w:r>
      <w:r w:rsidRPr="00DA76A7">
        <w:rPr>
          <w:rFonts w:ascii="Arial" w:hAnsi="Arial" w:cs="Arial"/>
          <w:i/>
          <w:color w:val="000000" w:themeColor="text1"/>
          <w:sz w:val="22"/>
          <w:szCs w:val="22"/>
        </w:rPr>
        <w:t>.</w:t>
      </w:r>
    </w:p>
    <w:p w:rsidR="00A969C6" w:rsidRPr="00DA76A7" w:rsidRDefault="00A969C6" w:rsidP="00A969C6">
      <w:pPr>
        <w:ind w:firstLine="567"/>
        <w:jc w:val="both"/>
        <w:outlineLvl w:val="2"/>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international air communication; convention; air transportation.</w:t>
      </w:r>
    </w:p>
    <w:p w:rsidR="00A969C6" w:rsidRPr="00DA76A7" w:rsidRDefault="00A969C6" w:rsidP="00A969C6">
      <w:pPr>
        <w:ind w:firstLine="567"/>
        <w:jc w:val="both"/>
        <w:outlineLvl w:val="2"/>
        <w:rPr>
          <w:rFonts w:ascii="Arial" w:hAnsi="Arial" w:cs="Arial"/>
          <w:b/>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нынешних условиях для перевозки груза, пассажиров и багажа наравне с другими видами транспорта используется и воздушный транспорт, как в пределах страны, так и между  странами, в результате чего возникают различные отношения,  регулируемые национальным и международным правом.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литературе совершенно верно отмечается, что «международно-правовые нормы определяют режим международных воздушных сообщений и выполняемые в их рамках регулярные и нерегулярные полеты и авиаперевозки. Национальные законы и правила способствуют их применению, а коллизионные нормы разрешают вопросы международного частного воздушного права. Эти объективные обстоятельства обусловили создание особого механизма взаимодействия международно-правовых, национальных и частноправовых норм, обеспечивающего процесс регулирования международных полетов и международных воздушных сообщений и перевозок на современном этапе» [5, 11]. Соглашаясь с указанным мнением, с формулы соотношения международно-правовых норм и внутригосударственных норм в регулировании международных воздушных отношений, мы полагаем, что эта особенность должна отражаться и в определении международного воздушного сообщения.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международных договорах и соглашениях по воздушному праву принято определять понятия «</w:t>
      </w:r>
      <w:r w:rsidRPr="00DA76A7">
        <w:rPr>
          <w:rFonts w:ascii="Arial" w:hAnsi="Arial" w:cs="Arial"/>
          <w:iCs/>
          <w:color w:val="000000" w:themeColor="text1"/>
          <w:sz w:val="22"/>
          <w:szCs w:val="22"/>
        </w:rPr>
        <w:t xml:space="preserve">международные воздушные сообщения» </w:t>
      </w:r>
      <w:r w:rsidRPr="00DA76A7">
        <w:rPr>
          <w:rFonts w:ascii="Arial" w:hAnsi="Arial" w:cs="Arial"/>
          <w:color w:val="000000" w:themeColor="text1"/>
          <w:sz w:val="22"/>
          <w:szCs w:val="22"/>
        </w:rPr>
        <w:t>и «</w:t>
      </w:r>
      <w:r w:rsidRPr="00DA76A7">
        <w:rPr>
          <w:rFonts w:ascii="Arial" w:hAnsi="Arial" w:cs="Arial"/>
          <w:iCs/>
          <w:color w:val="000000" w:themeColor="text1"/>
          <w:sz w:val="22"/>
          <w:szCs w:val="22"/>
        </w:rPr>
        <w:t>международная воздушная перевозка</w:t>
      </w:r>
      <w:r w:rsidRPr="00DA76A7">
        <w:rPr>
          <w:rFonts w:ascii="Arial" w:hAnsi="Arial" w:cs="Arial"/>
          <w:color w:val="000000" w:themeColor="text1"/>
          <w:sz w:val="22"/>
          <w:szCs w:val="22"/>
        </w:rPr>
        <w:t xml:space="preserve">».  «Как только эксплуатация международных воздушных сообщений переходит в практическую плоскость и стороны двусторонних соглашений о воздушном сообщении приступают к их осуществлению, возникает особая группа отношений, связанная с перевозкой воздушными судами пассажиров и груза» [3, 166].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Особенностью международной перевозки является то, что она предмет правового регулирования как международного, так и внутригосударственного права. Такое совпадение нередкое явление в практике сотрудничества в разных сферах международных отношений. Однако при регулировании международных перевозок посредством гражданской авиации нельзя выбирать только международное право или только национальное право. «Подходы того и  другого права к практическому регулированию международных перевозок должны обобщаться и применяться в комплексе» [5,170-171].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понятие «</w:t>
      </w:r>
      <w:r w:rsidRPr="00DA76A7">
        <w:rPr>
          <w:rFonts w:ascii="Arial" w:hAnsi="Arial" w:cs="Arial"/>
          <w:iCs/>
          <w:color w:val="000000" w:themeColor="text1"/>
          <w:sz w:val="22"/>
          <w:szCs w:val="22"/>
        </w:rPr>
        <w:t>международная воздушная перевозка</w:t>
      </w:r>
      <w:r w:rsidRPr="00DA76A7">
        <w:rPr>
          <w:rFonts w:ascii="Arial" w:hAnsi="Arial" w:cs="Arial"/>
          <w:color w:val="000000" w:themeColor="text1"/>
          <w:sz w:val="22"/>
          <w:szCs w:val="22"/>
        </w:rPr>
        <w:t>» отражает практическую сторону международных воздушных сообщений, поскольку только после практической эксплуатации воздушных сообщений назначенными перевозчиками по реализации перевозок по соответствующим воздушным маршрутам, можно заявлять о международных перевозках посредством воздушного транспорта. Тем не менее, точное определение понятия «</w:t>
      </w:r>
      <w:r w:rsidRPr="00DA76A7">
        <w:rPr>
          <w:rFonts w:ascii="Arial" w:hAnsi="Arial" w:cs="Arial"/>
          <w:iCs/>
          <w:color w:val="000000" w:themeColor="text1"/>
          <w:sz w:val="22"/>
          <w:szCs w:val="22"/>
        </w:rPr>
        <w:t xml:space="preserve">международные воздушные сообщения» имеет большое значение для </w:t>
      </w:r>
      <w:r w:rsidRPr="00DA76A7">
        <w:rPr>
          <w:rFonts w:ascii="Arial" w:hAnsi="Arial" w:cs="Arial"/>
          <w:color w:val="000000" w:themeColor="text1"/>
          <w:sz w:val="22"/>
          <w:szCs w:val="22"/>
        </w:rPr>
        <w:t>верной интерпретации и применения договоров и соглашений по воздушному праву, а также национальных правовых норм, которые  взаимодействуют с международными актами.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Международные воздушные сообщения - область важнейших экономических интересов таких субъектов, как государство и перевозчик. В международных договорах как правовая форма закрепляются двусторонние межгосударственные отношения в сфере международного воздушного сообщения.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Чикагская конвенция о международной гражданской авиации 1944 г. [4, 412-433], - основной акт международного воздушного права, - как совокупность универсальных обязательных дозволений и предписаний, сыграла и продолжает играть важнейшую роль в формировании международного воздушного права, поскольку закрепила универсальные основы регулирования взаимоотношений государств в сфере регулярных и нерегулярных полетов, осуществляемых в рамках международных воздушных сообщений, определяет «</w:t>
      </w:r>
      <w:r w:rsidRPr="00DA76A7">
        <w:rPr>
          <w:rFonts w:ascii="Arial" w:hAnsi="Arial" w:cs="Arial"/>
          <w:iCs/>
          <w:color w:val="000000" w:themeColor="text1"/>
          <w:sz w:val="22"/>
          <w:szCs w:val="22"/>
        </w:rPr>
        <w:t>международное воздушное сообщение</w:t>
      </w:r>
      <w:r w:rsidRPr="00DA76A7">
        <w:rPr>
          <w:rFonts w:ascii="Arial" w:hAnsi="Arial" w:cs="Arial"/>
          <w:color w:val="000000" w:themeColor="text1"/>
          <w:sz w:val="22"/>
          <w:szCs w:val="22"/>
        </w:rPr>
        <w:t xml:space="preserve">» как </w:t>
      </w:r>
      <w:r w:rsidRPr="00DA76A7">
        <w:rPr>
          <w:rFonts w:ascii="Arial" w:hAnsi="Arial" w:cs="Arial"/>
          <w:iCs/>
          <w:color w:val="000000" w:themeColor="text1"/>
          <w:sz w:val="22"/>
          <w:szCs w:val="22"/>
        </w:rPr>
        <w:t>«воздушное сообщение, осуществляемое через воздушное пространство над территорией более чем одного государства</w:t>
      </w:r>
      <w:r w:rsidRPr="00DA76A7">
        <w:rPr>
          <w:rFonts w:ascii="Arial" w:hAnsi="Arial" w:cs="Arial"/>
          <w:color w:val="000000" w:themeColor="text1"/>
          <w:sz w:val="22"/>
          <w:szCs w:val="22"/>
        </w:rPr>
        <w:t>». Указанная Конвенция исполняет роль соединяющей, нормативной базы, на основе которой формируются, трансформируются и разрабатываются новые международные и национальные нормативные документы. Суверенитет над воздушным пространством как основной принцип международного воздушного права с самого начала был положен в ее основу. Статья 1 Чикагской конвенции о гражданской авиации 1944 г. подтверждает полный и исключительный суверенитет каждого государства в отношении воздушного пространства над его территорией [4]. Поэтому</w:t>
      </w:r>
      <w:r w:rsidRPr="00DA76A7">
        <w:rPr>
          <w:rFonts w:ascii="Arial" w:hAnsi="Arial" w:cs="Arial"/>
          <w:bCs/>
          <w:color w:val="000000" w:themeColor="text1"/>
          <w:sz w:val="22"/>
          <w:szCs w:val="22"/>
        </w:rPr>
        <w:t xml:space="preserve"> внутригосударственные </w:t>
      </w:r>
      <w:r w:rsidRPr="00DA76A7">
        <w:rPr>
          <w:rFonts w:ascii="Arial" w:hAnsi="Arial" w:cs="Arial"/>
          <w:color w:val="000000" w:themeColor="text1"/>
          <w:sz w:val="22"/>
          <w:szCs w:val="22"/>
        </w:rPr>
        <w:t xml:space="preserve">нормативные акты в силу суверенитета государства устанавливают порядок пользования их воздушным пространством, играя, таким образом, важную роль в регулирование указанных отношений. </w:t>
      </w:r>
    </w:p>
    <w:p w:rsidR="00A969C6" w:rsidRPr="00DA76A7" w:rsidRDefault="00A969C6" w:rsidP="00A969C6">
      <w:pPr>
        <w:ind w:firstLine="567"/>
        <w:jc w:val="both"/>
        <w:outlineLvl w:val="3"/>
        <w:rPr>
          <w:rFonts w:ascii="Arial" w:hAnsi="Arial" w:cs="Arial"/>
          <w:color w:val="000000" w:themeColor="text1"/>
          <w:sz w:val="22"/>
          <w:szCs w:val="22"/>
        </w:rPr>
      </w:pPr>
      <w:r w:rsidRPr="00DA76A7">
        <w:rPr>
          <w:rFonts w:ascii="Arial" w:hAnsi="Arial" w:cs="Arial"/>
          <w:color w:val="000000" w:themeColor="text1"/>
          <w:sz w:val="22"/>
          <w:szCs w:val="22"/>
        </w:rPr>
        <w:t>В ст. 96 Чикагской конвенции о гражданской авиации 1944 г. указывается, что международное воздушное сообщение означает воздушное сообщение, осуществляемое через воздушное пространство над территорией более чем одного государства.</w:t>
      </w:r>
    </w:p>
    <w:p w:rsidR="00A969C6" w:rsidRPr="00DA76A7" w:rsidRDefault="00A969C6" w:rsidP="00A969C6">
      <w:pPr>
        <w:ind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 xml:space="preserve">В Воздушных кодексах Российской Федерации и Республики Таджикистан говорится о </w:t>
      </w:r>
      <w:r w:rsidRPr="00DA76A7">
        <w:rPr>
          <w:rFonts w:ascii="Arial" w:hAnsi="Arial" w:cs="Arial"/>
          <w:bCs/>
          <w:color w:val="000000" w:themeColor="text1"/>
          <w:sz w:val="22"/>
          <w:szCs w:val="22"/>
        </w:rPr>
        <w:t xml:space="preserve">воздушном пространстве более чем одного государства, когда речь идет о международных полётах воздушных судов. </w:t>
      </w:r>
      <w:r w:rsidRPr="00DA76A7">
        <w:rPr>
          <w:rFonts w:ascii="Arial" w:hAnsi="Arial" w:cs="Arial"/>
          <w:color w:val="000000" w:themeColor="text1"/>
          <w:sz w:val="22"/>
          <w:szCs w:val="22"/>
        </w:rPr>
        <w:t xml:space="preserve"> Согласно ст. 72 </w:t>
      </w:r>
      <w:r w:rsidRPr="00DA76A7">
        <w:rPr>
          <w:rFonts w:ascii="Arial" w:hAnsi="Arial" w:cs="Arial"/>
          <w:bCs/>
          <w:color w:val="000000" w:themeColor="text1"/>
          <w:sz w:val="22"/>
          <w:szCs w:val="22"/>
        </w:rPr>
        <w:t>Воздушного кодекса Республики Таджикистан</w:t>
      </w:r>
      <w:r w:rsidRPr="00DA76A7">
        <w:rPr>
          <w:rFonts w:ascii="Arial" w:hAnsi="Arial" w:cs="Arial"/>
          <w:color w:val="000000" w:themeColor="text1"/>
          <w:sz w:val="22"/>
          <w:szCs w:val="22"/>
        </w:rPr>
        <w:t xml:space="preserve"> от 13 ноября 1998 </w:t>
      </w:r>
      <w:r w:rsidRPr="00DA76A7">
        <w:rPr>
          <w:rFonts w:ascii="Arial" w:hAnsi="Arial" w:cs="Arial"/>
          <w:bCs/>
          <w:color w:val="000000" w:themeColor="text1"/>
          <w:sz w:val="22"/>
          <w:szCs w:val="22"/>
          <w:shd w:val="clear" w:color="auto" w:fill="FFFFFF"/>
        </w:rPr>
        <w:t>№ 720</w:t>
      </w:r>
      <w:r w:rsidRPr="00DA76A7">
        <w:rPr>
          <w:rFonts w:ascii="Arial" w:hAnsi="Arial" w:cs="Arial"/>
          <w:color w:val="000000" w:themeColor="text1"/>
          <w:sz w:val="22"/>
          <w:szCs w:val="22"/>
        </w:rPr>
        <w:t xml:space="preserve"> [1] и п. 1 ст. 79  Воздушного кодекса Российской Федерации от 19  марта 1997 г., № 60-ФЗ (ред. от 31.12.2017) [2] </w:t>
      </w:r>
      <w:r w:rsidRPr="00DA76A7">
        <w:rPr>
          <w:rFonts w:ascii="Arial" w:hAnsi="Arial" w:cs="Arial"/>
          <w:bCs/>
          <w:color w:val="000000" w:themeColor="text1"/>
          <w:sz w:val="22"/>
          <w:szCs w:val="22"/>
        </w:rPr>
        <w:t xml:space="preserve">международный полет воздушного судна - полет воздушного судна в воздушном пространстве более чем одного государства.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 вышеуказанных определений вытекает, что если воздушное сообщение осуществляется через воздушное пространство более чем одного государства в рамках установивших его между собой государств, то такое воздушное сообщение признается международным. Однако в данных определениях, делая акцент</w:t>
      </w:r>
      <w:r w:rsidRPr="00DA76A7">
        <w:rPr>
          <w:rFonts w:ascii="Arial" w:hAnsi="Arial" w:cs="Arial"/>
          <w:color w:val="000000" w:themeColor="text1"/>
          <w:sz w:val="22"/>
          <w:szCs w:val="22"/>
          <w:shd w:val="clear" w:color="auto" w:fill="FFFFFF"/>
        </w:rPr>
        <w:t xml:space="preserve"> на факте</w:t>
      </w:r>
      <w:r w:rsidRPr="00DA76A7">
        <w:rPr>
          <w:rFonts w:ascii="Arial" w:hAnsi="Arial" w:cs="Arial"/>
          <w:color w:val="000000" w:themeColor="text1"/>
          <w:sz w:val="22"/>
          <w:szCs w:val="22"/>
        </w:rPr>
        <w:t xml:space="preserve"> осуществления воздушного сообщения через воздушное пространство </w:t>
      </w:r>
      <w:r w:rsidRPr="00DA76A7">
        <w:rPr>
          <w:rFonts w:ascii="Arial" w:hAnsi="Arial" w:cs="Arial"/>
          <w:bCs/>
          <w:color w:val="000000" w:themeColor="text1"/>
          <w:sz w:val="22"/>
          <w:szCs w:val="22"/>
        </w:rPr>
        <w:t>более чем одного государства,</w:t>
      </w:r>
      <w:r w:rsidRPr="00DA76A7">
        <w:rPr>
          <w:rFonts w:ascii="Arial" w:hAnsi="Arial" w:cs="Arial"/>
          <w:color w:val="000000" w:themeColor="text1"/>
          <w:sz w:val="22"/>
          <w:szCs w:val="22"/>
        </w:rPr>
        <w:t xml:space="preserve"> при этом не указывается, в каких целях совершаются международные воздушные сообщения.</w:t>
      </w:r>
    </w:p>
    <w:p w:rsidR="00A969C6" w:rsidRPr="00DA76A7" w:rsidRDefault="00A969C6" w:rsidP="00A969C6">
      <w:pPr>
        <w:ind w:firstLine="567"/>
        <w:jc w:val="both"/>
        <w:outlineLvl w:val="2"/>
        <w:rPr>
          <w:rFonts w:ascii="Arial" w:hAnsi="Arial" w:cs="Arial"/>
          <w:color w:val="000000" w:themeColor="text1"/>
          <w:sz w:val="22"/>
          <w:szCs w:val="22"/>
        </w:rPr>
      </w:pPr>
      <w:r w:rsidRPr="00DA76A7">
        <w:rPr>
          <w:rFonts w:ascii="Arial" w:hAnsi="Arial" w:cs="Arial"/>
          <w:color w:val="000000" w:themeColor="text1"/>
          <w:sz w:val="22"/>
          <w:szCs w:val="22"/>
        </w:rPr>
        <w:t xml:space="preserve">На Всемирной авиатранспортной конференции, проведенной </w:t>
      </w:r>
      <w:r w:rsidRPr="00DA76A7">
        <w:rPr>
          <w:rFonts w:ascii="Arial" w:hAnsi="Arial" w:cs="Arial"/>
          <w:bCs/>
          <w:color w:val="000000" w:themeColor="text1"/>
          <w:sz w:val="22"/>
          <w:szCs w:val="22"/>
          <w:shd w:val="clear" w:color="auto" w:fill="FFFFFF"/>
        </w:rPr>
        <w:t>Международной</w:t>
      </w:r>
      <w:r w:rsidRPr="00DA76A7">
        <w:rPr>
          <w:rFonts w:ascii="Arial" w:hAnsi="Arial" w:cs="Arial"/>
          <w:color w:val="000000" w:themeColor="text1"/>
          <w:sz w:val="22"/>
          <w:szCs w:val="22"/>
          <w:shd w:val="clear" w:color="auto" w:fill="FFFFFF"/>
        </w:rPr>
        <w:t xml:space="preserve"> </w:t>
      </w:r>
      <w:r w:rsidRPr="00DA76A7">
        <w:rPr>
          <w:rFonts w:ascii="Arial" w:hAnsi="Arial" w:cs="Arial"/>
          <w:bCs/>
          <w:color w:val="000000" w:themeColor="text1"/>
          <w:sz w:val="22"/>
          <w:szCs w:val="22"/>
          <w:shd w:val="clear" w:color="auto" w:fill="FFFFFF"/>
        </w:rPr>
        <w:t>организацией</w:t>
      </w:r>
      <w:r w:rsidRPr="00DA76A7">
        <w:rPr>
          <w:rFonts w:ascii="Arial" w:hAnsi="Arial" w:cs="Arial"/>
          <w:color w:val="000000" w:themeColor="text1"/>
          <w:sz w:val="22"/>
          <w:szCs w:val="22"/>
          <w:shd w:val="clear" w:color="auto" w:fill="FFFFFF"/>
        </w:rPr>
        <w:t xml:space="preserve"> </w:t>
      </w:r>
      <w:r w:rsidRPr="00DA76A7">
        <w:rPr>
          <w:rFonts w:ascii="Arial" w:hAnsi="Arial" w:cs="Arial"/>
          <w:bCs/>
          <w:color w:val="000000" w:themeColor="text1"/>
          <w:sz w:val="22"/>
          <w:szCs w:val="22"/>
          <w:shd w:val="clear" w:color="auto" w:fill="FFFFFF"/>
        </w:rPr>
        <w:t>гражданской авиации (</w:t>
      </w:r>
      <w:r w:rsidRPr="00DA76A7">
        <w:rPr>
          <w:rFonts w:ascii="Arial" w:hAnsi="Arial" w:cs="Arial"/>
          <w:color w:val="000000" w:themeColor="text1"/>
          <w:sz w:val="22"/>
          <w:szCs w:val="22"/>
        </w:rPr>
        <w:t xml:space="preserve">ИКАО) в 1994 г. в канадском Монреале, был поставлен вопрос о совершенствовании дефиниций, которые применяются в практике воздушных сообщений в целом. </w:t>
      </w:r>
    </w:p>
    <w:p w:rsidR="00A969C6" w:rsidRPr="00DA76A7" w:rsidRDefault="00A969C6" w:rsidP="00A969C6">
      <w:pPr>
        <w:ind w:firstLine="567"/>
        <w:jc w:val="both"/>
        <w:outlineLvl w:val="2"/>
        <w:rPr>
          <w:rFonts w:ascii="Arial" w:hAnsi="Arial" w:cs="Arial"/>
          <w:color w:val="000000" w:themeColor="text1"/>
          <w:sz w:val="22"/>
          <w:szCs w:val="22"/>
        </w:rPr>
      </w:pPr>
      <w:r w:rsidRPr="00DA76A7">
        <w:rPr>
          <w:rFonts w:ascii="Arial" w:hAnsi="Arial" w:cs="Arial"/>
          <w:color w:val="000000" w:themeColor="text1"/>
          <w:sz w:val="22"/>
          <w:szCs w:val="22"/>
        </w:rPr>
        <w:t xml:space="preserve">В результате были выработаны определения, которые более конкретизируют основные понятия воздушного сообщения, и было сформулировано более широкое определение воздушного сообщения. В таком понимании воздушное сообщение означает «любое сообщение, осуществляемое воздушными судами с целью общественных перевозок как на регулярной, так и на нерегулярной основе». Как видно из данного понятия, цели воздушных сообщений здесь указаны конкретно: выполнение общественных регулярных и нерегулярных перевозок пассажиров, почты или груза.   </w:t>
      </w:r>
    </w:p>
    <w:p w:rsidR="00A969C6" w:rsidRPr="00DA76A7" w:rsidRDefault="00A969C6" w:rsidP="00A969C6">
      <w:pPr>
        <w:ind w:firstLine="567"/>
        <w:jc w:val="both"/>
        <w:outlineLvl w:val="2"/>
        <w:rPr>
          <w:rFonts w:ascii="Arial" w:hAnsi="Arial" w:cs="Arial"/>
          <w:color w:val="000000" w:themeColor="text1"/>
          <w:sz w:val="22"/>
          <w:szCs w:val="22"/>
        </w:rPr>
      </w:pPr>
      <w:r w:rsidRPr="00DA76A7">
        <w:rPr>
          <w:rFonts w:ascii="Arial" w:hAnsi="Arial" w:cs="Arial"/>
          <w:color w:val="000000" w:themeColor="text1"/>
          <w:sz w:val="22"/>
          <w:szCs w:val="22"/>
        </w:rPr>
        <w:t xml:space="preserve">Обобщая все вышесказанное,  можно дать определение международного воздушного сообщения с учетом соответствующих норм Чикагской конвенции и национальных правовых актов, исходя из тех целей, для которых совершаются международные воздушные сообщения. Таким образом, международное воздушное сообщение - это воздушное сообщение, </w:t>
      </w:r>
      <w:r w:rsidRPr="00DA76A7">
        <w:rPr>
          <w:rFonts w:ascii="Arial" w:hAnsi="Arial" w:cs="Arial"/>
          <w:iCs/>
          <w:color w:val="000000" w:themeColor="text1"/>
          <w:sz w:val="22"/>
          <w:szCs w:val="22"/>
        </w:rPr>
        <w:t>осуществляемое через воздушное пространство над территорией более чем одного государства</w:t>
      </w:r>
      <w:r w:rsidRPr="00DA76A7">
        <w:rPr>
          <w:rFonts w:ascii="Arial" w:hAnsi="Arial" w:cs="Arial"/>
          <w:color w:val="000000" w:themeColor="text1"/>
          <w:sz w:val="22"/>
          <w:szCs w:val="22"/>
        </w:rPr>
        <w:t xml:space="preserve"> с целью общественных перевозок пассажиров, почты или груза на регулярной и нерегулярной основе. </w:t>
      </w:r>
    </w:p>
    <w:p w:rsidR="00A969C6" w:rsidRPr="00DA76A7" w:rsidRDefault="00A969C6" w:rsidP="00A969C6">
      <w:pPr>
        <w:ind w:firstLine="567"/>
        <w:jc w:val="both"/>
        <w:outlineLvl w:val="2"/>
        <w:rPr>
          <w:rFonts w:ascii="Arial" w:hAnsi="Arial" w:cs="Arial"/>
          <w:color w:val="000000" w:themeColor="text1"/>
          <w:sz w:val="22"/>
          <w:szCs w:val="22"/>
        </w:rPr>
      </w:pPr>
    </w:p>
    <w:p w:rsidR="00A969C6" w:rsidRPr="00DA76A7" w:rsidRDefault="00A969C6" w:rsidP="00A969C6">
      <w:pPr>
        <w:ind w:firstLine="567"/>
        <w:jc w:val="center"/>
        <w:outlineLvl w:val="2"/>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 литературы:</w:t>
      </w:r>
    </w:p>
    <w:p w:rsidR="00A969C6" w:rsidRPr="00DA76A7" w:rsidRDefault="00A969C6" w:rsidP="00D45D6B">
      <w:pPr>
        <w:pStyle w:val="a6"/>
        <w:numPr>
          <w:ilvl w:val="0"/>
          <w:numId w:val="11"/>
        </w:numPr>
        <w:tabs>
          <w:tab w:val="left" w:pos="851"/>
        </w:tabs>
        <w:autoSpaceDE w:val="0"/>
        <w:autoSpaceDN w:val="0"/>
        <w:adjustRightInd w:val="0"/>
        <w:spacing w:after="0" w:line="240" w:lineRule="auto"/>
        <w:ind w:left="0" w:firstLine="567"/>
        <w:jc w:val="both"/>
        <w:outlineLvl w:val="2"/>
        <w:rPr>
          <w:rFonts w:ascii="Arial" w:hAnsi="Arial" w:cs="Arial"/>
          <w:color w:val="000000" w:themeColor="text1"/>
        </w:rPr>
      </w:pPr>
      <w:r w:rsidRPr="00DA76A7">
        <w:rPr>
          <w:rFonts w:ascii="Arial" w:hAnsi="Arial" w:cs="Arial"/>
          <w:color w:val="000000" w:themeColor="text1"/>
        </w:rPr>
        <w:t>Воздушный коднкс Республики Таджикистан // Ахбори Маджлиси Оли Республики Таджикистан, 1998г., - №23-24, - ст. 342; 2005 год, №12, ст.631; 2007 год, №7, ст.685</w:t>
      </w:r>
    </w:p>
    <w:p w:rsidR="00A969C6" w:rsidRPr="00DA76A7" w:rsidRDefault="00A969C6" w:rsidP="00D45D6B">
      <w:pPr>
        <w:pStyle w:val="a6"/>
        <w:numPr>
          <w:ilvl w:val="0"/>
          <w:numId w:val="11"/>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Воздушный кодекс Российской Федерации от 19.03.1997 № 60-ФЗ (ред. от 31.12.2017) [Электронный ресурс] // СПС Консультант Плюс</w:t>
      </w:r>
      <w:r w:rsidRPr="00DA76A7">
        <w:rPr>
          <w:rFonts w:ascii="Arial" w:hAnsi="Arial" w:cs="Arial"/>
          <w:bCs/>
          <w:color w:val="000000" w:themeColor="text1"/>
        </w:rPr>
        <w:t xml:space="preserve"> (дата обращения: 22.02.2018).</w:t>
      </w:r>
    </w:p>
    <w:p w:rsidR="00A969C6" w:rsidRPr="00DA76A7" w:rsidRDefault="00A969C6" w:rsidP="00D45D6B">
      <w:pPr>
        <w:pStyle w:val="a6"/>
        <w:numPr>
          <w:ilvl w:val="0"/>
          <w:numId w:val="11"/>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Бекяшев К.А., Ходаков А.Г. Международное публичное право. Сборник документов. Том 2. - М.: Изд.-во БЕК, 1996. - 539 с.</w:t>
      </w:r>
    </w:p>
    <w:p w:rsidR="00A969C6" w:rsidRPr="00DA76A7" w:rsidRDefault="00A969C6" w:rsidP="00D45D6B">
      <w:pPr>
        <w:pStyle w:val="a6"/>
        <w:numPr>
          <w:ilvl w:val="0"/>
          <w:numId w:val="11"/>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 xml:space="preserve">Бордунов  В.Д. Международное воздушное право. - М.: Авиабизнес, 2007. - 464 с. </w:t>
      </w:r>
      <w:r w:rsidRPr="00DA76A7">
        <w:rPr>
          <w:rFonts w:ascii="Arial" w:hAnsi="Arial" w:cs="Arial"/>
          <w:bCs/>
          <w:color w:val="000000" w:themeColor="text1"/>
        </w:rPr>
        <w:t xml:space="preserve"> </w:t>
      </w:r>
    </w:p>
    <w:p w:rsidR="00A969C6" w:rsidRPr="00DA76A7" w:rsidRDefault="00A969C6" w:rsidP="00D45D6B">
      <w:pPr>
        <w:pStyle w:val="a6"/>
        <w:numPr>
          <w:ilvl w:val="0"/>
          <w:numId w:val="11"/>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 xml:space="preserve">Лукашук И.И. Международное право. [Электронный ресурс] </w:t>
      </w:r>
      <w:r w:rsidRPr="00DA76A7">
        <w:rPr>
          <w:rFonts w:ascii="Arial" w:hAnsi="Arial" w:cs="Arial"/>
          <w:b/>
          <w:color w:val="000000" w:themeColor="text1"/>
        </w:rPr>
        <w:t xml:space="preserve">// </w:t>
      </w:r>
      <w:r w:rsidRPr="00DA76A7">
        <w:rPr>
          <w:rFonts w:ascii="Arial" w:hAnsi="Arial" w:cs="Arial"/>
          <w:color w:val="000000" w:themeColor="text1"/>
        </w:rPr>
        <w:t xml:space="preserve">СПС Консультант Плюс </w:t>
      </w:r>
      <w:r w:rsidRPr="00DA76A7">
        <w:rPr>
          <w:rFonts w:ascii="Arial" w:hAnsi="Arial" w:cs="Arial"/>
          <w:bCs/>
          <w:color w:val="000000" w:themeColor="text1"/>
        </w:rPr>
        <w:t>(дата обращения: 02.03.2018).</w:t>
      </w:r>
    </w:p>
    <w:p w:rsidR="00A969C6" w:rsidRPr="00DA76A7" w:rsidRDefault="00A969C6" w:rsidP="00A969C6">
      <w:pPr>
        <w:pStyle w:val="a6"/>
        <w:tabs>
          <w:tab w:val="left" w:pos="851"/>
        </w:tabs>
        <w:autoSpaceDE w:val="0"/>
        <w:autoSpaceDN w:val="0"/>
        <w:adjustRightInd w:val="0"/>
        <w:spacing w:after="0" w:line="240" w:lineRule="auto"/>
        <w:ind w:left="0" w:firstLine="567"/>
        <w:jc w:val="both"/>
        <w:outlineLvl w:val="2"/>
        <w:rPr>
          <w:rFonts w:ascii="Arial" w:hAnsi="Arial" w:cs="Arial"/>
          <w:color w:val="000000" w:themeColor="text1"/>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ЧИКАГСКАЯ КОНВЕНЦИЯ О МЕЖДУНА</w:t>
      </w:r>
      <w:r w:rsidR="009162F9" w:rsidRPr="00DA76A7">
        <w:rPr>
          <w:rFonts w:ascii="Arial" w:hAnsi="Arial" w:cs="Arial"/>
          <w:b/>
          <w:color w:val="000000" w:themeColor="text1"/>
          <w:sz w:val="22"/>
          <w:szCs w:val="22"/>
        </w:rPr>
        <w:t>РОДНОЙ ГРАЖДАНСКОЙ АВИАЦИИ 1944</w:t>
      </w:r>
      <w:r w:rsidRPr="00DA76A7">
        <w:rPr>
          <w:rFonts w:ascii="Arial" w:hAnsi="Arial" w:cs="Arial"/>
          <w:b/>
          <w:color w:val="000000" w:themeColor="text1"/>
          <w:sz w:val="22"/>
          <w:szCs w:val="22"/>
        </w:rPr>
        <w:t>Г. - ОСНОВНОЙ АКТ МЕЖДУНАРОДНОГО ВОЗДУШНОГО ПРАВА</w:t>
      </w: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Бехрузи Аламхон</w:t>
      </w: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w:t>
      </w:r>
      <w:r w:rsidR="009A2FFA" w:rsidRPr="00DA76A7">
        <w:rPr>
          <w:rFonts w:ascii="Arial" w:hAnsi="Arial" w:cs="Arial"/>
          <w:color w:val="000000" w:themeColor="text1"/>
          <w:sz w:val="22"/>
          <w:szCs w:val="22"/>
        </w:rPr>
        <w:t>Турсунзаде,</w:t>
      </w:r>
      <w:r w:rsidRPr="00DA76A7">
        <w:rPr>
          <w:rFonts w:ascii="Arial" w:hAnsi="Arial" w:cs="Arial"/>
          <w:color w:val="000000" w:themeColor="text1"/>
          <w:sz w:val="22"/>
          <w:szCs w:val="22"/>
        </w:rPr>
        <w:t>, 30</w:t>
      </w:r>
    </w:p>
    <w:p w:rsidR="00A969C6" w:rsidRPr="003A751C"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(+992) 989052323, </w:t>
      </w:r>
      <w:r w:rsidRPr="00DA76A7">
        <w:rPr>
          <w:rFonts w:ascii="Arial" w:hAnsi="Arial" w:cs="Arial"/>
          <w:color w:val="000000" w:themeColor="text1"/>
          <w:sz w:val="22"/>
          <w:szCs w:val="22"/>
          <w:lang w:val="en-US"/>
        </w:rPr>
        <w:t>email</w:t>
      </w:r>
      <w:r w:rsidRPr="003A751C">
        <w:rPr>
          <w:rFonts w:ascii="Arial" w:hAnsi="Arial" w:cs="Arial"/>
          <w:color w:val="000000" w:themeColor="text1"/>
          <w:sz w:val="22"/>
          <w:szCs w:val="22"/>
          <w:lang w:val="en-US"/>
        </w:rPr>
        <w:t xml:space="preserve">: </w:t>
      </w:r>
      <w:hyperlink r:id="rId36" w:history="1">
        <w:r w:rsidRPr="00DA76A7">
          <w:rPr>
            <w:rStyle w:val="af0"/>
            <w:rFonts w:ascii="Arial" w:hAnsi="Arial" w:cs="Arial"/>
            <w:color w:val="000000" w:themeColor="text1"/>
            <w:sz w:val="22"/>
            <w:szCs w:val="22"/>
            <w:u w:val="none"/>
            <w:lang w:val="en-US"/>
          </w:rPr>
          <w:t>abehruz</w:t>
        </w:r>
        <w:r w:rsidRPr="003A751C">
          <w:rPr>
            <w:rStyle w:val="af0"/>
            <w:rFonts w:ascii="Arial" w:hAnsi="Arial" w:cs="Arial"/>
            <w:color w:val="000000" w:themeColor="text1"/>
            <w:sz w:val="22"/>
            <w:szCs w:val="22"/>
            <w:u w:val="none"/>
            <w:lang w:val="en-US"/>
          </w:rPr>
          <w:t>93@</w:t>
        </w:r>
        <w:r w:rsidRPr="00DA76A7">
          <w:rPr>
            <w:rStyle w:val="af0"/>
            <w:rFonts w:ascii="Arial" w:hAnsi="Arial" w:cs="Arial"/>
            <w:color w:val="000000" w:themeColor="text1"/>
            <w:sz w:val="22"/>
            <w:szCs w:val="22"/>
            <w:u w:val="none"/>
            <w:lang w:val="en-US"/>
          </w:rPr>
          <w:t>mail</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p>
    <w:p w:rsidR="00A969C6" w:rsidRPr="003A751C" w:rsidRDefault="00A969C6" w:rsidP="00A969C6">
      <w:pPr>
        <w:ind w:firstLine="567"/>
        <w:jc w:val="center"/>
        <w:rPr>
          <w:rFonts w:ascii="Arial" w:hAnsi="Arial" w:cs="Arial"/>
          <w:b/>
          <w:color w:val="000000" w:themeColor="text1"/>
          <w:sz w:val="22"/>
          <w:szCs w:val="22"/>
          <w:lang w:val="en-US"/>
        </w:rPr>
      </w:pPr>
    </w:p>
    <w:p w:rsidR="00A969C6" w:rsidRPr="00DA76A7" w:rsidRDefault="00A969C6" w:rsidP="00A969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CHICAGO CONVENTION ON INTERNATIONAL CIVIL AVIATION 1944 - THE MAIN ACT OF THE INTERNATIONAL AIR LAW</w:t>
      </w:r>
    </w:p>
    <w:p w:rsidR="00A969C6" w:rsidRPr="00DA76A7" w:rsidRDefault="00A969C6" w:rsidP="00A969C6">
      <w:pPr>
        <w:ind w:firstLine="567"/>
        <w:jc w:val="center"/>
        <w:rPr>
          <w:rStyle w:val="af0"/>
          <w:rFonts w:ascii="Arial" w:hAnsi="Arial" w:cs="Arial"/>
          <w:b/>
          <w:color w:val="000000" w:themeColor="text1"/>
          <w:sz w:val="22"/>
          <w:szCs w:val="22"/>
          <w:u w:val="none"/>
          <w:lang w:val="en-US"/>
        </w:rPr>
      </w:pPr>
    </w:p>
    <w:p w:rsidR="00A969C6" w:rsidRPr="00DA76A7" w:rsidRDefault="00A969C6" w:rsidP="00A969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Behruzi Alamhon</w:t>
      </w:r>
    </w:p>
    <w:p w:rsidR="00A969C6" w:rsidRPr="00DA76A7" w:rsidRDefault="00A969C6" w:rsidP="00A969C6">
      <w:pPr>
        <w:pStyle w:val="a9"/>
        <w:tabs>
          <w:tab w:val="left" w:pos="4380"/>
        </w:tabs>
        <w:ind w:firstLine="567"/>
        <w:jc w:val="center"/>
        <w:rPr>
          <w:rFonts w:ascii="Arial" w:hAnsi="Arial" w:cs="Arial"/>
          <w:color w:val="000000" w:themeColor="text1"/>
        </w:rPr>
      </w:pPr>
      <w:r w:rsidRPr="00DA76A7">
        <w:rPr>
          <w:rFonts w:ascii="Arial" w:hAnsi="Arial" w:cs="Arial"/>
          <w:color w:val="000000" w:themeColor="text1"/>
        </w:rPr>
        <w:t>undergraduate 2nd year students of full-time department of the law faculty</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989052323, e-mail: </w:t>
      </w:r>
      <w:hyperlink r:id="rId37" w:history="1">
        <w:r w:rsidRPr="00DA76A7">
          <w:rPr>
            <w:rStyle w:val="af0"/>
            <w:rFonts w:ascii="Arial" w:hAnsi="Arial" w:cs="Arial"/>
            <w:color w:val="000000" w:themeColor="text1"/>
            <w:sz w:val="22"/>
            <w:szCs w:val="22"/>
            <w:u w:val="none"/>
            <w:lang w:val="en-US"/>
          </w:rPr>
          <w:t>abehruz93@mail.ru</w:t>
        </w:r>
      </w:hyperlink>
    </w:p>
    <w:p w:rsidR="00A969C6" w:rsidRPr="00DA76A7" w:rsidRDefault="00A969C6" w:rsidP="00A969C6">
      <w:pPr>
        <w:ind w:firstLine="567"/>
        <w:jc w:val="both"/>
        <w:rPr>
          <w:rFonts w:ascii="Arial" w:hAnsi="Arial" w:cs="Arial"/>
          <w:color w:val="000000" w:themeColor="text1"/>
          <w:sz w:val="22"/>
          <w:szCs w:val="22"/>
          <w:lang w:val="en-US"/>
        </w:rPr>
      </w:pPr>
    </w:p>
    <w:p w:rsidR="00A969C6" w:rsidRPr="00DA76A7" w:rsidRDefault="00A969C6" w:rsidP="00A969C6">
      <w:pPr>
        <w:pStyle w:val="ac"/>
        <w:ind w:firstLine="567"/>
        <w:jc w:val="right"/>
        <w:rPr>
          <w:rFonts w:ascii="Arial" w:hAnsi="Arial" w:cs="Arial"/>
          <w:color w:val="000000" w:themeColor="text1"/>
        </w:rPr>
      </w:pPr>
      <w:r w:rsidRPr="00DA76A7">
        <w:rPr>
          <w:rFonts w:ascii="Arial" w:hAnsi="Arial" w:cs="Arial"/>
          <w:color w:val="000000" w:themeColor="text1"/>
        </w:rPr>
        <w:t>Научный руководитель: к.ю.н., доцент Химатов Х.Н.</w:t>
      </w: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В статье указывается, что Конвенция о международной гражданской авиации (</w:t>
      </w:r>
      <w:r w:rsidR="00A969C6" w:rsidRPr="00DA76A7">
        <w:rPr>
          <w:rFonts w:ascii="Arial" w:hAnsi="Arial" w:cs="Arial"/>
          <w:i/>
          <w:color w:val="000000" w:themeColor="text1"/>
          <w:sz w:val="22"/>
          <w:szCs w:val="22"/>
          <w:shd w:val="clear" w:color="auto" w:fill="FFFFFF"/>
        </w:rPr>
        <w:t>Convention on International Civil Aviation)</w:t>
      </w:r>
      <w:r w:rsidR="00A969C6" w:rsidRPr="00DA76A7">
        <w:rPr>
          <w:rFonts w:ascii="Arial" w:hAnsi="Arial" w:cs="Arial"/>
          <w:i/>
          <w:color w:val="000000" w:themeColor="text1"/>
          <w:sz w:val="22"/>
          <w:szCs w:val="22"/>
        </w:rPr>
        <w:t xml:space="preserve"> от 7 декабря 1944 года является основным документом международного воздушного права. Данная Конвенция исполняет роль нормативной базы, на основе которой формируются и трансформируются новые международные и национальные нормативные документы.</w:t>
      </w:r>
    </w:p>
    <w:p w:rsidR="00A969C6" w:rsidRPr="00DA76A7" w:rsidRDefault="00081412" w:rsidP="00A969C6">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The article states that the Convention on International Civil Aviation (December 7, 1944) is the main document of international air law. This Convention fulfills the role of the normative base on the basis of which new international and national normative documents are formed and transformed.</w:t>
      </w:r>
      <w:r w:rsidR="00A969C6" w:rsidRPr="00DA76A7">
        <w:rPr>
          <w:rFonts w:ascii="Arial" w:hAnsi="Arial" w:cs="Arial"/>
          <w:b/>
          <w:i/>
          <w:color w:val="000000" w:themeColor="text1"/>
          <w:sz w:val="22"/>
          <w:szCs w:val="22"/>
          <w:lang w:val="en-US"/>
        </w:rPr>
        <w:t xml:space="preserve"> </w:t>
      </w:r>
    </w:p>
    <w:p w:rsidR="00A969C6" w:rsidRPr="00DA76A7" w:rsidRDefault="00A969C6" w:rsidP="00A969C6">
      <w:pPr>
        <w:ind w:firstLine="567"/>
        <w:jc w:val="both"/>
        <w:rPr>
          <w:rStyle w:val="af0"/>
          <w:rFonts w:ascii="Arial" w:hAnsi="Arial" w:cs="Arial"/>
          <w:i/>
          <w:color w:val="000000" w:themeColor="text1"/>
          <w:sz w:val="22"/>
          <w:szCs w:val="22"/>
          <w:u w:val="none"/>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конвенция; международные воздушные сообщения; обязательные предписания.</w:t>
      </w:r>
    </w:p>
    <w:p w:rsidR="00A969C6" w:rsidRPr="00DA76A7" w:rsidRDefault="00A969C6" w:rsidP="00A969C6">
      <w:pPr>
        <w:ind w:firstLine="567"/>
        <w:jc w:val="both"/>
        <w:outlineLvl w:val="2"/>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convention; international air communication; mandatory precepts.</w:t>
      </w:r>
    </w:p>
    <w:p w:rsidR="00A969C6" w:rsidRPr="00DA76A7" w:rsidRDefault="00A969C6" w:rsidP="00A969C6">
      <w:pPr>
        <w:ind w:firstLine="567"/>
        <w:jc w:val="both"/>
        <w:outlineLvl w:val="2"/>
        <w:rPr>
          <w:rFonts w:ascii="Arial" w:hAnsi="Arial" w:cs="Arial"/>
          <w:color w:val="000000" w:themeColor="text1"/>
          <w:sz w:val="22"/>
          <w:szCs w:val="22"/>
          <w:lang w:val="en-US"/>
        </w:rPr>
      </w:pPr>
    </w:p>
    <w:p w:rsidR="00A969C6" w:rsidRPr="00DA76A7" w:rsidRDefault="00A969C6" w:rsidP="00A969C6">
      <w:pPr>
        <w:pStyle w:val="ConsPlusNormal"/>
        <w:widowControl/>
        <w:ind w:firstLine="567"/>
        <w:jc w:val="both"/>
        <w:rPr>
          <w:color w:val="000000" w:themeColor="text1"/>
          <w:sz w:val="22"/>
          <w:szCs w:val="22"/>
        </w:rPr>
      </w:pPr>
      <w:r w:rsidRPr="00DA76A7">
        <w:rPr>
          <w:color w:val="000000" w:themeColor="text1"/>
          <w:sz w:val="22"/>
          <w:szCs w:val="22"/>
        </w:rPr>
        <w:t xml:space="preserve">Международные воздушные сообщения составляют </w:t>
      </w:r>
      <w:r w:rsidRPr="00DA76A7">
        <w:rPr>
          <w:color w:val="000000" w:themeColor="text1"/>
          <w:sz w:val="22"/>
          <w:szCs w:val="22"/>
          <w:shd w:val="clear" w:color="auto" w:fill="FFFFFF"/>
        </w:rPr>
        <w:t xml:space="preserve">важнейшую </w:t>
      </w:r>
      <w:r w:rsidRPr="00DA76A7">
        <w:rPr>
          <w:color w:val="000000" w:themeColor="text1"/>
          <w:sz w:val="22"/>
          <w:szCs w:val="22"/>
        </w:rPr>
        <w:t>сферу мировой экономики. Естественно, что в рамках этой сферы будет возникать немало острых и сложных вопросов как правового, так экономико-политического характера, что требует своего решения. Упорядочение соответствующих отношений посредством правового механизма, в том числе международного, является одним из способов решения возникающих проблем в данной сфере.</w:t>
      </w:r>
    </w:p>
    <w:p w:rsidR="00A969C6" w:rsidRPr="00DA76A7" w:rsidRDefault="00A969C6" w:rsidP="00A969C6">
      <w:pPr>
        <w:pStyle w:val="ConsPlusNormal"/>
        <w:widowControl/>
        <w:ind w:firstLine="567"/>
        <w:jc w:val="both"/>
        <w:rPr>
          <w:color w:val="000000" w:themeColor="text1"/>
          <w:sz w:val="22"/>
          <w:szCs w:val="22"/>
        </w:rPr>
      </w:pPr>
      <w:r w:rsidRPr="00DA76A7">
        <w:rPr>
          <w:color w:val="000000" w:themeColor="text1"/>
          <w:sz w:val="22"/>
          <w:szCs w:val="22"/>
        </w:rPr>
        <w:t>Экономические, правовые, эксплуатационные, административные и другие вопросы международного воздушного сообщения составляют круг отношений, которые регулируются в различных международных и национальных нормативно-правовых актах. В международных договорах как правовая форма закрепляются двусторонние межгосударственные отношения в сфере международного воздушного сообщения.</w:t>
      </w:r>
    </w:p>
    <w:p w:rsidR="00A969C6" w:rsidRPr="00DA76A7" w:rsidRDefault="00A969C6" w:rsidP="00A969C6">
      <w:pPr>
        <w:ind w:firstLine="567"/>
        <w:jc w:val="both"/>
        <w:outlineLvl w:val="1"/>
        <w:rPr>
          <w:rFonts w:ascii="Arial" w:hAnsi="Arial" w:cs="Arial"/>
          <w:color w:val="000000" w:themeColor="text1"/>
          <w:sz w:val="22"/>
          <w:szCs w:val="22"/>
        </w:rPr>
      </w:pPr>
      <w:r w:rsidRPr="00DA76A7">
        <w:rPr>
          <w:rFonts w:ascii="Arial" w:hAnsi="Arial" w:cs="Arial"/>
          <w:color w:val="000000" w:themeColor="text1"/>
          <w:sz w:val="22"/>
          <w:szCs w:val="22"/>
        </w:rPr>
        <w:t>Конвенция о международной гражданской авиации (</w:t>
      </w:r>
      <w:r w:rsidRPr="00DA76A7">
        <w:rPr>
          <w:rFonts w:ascii="Arial" w:hAnsi="Arial" w:cs="Arial"/>
          <w:color w:val="000000" w:themeColor="text1"/>
          <w:sz w:val="22"/>
          <w:szCs w:val="22"/>
          <w:shd w:val="clear" w:color="auto" w:fill="FFFFFF"/>
        </w:rPr>
        <w:t>Convention on International Civil Aviation)</w:t>
      </w:r>
      <w:r w:rsidRPr="00DA76A7">
        <w:rPr>
          <w:rFonts w:ascii="Arial" w:hAnsi="Arial" w:cs="Arial"/>
          <w:color w:val="000000" w:themeColor="text1"/>
          <w:sz w:val="22"/>
          <w:szCs w:val="22"/>
        </w:rPr>
        <w:t xml:space="preserve"> от 7 декабря 1944 года [1, 412-433], как совокупность универсальных обязательных дозволений и предписаний, является основным документом международного воздушного права. Данная Конвенция исполняет роль объединяющей, нормативной базы, на основе которой формируются, трансформируются и разрабатываются новые международные и национальные нормативные документы. Основной целью заключения Конвенции о международной гражданской авиации 1944 г. было, прежде всего, безопасное развитие гражданской авиации и установление международных воздушных сообщений на основе равенства возможностей и осуществление их на разумных и экономичных принципах.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Чикагская конвенция 1944 г. была подписана представителями 52 Договаривающихся государств на Международной конференции по гражданской авиации. Она является правовой основой деятельности международной гражданской авиации, </w:t>
      </w:r>
      <w:r w:rsidRPr="00DA76A7">
        <w:rPr>
          <w:rFonts w:ascii="Arial" w:hAnsi="Arial" w:cs="Arial"/>
          <w:color w:val="000000" w:themeColor="text1"/>
          <w:sz w:val="22"/>
          <w:szCs w:val="22"/>
        </w:rPr>
        <w:t xml:space="preserve">которая сыграла и продолжает играть важнейшую роль в формировании международного воздушного права, поскольку закрепила универсальные основы регулирования взаимоотношений государств в сфере регулярных и нерегулярных полетов, осуществляемых в рамках международных воздушных сообщений. </w:t>
      </w:r>
      <w:r w:rsidRPr="00DA76A7">
        <w:rPr>
          <w:rFonts w:ascii="Arial" w:hAnsi="Arial" w:cs="Arial"/>
          <w:color w:val="000000" w:themeColor="text1"/>
          <w:sz w:val="22"/>
          <w:szCs w:val="22"/>
          <w:shd w:val="clear" w:color="auto" w:fill="FFFFFF"/>
        </w:rPr>
        <w:t>Можем сказать, что эта конвенция успешно прошла проверку временем и в сегодняшнем мире остается надежной основой развития и согласованной деятельности международной гражданской авиации.</w:t>
      </w:r>
    </w:p>
    <w:p w:rsidR="00A969C6" w:rsidRPr="00DA76A7" w:rsidRDefault="00A969C6" w:rsidP="00A969C6">
      <w:pPr>
        <w:ind w:firstLine="567"/>
        <w:jc w:val="both"/>
        <w:outlineLvl w:val="3"/>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Чикагская конвенция 1944 г. </w:t>
      </w:r>
      <w:r w:rsidRPr="00DA76A7">
        <w:rPr>
          <w:rFonts w:ascii="Arial" w:hAnsi="Arial" w:cs="Arial"/>
          <w:color w:val="000000" w:themeColor="text1"/>
          <w:sz w:val="22"/>
          <w:szCs w:val="22"/>
        </w:rPr>
        <w:t xml:space="preserve">применяется только к гражданским воздушным судам и не применяется к государственным воздушным судам. Под государственными воздушными судами Конвенция понимает воздушные суда, используемые на военных, таможенных и полицейских службах. </w:t>
      </w:r>
    </w:p>
    <w:p w:rsidR="00A969C6" w:rsidRPr="00DA76A7" w:rsidRDefault="00A969C6" w:rsidP="00A969C6">
      <w:pPr>
        <w:ind w:firstLine="567"/>
        <w:jc w:val="both"/>
        <w:outlineLvl w:val="3"/>
        <w:rPr>
          <w:rFonts w:ascii="Arial" w:hAnsi="Arial" w:cs="Arial"/>
          <w:color w:val="000000" w:themeColor="text1"/>
          <w:sz w:val="22"/>
          <w:szCs w:val="22"/>
        </w:rPr>
      </w:pPr>
      <w:r w:rsidRPr="00DA76A7">
        <w:rPr>
          <w:rFonts w:ascii="Arial" w:hAnsi="Arial" w:cs="Arial"/>
          <w:color w:val="000000" w:themeColor="text1"/>
          <w:sz w:val="22"/>
          <w:szCs w:val="22"/>
        </w:rPr>
        <w:t>Следует указать, что</w:t>
      </w:r>
      <w:r w:rsidRPr="00DA76A7">
        <w:rPr>
          <w:rFonts w:ascii="Arial" w:hAnsi="Arial" w:cs="Arial"/>
          <w:color w:val="000000" w:themeColor="text1"/>
          <w:sz w:val="22"/>
          <w:szCs w:val="22"/>
          <w:shd w:val="clear" w:color="auto" w:fill="FFFFFF"/>
        </w:rPr>
        <w:t xml:space="preserve"> в основу Чикагской конвенции 1944 г. с самого начала был положен принцип, согласно которому </w:t>
      </w:r>
      <w:r w:rsidRPr="00DA76A7">
        <w:rPr>
          <w:rFonts w:ascii="Arial" w:hAnsi="Arial" w:cs="Arial"/>
          <w:color w:val="000000" w:themeColor="text1"/>
          <w:sz w:val="22"/>
          <w:szCs w:val="22"/>
        </w:rPr>
        <w:t>каждое государство обладает полным и исключительным суверенитетом в отношении воздушного пространства над своей территорией. Согласно Конвенции никакое государственное воздушное судно не производит полета над территорией другого государства и не совершает на ней посадки, кроме как с разрешения, предоставляемого специальным соглашением или иным образом, и в соответствии с его условиями.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этого принципа, национальные законодательства в силу суверенитета государства определяют порядок пользования их воздушным пространством, играя, таким образом, существенную роль в регулировании воздушных отношений. Как совершенно верно отмечено в литературе, «полный суверенитет» означает, что суверенитет государств в их воздушном пространстве не ограничен по каким-либо признакам, формам, элементам и т.п., а «исключительный» означает, что исключается суверенитет какого-либо иностранного государства (иного субъекта международного права) [4].</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Развивая это правило, в ст. 11 Чикагской конвенции указывается, что законы и правила, «касающиеся допуска на его территорию или убытия с его территории воздушных судов, занятых в международной аэронавигации, либо эксплуатации и навигации таких воздушных судов во время их пребывания в пределах его территории», применяются «к воздушным судам всех Договаривающихся государств без различия их национальности и соблюдаются такими воздушными судами при прибытии, убытии или во время пребывания в пределах территории этого государства». Закрепляя эту норму, тем самым Чикагская конвенция устанавливает «правило недискриминации» [3].</w:t>
      </w:r>
    </w:p>
    <w:p w:rsidR="00A969C6" w:rsidRPr="00DA76A7" w:rsidRDefault="00A969C6" w:rsidP="00A969C6">
      <w:pPr>
        <w:pStyle w:val="ConsPlusNormal"/>
        <w:widowControl/>
        <w:suppressAutoHyphens/>
        <w:ind w:firstLine="567"/>
        <w:jc w:val="both"/>
        <w:rPr>
          <w:color w:val="000000" w:themeColor="text1"/>
          <w:sz w:val="22"/>
          <w:szCs w:val="22"/>
        </w:rPr>
      </w:pPr>
      <w:r w:rsidRPr="00DA76A7">
        <w:rPr>
          <w:color w:val="000000" w:themeColor="text1"/>
          <w:sz w:val="22"/>
          <w:szCs w:val="22"/>
        </w:rPr>
        <w:t xml:space="preserve"> Правило недискриминации означает, что законы каждого из государств - участников Чикагской конвенции, которые регулируют полеты в воздушном пространстве, взаимно признаются и соблюдаются при международных полетах воздушных судов, их регистрации в пределах территории других государств. </w:t>
      </w:r>
    </w:p>
    <w:p w:rsidR="00A969C6" w:rsidRPr="00DA76A7" w:rsidRDefault="00A969C6" w:rsidP="00A969C6">
      <w:pPr>
        <w:pStyle w:val="ConsPlusNormal"/>
        <w:widowControl/>
        <w:suppressAutoHyphens/>
        <w:ind w:firstLine="567"/>
        <w:jc w:val="both"/>
        <w:rPr>
          <w:color w:val="000000" w:themeColor="text1"/>
          <w:sz w:val="22"/>
          <w:szCs w:val="22"/>
        </w:rPr>
      </w:pPr>
      <w:r w:rsidRPr="00DA76A7">
        <w:rPr>
          <w:color w:val="000000" w:themeColor="text1"/>
          <w:sz w:val="22"/>
          <w:szCs w:val="22"/>
        </w:rPr>
        <w:t>Не только законы, но и двусторонние соглашения о воздушном сообщении содержат нормы о применении законов о допуске и вылете к воздушным судам другой стороны. Следует отметить, что двусторонние соглашения дополняют и конкретизируют положения Чикагской конвенции 1944 г. в части, касающейся международных воздушных сообщений. Следовательно, они играют огромную роль в регулировании деятельности международного воздушного транспорта и часто посредством них достигаются цели, которых не удалось добиться в многостороннем плане.</w:t>
      </w:r>
    </w:p>
    <w:p w:rsidR="00A969C6" w:rsidRPr="00DA76A7" w:rsidRDefault="00A969C6" w:rsidP="00A969C6">
      <w:pPr>
        <w:pStyle w:val="ConsPlusNormal"/>
        <w:widowControl/>
        <w:suppressAutoHyphens/>
        <w:ind w:firstLine="567"/>
        <w:jc w:val="both"/>
        <w:rPr>
          <w:color w:val="000000" w:themeColor="text1"/>
          <w:sz w:val="22"/>
          <w:szCs w:val="22"/>
        </w:rPr>
      </w:pPr>
      <w:r w:rsidRPr="00DA76A7">
        <w:rPr>
          <w:color w:val="000000" w:themeColor="text1"/>
          <w:sz w:val="22"/>
          <w:szCs w:val="22"/>
        </w:rPr>
        <w:t xml:space="preserve"> Здесь в качестве иллюстрации приведем Соглашение между Правительством Российской Федерации и Правительством Республики Таджикистан о воздушном сообщении от 12.09.1997 года [2, 60-70]. В ст. 8 данного Соглашения предусмотрено, что Законы и правила государства одной Договаривающейся Стороны, регулирующие прилет (вылет) на его территорию воздушных судов, совершающих международные полеты, а также навигацию этих воздушных судов при прилете (вылете) и во время их пребывания в пределах его территории, будут применяться к воздушным судам назначенного авиапредприятия другой Договаривающейся Стороны. </w:t>
      </w:r>
    </w:p>
    <w:p w:rsidR="00A969C6" w:rsidRPr="00DA76A7" w:rsidRDefault="00A969C6" w:rsidP="00A969C6">
      <w:pPr>
        <w:pStyle w:val="ConsPlusNormal"/>
        <w:widowControl/>
        <w:suppressAutoHyphens/>
        <w:ind w:firstLine="567"/>
        <w:jc w:val="both"/>
        <w:rPr>
          <w:color w:val="000000" w:themeColor="text1"/>
          <w:sz w:val="22"/>
          <w:szCs w:val="22"/>
        </w:rPr>
      </w:pPr>
      <w:r w:rsidRPr="00DA76A7">
        <w:rPr>
          <w:color w:val="000000" w:themeColor="text1"/>
          <w:sz w:val="22"/>
          <w:szCs w:val="22"/>
        </w:rPr>
        <w:t>Указанное двухстороннее Соглашение предусматривает, что законы и правила государства одной Договаривающейся Стороны, регулирующие прибытие, пребывание и отправление с его территории экипажей, пассажиров, багажа, груза и почты и, в частности, формальности, относящиеся к паспортным, таможенным, валютным и санитарным правилам, будут применяться к экипажам, пассажирам, багажу, грузу и почте воздушных судов авиапредприятия, назначенного другой Договаривающейся Стороной, во время их пребывания в пределах указанной территории.</w:t>
      </w:r>
    </w:p>
    <w:p w:rsidR="00A969C6" w:rsidRPr="00DA76A7" w:rsidRDefault="00A969C6" w:rsidP="00A969C6">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Конвенция 1944 г., регулируя </w:t>
      </w:r>
      <w:r w:rsidRPr="00DA76A7">
        <w:rPr>
          <w:rFonts w:ascii="Arial" w:hAnsi="Arial" w:cs="Arial"/>
          <w:color w:val="000000" w:themeColor="text1"/>
          <w:sz w:val="22"/>
          <w:szCs w:val="22"/>
        </w:rPr>
        <w:t xml:space="preserve">полеты над территорией договаривающихся государств, упоминает о нерегулярных и регулярных воздушных сообщениях. В соответствии с вышеуказанным документом государство-участник, на территории которого осуществляются международные полеты, при присоединении к Конвенции соглашается, что все воздушные суда других государств, не являющиеся воздушными судами, занятыми в регулярных международных воздушных сообщений, имеют право, при условии соблюдения положений международных актов, осуществлять полеты на его территорию или транзитные беспосадочные полеты через его территорию и совершать посадки с некоммерческими целями без необходимости получения предварительного разрешения и при условии, что государство, над территорией которого осуществляется полет, имеет право требовать совершения посадки. Однако при этом Конвенция дает право государствам - участникам сохранять за собой право, прежде всего, по соображениям безопасности полетов, требовать от воздушных судов, которые намереваются следовать над районами, являющимися недоступными или не имеющими надлежащих аэронавигационных средств, следовать по предписанным маршрутам или получать специальное разрешение на такие полеты. </w:t>
      </w:r>
    </w:p>
    <w:p w:rsidR="00A969C6" w:rsidRPr="00DA76A7" w:rsidRDefault="00A969C6" w:rsidP="00A969C6">
      <w:pPr>
        <w:ind w:firstLine="567"/>
        <w:jc w:val="both"/>
        <w:outlineLvl w:val="1"/>
        <w:rPr>
          <w:rFonts w:ascii="Arial" w:hAnsi="Arial" w:cs="Arial"/>
          <w:color w:val="000000" w:themeColor="text1"/>
          <w:sz w:val="22"/>
          <w:szCs w:val="22"/>
        </w:rPr>
      </w:pPr>
      <w:r w:rsidRPr="00DA76A7">
        <w:rPr>
          <w:rFonts w:ascii="Arial" w:hAnsi="Arial" w:cs="Arial"/>
          <w:color w:val="000000" w:themeColor="text1"/>
          <w:sz w:val="22"/>
          <w:szCs w:val="22"/>
        </w:rPr>
        <w:t xml:space="preserve">В отличие от нерегулярных воздушных сообщений в случае  осуществления регулярных международных воздушных сообщений получение специального разрешения или иной санкции государства, на территории которого осуществляется полет, является необходимым условием для полета.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Совет Международной организации гражданской авиации (ИКАО) в 1952 г. определял официальное понятие </w:t>
      </w:r>
      <w:r w:rsidRPr="00DA76A7">
        <w:rPr>
          <w:rFonts w:ascii="Arial" w:hAnsi="Arial" w:cs="Arial"/>
          <w:bCs/>
          <w:color w:val="000000" w:themeColor="text1"/>
          <w:sz w:val="22"/>
          <w:szCs w:val="22"/>
        </w:rPr>
        <w:t>регулярных</w:t>
      </w:r>
      <w:r w:rsidRPr="00DA76A7">
        <w:rPr>
          <w:rFonts w:ascii="Arial" w:hAnsi="Arial" w:cs="Arial"/>
          <w:color w:val="000000" w:themeColor="text1"/>
          <w:sz w:val="22"/>
          <w:szCs w:val="22"/>
        </w:rPr>
        <w:t xml:space="preserve"> международных воздушных сообщений как серию полетов, которые осуществляются через воздушное пространство более чем одного государства с целью выполнения за вознаграждение перевозок пассажиров, почты и грузов при условии, что все рейсы открыты для общего пользования либо в соответствии с опубликованным расписанием, либо с такой частотой и регулярностью, которые составляют систематическую серию рейсов. Полеты, которые не соответствуют этим условиям, считаются </w:t>
      </w:r>
      <w:r w:rsidRPr="00DA76A7">
        <w:rPr>
          <w:rFonts w:ascii="Arial" w:hAnsi="Arial" w:cs="Arial"/>
          <w:bCs/>
          <w:color w:val="000000" w:themeColor="text1"/>
          <w:sz w:val="22"/>
          <w:szCs w:val="22"/>
        </w:rPr>
        <w:t>нерегулярными</w:t>
      </w:r>
      <w:r w:rsidRPr="00DA76A7">
        <w:rPr>
          <w:rFonts w:ascii="Arial" w:hAnsi="Arial" w:cs="Arial"/>
          <w:color w:val="000000" w:themeColor="text1"/>
          <w:sz w:val="22"/>
          <w:szCs w:val="22"/>
        </w:rPr>
        <w:t xml:space="preserve">. </w:t>
      </w:r>
    </w:p>
    <w:p w:rsidR="00A969C6" w:rsidRPr="00DA76A7" w:rsidRDefault="00A969C6" w:rsidP="00A969C6">
      <w:pPr>
        <w:ind w:firstLine="567"/>
        <w:jc w:val="both"/>
        <w:outlineLvl w:val="2"/>
        <w:rPr>
          <w:rFonts w:ascii="Arial" w:hAnsi="Arial" w:cs="Arial"/>
          <w:color w:val="000000" w:themeColor="text1"/>
          <w:sz w:val="22"/>
          <w:szCs w:val="22"/>
        </w:rPr>
      </w:pPr>
      <w:r w:rsidRPr="00DA76A7">
        <w:rPr>
          <w:rFonts w:ascii="Arial" w:hAnsi="Arial" w:cs="Arial"/>
          <w:color w:val="000000" w:themeColor="text1"/>
          <w:sz w:val="22"/>
          <w:szCs w:val="22"/>
        </w:rPr>
        <w:t>Как выше было отмечено, согласно Конвенции 1944 г. регуляция международных воздушных сообщений относится к сфере внутренней компетенции государства.</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В соответствии с Воздушным кодексом РТ (ст. 72) и Воздушным кодексом РФ (ст. 79) любые полеты в их воздушном пространстве выполняются на основе международных договоров или разрешений, выдаваемых в порядке, установленным Правительствами РТ и РФ.</w:t>
      </w:r>
    </w:p>
    <w:p w:rsidR="00A969C6" w:rsidRPr="00DA76A7" w:rsidRDefault="00A969C6" w:rsidP="00A969C6">
      <w:pPr>
        <w:ind w:firstLine="567"/>
        <w:jc w:val="center"/>
        <w:outlineLvl w:val="2"/>
        <w:rPr>
          <w:rFonts w:ascii="Arial" w:hAnsi="Arial" w:cs="Arial"/>
          <w:b/>
          <w:color w:val="000000" w:themeColor="text1"/>
          <w:sz w:val="22"/>
          <w:szCs w:val="22"/>
        </w:rPr>
      </w:pPr>
    </w:p>
    <w:p w:rsidR="00A969C6" w:rsidRPr="00DA76A7" w:rsidRDefault="00A969C6" w:rsidP="00A969C6">
      <w:pPr>
        <w:ind w:firstLine="567"/>
        <w:jc w:val="center"/>
        <w:outlineLvl w:val="2"/>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6"/>
        <w:numPr>
          <w:ilvl w:val="0"/>
          <w:numId w:val="12"/>
        </w:numPr>
        <w:tabs>
          <w:tab w:val="left" w:pos="851"/>
        </w:tabs>
        <w:autoSpaceDE w:val="0"/>
        <w:autoSpaceDN w:val="0"/>
        <w:adjustRightInd w:val="0"/>
        <w:spacing w:after="0" w:line="240" w:lineRule="auto"/>
        <w:ind w:left="0" w:firstLine="567"/>
        <w:outlineLvl w:val="2"/>
        <w:rPr>
          <w:rFonts w:ascii="Arial" w:hAnsi="Arial" w:cs="Arial"/>
          <w:color w:val="000000" w:themeColor="text1"/>
        </w:rPr>
      </w:pPr>
      <w:r w:rsidRPr="00DA76A7">
        <w:rPr>
          <w:rFonts w:ascii="Arial" w:hAnsi="Arial" w:cs="Arial"/>
          <w:color w:val="000000" w:themeColor="text1"/>
        </w:rPr>
        <w:t>Андреев М.В., Бирюков П.Н., Валеев Р.М.  Международное право. - М.: Статут, 2010. – 623 с.</w:t>
      </w:r>
    </w:p>
    <w:p w:rsidR="00A969C6" w:rsidRPr="00DA76A7" w:rsidRDefault="00A969C6" w:rsidP="00D45D6B">
      <w:pPr>
        <w:pStyle w:val="a6"/>
        <w:numPr>
          <w:ilvl w:val="0"/>
          <w:numId w:val="12"/>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Бекяшев К.А., Ходаков А.Г. Международное публичное право. Сборник документов. Том 2. - М.: Изд.-во БЕК, 1996. - 539 с.</w:t>
      </w:r>
    </w:p>
    <w:p w:rsidR="00A969C6" w:rsidRPr="00DA76A7" w:rsidRDefault="00A969C6" w:rsidP="00D45D6B">
      <w:pPr>
        <w:pStyle w:val="a6"/>
        <w:numPr>
          <w:ilvl w:val="0"/>
          <w:numId w:val="12"/>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Бюллетень международных договоров / Администрация Президента Российской Федерации. – М.: Юридическая литература, 2005. – № 2. – 96 с.</w:t>
      </w:r>
    </w:p>
    <w:p w:rsidR="00A969C6" w:rsidRPr="00DA76A7" w:rsidRDefault="00A969C6" w:rsidP="00D45D6B">
      <w:pPr>
        <w:pStyle w:val="a6"/>
        <w:numPr>
          <w:ilvl w:val="0"/>
          <w:numId w:val="12"/>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 xml:space="preserve">Лукашук И.И. Международное право [Электронный ресурс] </w:t>
      </w:r>
      <w:r w:rsidRPr="00DA76A7">
        <w:rPr>
          <w:rFonts w:ascii="Arial" w:hAnsi="Arial" w:cs="Arial"/>
          <w:b/>
          <w:color w:val="000000" w:themeColor="text1"/>
        </w:rPr>
        <w:t xml:space="preserve">// </w:t>
      </w:r>
      <w:r w:rsidRPr="00DA76A7">
        <w:rPr>
          <w:rFonts w:ascii="Arial" w:hAnsi="Arial" w:cs="Arial"/>
          <w:color w:val="000000" w:themeColor="text1"/>
        </w:rPr>
        <w:t xml:space="preserve">СПС Консультант Плюс </w:t>
      </w:r>
      <w:r w:rsidRPr="00DA76A7">
        <w:rPr>
          <w:rFonts w:ascii="Arial" w:hAnsi="Arial" w:cs="Arial"/>
          <w:bCs/>
          <w:color w:val="000000" w:themeColor="text1"/>
        </w:rPr>
        <w:t>(дата обращения: 02.03.2018).</w:t>
      </w:r>
    </w:p>
    <w:p w:rsidR="00A969C6" w:rsidRPr="00DA76A7" w:rsidRDefault="00A969C6" w:rsidP="00A969C6">
      <w:pPr>
        <w:tabs>
          <w:tab w:val="left" w:pos="851"/>
        </w:tabs>
        <w:ind w:firstLine="567"/>
        <w:jc w:val="both"/>
        <w:rPr>
          <w:rFonts w:ascii="Arial" w:hAnsi="Arial" w:cs="Arial"/>
          <w:color w:val="000000" w:themeColor="text1"/>
          <w:sz w:val="22"/>
          <w:szCs w:val="22"/>
        </w:rPr>
      </w:pPr>
    </w:p>
    <w:p w:rsidR="00A969C6" w:rsidRPr="00DA76A7" w:rsidRDefault="00A969C6" w:rsidP="00A969C6">
      <w:pPr>
        <w:ind w:firstLine="567"/>
        <w:jc w:val="center"/>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МЕЖДУНАРОДНЫЕ СТАНДАРТЫ ТРУДА</w:t>
      </w:r>
    </w:p>
    <w:p w:rsidR="00A969C6" w:rsidRPr="00DA76A7" w:rsidRDefault="00A969C6" w:rsidP="00A969C6">
      <w:pPr>
        <w:pStyle w:val="ac"/>
        <w:jc w:val="center"/>
        <w:rPr>
          <w:rFonts w:ascii="Arial" w:hAnsi="Arial" w:cs="Arial"/>
          <w:b/>
          <w:color w:val="000000" w:themeColor="text1"/>
        </w:rPr>
      </w:pPr>
    </w:p>
    <w:p w:rsidR="00A969C6" w:rsidRPr="00DA76A7" w:rsidRDefault="00A969C6" w:rsidP="00A969C6">
      <w:pPr>
        <w:pStyle w:val="ac"/>
        <w:jc w:val="center"/>
        <w:rPr>
          <w:rFonts w:ascii="Arial" w:hAnsi="Arial" w:cs="Arial"/>
          <w:b/>
          <w:color w:val="000000" w:themeColor="text1"/>
        </w:rPr>
      </w:pPr>
      <w:r w:rsidRPr="00DA76A7">
        <w:rPr>
          <w:rFonts w:ascii="Arial" w:hAnsi="Arial" w:cs="Arial"/>
          <w:b/>
          <w:color w:val="000000" w:themeColor="text1"/>
        </w:rPr>
        <w:t>Валиходжаева Нигора Мирзоджоновна</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студентка 3-го курса очного отделения юридического факультета</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Российско-Таджикский (Славянский) университет</w:t>
      </w:r>
    </w:p>
    <w:p w:rsidR="00A969C6" w:rsidRPr="00DA76A7" w:rsidRDefault="00A969C6" w:rsidP="00A969C6">
      <w:pPr>
        <w:pStyle w:val="ac"/>
        <w:jc w:val="center"/>
        <w:rPr>
          <w:rFonts w:ascii="Arial" w:hAnsi="Arial" w:cs="Arial"/>
          <w:color w:val="000000" w:themeColor="text1"/>
        </w:rPr>
      </w:pPr>
      <w:r w:rsidRPr="00DA76A7">
        <w:rPr>
          <w:rFonts w:ascii="Arial" w:hAnsi="Arial" w:cs="Arial"/>
          <w:color w:val="000000" w:themeColor="text1"/>
        </w:rPr>
        <w:t>734025, Республика Таджикистан, г.Душанбе, ул. Зайнаб-биби 22А</w:t>
      </w:r>
    </w:p>
    <w:p w:rsidR="00A969C6" w:rsidRPr="003A751C"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rPr>
        <w:t>тел</w:t>
      </w:r>
      <w:r w:rsidRPr="003A751C">
        <w:rPr>
          <w:rFonts w:ascii="Arial" w:hAnsi="Arial" w:cs="Arial"/>
          <w:color w:val="000000" w:themeColor="text1"/>
          <w:lang w:val="en-US"/>
        </w:rPr>
        <w:t xml:space="preserve">.: 901219106, </w:t>
      </w:r>
      <w:r w:rsidRPr="00DA76A7">
        <w:rPr>
          <w:rFonts w:ascii="Arial" w:hAnsi="Arial" w:cs="Arial"/>
          <w:color w:val="000000" w:themeColor="text1"/>
          <w:lang w:val="en-US"/>
        </w:rPr>
        <w:t>e</w:t>
      </w:r>
      <w:r w:rsidRPr="003A751C">
        <w:rPr>
          <w:rFonts w:ascii="Arial" w:hAnsi="Arial" w:cs="Arial"/>
          <w:color w:val="000000" w:themeColor="text1"/>
          <w:lang w:val="en-US"/>
        </w:rPr>
        <w:t>-</w:t>
      </w:r>
      <w:r w:rsidRPr="00DA76A7">
        <w:rPr>
          <w:rFonts w:ascii="Arial" w:hAnsi="Arial" w:cs="Arial"/>
          <w:color w:val="000000" w:themeColor="text1"/>
          <w:lang w:val="en-US"/>
        </w:rPr>
        <w:t>mail</w:t>
      </w:r>
      <w:r w:rsidRPr="003A751C">
        <w:rPr>
          <w:rFonts w:ascii="Arial" w:hAnsi="Arial" w:cs="Arial"/>
          <w:color w:val="000000" w:themeColor="text1"/>
          <w:lang w:val="en-US"/>
        </w:rPr>
        <w:t xml:space="preserve">: </w:t>
      </w:r>
      <w:hyperlink r:id="rId38" w:history="1">
        <w:r w:rsidRPr="00DA76A7">
          <w:rPr>
            <w:rStyle w:val="af0"/>
            <w:rFonts w:ascii="Arial" w:hAnsi="Arial" w:cs="Arial"/>
            <w:color w:val="000000" w:themeColor="text1"/>
            <w:u w:val="none"/>
            <w:lang w:val="en-US"/>
          </w:rPr>
          <w:t>nigora</w:t>
        </w:r>
        <w:r w:rsidRPr="003A751C">
          <w:rPr>
            <w:rStyle w:val="af0"/>
            <w:rFonts w:ascii="Arial" w:hAnsi="Arial" w:cs="Arial"/>
            <w:color w:val="000000" w:themeColor="text1"/>
            <w:u w:val="none"/>
            <w:lang w:val="en-US"/>
          </w:rPr>
          <w:t>1597@</w:t>
        </w:r>
        <w:r w:rsidRPr="00DA76A7">
          <w:rPr>
            <w:rStyle w:val="af0"/>
            <w:rFonts w:ascii="Arial" w:hAnsi="Arial" w:cs="Arial"/>
            <w:color w:val="000000" w:themeColor="text1"/>
            <w:u w:val="none"/>
            <w:lang w:val="en-US"/>
          </w:rPr>
          <w:t>mail</w:t>
        </w:r>
        <w:r w:rsidRPr="003A751C">
          <w:rPr>
            <w:rStyle w:val="af0"/>
            <w:rFonts w:ascii="Arial" w:hAnsi="Arial" w:cs="Arial"/>
            <w:color w:val="000000" w:themeColor="text1"/>
            <w:u w:val="none"/>
            <w:lang w:val="en-US"/>
          </w:rPr>
          <w:t>.</w:t>
        </w:r>
        <w:r w:rsidRPr="00DA76A7">
          <w:rPr>
            <w:rStyle w:val="af0"/>
            <w:rFonts w:ascii="Arial" w:hAnsi="Arial" w:cs="Arial"/>
            <w:color w:val="000000" w:themeColor="text1"/>
            <w:u w:val="none"/>
            <w:lang w:val="en-US"/>
          </w:rPr>
          <w:t>ru</w:t>
        </w:r>
      </w:hyperlink>
    </w:p>
    <w:p w:rsidR="00A969C6" w:rsidRPr="003A751C" w:rsidRDefault="00A969C6" w:rsidP="00A969C6">
      <w:pPr>
        <w:pStyle w:val="ac"/>
        <w:jc w:val="center"/>
        <w:rPr>
          <w:rFonts w:ascii="Arial" w:hAnsi="Arial" w:cs="Arial"/>
          <w:color w:val="000000" w:themeColor="text1"/>
          <w:lang w:val="en-US"/>
        </w:rPr>
      </w:pPr>
    </w:p>
    <w:p w:rsidR="00A969C6" w:rsidRPr="00DA76A7" w:rsidRDefault="00A969C6" w:rsidP="00A969C6">
      <w:pPr>
        <w:pStyle w:val="ac"/>
        <w:jc w:val="center"/>
        <w:rPr>
          <w:rFonts w:ascii="Arial" w:hAnsi="Arial" w:cs="Arial"/>
          <w:b/>
          <w:color w:val="000000" w:themeColor="text1"/>
          <w:lang w:val="en-US"/>
        </w:rPr>
      </w:pPr>
      <w:r w:rsidRPr="00DA76A7">
        <w:rPr>
          <w:rFonts w:ascii="Arial" w:hAnsi="Arial" w:cs="Arial"/>
          <w:b/>
          <w:color w:val="000000" w:themeColor="text1"/>
          <w:lang w:val="en-US"/>
        </w:rPr>
        <w:t>INTERNATIONAL LABOUR STANDARDS</w:t>
      </w:r>
    </w:p>
    <w:p w:rsidR="00A969C6" w:rsidRPr="00DA76A7" w:rsidRDefault="00A969C6" w:rsidP="00A969C6">
      <w:pPr>
        <w:pStyle w:val="ac"/>
        <w:jc w:val="center"/>
        <w:rPr>
          <w:rFonts w:ascii="Arial" w:hAnsi="Arial" w:cs="Arial"/>
          <w:color w:val="000000" w:themeColor="text1"/>
          <w:lang w:val="en-US"/>
        </w:rPr>
      </w:pPr>
    </w:p>
    <w:p w:rsidR="00A969C6" w:rsidRPr="00DA76A7" w:rsidRDefault="00A969C6" w:rsidP="00A969C6">
      <w:pPr>
        <w:pStyle w:val="ac"/>
        <w:jc w:val="center"/>
        <w:rPr>
          <w:rFonts w:ascii="Arial" w:hAnsi="Arial" w:cs="Arial"/>
          <w:b/>
          <w:color w:val="000000" w:themeColor="text1"/>
          <w:lang w:val="en-US"/>
        </w:rPr>
      </w:pPr>
      <w:r w:rsidRPr="00DA76A7">
        <w:rPr>
          <w:rFonts w:ascii="Arial" w:hAnsi="Arial" w:cs="Arial"/>
          <w:b/>
          <w:color w:val="000000" w:themeColor="text1"/>
          <w:lang w:val="en-US"/>
        </w:rPr>
        <w:t>Valikhodzhaeva Nigora Mirzodzhonovna</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3d year student of the law faculty</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Russian-Tajik (Slavonic) University</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734025, Republic of Tajikistan, Dushanbe, Zainab-bibi str., 22A</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 xml:space="preserve">tel.: 901219106, e-mail: </w:t>
      </w:r>
      <w:hyperlink r:id="rId39" w:history="1">
        <w:r w:rsidRPr="00DA76A7">
          <w:rPr>
            <w:rStyle w:val="af0"/>
            <w:rFonts w:ascii="Arial" w:hAnsi="Arial" w:cs="Arial"/>
            <w:color w:val="000000" w:themeColor="text1"/>
            <w:u w:val="none"/>
            <w:lang w:val="en-US"/>
          </w:rPr>
          <w:t>nigora1597@mail.ru</w:t>
        </w:r>
      </w:hyperlink>
    </w:p>
    <w:p w:rsidR="00A969C6" w:rsidRPr="00DA76A7" w:rsidRDefault="00A969C6" w:rsidP="00A969C6">
      <w:pPr>
        <w:pStyle w:val="ac"/>
        <w:ind w:firstLine="567"/>
        <w:jc w:val="center"/>
        <w:rPr>
          <w:rFonts w:ascii="Arial" w:hAnsi="Arial" w:cs="Arial"/>
          <w:color w:val="000000" w:themeColor="text1"/>
          <w:lang w:val="en-US"/>
        </w:rPr>
      </w:pPr>
    </w:p>
    <w:p w:rsidR="00A969C6" w:rsidRPr="00DA76A7" w:rsidRDefault="00A969C6" w:rsidP="00A969C6">
      <w:pPr>
        <w:pStyle w:val="ac"/>
        <w:ind w:firstLine="567"/>
        <w:jc w:val="right"/>
        <w:rPr>
          <w:rFonts w:ascii="Arial" w:hAnsi="Arial" w:cs="Arial"/>
          <w:color w:val="000000" w:themeColor="text1"/>
        </w:rPr>
      </w:pPr>
      <w:r w:rsidRPr="00DA76A7">
        <w:rPr>
          <w:rFonts w:ascii="Arial" w:hAnsi="Arial" w:cs="Arial"/>
          <w:color w:val="000000" w:themeColor="text1"/>
        </w:rPr>
        <w:t>Научный руководитель: ст. преподаватель Мамадамонов У.М.</w:t>
      </w:r>
    </w:p>
    <w:p w:rsidR="00A969C6" w:rsidRPr="00DA76A7" w:rsidRDefault="00A969C6" w:rsidP="00A969C6">
      <w:pPr>
        <w:pStyle w:val="ac"/>
        <w:ind w:firstLine="567"/>
        <w:jc w:val="center"/>
        <w:rPr>
          <w:rFonts w:ascii="Arial" w:hAnsi="Arial" w:cs="Arial"/>
          <w:color w:val="000000" w:themeColor="text1"/>
        </w:rPr>
      </w:pPr>
    </w:p>
    <w:p w:rsidR="00A969C6" w:rsidRPr="00DA76A7" w:rsidRDefault="00B46B9E" w:rsidP="00A969C6">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Статья посвящена изучению международных стандартов труда, при этом акцент делается на стандарты, разработанные  Международной организацией труда (МОТ). А именно, рассматриваются основополагающие документы МОТ-это  Декларация МОТ 1998г. об основополагающих принципах и правах в сфере труда и восемь основных Конвенций, которые считаются международными стандартами труда.  И, закрепленные в Декларации основные четыре принципа, которые обобщают  основополагающие права, содержащиеся в восьми Конвенциях.</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Актуальность статьи - проблема достойного труда включена на повестку дня ООН и МОТ исходя и ЦУР на период до 2030 года, 8-ой целью которой  является - Достойный труд и экономический рост.</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The article is dedicated to study the international labour standards, emphasizing those elaborated by the International Labour Organization (ILO). Especially, considering fundamental documents of the ILO – Declaration on fundamental principles and rights at work 1998 and eight primary Conventions, which are considered the labour standards. Four fundamental principles included in the Declaration compile fundamental rights in eight Conventions. Relevance of articles a problem of a decent work included in the UN and the ILO agenda deriving of Sustainable Development Goals until 2030, 8</w:t>
      </w:r>
      <w:r w:rsidR="00A969C6" w:rsidRPr="00DA76A7">
        <w:rPr>
          <w:rFonts w:ascii="Arial" w:hAnsi="Arial" w:cs="Arial"/>
          <w:i/>
          <w:color w:val="000000" w:themeColor="text1"/>
          <w:sz w:val="22"/>
          <w:szCs w:val="22"/>
          <w:vertAlign w:val="superscript"/>
          <w:lang w:val="en-US"/>
        </w:rPr>
        <w:t>th</w:t>
      </w:r>
      <w:r w:rsidR="00A969C6" w:rsidRPr="00DA76A7">
        <w:rPr>
          <w:rFonts w:ascii="Arial" w:hAnsi="Arial" w:cs="Arial"/>
          <w:i/>
          <w:color w:val="000000" w:themeColor="text1"/>
          <w:sz w:val="22"/>
          <w:szCs w:val="22"/>
          <w:lang w:val="en-US"/>
        </w:rPr>
        <w:t xml:space="preserve"> goal of which is decent work and economic development.</w:t>
      </w:r>
    </w:p>
    <w:p w:rsidR="00A969C6" w:rsidRPr="00DA76A7" w:rsidRDefault="00A969C6" w:rsidP="00A969C6">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Достойный труд, Международные стандарты, Международная организация труда (МОТ), Организация объединенных Наций (ООН)</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Decent work, standard, international standards, International Labour Organization (ILO), United Nations (UN)</w:t>
      </w:r>
    </w:p>
    <w:p w:rsidR="00A969C6" w:rsidRPr="00DA76A7" w:rsidRDefault="00A969C6" w:rsidP="00A969C6">
      <w:pPr>
        <w:ind w:firstLine="567"/>
        <w:jc w:val="both"/>
        <w:rPr>
          <w:rFonts w:ascii="Arial" w:hAnsi="Arial" w:cs="Arial"/>
          <w:i/>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«Достойный труд - не просто цель, а фактор устойчивого развития»- отмечает генеральный директор Международной Организации Труда Гай Райдер. [1]</w:t>
      </w:r>
    </w:p>
    <w:p w:rsidR="00A969C6" w:rsidRPr="00DA76A7" w:rsidRDefault="00A969C6" w:rsidP="00A969C6">
      <w:pPr>
        <w:ind w:firstLine="567"/>
        <w:jc w:val="both"/>
        <w:rPr>
          <w:rFonts w:ascii="Arial" w:hAnsi="Arial" w:cs="Arial"/>
          <w:bCs/>
          <w:color w:val="000000" w:themeColor="text1"/>
          <w:sz w:val="22"/>
          <w:szCs w:val="22"/>
          <w:shd w:val="clear" w:color="auto" w:fill="FFFFFF"/>
        </w:rPr>
      </w:pPr>
      <w:r w:rsidRPr="00DA76A7">
        <w:rPr>
          <w:rFonts w:ascii="Arial" w:hAnsi="Arial" w:cs="Arial"/>
          <w:color w:val="000000" w:themeColor="text1"/>
          <w:sz w:val="22"/>
          <w:szCs w:val="22"/>
        </w:rPr>
        <w:t>Следует отметить, что в рамках Организации Объединенных Наций 25 сентября 2015 года 193  страны приняли новую Программу «</w:t>
      </w:r>
      <w:r w:rsidRPr="00DA76A7">
        <w:rPr>
          <w:rFonts w:ascii="Arial" w:hAnsi="Arial" w:cs="Arial"/>
          <w:bCs/>
          <w:color w:val="000000" w:themeColor="text1"/>
          <w:sz w:val="22"/>
          <w:szCs w:val="22"/>
          <w:shd w:val="clear" w:color="auto" w:fill="FFFFFF"/>
        </w:rPr>
        <w:t xml:space="preserve">Преобразование нашего мира: повестка дня в области устойчивого развития на период до 2030 года». Программа состоит из 17 целей на пути к устойчивому развитию нашего мира.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Вопрос о достойном труде для каждого по сей день стоит на повестке, исходя из этого, 8-ая цель устойчивого развития ООН</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 xml:space="preserve">Достойный труд и экономический рост» посвящена решению данной проблемы.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Решение данного вопроса непосредственно относится к специализированному учреждению ООН - Международной организации труда (МОТ).</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«Достойный труд» является официально признанным термином Международной организации труда. Данное понятие включает возможность для женщин и мужчин получать достойную и содержательную работу в условиях свободы, равенства и человеческого достоинства. Имеет 6 измерений: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-Возможность (доступность) труда.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-Труд в условиях свободы (исключение рабства, детского труда и так далее).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-Производительность (содержательность) труда, возможность обеспечивать себя достаточным доходом от труда.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-Равенство и недискриминация в доступе к труду и в процессе труда.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-Безопасность труда.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-Достоинство в труде – возможность для участия в формировании условий труда и возможность влиять на работодателя.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официальным данным Международной организации по стандартизации (ISO), стандарт- это документ, разработанный на основе консенсуса и утвержденный признанным органом, в котором устанавливаются для всеобщего и многократного использования правила, общие принципы или характеристики, касающиеся различных видов деятельности или их результатов, и который направлен на достижение оптимальной степени упорядочения в определенной области. Также отмечается, что стандарты должны быть основаны на обобщенных результатах науки, техники и практического опыта и направлены на достижение оптимальной пользы для общества.[2]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касаться истории, с момента создания МОТ старалась достичь достойного труда для каждого, ради чего были разработаны основные принципы, которые стали стандартами международных трудовых отношений.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Важно знать из истории, почему люди все время боролись за свои права. Ведь первая половина 20 века - это время, когда в мире происходило много различных социальных процессов, и особое место, среди них, заняла борьба трудящихся за свои права, усиление профсоюзного движения, стремление различных государств и предпринимателей уравнять условия конкуренции на международных рынках. Условия труда становились все более неприемлемыми и рабочие подвергались эксплуатации в ущерб их здоровью, семейной жизни, личным интересам.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Важную роль в активизации деятельности государств в этой области сыграло давление социал-демократических партий и леволиберальных кругов, которые рассматривали международное регулирование социально – трудовых отношений как один из инструментов смягчения классовых противоречий, внедрения социальных начал в жизнь общества, установления прочного мира между народами, торжества социальной справедливости, эволюционного реформирования капитализма.</w:t>
      </w:r>
    </w:p>
    <w:p w:rsidR="00A969C6" w:rsidRPr="00DA76A7" w:rsidRDefault="00A969C6" w:rsidP="00A969C6">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     Мощный толчок развитию международного трудового права дало создание в 1919 году Международной организации труда, ее активность по созданию нормативных актов (конвенций и рекомендаций), число которых в межвоенные годы (1919-1939) достигло 133.После второй мировой войны деятельность ООН по закреплению и защите прав человека, в том числе в социальной и экономической областях ,дальнейшая активизация нормотворческой деятельности МОТ, принятие норм труда, создаваемых региональными организациями государств в Европе, Америке, Африке, на Ближнем Востоке, - все это завершило формирование международного трудового права.  </w:t>
      </w:r>
    </w:p>
    <w:p w:rsidR="00A969C6" w:rsidRPr="00DA76A7" w:rsidRDefault="00A969C6" w:rsidP="00A969C6">
      <w:pPr>
        <w:pStyle w:val="31"/>
        <w:spacing w:after="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Международные трудовые стандарты – главный результат международно-правового регулирования социально – трудовых отношений, которое представляет собой регламентацию с помощью соглашений государств вопросов, связанных с применением наемного труда, улучшением его условий, охраной труда, защитой индивидуальных и коллективных интересов работников. </w:t>
      </w:r>
    </w:p>
    <w:p w:rsidR="00A969C6" w:rsidRPr="00DA76A7" w:rsidRDefault="00A969C6" w:rsidP="00A969C6">
      <w:pPr>
        <w:pStyle w:val="31"/>
        <w:spacing w:after="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Формальным выражением такого регулирования являются нормы, закрепленные в актах, принятых Организацией Объединенных Наций (ООН), Международной организацией труда (МОТ),региональными объединениями государств. [3]</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Почти за девяносто лет своего существования Международной организацией труда (МОТ) было принято 188 Конвенций, в которых были закреплены международные стандарты трудовых отношений, касающиеся многочисленных областей, например, ограничения рабочего времени, защиты труда и здоровья, политики в сфере занятости и основополагающих условий труда для определенных групп лиц, работающих по найму. Для обретения юридической силы и реализации в конкретной стране-участнице Конвенции МОТ должны быть ратифицированы национальным правительством. Но восемь Конвенций, устанавливающих основополагающие права и получивших наименование трудовых стандартов МОТ, действуют во всех странах-участницах МОТ независимо от того, будут они ратифицированы национальными правительствами или нет.</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 принятием в 1998 году Декларации МОТ об основополагающих принципах и правах в сфере труда фактически было принято решение превратить эти восемь Конвенций МОТ в условие членства в данной международной организации. В Декларации МОТ были закреплены четыре принципа, обобщающие основополагающие права, содержащиеся в данных Конвенциях (Конвенции №№ 29, 87, 98, 100, 105, 111, 138 и 182 МОТ). </w:t>
      </w:r>
    </w:p>
    <w:p w:rsidR="00A969C6" w:rsidRPr="00DA76A7" w:rsidRDefault="00A969C6" w:rsidP="00A969C6">
      <w:pPr>
        <w:pStyle w:val="ac"/>
        <w:ind w:firstLine="567"/>
        <w:jc w:val="both"/>
        <w:rPr>
          <w:rFonts w:ascii="Arial" w:hAnsi="Arial" w:cs="Arial"/>
          <w:color w:val="000000" w:themeColor="text1"/>
        </w:rPr>
      </w:pPr>
      <w:r w:rsidRPr="00DA76A7">
        <w:rPr>
          <w:rFonts w:ascii="Arial" w:hAnsi="Arial" w:cs="Arial"/>
          <w:color w:val="000000" w:themeColor="text1"/>
        </w:rPr>
        <w:t>№ 29 Конвенция 1930 года о принудительном труде</w:t>
      </w:r>
    </w:p>
    <w:p w:rsidR="00A969C6" w:rsidRPr="00DA76A7" w:rsidRDefault="00A969C6" w:rsidP="00A969C6">
      <w:pPr>
        <w:pStyle w:val="ac"/>
        <w:ind w:firstLine="567"/>
        <w:jc w:val="both"/>
        <w:rPr>
          <w:rFonts w:ascii="Arial" w:hAnsi="Arial" w:cs="Arial"/>
          <w:color w:val="000000" w:themeColor="text1"/>
        </w:rPr>
      </w:pPr>
      <w:r w:rsidRPr="00DA76A7">
        <w:rPr>
          <w:rFonts w:ascii="Arial" w:hAnsi="Arial" w:cs="Arial"/>
          <w:color w:val="000000" w:themeColor="text1"/>
        </w:rPr>
        <w:t>№ 87 Конвенция 1948 года о свободе ассоциации и защите права на организацию</w:t>
      </w:r>
    </w:p>
    <w:p w:rsidR="00A969C6" w:rsidRPr="00DA76A7" w:rsidRDefault="00A969C6" w:rsidP="00A969C6">
      <w:pPr>
        <w:pStyle w:val="ac"/>
        <w:ind w:firstLine="567"/>
        <w:jc w:val="both"/>
        <w:rPr>
          <w:rFonts w:ascii="Arial" w:hAnsi="Arial" w:cs="Arial"/>
          <w:color w:val="000000" w:themeColor="text1"/>
        </w:rPr>
      </w:pPr>
      <w:r w:rsidRPr="00DA76A7">
        <w:rPr>
          <w:rFonts w:ascii="Arial" w:hAnsi="Arial" w:cs="Arial"/>
          <w:color w:val="000000" w:themeColor="text1"/>
        </w:rPr>
        <w:t>№ 98 Конвенция 1949 года о праве на организацию и на ведение коллективных переговоров</w:t>
      </w:r>
    </w:p>
    <w:p w:rsidR="00A969C6" w:rsidRPr="00DA76A7" w:rsidRDefault="00A969C6" w:rsidP="00A969C6">
      <w:pPr>
        <w:pStyle w:val="ac"/>
        <w:ind w:firstLine="567"/>
        <w:jc w:val="both"/>
        <w:rPr>
          <w:rFonts w:ascii="Arial" w:hAnsi="Arial" w:cs="Arial"/>
          <w:color w:val="000000" w:themeColor="text1"/>
        </w:rPr>
      </w:pPr>
      <w:r w:rsidRPr="00DA76A7">
        <w:rPr>
          <w:rFonts w:ascii="Arial" w:hAnsi="Arial" w:cs="Arial"/>
          <w:color w:val="000000" w:themeColor="text1"/>
        </w:rPr>
        <w:t>№ 100 Конвенция 1951 года о равном вознаграждении</w:t>
      </w:r>
    </w:p>
    <w:p w:rsidR="00A969C6" w:rsidRPr="00DA76A7" w:rsidRDefault="00A969C6" w:rsidP="00A969C6">
      <w:pPr>
        <w:pStyle w:val="ac"/>
        <w:ind w:firstLine="567"/>
        <w:jc w:val="both"/>
        <w:rPr>
          <w:rFonts w:ascii="Arial" w:hAnsi="Arial" w:cs="Arial"/>
          <w:color w:val="000000" w:themeColor="text1"/>
        </w:rPr>
      </w:pPr>
      <w:r w:rsidRPr="00DA76A7">
        <w:rPr>
          <w:rFonts w:ascii="Arial" w:hAnsi="Arial" w:cs="Arial"/>
          <w:color w:val="000000" w:themeColor="text1"/>
        </w:rPr>
        <w:t>№ 105 Конвенция 1957 года об упразднении принудительного труда</w:t>
      </w:r>
    </w:p>
    <w:p w:rsidR="00A969C6" w:rsidRPr="00DA76A7" w:rsidRDefault="00A969C6" w:rsidP="00A969C6">
      <w:pPr>
        <w:pStyle w:val="ac"/>
        <w:ind w:firstLine="567"/>
        <w:jc w:val="both"/>
        <w:rPr>
          <w:rFonts w:ascii="Arial" w:hAnsi="Arial" w:cs="Arial"/>
          <w:color w:val="000000" w:themeColor="text1"/>
        </w:rPr>
      </w:pPr>
      <w:r w:rsidRPr="00DA76A7">
        <w:rPr>
          <w:rFonts w:ascii="Arial" w:hAnsi="Arial" w:cs="Arial"/>
          <w:color w:val="000000" w:themeColor="text1"/>
        </w:rPr>
        <w:t>№ 111 Конвенция 1958 года о дискриминации в области труда и занятий</w:t>
      </w:r>
    </w:p>
    <w:p w:rsidR="00A969C6" w:rsidRPr="00DA76A7" w:rsidRDefault="00A969C6" w:rsidP="00A969C6">
      <w:pPr>
        <w:pStyle w:val="ac"/>
        <w:ind w:firstLine="567"/>
        <w:jc w:val="both"/>
        <w:rPr>
          <w:rFonts w:ascii="Arial" w:hAnsi="Arial" w:cs="Arial"/>
          <w:color w:val="000000" w:themeColor="text1"/>
        </w:rPr>
      </w:pPr>
      <w:r w:rsidRPr="00DA76A7">
        <w:rPr>
          <w:rFonts w:ascii="Arial" w:hAnsi="Arial" w:cs="Arial"/>
          <w:color w:val="000000" w:themeColor="text1"/>
        </w:rPr>
        <w:t>№ 138 Конвенция 1973 года о минимальном возрасте</w:t>
      </w:r>
    </w:p>
    <w:p w:rsidR="00A969C6" w:rsidRPr="00DA76A7" w:rsidRDefault="00A969C6" w:rsidP="00A969C6">
      <w:pPr>
        <w:pStyle w:val="ac"/>
        <w:ind w:firstLine="567"/>
        <w:jc w:val="both"/>
        <w:rPr>
          <w:rFonts w:ascii="Arial" w:hAnsi="Arial" w:cs="Arial"/>
          <w:color w:val="000000" w:themeColor="text1"/>
        </w:rPr>
      </w:pPr>
      <w:r w:rsidRPr="00DA76A7">
        <w:rPr>
          <w:rFonts w:ascii="Arial" w:hAnsi="Arial" w:cs="Arial"/>
          <w:color w:val="000000" w:themeColor="text1"/>
        </w:rPr>
        <w:t>№ 182 Конвенция 1999 года о наихудших формах детского труда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Декларация МОТ об основополагающих принципах и правах в сфере труда и механизм ее реализации:</w:t>
      </w:r>
    </w:p>
    <w:p w:rsidR="00A969C6" w:rsidRPr="00DA76A7" w:rsidRDefault="00A969C6" w:rsidP="00A969C6">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Заявляет, что все государства-члены, даже если они не ратифицировали указанные Конвенции, имеют обязательство, вытекающее из самого факта их членства в Организации, соблюдать, содействовать применению и претворять в жизнь добросовестно в соответствии с Уставом принципы, касающиеся основополагающих прав, которые являются предметом этих Конвенций, а именно:</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Свобода объединения и действенное признание права на ведение коллективных переговоров неслучайно поставлены МОТ на первое место среди основополагающих принципов в сфере труда. , дело в том, что реализация этого принципа представляет собой одновременно и цель, и средство: если работники смогут полноценно осуществлять право на объединение в профсоюзы и на ведение коллективных переговоров, они смогут в договорном порядке поучить любые другие социальные права. Для обеспечения реальной свободы объединения недостаточно простого закрепления тех или иных прав в законодательстве, важно, чтобы в самом обществе появилась мощная система независимых профсоюзов и объединений работодателя, как институт гражданского общества.</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Для искоренения использования принудительного или обязательного труда в странах, где такая практика, в той или иной форме, имеется в настоящее время, требуется принятие определенного комплекса мер. В том числе, запрещение данной практики в законодательном порядке, регулирование видов деятельности, которые могут привести к принуждению к труду, а также усилия со стороны правительства и гражданского общества, направленные на борьбу с данной практикой.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Виды </w:t>
      </w:r>
      <w:r w:rsidRPr="00DA76A7">
        <w:rPr>
          <w:rFonts w:ascii="Arial" w:hAnsi="Arial" w:cs="Arial"/>
          <w:color w:val="000000" w:themeColor="text1"/>
          <w:sz w:val="22"/>
          <w:szCs w:val="22"/>
        </w:rPr>
        <w:t>труда в условиях кабальной зависимости;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торговли людьми и работниками-мигрантами и эксплуатации таких работников;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коммерческой сексуальной эксплуатации, которая, как правило, осуществляется на принудительной основе; 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работы в качестве домашней прислуги с элементами принуждения к труду.</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Декларации МОТ 1998 г., все страны-члены МОТ обязаны руководствоваться ее положениями и содействовать реализации принципа эффективного искоренения детского труда. МОТ обязуется оказывать помощь в этом отношении всем странам-членам МОТ, а также призывать другие международные организации поддерживать национальные усилия по борьбе с детским трудом. Конвенция о минимальном возрасте для приема на работу, 1973 г. (N 138) и Рекомендация, 1973 г. (N 146), а также Конвенция о запрещении и незамедлительных мерах по искоренению наихудших форм детского труда, 1999 г. (N 182) и Рекомендация, 1999 г. (N 190) являются основополагающими документами, на основе которых предпринимаются усилия в направлении недопущения детского труда и, в первую очередь, исключения наихудших форм такой практики. Изложенные в данном </w:t>
      </w:r>
      <w:r w:rsidRPr="00DA76A7">
        <w:rPr>
          <w:rFonts w:ascii="Arial" w:hAnsi="Arial" w:cs="Arial"/>
          <w:i/>
          <w:iCs/>
          <w:color w:val="000000" w:themeColor="text1"/>
          <w:sz w:val="22"/>
          <w:szCs w:val="22"/>
        </w:rPr>
        <w:t>Руководстве</w:t>
      </w:r>
      <w:r w:rsidRPr="00DA76A7">
        <w:rPr>
          <w:rFonts w:ascii="Arial" w:hAnsi="Arial" w:cs="Arial"/>
          <w:color w:val="000000" w:themeColor="text1"/>
          <w:sz w:val="22"/>
          <w:szCs w:val="22"/>
        </w:rPr>
        <w:t> законотворческие принципы базируются, в основном, на вышеназванных документах.</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Конвенции N 138 содержится перечень стандартов, позволяющих определить минимальные возрастные уровни для занятия тех или иных рабочих мест. Эффективное применение этих стандартов должно лежать в основе деятельности любой страны-члена МОТ, стремящейся добиться фактической ликвидации детского труда, с учетом соответствующих положений об образовании, трудоустройстве и охране труда, содержащихся в Рекомендации N 190. Когда та или иная страна ратифицирует Конвенцию N 138, она обязана провозгласить минимальный возраст для трудоустройства, который не может быть ниже возраста, позволяющего получить обязательное школьное образование, во всяком случае, не менее 15 лет. Государства-члены МОТ с недостаточно развитой образовательной инфраструктурой на первых порах могут определить минимальный возраст для приема на работу на уровне 14 лет.</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то, что многие страны приняли национальные минимальные возрастные стандарты для трудоустройства, согласно положениям Конвенции N 138, фактическое запрещение детского труда почти во всех отраслях экономики для многих стран-участниц МОТ остается долгосрочной целью, реализация которой зависит от значительного оздоровления национальной экономики. Однако некоторые виды детского труда никак не могут быть терпимы в течение длительного периода времени. С учетом именно этого обстоятельства МОТ  приняла Конвенцию N 182, которая обязывает стран-участниц МОТ «принять незамедлительные и действенные меры для того, чтобы запретить и исключить наихудшие формы детского труда в срочном порядке».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течение десяти лет с момента принятия Декларации МОТ различные организации, в том числе и международное профсоюзное движение, старались добиться того, чтобы и другими международными агентствами либо соглашениями были предусмотрены мероприятия, при помощи которых их программы и действия были бы приведены в соответствие с четырьмя указанными выше трудовыми стандартами МОТ. При этом внимание профсоюзных организаций, объединенных в Международной конфедерации профсоюзов, а до создания МКП в 2006году – в Международной конфедерации свободных профсоюзов (МКСП) и во Всемирной конфедерации труда(ВКТ), в Глобальных профсоюзных федерациях (ГПФ) и в Профсоюзном консультативном комитете (ПКК), было обращено в первую очередь на международные торговые и финансовые корпорации, деятельность которых оказывает огромное влияние на рынки труда. В то же время ими оказывалась поддержка МОТ в ее попытках сделать соответствующие трудовые стандарты действительными в масштабах всей системы Организации Объединенных Наций, специализированным учреждением которой является сама МОТ. Помимо этого, отдельные членские организации Международной конфедерации профсоюзов (МКП) призвали агентства по сотрудничеству в области содействия развитию и экспортные кредитные агентства собственных стран требовать соблюдения трудовых стандартов МОТ в качестве условия предоставления проектного финансирования.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Спустя год после принятия в 1998 году Декларации МОТ соответствующие стандарты трудовых отношений вместе с другими правами лиц наемного труда были включены в качестве одного из четырех основных пунктов в план действий МОТ по созданию человеческих условий труда. Другими тремя основными пунктами являются стимулирование занятости и развития предприятий, системы социальной защиты, руководство правительством и социальный диалог. При поддержке профсоюзных организаций МОТ были приложены усилия, направленные на то, чтобы добиться официального признания данного плана действий высшими инстанциями ООН. Достичь этого удалось с принятием в 2005 году резолюции Генеральной ассамблеи ООН, в которой была выражена поддержка «полной и продуктивной занятости и человеческих условий труда для всех ... как части наших усилий по достижению Целей Развития Тысячелетия». Данная деятельность была конкретизирована Экономическим и Социальным Советом ООН в 2006 году, в том числе посредством разработки инструментария для стимулирования занятости и содействия созданию человеческих условий труда. В апреле 2007 года соответствующий инструментарий (Toolk it for Mainstreaming Employment and Decent Work) был принят Координационным советом руководителей системы ООН под председательством Генерального секретаря. Согласно комментариям МОТ, инструментарий для стимулирования занятости и содействия созданию человеческих условий труда разработан таким образом, чтобы «организации всей многосторонней системы получали поддержку в ходе анализа и совершенствования собственной политики, мероприятий и действий, а также их воздействий на занятость и создание человеческих условий труда». [4]</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Республика Таджикистан, являясь членом Международной Организации Труда, с 1993 года была и остается приверженцем норм и принципов Международной Организации Труда, в своей государственной политике уделяет должное внимание основополагающим нормам и правам в сфере труда, и поэтапно внедряет их. В стране были ратифицированы и вступили в законную силу 50 Конвенций Международной Организации Труда, включая все 8 основополагающих конвенций:</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Конвенция № 29 о принудительном труде;</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Конвенция № 87 о свободе ассоциации и защите права на организацию;</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Конвенция № 98 о праве на организацию и на ведение коллективных переговоров;</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Конвенция № 100 о равном вознаграждении;</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Конвенция № 111 о дискриминации в области труда и занятий;</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Конвенция № 122 о политике в области занятости;</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Конвенция № 138 о минимальном возрасте для приема на работу;</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Конвенция № 182 о запрещении и немедленных мерах по искоренению наихудших форм детского труда.</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hAnsi="Arial" w:cs="Arial"/>
          <w:i/>
          <w:color w:val="000000" w:themeColor="text1"/>
          <w:sz w:val="22"/>
          <w:szCs w:val="22"/>
        </w:rPr>
        <w:t xml:space="preserve"> </w:t>
      </w:r>
      <w:r w:rsidRPr="00DA76A7">
        <w:rPr>
          <w:rFonts w:ascii="Arial" w:eastAsia="SimSun" w:hAnsi="Arial" w:cs="Arial"/>
          <w:color w:val="000000" w:themeColor="text1"/>
          <w:sz w:val="22"/>
          <w:szCs w:val="22"/>
        </w:rPr>
        <w:t>Необходимо отметить, что с момента своего появления Международная Организация Труда (МОТ) видела свою задачу в распространении принципа социальной справедливости посредством политических консультаций, исследований и выдвижения инициатив в рамках четырех главных стратегических целей. С 1999 года МОТ занимается разработкой концепции достойного труда, воплощающей в себе комплексный подход к достижению полной и продуктивной занятости, социальной защиты, прав в сфере труда и социального диалога – целей, которые отвечают нуждам и потребностям всех работающих мужчин и женщин в мире. Под термином «достойный труд» подразумевается возможность получения работы, которая должна быть продуктивной, безопасной и стабильной, должна достойно оплачиваться; обеспечивать социальную защищенность семьи, создавать  возможности для развития личности и социальной интеграции, для свободного выражения интересов,  самоорганизации и участия в решениях; должна обеспечивать равенство возможностей и обращения для женщин и мужчин.</w:t>
      </w:r>
    </w:p>
    <w:p w:rsidR="00A969C6" w:rsidRPr="00DA76A7" w:rsidRDefault="00A969C6" w:rsidP="00A969C6">
      <w:pPr>
        <w:pStyle w:val="31"/>
        <w:tabs>
          <w:tab w:val="left" w:pos="2160"/>
          <w:tab w:val="left" w:pos="9360"/>
        </w:tabs>
        <w:spacing w:after="0" w:line="240" w:lineRule="auto"/>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 xml:space="preserve"> Направления деятельности, формирующие концепцию Достойного труда, в качестве основных принципов Международной Организации Труда изложены в Конвенциях и Рекомендациях, в том числе в 8 основополагающих  конвенциях Международной Организации Труда.</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Правительство Республики Таджикистан придавало большое значение тому, чтобы концепция Достойного труда была учтена при разработке Национальной Стратегии Развития Республики Таджикистан до 2015 года и других документов страны, определяющих основы социально-экономического развития общества в среднесрочной и долгосрочной перспективе.</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Республика Таджикистан успешно осуществляет политику достойного труда путем совершенствования законодательства и его инструментов в области труда, при этом, реализуя реальные, конкретные мероприятия, направленные на повышение уровня</w:t>
      </w:r>
      <w:r w:rsidRPr="00DA76A7">
        <w:rPr>
          <w:rFonts w:ascii="Arial" w:hAnsi="Arial" w:cs="Arial"/>
          <w:color w:val="000000" w:themeColor="text1"/>
          <w:sz w:val="22"/>
          <w:szCs w:val="22"/>
        </w:rPr>
        <w:t xml:space="preserve"> </w:t>
      </w:r>
      <w:r w:rsidRPr="00DA76A7">
        <w:rPr>
          <w:rFonts w:ascii="Arial" w:eastAsia="SimSun" w:hAnsi="Arial" w:cs="Arial"/>
          <w:color w:val="000000" w:themeColor="text1"/>
          <w:sz w:val="22"/>
          <w:szCs w:val="22"/>
        </w:rPr>
        <w:t xml:space="preserve">жизни в стране. </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 xml:space="preserve">В последние годы в Республике Таджикистан принимаются реальные меры по формированию национальной стратегии развития, успешно продвигаются реформы законодательного и административного характера. Основополагающими в данном процессе является: обеспечение права на достойный труд и социальную защиту; политика в области обеспечения занятости и регулирования рынка труда; разработка политики и структур для регулирования трудовой миграции с тем, чтобы сократить незаконную миграцию и предотвращать ее последствия, такие как принудительный труд и торговля людьми; свобода объединений и развитие социального партнерства; охрана труда. </w:t>
      </w:r>
    </w:p>
    <w:p w:rsidR="00A969C6" w:rsidRPr="00DA76A7" w:rsidRDefault="00A969C6" w:rsidP="00A969C6">
      <w:pPr>
        <w:tabs>
          <w:tab w:val="left" w:pos="9360"/>
        </w:tabs>
        <w:ind w:firstLine="567"/>
        <w:jc w:val="both"/>
        <w:rPr>
          <w:rFonts w:ascii="Arial" w:eastAsia="SimSun" w:hAnsi="Arial" w:cs="Arial"/>
          <w:color w:val="000000" w:themeColor="text1"/>
          <w:sz w:val="22"/>
          <w:szCs w:val="22"/>
        </w:rPr>
      </w:pPr>
      <w:r w:rsidRPr="00DA76A7">
        <w:rPr>
          <w:rFonts w:ascii="Arial" w:eastAsia="SimSun" w:hAnsi="Arial" w:cs="Arial"/>
          <w:color w:val="000000" w:themeColor="text1"/>
          <w:sz w:val="22"/>
          <w:szCs w:val="22"/>
        </w:rPr>
        <w:t>Следует отметить, что в этих достижениях заметную роль играет Международная Организация Труда, при помощи которой в Республике Таджикистан создан действующий механизм социального партнерства и политики трипартизма. [5]</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6"/>
        <w:numPr>
          <w:ilvl w:val="0"/>
          <w:numId w:val="1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Достойный труд и повестка дня в области устойчивого развития на период до 20030  года. [Электронный ресурс]. - Режим доступа: </w:t>
      </w:r>
      <w:hyperlink r:id="rId40" w:history="1">
        <w:r w:rsidRPr="00DA76A7">
          <w:rPr>
            <w:rStyle w:val="af0"/>
            <w:rFonts w:ascii="Arial" w:hAnsi="Arial" w:cs="Arial"/>
            <w:color w:val="000000" w:themeColor="text1"/>
            <w:u w:val="none"/>
          </w:rPr>
          <w:t>http://www.ilo.org/moscow/information-esources/publications/WCMS_554824/lang--ru/index.htm</w:t>
        </w:r>
      </w:hyperlink>
      <w:r w:rsidRPr="00DA76A7">
        <w:rPr>
          <w:rStyle w:val="af0"/>
          <w:rFonts w:ascii="Arial" w:hAnsi="Arial" w:cs="Arial"/>
          <w:color w:val="000000" w:themeColor="text1"/>
          <w:u w:val="none"/>
        </w:rPr>
        <w:t xml:space="preserve"> (дата обращения 15.03.2018)</w:t>
      </w:r>
    </w:p>
    <w:p w:rsidR="00A969C6" w:rsidRPr="00DA76A7" w:rsidRDefault="00A969C6" w:rsidP="00D45D6B">
      <w:pPr>
        <w:pStyle w:val="a6"/>
        <w:numPr>
          <w:ilvl w:val="0"/>
          <w:numId w:val="1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Понятие международных стандартов в «праве ВТО». [Электронный ресурс]. - Режим доступа: </w:t>
      </w:r>
      <w:hyperlink r:id="rId41" w:history="1">
        <w:r w:rsidRPr="00DA76A7">
          <w:rPr>
            <w:rStyle w:val="af0"/>
            <w:rFonts w:ascii="Arial" w:hAnsi="Arial" w:cs="Arial"/>
            <w:color w:val="000000" w:themeColor="text1"/>
            <w:u w:val="none"/>
          </w:rPr>
          <w:t>https://cyberleninka.ru/article/v/ponyatie-ezhdunarodnyh-standartov-v-prave-vto</w:t>
        </w:r>
      </w:hyperlink>
      <w:r w:rsidRPr="00DA76A7">
        <w:rPr>
          <w:rStyle w:val="af0"/>
          <w:rFonts w:ascii="Arial" w:hAnsi="Arial" w:cs="Arial"/>
          <w:color w:val="000000" w:themeColor="text1"/>
          <w:u w:val="none"/>
        </w:rPr>
        <w:t xml:space="preserve"> (дата обращения 15.03.2018)</w:t>
      </w:r>
    </w:p>
    <w:p w:rsidR="00A969C6" w:rsidRPr="00DA76A7" w:rsidRDefault="00A969C6" w:rsidP="00D45D6B">
      <w:pPr>
        <w:pStyle w:val="a6"/>
        <w:numPr>
          <w:ilvl w:val="0"/>
          <w:numId w:val="1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Международная организация труда. [Электронный ресурс]. -  Режим доступа: </w:t>
      </w:r>
      <w:hyperlink r:id="rId42" w:history="1">
        <w:r w:rsidRPr="00DA76A7">
          <w:rPr>
            <w:rStyle w:val="af0"/>
            <w:rFonts w:ascii="Arial" w:hAnsi="Arial" w:cs="Arial"/>
            <w:color w:val="000000" w:themeColor="text1"/>
            <w:u w:val="none"/>
          </w:rPr>
          <w:t>https://ru.wikipedia.org/wiki/%D0%9C%D0%B5%D0%B6%D0%B4%D1%83%D0%BD%D0%B0%D1%80%D0%BE%D0%B4%D0%BD%D0%B0%D1%8F_%D0%BE%D1%80%D0%B3%D0%B0%D0%BD%D0%B8%D0%B7%D0%B0%D1%86%D0%B8%D1%8F_%D1%82%D1%80%D1%83%D0%B4%D0%B0</w:t>
        </w:r>
      </w:hyperlink>
      <w:r w:rsidRPr="00DA76A7">
        <w:rPr>
          <w:rFonts w:ascii="Arial" w:hAnsi="Arial" w:cs="Arial"/>
          <w:color w:val="000000" w:themeColor="text1"/>
        </w:rPr>
        <w:t xml:space="preserve"> (дата обращения 15.03.2018)</w:t>
      </w:r>
    </w:p>
    <w:p w:rsidR="00A969C6" w:rsidRPr="00DA76A7" w:rsidRDefault="00A969C6" w:rsidP="00D45D6B">
      <w:pPr>
        <w:pStyle w:val="a6"/>
        <w:numPr>
          <w:ilvl w:val="0"/>
          <w:numId w:val="1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Стандарты трудовых отношений и международные организации: Каких успехов достигли профсоюзы на сегодняшний день? [Электронный ресурс].  -Режим доступа: </w:t>
      </w:r>
      <w:hyperlink r:id="rId43" w:history="1">
        <w:r w:rsidRPr="00DA76A7">
          <w:rPr>
            <w:rStyle w:val="af0"/>
            <w:rFonts w:ascii="Arial" w:hAnsi="Arial" w:cs="Arial"/>
            <w:color w:val="000000" w:themeColor="text1"/>
            <w:u w:val="none"/>
          </w:rPr>
          <w:t>http://library.fes.de/pdf-files/id/06566.pdf</w:t>
        </w:r>
      </w:hyperlink>
      <w:r w:rsidRPr="00DA76A7">
        <w:rPr>
          <w:rStyle w:val="af0"/>
          <w:rFonts w:ascii="Arial" w:hAnsi="Arial" w:cs="Arial"/>
          <w:color w:val="000000" w:themeColor="text1"/>
          <w:u w:val="none"/>
        </w:rPr>
        <w:t xml:space="preserve"> (дата обращения 12.03.2018)</w:t>
      </w:r>
    </w:p>
    <w:p w:rsidR="00A969C6" w:rsidRDefault="00A969C6" w:rsidP="00A969C6">
      <w:pPr>
        <w:ind w:firstLine="567"/>
        <w:jc w:val="center"/>
        <w:rPr>
          <w:rFonts w:ascii="Arial" w:hAnsi="Arial" w:cs="Arial"/>
          <w:color w:val="000000" w:themeColor="text1"/>
          <w:sz w:val="22"/>
          <w:szCs w:val="22"/>
        </w:rPr>
      </w:pPr>
    </w:p>
    <w:p w:rsidR="000E7DCF" w:rsidRDefault="000E7DCF" w:rsidP="00A969C6">
      <w:pPr>
        <w:ind w:firstLine="567"/>
        <w:jc w:val="center"/>
        <w:rPr>
          <w:rFonts w:ascii="Arial" w:hAnsi="Arial" w:cs="Arial"/>
          <w:color w:val="000000" w:themeColor="text1"/>
          <w:sz w:val="22"/>
          <w:szCs w:val="22"/>
        </w:rPr>
      </w:pPr>
    </w:p>
    <w:p w:rsidR="000E7DCF" w:rsidRDefault="000E7DCF" w:rsidP="00A969C6">
      <w:pPr>
        <w:ind w:firstLine="567"/>
        <w:jc w:val="center"/>
        <w:rPr>
          <w:rFonts w:ascii="Arial" w:hAnsi="Arial" w:cs="Arial"/>
          <w:color w:val="000000" w:themeColor="text1"/>
          <w:sz w:val="22"/>
          <w:szCs w:val="22"/>
        </w:rPr>
      </w:pPr>
    </w:p>
    <w:p w:rsidR="000E7DCF" w:rsidRDefault="000E7DCF" w:rsidP="00A969C6">
      <w:pPr>
        <w:ind w:firstLine="567"/>
        <w:jc w:val="center"/>
        <w:rPr>
          <w:rFonts w:ascii="Arial" w:hAnsi="Arial" w:cs="Arial"/>
          <w:color w:val="000000" w:themeColor="text1"/>
          <w:sz w:val="22"/>
          <w:szCs w:val="22"/>
        </w:rPr>
      </w:pPr>
    </w:p>
    <w:p w:rsidR="000E7DCF" w:rsidRDefault="000E7DCF" w:rsidP="00A969C6">
      <w:pPr>
        <w:ind w:firstLine="567"/>
        <w:jc w:val="center"/>
        <w:rPr>
          <w:rFonts w:ascii="Arial" w:hAnsi="Arial" w:cs="Arial"/>
          <w:color w:val="000000" w:themeColor="text1"/>
          <w:sz w:val="22"/>
          <w:szCs w:val="22"/>
        </w:rPr>
      </w:pPr>
    </w:p>
    <w:p w:rsidR="000E7DCF" w:rsidRDefault="000E7DCF" w:rsidP="00A969C6">
      <w:pPr>
        <w:ind w:firstLine="567"/>
        <w:jc w:val="center"/>
        <w:rPr>
          <w:rFonts w:ascii="Arial" w:hAnsi="Arial" w:cs="Arial"/>
          <w:color w:val="000000" w:themeColor="text1"/>
          <w:sz w:val="22"/>
          <w:szCs w:val="22"/>
        </w:rPr>
      </w:pPr>
    </w:p>
    <w:p w:rsidR="000E7DCF" w:rsidRDefault="000E7DCF" w:rsidP="00A969C6">
      <w:pPr>
        <w:ind w:firstLine="567"/>
        <w:jc w:val="center"/>
        <w:rPr>
          <w:rFonts w:ascii="Arial" w:hAnsi="Arial" w:cs="Arial"/>
          <w:color w:val="000000" w:themeColor="text1"/>
          <w:sz w:val="22"/>
          <w:szCs w:val="22"/>
        </w:rPr>
      </w:pPr>
    </w:p>
    <w:p w:rsidR="000E7DCF" w:rsidRPr="00DA76A7" w:rsidRDefault="000E7DCF" w:rsidP="00A969C6">
      <w:pPr>
        <w:ind w:firstLine="567"/>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АВТОНОМИЯ ВОЛИ СТОРОН И ВЫБОР ПРИМЕНИМОГО ПРАВА В МЕЖДУНАРОДНОМ КОММЕРЧЕСКОМ АРБИТРАЖЕ</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Дадобаева Нуриниссо Салижановна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1-го года обучения заочного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w:t>
      </w:r>
      <w:r w:rsidR="009A2FFA" w:rsidRPr="00DA76A7">
        <w:rPr>
          <w:rFonts w:ascii="Arial" w:hAnsi="Arial" w:cs="Arial"/>
          <w:color w:val="000000" w:themeColor="text1"/>
          <w:sz w:val="22"/>
          <w:szCs w:val="22"/>
        </w:rPr>
        <w:t>Турсунзаде,</w:t>
      </w:r>
      <w:r w:rsidRPr="00DA76A7">
        <w:rPr>
          <w:rFonts w:ascii="Arial" w:hAnsi="Arial" w:cs="Arial"/>
          <w:color w:val="000000" w:themeColor="text1"/>
          <w:sz w:val="22"/>
          <w:szCs w:val="22"/>
        </w:rPr>
        <w:t>, 30</w:t>
      </w:r>
    </w:p>
    <w:p w:rsidR="00A969C6" w:rsidRPr="003A751C" w:rsidRDefault="00A969C6" w:rsidP="00A969C6">
      <w:pPr>
        <w:jc w:val="center"/>
        <w:rPr>
          <w:rStyle w:val="af0"/>
          <w:rFonts w:ascii="Arial" w:hAnsi="Arial" w:cs="Arial"/>
          <w:color w:val="000000" w:themeColor="text1"/>
          <w:sz w:val="22"/>
          <w:szCs w:val="22"/>
          <w:u w:val="none"/>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(+992) 918737710,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hyperlink r:id="rId44" w:history="1">
        <w:r w:rsidRPr="00DA76A7">
          <w:rPr>
            <w:rStyle w:val="af0"/>
            <w:rFonts w:ascii="Arial" w:hAnsi="Arial" w:cs="Arial"/>
            <w:color w:val="000000" w:themeColor="text1"/>
            <w:sz w:val="22"/>
            <w:szCs w:val="22"/>
            <w:u w:val="none"/>
            <w:lang w:val="en-US"/>
          </w:rPr>
          <w:t>anora</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d</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gmail</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com</w:t>
        </w:r>
      </w:hyperlink>
    </w:p>
    <w:p w:rsidR="00A969C6" w:rsidRPr="003A751C" w:rsidRDefault="00A969C6" w:rsidP="00A969C6">
      <w:pPr>
        <w:jc w:val="center"/>
        <w:rPr>
          <w:rStyle w:val="af0"/>
          <w:rFonts w:ascii="Arial" w:hAnsi="Arial" w:cs="Arial"/>
          <w:color w:val="000000" w:themeColor="text1"/>
          <w:sz w:val="22"/>
          <w:szCs w:val="22"/>
          <w:u w:val="none"/>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PARTY AUTONOMY AND THE CHOICE OF LAW IN INTERNATIONAL COMMERCIAL ARBITRATION</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Dadobaeva Nurinisso Salijanovna</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1st year graduate distant education student of the law faculty </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(Slavic) university </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Tursunzoda str., 30</w:t>
      </w:r>
    </w:p>
    <w:p w:rsidR="00A969C6" w:rsidRPr="00DA76A7" w:rsidRDefault="00A969C6" w:rsidP="00A969C6">
      <w:pPr>
        <w:jc w:val="center"/>
        <w:rPr>
          <w:rStyle w:val="af0"/>
          <w:rFonts w:ascii="Arial" w:hAnsi="Arial" w:cs="Arial"/>
          <w:color w:val="000000" w:themeColor="text1"/>
          <w:sz w:val="22"/>
          <w:szCs w:val="22"/>
          <w:u w:val="none"/>
          <w:lang w:val="en-US"/>
        </w:rPr>
      </w:pPr>
      <w:r w:rsidRPr="00DA76A7">
        <w:rPr>
          <w:rFonts w:ascii="Arial" w:hAnsi="Arial" w:cs="Arial"/>
          <w:color w:val="000000" w:themeColor="text1"/>
          <w:sz w:val="22"/>
          <w:szCs w:val="22"/>
          <w:lang w:val="en-US"/>
        </w:rPr>
        <w:t xml:space="preserve">tel.: (+992) 918737710, e-mail: </w:t>
      </w:r>
      <w:hyperlink r:id="rId45" w:history="1">
        <w:r w:rsidRPr="00DA76A7">
          <w:rPr>
            <w:rStyle w:val="af0"/>
            <w:rFonts w:ascii="Arial" w:hAnsi="Arial" w:cs="Arial"/>
            <w:color w:val="000000" w:themeColor="text1"/>
            <w:sz w:val="22"/>
            <w:szCs w:val="22"/>
            <w:u w:val="none"/>
            <w:lang w:val="en-US"/>
          </w:rPr>
          <w:t>anora.d@gmail.</w:t>
        </w:r>
      </w:hyperlink>
      <w:r w:rsidRPr="00DA76A7">
        <w:rPr>
          <w:rStyle w:val="af0"/>
          <w:rFonts w:ascii="Arial" w:hAnsi="Arial" w:cs="Arial"/>
          <w:color w:val="000000" w:themeColor="text1"/>
          <w:sz w:val="22"/>
          <w:szCs w:val="22"/>
          <w:u w:val="none"/>
          <w:lang w:val="en-US"/>
        </w:rPr>
        <w:t>com</w:t>
      </w:r>
    </w:p>
    <w:p w:rsidR="00A969C6" w:rsidRPr="00DA76A7" w:rsidRDefault="00A969C6" w:rsidP="00A969C6">
      <w:pPr>
        <w:ind w:firstLine="567"/>
        <w:jc w:val="center"/>
        <w:rPr>
          <w:rStyle w:val="af0"/>
          <w:rFonts w:ascii="Arial" w:hAnsi="Arial" w:cs="Arial"/>
          <w:color w:val="000000" w:themeColor="text1"/>
          <w:sz w:val="22"/>
          <w:szCs w:val="22"/>
          <w:u w:val="none"/>
          <w:lang w:val="en-US"/>
        </w:rPr>
      </w:pPr>
    </w:p>
    <w:p w:rsidR="00A969C6" w:rsidRPr="00DA76A7" w:rsidRDefault="00A969C6" w:rsidP="00A969C6">
      <w:pPr>
        <w:ind w:firstLine="567"/>
        <w:jc w:val="right"/>
        <w:rPr>
          <w:rFonts w:ascii="Arial" w:hAnsi="Arial" w:cs="Arial"/>
          <w:b/>
          <w:color w:val="000000" w:themeColor="text1"/>
          <w:sz w:val="22"/>
          <w:szCs w:val="22"/>
        </w:rPr>
      </w:pPr>
      <w:r w:rsidRPr="00DA76A7">
        <w:rPr>
          <w:rFonts w:ascii="Arial" w:hAnsi="Arial" w:cs="Arial"/>
          <w:color w:val="000000" w:themeColor="text1"/>
          <w:sz w:val="22"/>
          <w:szCs w:val="22"/>
        </w:rPr>
        <w:t>Научный руководитель: к.ю.н., доцент</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shd w:val="clear" w:color="auto" w:fill="FFFFFF"/>
        </w:rPr>
        <w:t>Химматов Х.Н     </w:t>
      </w:r>
    </w:p>
    <w:p w:rsidR="00A969C6" w:rsidRPr="00DA76A7" w:rsidRDefault="00A969C6" w:rsidP="00A969C6">
      <w:pPr>
        <w:ind w:firstLine="567"/>
        <w:jc w:val="center"/>
        <w:rPr>
          <w:rFonts w:ascii="Arial" w:hAnsi="Arial" w:cs="Arial"/>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статье рассматривается проблема принципа автономии воли сторон при выборе применимого права в коммерческих отношениях с иностранным элементом, в частности при выборе применимого права в международном коммерческом арбитраже. В статье приводится обзор международных актов, закрепляющих принцип автономии воли.</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given article is devoted to consideration of the issues related to party’s autonomy in choosing applicable law in commercial relations with a foreign element, particularly while choosing applicable law in International Commercial Arbitration. </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международный коммерческий арбитраж; автономия воли сторон; применимое право; свобода выбора.   </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 xml:space="preserve">International commercial arbitration; party’s autonomy; applicable law; freedom of choice. </w:t>
      </w:r>
    </w:p>
    <w:p w:rsidR="00A969C6" w:rsidRPr="00DA76A7" w:rsidRDefault="00A969C6" w:rsidP="00A969C6">
      <w:pPr>
        <w:ind w:firstLine="567"/>
        <w:jc w:val="both"/>
        <w:rPr>
          <w:rFonts w:ascii="Arial" w:hAnsi="Arial" w:cs="Arial"/>
          <w:i/>
          <w:color w:val="000000" w:themeColor="text1"/>
          <w:sz w:val="22"/>
          <w:szCs w:val="22"/>
          <w:lang w:val="en-US"/>
        </w:rPr>
      </w:pP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i/>
          <w:color w:val="000000" w:themeColor="text1"/>
          <w:sz w:val="22"/>
          <w:szCs w:val="22"/>
          <w:lang w:val="ru-RU"/>
        </w:rPr>
      </w:pPr>
      <w:r w:rsidRPr="00DA76A7">
        <w:rPr>
          <w:rFonts w:ascii="Arial" w:hAnsi="Arial" w:cs="Arial"/>
          <w:color w:val="000000" w:themeColor="text1"/>
          <w:sz w:val="22"/>
          <w:szCs w:val="22"/>
          <w:lang w:val="ru-RU"/>
        </w:rPr>
        <w:t>Глобализация и расширение внешнеэкономических отношений привели к соответствующему росту числа международных договоров с положениями, предусматривающими рассмотрение разногласий в международном коммерческом арбитраже. В свою очередь, доступность и эффективность международного арбитража была отмечена многими учеными как стимул к развитию трансграничной торговли и привлечения инвестиций [1, 20]. Предпочтение сторон в выборе международного коммерческого арбитража очевидна, поскольку в сравнении с судебным разбирательством международных коммерческих споров арбитраж имеет целый ряд преимуществ, которые часто отмечались в юридической литературе. Это – возможность выбора арбитров, окончательность арбитражного решения, ограниченный перечень оснований для отмены арбитражного решения, конфиденциальность, возможность выбора места арбитражного разбирательства, языка разбирательства и наличие единообразных правил признания и приведения в исполнение арбитражных решений в других государствах. Другим важным мотивом при выборе арбитража является право сторон выбирать применимое правило, что является принципом автономии воли сторон</w:t>
      </w:r>
      <w:r w:rsidRPr="00DA76A7">
        <w:rPr>
          <w:rFonts w:ascii="Arial" w:hAnsi="Arial" w:cs="Arial"/>
          <w:i/>
          <w:color w:val="000000" w:themeColor="text1"/>
          <w:sz w:val="22"/>
          <w:szCs w:val="22"/>
          <w:lang w:val="ru-RU"/>
        </w:rPr>
        <w:t xml:space="preserve">.  </w:t>
      </w:r>
    </w:p>
    <w:p w:rsidR="00A969C6" w:rsidRPr="00DA76A7" w:rsidRDefault="00A969C6" w:rsidP="00A969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Принцип автономии воли сторон в той или иной мере отражен и закреплен как в национальном законодательстве, так и в международных правовых актах. Первым международным актом в данной сфере была Конвенция о праве, применимом к международной купле-продаже товаров, принятая в Гааге 15 июня 1955 года. В последующем данная конвенция была взята за пример в международных документах, разработанных в рамках Гаагской конференции по международному частному праву и в рамках Комиссии ООН по праву международной торговли (ЮНСИТРАЛ).</w:t>
      </w: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В Гаагской конвенции от 1955 года впервые была предпринята попытка разрешения на международном уровне вопроса об установлении применимого права и впервые был закреплен принцип автономии воли сторон. </w:t>
      </w: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Вслед за Гаагской конвенцией 1955 года принцип автономии воли сторон был закреплен в Конвенции о праве, применимом к международной купле-продаже товаров 1986 года. В статье 7 данной Конвенции устанавливается, что «договор купли-продажи регулируется правом, избранным сторонами» [2, 209].</w:t>
      </w: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Следует отметить, что Римская конвенция о праве, применимом к договорным обязательствам 1980 года, вступившая в силу 1 апреля 1991 года, также содержит нормы, определяющие принцип автономии воли сторон. Римская конвенция 1980 оказала значительное влияние на развитие международного частного права по вопросу применимого права, в том числе на многие положения раздела IV Гражданского кодекса Российской Федерации. Далее, по прошествии 6 лет Римская конвенция 1980 года была трансформирована в правовой инструмент Европейского Союза — Регламент Рим I [5]. Этот Регламент вступил в силу 24 июля 2008 года и также закрепляет принцип свободы выбора.  </w:t>
      </w:r>
    </w:p>
    <w:p w:rsidR="00A969C6" w:rsidRPr="00DA76A7" w:rsidRDefault="00A969C6" w:rsidP="00A969C6">
      <w:pPr>
        <w:pStyle w:val="Default"/>
        <w:ind w:firstLine="567"/>
        <w:jc w:val="both"/>
        <w:rPr>
          <w:rFonts w:ascii="Arial" w:eastAsia="Times New Roman" w:hAnsi="Arial" w:cs="Arial"/>
          <w:color w:val="000000" w:themeColor="text1"/>
          <w:sz w:val="22"/>
          <w:szCs w:val="22"/>
        </w:rPr>
      </w:pPr>
      <w:r w:rsidRPr="00DA76A7">
        <w:rPr>
          <w:rFonts w:ascii="Arial" w:eastAsia="Times New Roman" w:hAnsi="Arial" w:cs="Arial"/>
          <w:color w:val="000000" w:themeColor="text1"/>
          <w:sz w:val="22"/>
          <w:szCs w:val="22"/>
        </w:rPr>
        <w:t>Наиболее актуальным источником принципа автономии воли можно назвать Гаагские принципы о выборе права, применимого к международным коммерческим контрактам, утвержденные 19 марта 2015 года на 48 Сессии Комиссии Организации Объединенных наций по праву международной торговли. В качестве общей справочной информации можно отметить, что цель Гаагских принципов заключается в укреплении автономии сторон и обеспечении максимально широкой сферы применения права, выбранного сторонами в рамках международных коммерческих сделок, с учетом четко установленных пределов. Такая цель может рассматриваться как дополнение уже существующих правовых документов ЮНСИТРАЛ, которые также основываются на принципе автономии сторон в рамках международных сделок, в частности Конвенции Организации Объединенных Наций о договорах международной купли-продажи товаров (Вена, 1980 год) и Типового закона ЮНСИТРАЛ о международном торговом арбитраже (1985 год), с поправками, принятыми в 2006 году [4].</w:t>
      </w: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 В соответствии с комментариями к статье 3 Гаагских принципов автономия воли сторон, под которой понимается право сторон выбирать применимое к контракту право, повышает определенность и предсказуемость первичного соглашения сторон контракта и признает, что стороны контракта находятся в наилучшем положении для определения наиболее подходящего к применению свода правовых норм к их сделке. Многие государства пришли к данному заключению и, следовательно, признали принцип автономии воли сторон главенствующим на данный момент. Тем не менее, данная концепция еще не применяется повсеместно [6, 23].</w:t>
      </w: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Вышеназванные акты закрепляют принцип автономии воли сторон в отношении выбора контрактных обязательность,  что касается основных источников права, регулирующих вопросы международного коммерческого арбитража, можно отметить, что таковыми выступают национальное законодательство и международные договоры. Одним из широко известных международных актов в данной сфере является Европейская конвенция 1961 года о международном коммерческом арбитраже, участниками, которой являются около 30 государств. Европейская конвенция была разработана в рамках Европейской экономической комиссии ООН и принята в Женеве при участии не только европейских государств, но и некоторых стран из других регионов. Конвенция включает преамбулу, 10 статей и приложение, регулирует целый ряд важных вопросов, касающихся арбитражного рассмотрения международных коммерческих споров.</w:t>
      </w: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Конвенция закрепила иерархию коллизионных норм, которыми надлежит руководствоваться при выборе подлежащего применению материального права. Во-первых, в соответствии с принципом автономии воли стороны в споре могут по своему усмотрению устанавливать с общего согласия право, подлежащее применению арбитрами при решении спора, по существу. Во-вторых, если не имеется указаний сторон о подлежащем применению праве, арбитры будут применять закон, установленный в соответствии с коллизионной нормой, которую арбитры сочтут в данном случае применимой (п. 1 ст. VII) </w:t>
      </w:r>
      <w:hyperlink r:id="rId46" w:anchor="71" w:history="1">
        <w:r w:rsidRPr="00DA76A7">
          <w:rPr>
            <w:rFonts w:ascii="Arial" w:hAnsi="Arial" w:cs="Arial"/>
            <w:color w:val="000000" w:themeColor="text1"/>
            <w:sz w:val="22"/>
            <w:szCs w:val="22"/>
            <w:lang w:val="ru-RU"/>
          </w:rPr>
          <w:t>[7, 107]</w:t>
        </w:r>
      </w:hyperlink>
      <w:r w:rsidRPr="00DA76A7">
        <w:rPr>
          <w:rFonts w:ascii="Arial" w:hAnsi="Arial" w:cs="Arial"/>
          <w:color w:val="000000" w:themeColor="text1"/>
          <w:sz w:val="22"/>
          <w:szCs w:val="22"/>
          <w:lang w:val="ru-RU"/>
        </w:rPr>
        <w:t xml:space="preserve">. </w:t>
      </w: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Национальное законодательство представлено внутригосударственными актами (обычно законами) о международном коммерческом арбитраже. В России и в Республике Таджикистан в настоящее время существуют и применяются Законы «О международном коммерческом арбитраже».  В Статье 4 Закона Республики Таджикистан, на ряду с другими принципами деятельности арбитража закреплен принцип свободы выбора сторонами применимого права. </w:t>
      </w:r>
    </w:p>
    <w:p w:rsidR="00A969C6" w:rsidRPr="00DA76A7" w:rsidRDefault="00A969C6" w:rsidP="00A969C6">
      <w:pPr>
        <w:pStyle w:val="annotation2"/>
        <w:shd w:val="clear" w:color="auto" w:fill="FFFFFF"/>
        <w:spacing w:before="0" w:beforeAutospacing="0" w:after="0" w:afterAutospacing="0"/>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Относительно положений Закона Российской Федерации «О международном коммерческом арбитраже», регулирующих выбор применимого права стоит отметить, что правила российского закона почти дословно воспроизводят текст ст. VII Европейской конвенции. В силу указаний российского закона арбитраж разрешает спор в соответствии с такими нормами права, которые стороны избрали в качестве применимых к существу спора.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целом необходимо отметить, что между принципом автономии воли и международным коммерческим арбитражем существует очень тесная связь, так как устанавливая национальным законом данный принцип, государство позволяет сторонам по своему усмотрению выбрать право для своих отношений.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Реализация принципа автономии воли, дает возможность отказаться от национального права страны, с которой их отношения имеют прямую связь, в пользу другой правовой системы.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мнению М. Панасенко, если стороны хотят избежать полного либо частичного применения национальной правовой системы, в их распоряжении имеется довольно широкий набор процедур, применимых в отношении международных контрактов. Иногда делаются ссылки на принципы международного (публичного) права, на общие принципы права, на общие принципы, разделяемые всеми или двумя и более национальными либо региональными правовыми системами [5]. Похожего мнения придерживаются другая группа ученых. По мнению последних, при применении принципа автономии воли допустимо применение неправовых, юридически необязательных актов: Принципов УНИДРУА, Принципов Ландо и число таких актов будет расти, что ставит на повестку дня множество вопросов, например, вопрос относительно соотношения друг с другом негосударственных источников, претендующих на регулирование одного и того же круга общественных отношений [3, 107]. Такое расширительное толкование принципа автономии воли сторон удачно вписывается в развивающуюся в зарубежной и отечественной доктринах международного частного права концепцию денационализации решения коллизионной проблемы.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Принцип автономии воли при арбитражном разбирательстве наделяет стороны большими возможностями по выбору применимого права для своих взаимоотношений. Происходящая глобализация экономики, переход к рыночным отношениям обусловили изменения в общественной жизни. В свою очередь законодательство также развивается в сторону рыночных отношений и демократии. В ходе данного развития, автономия воли и применимое право стали основными институтами в сфере регулирования внешнеэкономических сделок, которые в свою очередь тесно связаны с институтом внесудебного регулирования – международного коммерческого арбитража. Это позволяет нашему законодательству регулировать общественные отношения на равном уровне с многосторонними международными конвенциями и новейшими кодификациями, принятыми в большинстве развитых стран.</w:t>
      </w:r>
    </w:p>
    <w:p w:rsidR="00A969C6" w:rsidRPr="00DA76A7" w:rsidRDefault="00A969C6" w:rsidP="00A969C6">
      <w:pPr>
        <w:pStyle w:val="annotation2"/>
        <w:shd w:val="clear" w:color="auto" w:fill="FFFFFF"/>
        <w:spacing w:before="0" w:beforeAutospacing="0" w:after="0" w:afterAutospacing="0"/>
        <w:ind w:firstLine="567"/>
        <w:jc w:val="center"/>
        <w:rPr>
          <w:rFonts w:ascii="Arial" w:hAnsi="Arial" w:cs="Arial"/>
          <w:b/>
          <w:color w:val="000000" w:themeColor="text1"/>
          <w:sz w:val="22"/>
          <w:szCs w:val="22"/>
          <w:lang w:val="ru-RU"/>
        </w:rPr>
      </w:pPr>
    </w:p>
    <w:p w:rsidR="00A969C6" w:rsidRPr="00DA76A7" w:rsidRDefault="00A969C6" w:rsidP="00A969C6">
      <w:pPr>
        <w:pStyle w:val="annotation2"/>
        <w:shd w:val="clear" w:color="auto" w:fill="FFFFFF"/>
        <w:spacing w:before="0" w:beforeAutospacing="0" w:after="0" w:afterAutospacing="0"/>
        <w:ind w:firstLine="567"/>
        <w:jc w:val="center"/>
        <w:rPr>
          <w:rFonts w:ascii="Arial" w:hAnsi="Arial" w:cs="Arial"/>
          <w:b/>
          <w:color w:val="000000" w:themeColor="text1"/>
          <w:sz w:val="22"/>
          <w:szCs w:val="22"/>
          <w:lang w:val="ru-RU"/>
        </w:rPr>
      </w:pPr>
      <w:r w:rsidRPr="00DA76A7">
        <w:rPr>
          <w:rFonts w:ascii="Arial" w:hAnsi="Arial" w:cs="Arial"/>
          <w:b/>
          <w:color w:val="000000" w:themeColor="text1"/>
          <w:sz w:val="22"/>
          <w:szCs w:val="22"/>
          <w:lang w:val="ru-RU"/>
        </w:rPr>
        <w:t>Список литературы:</w:t>
      </w:r>
    </w:p>
    <w:p w:rsidR="00A969C6" w:rsidRPr="00DA76A7" w:rsidRDefault="00A969C6" w:rsidP="00D45D6B">
      <w:pPr>
        <w:pStyle w:val="a6"/>
        <w:numPr>
          <w:ilvl w:val="0"/>
          <w:numId w:val="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Асосков А.В. Коллизионное регулирование договорных обязательств. ISBN 978-5-9998-0089-3.- М., - 2012. - 640 с.   </w:t>
      </w:r>
    </w:p>
    <w:p w:rsidR="00A969C6" w:rsidRPr="00DA76A7" w:rsidRDefault="00A969C6" w:rsidP="00D45D6B">
      <w:pPr>
        <w:pStyle w:val="a6"/>
        <w:numPr>
          <w:ilvl w:val="0"/>
          <w:numId w:val="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Комаров А.С., Лебедев С.Н., Мусин В.А. Международный коммерческий арбитраж: Комментарий законодательства. - СПб.: АНО «Редакция журнала «Третейский суд», - 2007. – 416 с.</w:t>
      </w:r>
    </w:p>
    <w:p w:rsidR="00A969C6" w:rsidRPr="00DA76A7" w:rsidRDefault="00A969C6" w:rsidP="00D45D6B">
      <w:pPr>
        <w:pStyle w:val="a6"/>
        <w:numPr>
          <w:ilvl w:val="0"/>
          <w:numId w:val="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Комиссия Организации Объединенных Наций по праву международной торговли Сорок восьмая сессия Вена, 29 июня – 16 июля 2015 года, A/CN.9/847 [Электронный ресурс] - Режим доступа: </w:t>
      </w:r>
      <w:hyperlink r:id="rId47" w:history="1">
        <w:r w:rsidRPr="00DA76A7">
          <w:rPr>
            <w:rStyle w:val="af0"/>
            <w:rFonts w:ascii="Arial" w:hAnsi="Arial" w:cs="Arial"/>
            <w:color w:val="000000" w:themeColor="text1"/>
            <w:u w:val="none"/>
          </w:rPr>
          <w:t>http://unctad.org/meetings/en/SessionalDocuments/a70d17_ru.pdf</w:t>
        </w:r>
      </w:hyperlink>
      <w:r w:rsidRPr="00DA76A7">
        <w:rPr>
          <w:rFonts w:ascii="Arial" w:hAnsi="Arial" w:cs="Arial"/>
          <w:color w:val="000000" w:themeColor="text1"/>
        </w:rPr>
        <w:t xml:space="preserve">  (дата обращения 12.03.2018).</w:t>
      </w:r>
    </w:p>
    <w:p w:rsidR="00A969C6" w:rsidRPr="00DA76A7" w:rsidRDefault="00A969C6" w:rsidP="00D45D6B">
      <w:pPr>
        <w:pStyle w:val="a6"/>
        <w:numPr>
          <w:ilvl w:val="0"/>
          <w:numId w:val="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Панасенко М. Возможность выбора ненационального права: LEX MERCATORIA, Минск, 2001 г. [Электронный ресурс] - Режим доступа: </w:t>
      </w:r>
      <w:hyperlink r:id="rId48" w:history="1">
        <w:r w:rsidRPr="00DA76A7">
          <w:rPr>
            <w:rStyle w:val="af0"/>
            <w:rFonts w:ascii="Arial" w:hAnsi="Arial" w:cs="Arial"/>
            <w:color w:val="000000" w:themeColor="text1"/>
            <w:u w:val="none"/>
          </w:rPr>
          <w:t>http://evolutio.info/</w:t>
        </w:r>
      </w:hyperlink>
      <w:r w:rsidRPr="00DA76A7">
        <w:rPr>
          <w:rStyle w:val="af0"/>
          <w:rFonts w:ascii="Arial" w:hAnsi="Arial" w:cs="Arial"/>
          <w:color w:val="000000" w:themeColor="text1"/>
          <w:u w:val="none"/>
        </w:rPr>
        <w:t xml:space="preserve"> (дата обращения 30.03.18 г.)  (дата обращения 12.03.2018).</w:t>
      </w:r>
    </w:p>
    <w:p w:rsidR="00A969C6" w:rsidRPr="00DA76A7" w:rsidRDefault="00A969C6" w:rsidP="00D45D6B">
      <w:pPr>
        <w:pStyle w:val="a6"/>
        <w:numPr>
          <w:ilvl w:val="0"/>
          <w:numId w:val="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Розенберг М.Г. Контракт международной купли - продажи. Современная практика заключения. Разрешение споров. - М.: Международный центр финансово-экономического развития, - 1996. - 656 с.</w:t>
      </w:r>
    </w:p>
    <w:p w:rsidR="00A969C6" w:rsidRPr="00DA76A7" w:rsidRDefault="00A969C6" w:rsidP="00D45D6B">
      <w:pPr>
        <w:pStyle w:val="a6"/>
        <w:numPr>
          <w:ilvl w:val="0"/>
          <w:numId w:val="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Тимохов Ю. Некоторые особенности рассмотрения споров в международном коммерческом арбитраже // Хозяйство и право. - 2003. - №12.- С.24-29.</w:t>
      </w:r>
    </w:p>
    <w:p w:rsidR="00A969C6" w:rsidRPr="00DA76A7" w:rsidRDefault="00A969C6" w:rsidP="00D45D6B">
      <w:pPr>
        <w:pStyle w:val="a6"/>
        <w:numPr>
          <w:ilvl w:val="0"/>
          <w:numId w:val="15"/>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Maurice Kenton &amp; Peter Hirst. Advantages of International Commercial Arbitration // The International Comparative Legal Guide to: A practical cross-border insight into international arbitration work 12th Edition International Arbitration - Global Legal Group Ltd London, - 2015. – P.20-21</w:t>
      </w:r>
    </w:p>
    <w:p w:rsidR="00A969C6" w:rsidRPr="00DA76A7" w:rsidRDefault="00A969C6" w:rsidP="00A969C6">
      <w:pPr>
        <w:pStyle w:val="a6"/>
        <w:tabs>
          <w:tab w:val="left" w:pos="851"/>
        </w:tabs>
        <w:spacing w:after="0" w:line="240" w:lineRule="auto"/>
        <w:ind w:left="0" w:firstLine="567"/>
        <w:jc w:val="both"/>
        <w:rPr>
          <w:rFonts w:ascii="Arial" w:hAnsi="Arial" w:cs="Arial"/>
          <w:color w:val="000000" w:themeColor="text1"/>
          <w:lang w:val="en-US"/>
        </w:rPr>
      </w:pPr>
    </w:p>
    <w:p w:rsidR="00BD392F" w:rsidRPr="00240D8D" w:rsidRDefault="00BD392F"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УНИФИКАЦИЯ МЕЖДУНАРОДНОГО ЧАСТНОГО ПРАВА</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Джурахонов Баходур Абдужабборович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 4-го курса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Таджикский национальный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eastAsia="Calibri" w:hAnsi="Arial" w:cs="Arial"/>
          <w:color w:val="000000" w:themeColor="text1"/>
          <w:sz w:val="22"/>
          <w:szCs w:val="22"/>
        </w:rPr>
        <w:t>734025, Республика Таджикистан, г. Душанбе, ул. Буни Хисорак, 11</w:t>
      </w:r>
    </w:p>
    <w:p w:rsidR="00A969C6" w:rsidRPr="003A751C"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937-29-71-71</w:t>
      </w:r>
      <w:r w:rsidRPr="00DA76A7">
        <w:rPr>
          <w:rFonts w:ascii="Arial" w:hAnsi="Arial" w:cs="Arial"/>
          <w:color w:val="000000" w:themeColor="text1"/>
          <w:sz w:val="22"/>
          <w:szCs w:val="22"/>
          <w:lang w:val="tg-Cyrl-TJ"/>
        </w:rPr>
        <w:t xml:space="preserve">,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baha</w:t>
      </w:r>
      <w:r w:rsidRPr="003A751C">
        <w:rPr>
          <w:rFonts w:ascii="Arial" w:hAnsi="Arial" w:cs="Arial"/>
          <w:color w:val="000000" w:themeColor="text1"/>
          <w:sz w:val="22"/>
          <w:szCs w:val="22"/>
          <w:lang w:val="en-US"/>
        </w:rPr>
        <w:t>84.</w:t>
      </w:r>
      <w:r w:rsidRPr="00DA76A7">
        <w:rPr>
          <w:rFonts w:ascii="Arial" w:hAnsi="Arial" w:cs="Arial"/>
          <w:color w:val="000000" w:themeColor="text1"/>
          <w:sz w:val="22"/>
          <w:szCs w:val="22"/>
          <w:lang w:val="en-US"/>
        </w:rPr>
        <w:t>hkl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gmail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com</w:t>
      </w:r>
    </w:p>
    <w:p w:rsidR="00A969C6" w:rsidRPr="003A751C"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UNIFICATION OF INTERNATIONAL PRIVATE LAW</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Jurahonov Bahodur Abdujabborovich</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4th year student of the law faculty</w:t>
      </w:r>
    </w:p>
    <w:p w:rsidR="00A969C6" w:rsidRPr="00DA76A7" w:rsidRDefault="00A969C6" w:rsidP="00A96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Tajik national university </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Boonie Khisorak str., 11</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af0"/>
          <w:rFonts w:ascii="Arial" w:hAnsi="Arial" w:cs="Arial"/>
          <w:b/>
          <w:color w:val="000000" w:themeColor="text1"/>
          <w:sz w:val="22"/>
          <w:szCs w:val="22"/>
          <w:u w:val="none"/>
          <w:lang w:val="en-US"/>
        </w:rPr>
      </w:pPr>
      <w:r w:rsidRPr="00DA76A7">
        <w:rPr>
          <w:rFonts w:ascii="Arial" w:hAnsi="Arial" w:cs="Arial"/>
          <w:color w:val="000000" w:themeColor="text1"/>
          <w:sz w:val="22"/>
          <w:szCs w:val="22"/>
          <w:lang w:val="en-US"/>
        </w:rPr>
        <w:t xml:space="preserve">tel.: 937-29-71-71, e-mail: baha84.hkl@gmail.com </w:t>
      </w:r>
    </w:p>
    <w:p w:rsidR="00A969C6" w:rsidRPr="00DA76A7" w:rsidRDefault="00A969C6" w:rsidP="00A969C6">
      <w:pPr>
        <w:ind w:firstLine="567"/>
        <w:rPr>
          <w:rFonts w:ascii="Arial" w:hAnsi="Arial" w:cs="Arial"/>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w:t>
      </w:r>
      <w:r w:rsidRPr="00DA76A7">
        <w:rPr>
          <w:rFonts w:ascii="Arial" w:hAnsi="Arial" w:cs="Arial"/>
          <w:color w:val="000000" w:themeColor="text1"/>
          <w:sz w:val="22"/>
          <w:szCs w:val="22"/>
          <w:shd w:val="clear" w:color="auto" w:fill="FFFFFF"/>
        </w:rPr>
        <w:t>к.ю.н.</w:t>
      </w:r>
      <w:r w:rsidRPr="00DA76A7">
        <w:rPr>
          <w:rFonts w:ascii="Arial" w:hAnsi="Arial" w:cs="Arial"/>
          <w:color w:val="000000" w:themeColor="text1"/>
          <w:sz w:val="22"/>
          <w:szCs w:val="22"/>
        </w:rPr>
        <w:t>, доцент Раджабов М. Н.</w:t>
      </w:r>
    </w:p>
    <w:p w:rsidR="00A969C6" w:rsidRPr="00DA76A7" w:rsidRDefault="00A969C6" w:rsidP="00A969C6">
      <w:pPr>
        <w:ind w:firstLine="567"/>
        <w:rPr>
          <w:rFonts w:ascii="Arial" w:hAnsi="Arial" w:cs="Arial"/>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данной статье рассматриваются общие положения унифицированных норм в международном и</w:t>
      </w:r>
      <w:r w:rsidR="00A969C6" w:rsidRPr="00DA76A7">
        <w:rPr>
          <w:rFonts w:ascii="Arial" w:hAnsi="Arial" w:cs="Arial"/>
          <w:color w:val="000000" w:themeColor="text1"/>
          <w:sz w:val="22"/>
          <w:szCs w:val="22"/>
        </w:rPr>
        <w:t xml:space="preserve"> </w:t>
      </w:r>
      <w:r w:rsidR="00A969C6" w:rsidRPr="00DA76A7">
        <w:rPr>
          <w:rFonts w:ascii="Arial" w:hAnsi="Arial" w:cs="Arial"/>
          <w:i/>
          <w:color w:val="000000" w:themeColor="text1"/>
          <w:sz w:val="22"/>
          <w:szCs w:val="22"/>
        </w:rPr>
        <w:t xml:space="preserve">во внутреннем праве, результаты процесс унификации в международном частном праве, создание одинаковых, унифицированных, норм во внутреннем праве разных стран. </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In this article considering the general position of the unified norms in the international</w:t>
      </w:r>
      <w:r w:rsidR="00A969C6" w:rsidRPr="00DA76A7">
        <w:rPr>
          <w:rFonts w:ascii="Arial" w:hAnsi="Arial" w:cs="Arial"/>
          <w:i/>
          <w:color w:val="000000" w:themeColor="text1"/>
          <w:sz w:val="22"/>
          <w:szCs w:val="22"/>
          <w:lang w:val="tg-Cyrl-TJ"/>
        </w:rPr>
        <w:t xml:space="preserve"> and </w:t>
      </w:r>
      <w:r w:rsidR="00A969C6" w:rsidRPr="00DA76A7">
        <w:rPr>
          <w:rFonts w:ascii="Arial" w:hAnsi="Arial" w:cs="Arial"/>
          <w:i/>
          <w:color w:val="000000" w:themeColor="text1"/>
          <w:sz w:val="22"/>
          <w:szCs w:val="22"/>
          <w:lang w:val="en-US"/>
        </w:rPr>
        <w:t>inner</w:t>
      </w:r>
      <w:r w:rsidR="00A969C6" w:rsidRPr="00DA76A7">
        <w:rPr>
          <w:rFonts w:ascii="Arial" w:hAnsi="Arial" w:cs="Arial"/>
          <w:i/>
          <w:color w:val="000000" w:themeColor="text1"/>
          <w:sz w:val="22"/>
          <w:szCs w:val="22"/>
          <w:lang w:val="tg-Cyrl-TJ"/>
        </w:rPr>
        <w:t xml:space="preserve"> law, the results of the process of unification in private international law, the creation of uniform, unified norms in the </w:t>
      </w:r>
      <w:r w:rsidR="00A969C6" w:rsidRPr="00DA76A7">
        <w:rPr>
          <w:rFonts w:ascii="Arial" w:hAnsi="Arial" w:cs="Arial"/>
          <w:i/>
          <w:color w:val="000000" w:themeColor="text1"/>
          <w:sz w:val="22"/>
          <w:szCs w:val="22"/>
          <w:lang w:val="en-US"/>
        </w:rPr>
        <w:t>inner</w:t>
      </w:r>
      <w:r w:rsidR="00A969C6" w:rsidRPr="00DA76A7">
        <w:rPr>
          <w:rFonts w:ascii="Arial" w:hAnsi="Arial" w:cs="Arial"/>
          <w:i/>
          <w:color w:val="000000" w:themeColor="text1"/>
          <w:sz w:val="22"/>
          <w:szCs w:val="22"/>
          <w:lang w:val="tg-Cyrl-TJ"/>
        </w:rPr>
        <w:t xml:space="preserve"> law of different countries</w:t>
      </w:r>
      <w:r w:rsidR="00A969C6" w:rsidRPr="00DA76A7">
        <w:rPr>
          <w:rFonts w:ascii="Arial" w:hAnsi="Arial" w:cs="Arial"/>
          <w:i/>
          <w:color w:val="000000" w:themeColor="text1"/>
          <w:sz w:val="22"/>
          <w:szCs w:val="22"/>
          <w:lang w:val="en-US"/>
        </w:rPr>
        <w:t>.</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унифицированных норм в международном праве, унифицированных норм во внутреннем праве, частноправовые отношения, международное права.  </w:t>
      </w:r>
    </w:p>
    <w:p w:rsidR="00A969C6" w:rsidRPr="00DA76A7" w:rsidRDefault="00A969C6" w:rsidP="00A969C6">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unified norms in international law, unified norms in inner law, private law relations, international law.</w:t>
      </w:r>
    </w:p>
    <w:p w:rsidR="00A969C6" w:rsidRPr="00DA76A7" w:rsidRDefault="00A969C6" w:rsidP="00A969C6">
      <w:pPr>
        <w:ind w:firstLine="567"/>
        <w:rPr>
          <w:rFonts w:ascii="Arial" w:hAnsi="Arial" w:cs="Arial"/>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Современный мир характеризуется развитием интеграционных процессов, находящих свое проявление в различных сферах социальной действительности. Интеграционные процессы в праве проявляются в нескольких формах. С позиций полисистемного подхода к структуре права интеграция в правовой сфере проявляется во взаимодействии: во-первых, международного и национального права; во-вторых, национальных правовых систем между собой; и, в-третьих, однопорядковых элементов, составляющих национальную правовую систему государства (внутриправовое взаимодействие). Одним из результатов перечисленных форм взаимодействия стало появление такого своеобразного правового феномена, как унификация (унификация права).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Унификация (unie </w:t>
      </w:r>
      <w:r w:rsidRPr="00DA76A7">
        <w:rPr>
          <w:rFonts w:ascii="Arial" w:hAnsi="Arial" w:cs="Arial"/>
          <w:color w:val="000000" w:themeColor="text1"/>
          <w:sz w:val="22"/>
          <w:szCs w:val="22"/>
          <w:lang w:val="en-US"/>
        </w:rPr>
        <w:t>facere</w:t>
      </w:r>
      <w:r w:rsidRPr="00DA76A7">
        <w:rPr>
          <w:rFonts w:ascii="Arial" w:hAnsi="Arial" w:cs="Arial"/>
          <w:color w:val="000000" w:themeColor="text1"/>
          <w:sz w:val="22"/>
          <w:szCs w:val="22"/>
        </w:rPr>
        <w:t xml:space="preserve"> - делать единым)- это создание одинаковых (единообразных), унифицированных, норм во внутри праве разных стран.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Унификация права означает сотрудничество государств, направленное на создание, изменение или прекращение одинаковых (единообразных) правовых норм во внутреннем праве определенного круга государств. В этом качестве унификация является разновидностью правотворческого процесса. Главная особенность этого процесса в том, что он происходит в двух правовых системах - в международном праве и во внутреннем праве государства с применением международно - правовых форм и механизмов.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сегодняшний день унификация охватило вес отрасли внутреннего права государств, в том числе уголовное, уголовный процесс, административное право и др. Но наиболее ощутимых результатов процесс унификации достиг в международном частном праве, что объясняется в его специфике. Будучи частью внутреннего права государства, оно по своей природе экстравертно. Его объектом являются отношение международного характера, которые выходят за пределы одного государство: частноправовые отношения осложненные иностранными элементом.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Есть еще одна причина, способствующая довольно высокой результативности унификации в международном частном праве. Национальное право часто оказывалось неспособным регулировать отношение с международными характеристиками. Особенно отчетливо это проявилось в экономической сфере.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уже говорилось, процесс унификации права протекает в двух правовых системах - и в международном праве, и в национальном. Соответственно нужно различать две стадии унификации:</w:t>
      </w:r>
    </w:p>
    <w:p w:rsidR="00A969C6" w:rsidRPr="00DA76A7" w:rsidRDefault="00A969C6" w:rsidP="00D45D6B">
      <w:pPr>
        <w:pStyle w:val="a6"/>
        <w:numPr>
          <w:ilvl w:val="0"/>
          <w:numId w:val="16"/>
        </w:numPr>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 первом стадии достигается соглашение между государствами по поводу единообразного регулирования определенных отношений, оформляемых международным договором, в котором содержатся правовые нормы, предназначенные для регламентации этих отношений и государства, берут на себя международно - правовые обязательства обеспечить их применение. Данный процесс трудоемкий, сложный и часто длительный. Он сопровождается поисками компромиссных решений с целью согласования позиций разных государств, на которые влияют не только особенности собственных правовых систем, но политические и другие интересы. Иногда тексты договоров согласовываются десятилетиями. Например, прошло 27 лет, как Комиссия международного права ООН в 1977г. начала работать над проектом Конвенции об юрисдикционных иммунитетах, которая была принята в 2004г.</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Принятие международного договора и соответственно международно - правовых обязательств государствами завершает первую стадию унификации. Так как нормы, содержащиеся в договоре, еще не унифицированы, но предназначены стать таковыми, их можно назвать унифицирующими нормами, а сам международный договор - унифицирующим договором. </w:t>
      </w:r>
    </w:p>
    <w:p w:rsidR="00A969C6" w:rsidRPr="00DA76A7" w:rsidRDefault="00A969C6" w:rsidP="00D45D6B">
      <w:pPr>
        <w:pStyle w:val="a6"/>
        <w:numPr>
          <w:ilvl w:val="0"/>
          <w:numId w:val="16"/>
        </w:numPr>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Вторая стадия не менее важна. Она связана с восприятием международно - правовых норм национальным правом. </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Любой международный договор независимо от того, какому конкретному вопросу он посвящен, регулирует отношение между государствами и обязывает только государств - участников. В равной степени это относится и к договору, направленному на унификации права. Венская конвенция 1980г. регулирует не договор купли - продажи, а отношения между государствами по поводу единообразной регламентации купли - продажи, она обязывает государства обеспечить применение предусмотренных Конвенцией соответствующих правовых норм. Только тогда, когда нормы, содержащиеся в международном договоре, станут частью национального (внутреннего) права государств, можно говорить об унификации права как о законченном процессе: во внутреннем праве государств - участников договора появилось одинаковые правовые нормы.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Нормы международного договора должны быть санкционированы государством для применение их в национально - правовой сфере и им должна быть придана юридическая сила национального права.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Восприятие международно-правовых норм национальным правом называется либо трансформацией, либо национальной имплементацией. Процесс восприятия обеспечивается национально-правовыми механизмами. В Республике Таджикистана правовая основа этого процесса предусмотрена в п.3 ст. 10 Конституция:</w:t>
      </w:r>
      <w:r w:rsidRPr="00DA76A7">
        <w:rPr>
          <w:rFonts w:ascii="Arial" w:hAnsi="Arial" w:cs="Arial"/>
          <w:color w:val="000000" w:themeColor="text1"/>
          <w:sz w:val="22"/>
          <w:szCs w:val="22"/>
          <w:shd w:val="clear" w:color="auto" w:fill="F9F9F9"/>
        </w:rPr>
        <w:t xml:space="preserve"> </w:t>
      </w:r>
      <w:r w:rsidRPr="00DA76A7">
        <w:rPr>
          <w:rFonts w:ascii="Arial" w:hAnsi="Arial" w:cs="Arial"/>
          <w:color w:val="000000" w:themeColor="text1"/>
          <w:sz w:val="22"/>
          <w:szCs w:val="22"/>
        </w:rPr>
        <w:t>«Международные правовые акты, признанные Таджикистаном, являются составной частью правовой системы республики».(</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т.10 Конституция Республики Таджикистан) Поэтому данное правило можно рассматривать в качестве общей, или генеральной, трансформационной нормы, согласно которой нормам международных договоров, в которых участвует Таджикистан, придается национально - правовая сила.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унификация права имеет две самостоятельные, но взаимосвязанные стадии: первая проходит в международно - правовой сфере и завещается принятием международно - правовых унифицирующих норм; вторая проходит в национально - правовой сфере и завершается принятием национально - правовых унифицированных норм.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заключение следует подчеркнуть еще одну особенность современного процесса унификации. Он имеет ярко выраженный институтционный характер: первая стадия унификации преимущественно осуществляется в рамках международных организаций. Это черта особенно проявилось во второй половине ХХ в. что является отражением общей тенденции роста роли международных организаций.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Существует международные организации, специализирующиеся на унификации права: Гаагская конференция по международному частному праву, Римская институт по унификации частного права, Комиссия ООН по праву международной торговли. Чаще международные организации, обеспечивающие сотрудничество в конкретных областях, занимаются также права в этих областях. Например, Международная морская организация (ИМО), Международная организация гражданской авиации (ИКАО), Международная организация труда (МОТ), Всемирная организация собственности (ВОИС) и др.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Существует несколько классификаций унифи</w:t>
      </w:r>
      <w:r w:rsidRPr="00DA76A7">
        <w:rPr>
          <w:rFonts w:ascii="Arial" w:hAnsi="Arial" w:cs="Arial"/>
          <w:color w:val="000000" w:themeColor="text1"/>
          <w:sz w:val="22"/>
          <w:szCs w:val="22"/>
        </w:rPr>
        <w:softHyphen/>
        <w:t>кации в зависимости от критерия, положенного в ее основу:</w:t>
      </w:r>
    </w:p>
    <w:p w:rsidR="00A969C6" w:rsidRPr="00DA76A7" w:rsidRDefault="00A969C6" w:rsidP="00D45D6B">
      <w:pPr>
        <w:pStyle w:val="a6"/>
        <w:numPr>
          <w:ilvl w:val="0"/>
          <w:numId w:val="16"/>
        </w:numPr>
        <w:spacing w:after="0" w:line="240" w:lineRule="auto"/>
        <w:ind w:left="0" w:firstLine="567"/>
        <w:jc w:val="both"/>
        <w:rPr>
          <w:rFonts w:ascii="Arial" w:hAnsi="Arial" w:cs="Arial"/>
          <w:color w:val="000000" w:themeColor="text1"/>
        </w:rPr>
      </w:pPr>
      <w:r w:rsidRPr="00DA76A7">
        <w:rPr>
          <w:rFonts w:ascii="Arial" w:hAnsi="Arial" w:cs="Arial"/>
          <w:iCs/>
          <w:color w:val="000000" w:themeColor="text1"/>
        </w:rPr>
        <w:t>Первая классификация</w:t>
      </w:r>
      <w:r w:rsidRPr="00DA76A7">
        <w:rPr>
          <w:rFonts w:ascii="Arial" w:hAnsi="Arial" w:cs="Arial"/>
          <w:color w:val="000000" w:themeColor="text1"/>
        </w:rPr>
        <w:t xml:space="preserve"> сопряжена со </w:t>
      </w:r>
      <w:r w:rsidRPr="00DA76A7">
        <w:rPr>
          <w:rFonts w:ascii="Arial" w:hAnsi="Arial" w:cs="Arial"/>
          <w:iCs/>
          <w:color w:val="000000" w:themeColor="text1"/>
        </w:rPr>
        <w:t>способом правового регулиро</w:t>
      </w:r>
      <w:r w:rsidRPr="00DA76A7">
        <w:rPr>
          <w:rFonts w:ascii="Arial" w:hAnsi="Arial" w:cs="Arial"/>
          <w:iCs/>
          <w:color w:val="000000" w:themeColor="text1"/>
        </w:rPr>
        <w:softHyphen/>
        <w:t>вания</w:t>
      </w:r>
      <w:r w:rsidRPr="00DA76A7">
        <w:rPr>
          <w:rFonts w:ascii="Arial" w:hAnsi="Arial" w:cs="Arial"/>
          <w:color w:val="000000" w:themeColor="text1"/>
        </w:rPr>
        <w:t xml:space="preserve"> частноправовых отношений, осложненных иностранным эле</w:t>
      </w:r>
      <w:r w:rsidRPr="00DA76A7">
        <w:rPr>
          <w:rFonts w:ascii="Arial" w:hAnsi="Arial" w:cs="Arial"/>
          <w:color w:val="000000" w:themeColor="text1"/>
        </w:rPr>
        <w:softHyphen/>
        <w:t>ментом.</w:t>
      </w:r>
    </w:p>
    <w:p w:rsidR="00A969C6" w:rsidRPr="00DA76A7" w:rsidRDefault="00A969C6" w:rsidP="00D45D6B">
      <w:pPr>
        <w:pStyle w:val="a6"/>
        <w:numPr>
          <w:ilvl w:val="0"/>
          <w:numId w:val="16"/>
        </w:numPr>
        <w:spacing w:after="0" w:line="240" w:lineRule="auto"/>
        <w:ind w:left="0" w:firstLine="567"/>
        <w:jc w:val="both"/>
        <w:rPr>
          <w:rFonts w:ascii="Arial" w:hAnsi="Arial" w:cs="Arial"/>
          <w:color w:val="000000" w:themeColor="text1"/>
        </w:rPr>
      </w:pPr>
      <w:r w:rsidRPr="00DA76A7">
        <w:rPr>
          <w:rFonts w:ascii="Arial" w:hAnsi="Arial" w:cs="Arial"/>
          <w:iCs/>
          <w:color w:val="000000" w:themeColor="text1"/>
        </w:rPr>
        <w:t>Вторая классификация</w:t>
      </w:r>
      <w:r w:rsidRPr="00DA76A7">
        <w:rPr>
          <w:rFonts w:ascii="Arial" w:hAnsi="Arial" w:cs="Arial"/>
          <w:color w:val="000000" w:themeColor="text1"/>
        </w:rPr>
        <w:t xml:space="preserve"> основана на </w:t>
      </w:r>
      <w:r w:rsidRPr="00DA76A7">
        <w:rPr>
          <w:rFonts w:ascii="Arial" w:hAnsi="Arial" w:cs="Arial"/>
          <w:iCs/>
          <w:color w:val="000000" w:themeColor="text1"/>
        </w:rPr>
        <w:t>предметном критерии</w:t>
      </w:r>
      <w:r w:rsidRPr="00DA76A7">
        <w:rPr>
          <w:rFonts w:ascii="Arial" w:hAnsi="Arial" w:cs="Arial"/>
          <w:color w:val="000000" w:themeColor="text1"/>
        </w:rPr>
        <w:t>, в зави</w:t>
      </w:r>
      <w:r w:rsidRPr="00DA76A7">
        <w:rPr>
          <w:rFonts w:ascii="Arial" w:hAnsi="Arial" w:cs="Arial"/>
          <w:color w:val="000000" w:themeColor="text1"/>
        </w:rPr>
        <w:softHyphen/>
        <w:t>симости от того, для какого вида частноправовых отношений предна</w:t>
      </w:r>
      <w:r w:rsidRPr="00DA76A7">
        <w:rPr>
          <w:rFonts w:ascii="Arial" w:hAnsi="Arial" w:cs="Arial"/>
          <w:color w:val="000000" w:themeColor="text1"/>
        </w:rPr>
        <w:softHyphen/>
        <w:t>значены унифицированные нормы.</w:t>
      </w:r>
    </w:p>
    <w:p w:rsidR="00A969C6" w:rsidRPr="00DA76A7" w:rsidRDefault="00A969C6" w:rsidP="00D45D6B">
      <w:pPr>
        <w:pStyle w:val="a6"/>
        <w:numPr>
          <w:ilvl w:val="0"/>
          <w:numId w:val="16"/>
        </w:numPr>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Третья классификация связана с классификаций международных договоров, прежде всего основанной на их субъектном составе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Наиболее высокая степень унификации права, особенно материального, достигнуто в области внешнеэкономических отношений. Главным образом унифицированы правовые нормы, регулирующие договор международной купли – продажи (Венская конвенция 1980г.), Нью – Йорская конвенция об исковой давности международной купле – продаже 1974г., Конвенция о праве применимом к договором международной купли – продажи товаров 1986г., Оттавские конвенции о международном финансовом лизинге и международном факторинге 1988г. Большие успехи достигнуты в унификации правовых норм, регулирующих интеллектуальную собственность, международный коммерческий арбитраж. Напротив, в таких сферах, как брачно-семейных отношения, наследственные, которые тесно связанны с национальными историческими, культурными, религиозными особенностями, успехи незначительны.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помощи унификации в международном частном праве создается единообразие регулирования частноправовых отношений с иностранным (международным) элементом. При этом принимаются во внимание особенности международных экономических связей, которые существенно и нередко не учитываются нормами внутреннего права. Новейшие виды внешнеторговых сделок внутренним правом фактически не регулируются, а в унифицированных нормах международных договоров получают необходимую регламентацию. Кроме того, в процессе унификации учитываются интересы участников внешнеторгового оборота (таких, как продавцы и покупатели, перевозчики и грузовладельцы и т.д.), которые нередко различны, и вырабатываются унифицированные нормы, применимые для широкого круга стран. Наконец, унификация норм международного частного права увеличивает охрану прав участников внешнеторгового оборота и обеспечивает процессуальную деятельность суда и арбитража при разрешении возникающих споров.</w:t>
      </w:r>
    </w:p>
    <w:p w:rsidR="00A969C6" w:rsidRPr="00DA76A7" w:rsidRDefault="00A969C6" w:rsidP="00A969C6">
      <w:pPr>
        <w:ind w:firstLine="567"/>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Список литературы:</w:t>
      </w:r>
    </w:p>
    <w:p w:rsidR="00A969C6" w:rsidRPr="00DA76A7" w:rsidRDefault="00A969C6" w:rsidP="00D45D6B">
      <w:pPr>
        <w:pStyle w:val="a6"/>
        <w:numPr>
          <w:ilvl w:val="0"/>
          <w:numId w:val="17"/>
        </w:numPr>
        <w:tabs>
          <w:tab w:val="left" w:pos="851"/>
        </w:tabs>
        <w:spacing w:after="0" w:line="240" w:lineRule="auto"/>
        <w:ind w:left="0" w:firstLine="567"/>
        <w:contextualSpacing w:val="0"/>
        <w:jc w:val="both"/>
        <w:rPr>
          <w:rFonts w:ascii="Arial" w:hAnsi="Arial" w:cs="Arial"/>
          <w:b/>
          <w:color w:val="000000" w:themeColor="text1"/>
          <w:shd w:val="clear" w:color="auto" w:fill="FFFFFF"/>
        </w:rPr>
      </w:pPr>
      <w:r w:rsidRPr="00DA76A7">
        <w:rPr>
          <w:rFonts w:ascii="Arial" w:hAnsi="Arial" w:cs="Arial"/>
          <w:color w:val="000000" w:themeColor="text1"/>
        </w:rPr>
        <w:t xml:space="preserve">Конституция Республики Таджикистан от 6 ноября 1994 г. [Электронный ресурс]. – Режим доступа: </w:t>
      </w:r>
      <w:hyperlink r:id="rId49" w:history="1">
        <w:r w:rsidRPr="00DA76A7">
          <w:rPr>
            <w:rStyle w:val="af0"/>
            <w:rFonts w:ascii="Arial" w:hAnsi="Arial" w:cs="Arial"/>
            <w:color w:val="000000" w:themeColor="text1"/>
            <w:u w:val="none"/>
          </w:rPr>
          <w:t>http://base.mmk.tj/view_sanadhoview.php?showdetail=&amp;sanadID=1&amp;language</w:t>
        </w:r>
      </w:hyperlink>
      <w:r w:rsidRPr="00DA76A7">
        <w:rPr>
          <w:rFonts w:ascii="Arial" w:hAnsi="Arial" w:cs="Arial"/>
          <w:color w:val="000000" w:themeColor="text1"/>
        </w:rPr>
        <w:t>= ru (дата обращения: 28.03.2018).</w:t>
      </w:r>
    </w:p>
    <w:p w:rsidR="00A969C6" w:rsidRPr="00DA76A7" w:rsidRDefault="00A969C6" w:rsidP="00D45D6B">
      <w:pPr>
        <w:pStyle w:val="a6"/>
        <w:numPr>
          <w:ilvl w:val="0"/>
          <w:numId w:val="17"/>
        </w:numPr>
        <w:tabs>
          <w:tab w:val="left" w:pos="851"/>
          <w:tab w:val="left" w:pos="4456"/>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Бахин С.В. Субправо. - СПб.: «Юридический центр Пресс», 2002. – 311 с.</w:t>
      </w:r>
    </w:p>
    <w:p w:rsidR="00A969C6" w:rsidRPr="00DA76A7" w:rsidRDefault="00A969C6" w:rsidP="00D45D6B">
      <w:pPr>
        <w:pStyle w:val="a6"/>
        <w:numPr>
          <w:ilvl w:val="0"/>
          <w:numId w:val="17"/>
        </w:numPr>
        <w:tabs>
          <w:tab w:val="left" w:pos="851"/>
          <w:tab w:val="left" w:pos="4456"/>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Дмитриева Г.К.  Международное частное право: учебник</w:t>
      </w:r>
      <w:r w:rsidRPr="00DA76A7">
        <w:rPr>
          <w:rFonts w:ascii="Arial" w:hAnsi="Arial" w:cs="Arial"/>
          <w:color w:val="000000" w:themeColor="text1"/>
          <w:lang w:val="tg-Cyrl-TJ"/>
        </w:rPr>
        <w:t xml:space="preserve"> </w:t>
      </w:r>
      <w:r w:rsidRPr="00DA76A7">
        <w:rPr>
          <w:rFonts w:ascii="Arial" w:hAnsi="Arial" w:cs="Arial"/>
          <w:color w:val="000000" w:themeColor="text1"/>
        </w:rPr>
        <w:t xml:space="preserve">– </w:t>
      </w:r>
      <w:r w:rsidRPr="00DA76A7">
        <w:rPr>
          <w:rFonts w:ascii="Arial" w:hAnsi="Arial" w:cs="Arial"/>
          <w:color w:val="000000" w:themeColor="text1"/>
          <w:lang w:val="tg-Cyrl-TJ"/>
        </w:rPr>
        <w:t>М.</w:t>
      </w:r>
      <w:r w:rsidRPr="00DA76A7">
        <w:rPr>
          <w:rFonts w:ascii="Arial" w:hAnsi="Arial" w:cs="Arial"/>
          <w:color w:val="000000" w:themeColor="text1"/>
        </w:rPr>
        <w:t>: «Проспект», 2010. - 648 с.</w:t>
      </w:r>
    </w:p>
    <w:p w:rsidR="00A969C6" w:rsidRPr="00DA76A7" w:rsidRDefault="00A969C6" w:rsidP="00D45D6B">
      <w:pPr>
        <w:pStyle w:val="a6"/>
        <w:numPr>
          <w:ilvl w:val="0"/>
          <w:numId w:val="17"/>
        </w:numPr>
        <w:tabs>
          <w:tab w:val="left" w:pos="851"/>
          <w:tab w:val="left" w:pos="4456"/>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Доронина Н.Г. Унификация и гармонизация права в условиях международной интеграции // Журнал российского права. - 2000 - №6 – С. 53-67</w:t>
      </w:r>
    </w:p>
    <w:p w:rsidR="00A969C6" w:rsidRPr="00DA76A7" w:rsidRDefault="00A969C6" w:rsidP="00D45D6B">
      <w:pPr>
        <w:pStyle w:val="a6"/>
        <w:numPr>
          <w:ilvl w:val="0"/>
          <w:numId w:val="17"/>
        </w:numPr>
        <w:tabs>
          <w:tab w:val="left" w:pos="851"/>
          <w:tab w:val="left" w:pos="4456"/>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 xml:space="preserve">Звеков В.П. Международное частное право: курс лекций – </w:t>
      </w:r>
      <w:r w:rsidRPr="00DA76A7">
        <w:rPr>
          <w:rFonts w:ascii="Arial" w:hAnsi="Arial" w:cs="Arial"/>
          <w:color w:val="000000" w:themeColor="text1"/>
          <w:lang w:val="tg-Cyrl-TJ"/>
        </w:rPr>
        <w:t>М.</w:t>
      </w:r>
      <w:r w:rsidRPr="00DA76A7">
        <w:rPr>
          <w:rFonts w:ascii="Arial" w:hAnsi="Arial" w:cs="Arial"/>
          <w:color w:val="000000" w:themeColor="text1"/>
        </w:rPr>
        <w:t xml:space="preserve">: Норма, 1999. – 667 с. </w:t>
      </w:r>
    </w:p>
    <w:p w:rsidR="00A969C6" w:rsidRPr="00DA76A7" w:rsidRDefault="00A969C6" w:rsidP="00A969C6">
      <w:pPr>
        <w:pStyle w:val="a6"/>
        <w:tabs>
          <w:tab w:val="left" w:pos="851"/>
          <w:tab w:val="left" w:pos="4456"/>
        </w:tabs>
        <w:spacing w:after="0" w:line="240" w:lineRule="auto"/>
        <w:ind w:left="0" w:firstLine="567"/>
        <w:jc w:val="both"/>
        <w:rPr>
          <w:rFonts w:ascii="Arial" w:hAnsi="Arial" w:cs="Arial"/>
          <w:color w:val="000000" w:themeColor="text1"/>
        </w:rPr>
      </w:pP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jc w:val="center"/>
        <w:rPr>
          <w:rFonts w:ascii="Arial" w:hAnsi="Arial" w:cs="Arial"/>
          <w:b/>
          <w:caps/>
          <w:color w:val="000000" w:themeColor="text1"/>
          <w:sz w:val="22"/>
          <w:szCs w:val="22"/>
        </w:rPr>
      </w:pPr>
      <w:r w:rsidRPr="00DA76A7">
        <w:rPr>
          <w:rFonts w:ascii="Arial" w:hAnsi="Arial" w:cs="Arial"/>
          <w:b/>
          <w:caps/>
          <w:color w:val="000000" w:themeColor="text1"/>
          <w:sz w:val="22"/>
          <w:szCs w:val="22"/>
        </w:rPr>
        <w:t>об имплементации международных договоров в сфере иностранных инвестиций в национальном законодательстве Российской Федерации</w:t>
      </w:r>
    </w:p>
    <w:p w:rsidR="00A969C6" w:rsidRPr="00DA76A7" w:rsidRDefault="00A969C6" w:rsidP="00A969C6">
      <w:pPr>
        <w:jc w:val="center"/>
        <w:rPr>
          <w:rFonts w:ascii="Arial" w:hAnsi="Arial" w:cs="Arial"/>
          <w:bCs/>
          <w:caps/>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Дядькова Юлия Анатольевна</w:t>
      </w:r>
    </w:p>
    <w:p w:rsidR="00A969C6" w:rsidRPr="00DA76A7" w:rsidRDefault="00A969C6" w:rsidP="00A969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магистрант 2-го года обучения заочного отделения юридического факультета</w:t>
      </w:r>
    </w:p>
    <w:p w:rsidR="00A969C6" w:rsidRPr="00DA76A7" w:rsidRDefault="00A969C6" w:rsidP="00A969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Северо-Кавказский филиал Российского государственного университета правосудия</w:t>
      </w:r>
    </w:p>
    <w:p w:rsidR="00A969C6" w:rsidRPr="00DA76A7" w:rsidRDefault="00A969C6" w:rsidP="00A969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350002, Российская Федерация, г. Краснодар, ул. Леваневского, 187/1</w:t>
      </w:r>
    </w:p>
    <w:p w:rsidR="00A969C6" w:rsidRPr="003A751C" w:rsidRDefault="00A969C6" w:rsidP="00A969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rPr>
        <w:t>тел</w:t>
      </w:r>
      <w:r w:rsidRPr="003A751C">
        <w:rPr>
          <w:rFonts w:ascii="Arial" w:hAnsi="Arial" w:cs="Arial"/>
          <w:bCs/>
          <w:color w:val="000000" w:themeColor="text1"/>
          <w:sz w:val="22"/>
          <w:szCs w:val="22"/>
          <w:lang w:val="en-US"/>
        </w:rPr>
        <w:t xml:space="preserve">.: 988-387-83-38, </w:t>
      </w:r>
      <w:r w:rsidRPr="00DA76A7">
        <w:rPr>
          <w:rFonts w:ascii="Arial" w:hAnsi="Arial" w:cs="Arial"/>
          <w:bCs/>
          <w:color w:val="000000" w:themeColor="text1"/>
          <w:sz w:val="22"/>
          <w:szCs w:val="22"/>
          <w:lang w:val="en-US"/>
        </w:rPr>
        <w:t>e</w:t>
      </w:r>
      <w:r w:rsidRPr="003A751C">
        <w:rPr>
          <w:rFonts w:ascii="Arial" w:hAnsi="Arial" w:cs="Arial"/>
          <w:bCs/>
          <w:color w:val="000000" w:themeColor="text1"/>
          <w:sz w:val="22"/>
          <w:szCs w:val="22"/>
          <w:lang w:val="en-US"/>
        </w:rPr>
        <w:t>-</w:t>
      </w:r>
      <w:r w:rsidRPr="00DA76A7">
        <w:rPr>
          <w:rFonts w:ascii="Arial" w:hAnsi="Arial" w:cs="Arial"/>
          <w:bCs/>
          <w:color w:val="000000" w:themeColor="text1"/>
          <w:sz w:val="22"/>
          <w:szCs w:val="22"/>
          <w:lang w:val="en-US"/>
        </w:rPr>
        <w:t>mail</w:t>
      </w:r>
      <w:r w:rsidRPr="003A751C">
        <w:rPr>
          <w:rFonts w:ascii="Arial" w:hAnsi="Arial" w:cs="Arial"/>
          <w:bCs/>
          <w:color w:val="000000" w:themeColor="text1"/>
          <w:sz w:val="22"/>
          <w:szCs w:val="22"/>
          <w:lang w:val="en-US"/>
        </w:rPr>
        <w:t xml:space="preserve">: </w:t>
      </w:r>
      <w:r w:rsidRPr="00DA76A7">
        <w:rPr>
          <w:rFonts w:ascii="Arial" w:hAnsi="Arial" w:cs="Arial"/>
          <w:bCs/>
          <w:color w:val="000000" w:themeColor="text1"/>
          <w:sz w:val="22"/>
          <w:szCs w:val="22"/>
          <w:lang w:val="en-US"/>
        </w:rPr>
        <w:t>skfrap</w:t>
      </w:r>
      <w:r w:rsidRPr="003A751C">
        <w:rPr>
          <w:rFonts w:ascii="Arial" w:hAnsi="Arial" w:cs="Arial"/>
          <w:bCs/>
          <w:color w:val="000000" w:themeColor="text1"/>
          <w:sz w:val="22"/>
          <w:szCs w:val="22"/>
          <w:lang w:val="en-US"/>
        </w:rPr>
        <w:t>-</w:t>
      </w:r>
      <w:r w:rsidRPr="00DA76A7">
        <w:rPr>
          <w:rFonts w:ascii="Arial" w:hAnsi="Arial" w:cs="Arial"/>
          <w:bCs/>
          <w:color w:val="000000" w:themeColor="text1"/>
          <w:sz w:val="22"/>
          <w:szCs w:val="22"/>
          <w:lang w:val="en-US"/>
        </w:rPr>
        <w:t>mp</w:t>
      </w:r>
      <w:r w:rsidRPr="003A751C">
        <w:rPr>
          <w:rFonts w:ascii="Arial" w:hAnsi="Arial" w:cs="Arial"/>
          <w:bCs/>
          <w:color w:val="000000" w:themeColor="text1"/>
          <w:sz w:val="22"/>
          <w:szCs w:val="22"/>
          <w:lang w:val="en-US"/>
        </w:rPr>
        <w:t>@</w:t>
      </w:r>
      <w:r w:rsidRPr="00DA76A7">
        <w:rPr>
          <w:rFonts w:ascii="Arial" w:hAnsi="Arial" w:cs="Arial"/>
          <w:bCs/>
          <w:color w:val="000000" w:themeColor="text1"/>
          <w:sz w:val="22"/>
          <w:szCs w:val="22"/>
          <w:lang w:val="en-US"/>
        </w:rPr>
        <w:t>yandex</w:t>
      </w:r>
      <w:r w:rsidRPr="003A751C">
        <w:rPr>
          <w:rFonts w:ascii="Arial" w:hAnsi="Arial" w:cs="Arial"/>
          <w:bCs/>
          <w:color w:val="000000" w:themeColor="text1"/>
          <w:sz w:val="22"/>
          <w:szCs w:val="22"/>
          <w:lang w:val="en-US"/>
        </w:rPr>
        <w:t>.</w:t>
      </w:r>
      <w:r w:rsidRPr="00DA76A7">
        <w:rPr>
          <w:rFonts w:ascii="Arial" w:hAnsi="Arial" w:cs="Arial"/>
          <w:bCs/>
          <w:color w:val="000000" w:themeColor="text1"/>
          <w:sz w:val="22"/>
          <w:szCs w:val="22"/>
          <w:lang w:val="en-US"/>
        </w:rPr>
        <w:t>ru</w:t>
      </w:r>
    </w:p>
    <w:p w:rsidR="00A969C6" w:rsidRPr="003A751C" w:rsidRDefault="00A969C6" w:rsidP="00A969C6">
      <w:pPr>
        <w:jc w:val="center"/>
        <w:rPr>
          <w:rFonts w:ascii="Arial" w:hAnsi="Arial" w:cs="Arial"/>
          <w:bCs/>
          <w:color w:val="000000" w:themeColor="text1"/>
          <w:sz w:val="22"/>
          <w:szCs w:val="22"/>
          <w:lang w:val="en-US"/>
        </w:rPr>
      </w:pPr>
    </w:p>
    <w:p w:rsidR="00A969C6" w:rsidRPr="00DA76A7" w:rsidRDefault="00A969C6" w:rsidP="00A969C6">
      <w:pPr>
        <w:jc w:val="center"/>
        <w:rPr>
          <w:rFonts w:ascii="Arial" w:hAnsi="Arial" w:cs="Arial"/>
          <w:b/>
          <w:caps/>
          <w:color w:val="000000" w:themeColor="text1"/>
          <w:sz w:val="22"/>
          <w:szCs w:val="22"/>
          <w:lang w:val="en-US"/>
        </w:rPr>
      </w:pPr>
      <w:r w:rsidRPr="00DA76A7">
        <w:rPr>
          <w:rFonts w:ascii="Arial" w:hAnsi="Arial" w:cs="Arial"/>
          <w:b/>
          <w:caps/>
          <w:color w:val="000000" w:themeColor="text1"/>
          <w:sz w:val="22"/>
          <w:szCs w:val="22"/>
          <w:lang w:val="en-US"/>
        </w:rPr>
        <w:t>CONCERNING THE IMPLEMENTATION OF INTERNATIONAL TREATIES IN THE FIELD OF FOREIGN INVESTMENTS WITHIN THE NATIONAL LEGISLATION OF THE RUSSIAN FEDERATION</w:t>
      </w:r>
    </w:p>
    <w:p w:rsidR="00A969C6" w:rsidRPr="00DA76A7" w:rsidRDefault="00A969C6" w:rsidP="00A969C6">
      <w:pPr>
        <w:jc w:val="center"/>
        <w:rPr>
          <w:rFonts w:ascii="Arial" w:hAnsi="Arial" w:cs="Arial"/>
          <w:bCs/>
          <w:caps/>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Dyadkova Yuliya Anatolyevna</w:t>
      </w:r>
    </w:p>
    <w:p w:rsidR="00A969C6" w:rsidRPr="00DA76A7" w:rsidRDefault="00A969C6" w:rsidP="00A969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2 year master student of part-time educational program of the faculty of law</w:t>
      </w:r>
    </w:p>
    <w:p w:rsidR="00A969C6" w:rsidRPr="00DA76A7" w:rsidRDefault="00A969C6" w:rsidP="00A969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 xml:space="preserve">Russian state university of Justice </w:t>
      </w:r>
      <w:r w:rsidR="001321A8" w:rsidRPr="00DA76A7">
        <w:rPr>
          <w:rFonts w:ascii="Arial" w:hAnsi="Arial" w:cs="Arial"/>
          <w:bCs/>
          <w:color w:val="000000" w:themeColor="text1"/>
          <w:sz w:val="22"/>
          <w:szCs w:val="22"/>
          <w:lang w:val="en-US"/>
        </w:rPr>
        <w:t>North C</w:t>
      </w:r>
      <w:r w:rsidRPr="00DA76A7">
        <w:rPr>
          <w:rFonts w:ascii="Arial" w:hAnsi="Arial" w:cs="Arial"/>
          <w:bCs/>
          <w:color w:val="000000" w:themeColor="text1"/>
          <w:sz w:val="22"/>
          <w:szCs w:val="22"/>
          <w:lang w:val="en-US"/>
        </w:rPr>
        <w:t>aucasian branch</w:t>
      </w:r>
    </w:p>
    <w:p w:rsidR="00A969C6" w:rsidRPr="00DA76A7" w:rsidRDefault="00A969C6" w:rsidP="00A969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 xml:space="preserve">350002, Russian Federation, Krasnodar, Levanevskogo st., 187/1 </w:t>
      </w:r>
    </w:p>
    <w:p w:rsidR="00A969C6" w:rsidRPr="00DA76A7" w:rsidRDefault="00A969C6" w:rsidP="00A969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it-IT"/>
        </w:rPr>
        <w:t>tel</w:t>
      </w:r>
      <w:r w:rsidRPr="00DA76A7">
        <w:rPr>
          <w:rFonts w:ascii="Arial" w:hAnsi="Arial" w:cs="Arial"/>
          <w:bCs/>
          <w:color w:val="000000" w:themeColor="text1"/>
          <w:sz w:val="22"/>
          <w:szCs w:val="22"/>
          <w:lang w:val="en-US"/>
        </w:rPr>
        <w:t xml:space="preserve">.: 988-387-83-38, </w:t>
      </w:r>
      <w:r w:rsidRPr="00DA76A7">
        <w:rPr>
          <w:rFonts w:ascii="Arial" w:hAnsi="Arial" w:cs="Arial"/>
          <w:bCs/>
          <w:color w:val="000000" w:themeColor="text1"/>
          <w:sz w:val="22"/>
          <w:szCs w:val="22"/>
          <w:lang w:val="it-IT"/>
        </w:rPr>
        <w:t>e</w:t>
      </w:r>
      <w:r w:rsidRPr="00DA76A7">
        <w:rPr>
          <w:rFonts w:ascii="Arial" w:hAnsi="Arial" w:cs="Arial"/>
          <w:bCs/>
          <w:color w:val="000000" w:themeColor="text1"/>
          <w:sz w:val="22"/>
          <w:szCs w:val="22"/>
          <w:lang w:val="en-US"/>
        </w:rPr>
        <w:t>-</w:t>
      </w:r>
      <w:r w:rsidRPr="00DA76A7">
        <w:rPr>
          <w:rFonts w:ascii="Arial" w:hAnsi="Arial" w:cs="Arial"/>
          <w:bCs/>
          <w:color w:val="000000" w:themeColor="text1"/>
          <w:sz w:val="22"/>
          <w:szCs w:val="22"/>
          <w:lang w:val="it-IT"/>
        </w:rPr>
        <w:t>mail</w:t>
      </w:r>
      <w:r w:rsidRPr="00DA76A7">
        <w:rPr>
          <w:rFonts w:ascii="Arial" w:hAnsi="Arial" w:cs="Arial"/>
          <w:bCs/>
          <w:color w:val="000000" w:themeColor="text1"/>
          <w:sz w:val="22"/>
          <w:szCs w:val="22"/>
          <w:lang w:val="en-US"/>
        </w:rPr>
        <w:t xml:space="preserve">: </w:t>
      </w:r>
      <w:r w:rsidRPr="00DA76A7">
        <w:rPr>
          <w:rFonts w:ascii="Arial" w:hAnsi="Arial" w:cs="Arial"/>
          <w:bCs/>
          <w:color w:val="000000" w:themeColor="text1"/>
          <w:sz w:val="22"/>
          <w:szCs w:val="22"/>
          <w:lang w:val="it-IT"/>
        </w:rPr>
        <w:t>skfrap</w:t>
      </w:r>
      <w:r w:rsidRPr="00DA76A7">
        <w:rPr>
          <w:rFonts w:ascii="Arial" w:hAnsi="Arial" w:cs="Arial"/>
          <w:bCs/>
          <w:color w:val="000000" w:themeColor="text1"/>
          <w:sz w:val="22"/>
          <w:szCs w:val="22"/>
          <w:lang w:val="en-US"/>
        </w:rPr>
        <w:t>-</w:t>
      </w:r>
      <w:r w:rsidRPr="00DA76A7">
        <w:rPr>
          <w:rFonts w:ascii="Arial" w:hAnsi="Arial" w:cs="Arial"/>
          <w:bCs/>
          <w:color w:val="000000" w:themeColor="text1"/>
          <w:sz w:val="22"/>
          <w:szCs w:val="22"/>
          <w:lang w:val="it-IT"/>
        </w:rPr>
        <w:t>mp</w:t>
      </w:r>
      <w:r w:rsidRPr="00DA76A7">
        <w:rPr>
          <w:rFonts w:ascii="Arial" w:hAnsi="Arial" w:cs="Arial"/>
          <w:bCs/>
          <w:color w:val="000000" w:themeColor="text1"/>
          <w:sz w:val="22"/>
          <w:szCs w:val="22"/>
          <w:lang w:val="en-US"/>
        </w:rPr>
        <w:t>@</w:t>
      </w:r>
      <w:r w:rsidRPr="00DA76A7">
        <w:rPr>
          <w:rFonts w:ascii="Arial" w:hAnsi="Arial" w:cs="Arial"/>
          <w:bCs/>
          <w:color w:val="000000" w:themeColor="text1"/>
          <w:sz w:val="22"/>
          <w:szCs w:val="22"/>
          <w:lang w:val="it-IT"/>
        </w:rPr>
        <w:t>yandex</w:t>
      </w:r>
      <w:r w:rsidRPr="00DA76A7">
        <w:rPr>
          <w:rFonts w:ascii="Arial" w:hAnsi="Arial" w:cs="Arial"/>
          <w:bCs/>
          <w:color w:val="000000" w:themeColor="text1"/>
          <w:sz w:val="22"/>
          <w:szCs w:val="22"/>
          <w:lang w:val="en-US"/>
        </w:rPr>
        <w:t>.</w:t>
      </w:r>
      <w:r w:rsidRPr="00DA76A7">
        <w:rPr>
          <w:rFonts w:ascii="Arial" w:hAnsi="Arial" w:cs="Arial"/>
          <w:bCs/>
          <w:color w:val="000000" w:themeColor="text1"/>
          <w:sz w:val="22"/>
          <w:szCs w:val="22"/>
          <w:lang w:val="it-IT"/>
        </w:rPr>
        <w:t>ru</w:t>
      </w:r>
    </w:p>
    <w:p w:rsidR="00A969C6" w:rsidRPr="00DA76A7" w:rsidRDefault="00A969C6" w:rsidP="00A969C6">
      <w:pPr>
        <w:ind w:firstLine="567"/>
        <w:jc w:val="center"/>
        <w:rPr>
          <w:rFonts w:ascii="Arial" w:hAnsi="Arial" w:cs="Arial"/>
          <w:bCs/>
          <w:color w:val="000000" w:themeColor="text1"/>
          <w:sz w:val="22"/>
          <w:szCs w:val="22"/>
          <w:lang w:val="en-US"/>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bCs/>
          <w:i/>
          <w:color w:val="000000" w:themeColor="text1"/>
          <w:sz w:val="22"/>
          <w:szCs w:val="22"/>
        </w:rPr>
        <w:t xml:space="preserve"> статья содержит анализ </w:t>
      </w:r>
      <w:r w:rsidR="00A969C6" w:rsidRPr="00DA76A7">
        <w:rPr>
          <w:rFonts w:ascii="Arial" w:hAnsi="Arial" w:cs="Arial"/>
          <w:i/>
          <w:color w:val="000000" w:themeColor="text1"/>
          <w:sz w:val="22"/>
          <w:szCs w:val="22"/>
        </w:rPr>
        <w:t>двусторонних и многосторонних международных договоров в сфере иностранных инвестиций. Особое внимание автор уделяет имплементации данных международных договоров в национальном законодательстве Российской Федерации. Так, автор поддерживает ряд российских ученых в том, что ратификация Вашингтонской конвенции об урегулировании инвестиционных споров между государствами и физическими или юридическими лицами других государств должна стать весомым шагом на пути интеграции Российской Федерации в мировое экономическое пространство.</w:t>
      </w:r>
    </w:p>
    <w:p w:rsidR="00A969C6" w:rsidRPr="00DA76A7" w:rsidRDefault="00081412" w:rsidP="00A969C6">
      <w:pPr>
        <w:ind w:firstLine="567"/>
        <w:jc w:val="both"/>
        <w:rPr>
          <w:rFonts w:ascii="Arial" w:hAnsi="Arial" w:cs="Arial"/>
          <w:bCs/>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Cs/>
          <w:i/>
          <w:color w:val="000000" w:themeColor="text1"/>
          <w:sz w:val="22"/>
          <w:szCs w:val="22"/>
          <w:lang w:val="en-US"/>
        </w:rPr>
        <w:t xml:space="preserve"> the article contains analysis of bilateral and multilateral international treaties in the field of foreign investments. Author pays specific attention to the implementation of the indicated international treaties within the national legislation of the Russian Federation. So, author supports a range of Russian scholars concerning proposition that ratification of the ICSID Convention on the Settlement of Investment Disputes Between States and Nationals of Other States should become an important step on the way of the Russian Federation integration into the international economic area.</w:t>
      </w:r>
    </w:p>
    <w:p w:rsidR="00A969C6" w:rsidRPr="00DA76A7" w:rsidRDefault="00A969C6" w:rsidP="00A969C6">
      <w:pPr>
        <w:ind w:firstLine="567"/>
        <w:jc w:val="both"/>
        <w:rPr>
          <w:rFonts w:ascii="Arial" w:hAnsi="Arial" w:cs="Arial"/>
          <w:bCs/>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bCs/>
          <w:i/>
          <w:color w:val="000000" w:themeColor="text1"/>
          <w:sz w:val="22"/>
          <w:szCs w:val="22"/>
        </w:rPr>
        <w:t xml:space="preserve"> иностранные инвестиции; международное инвестиционное право; международные договоры в сфере иностранных инвестиций; имплементация; инвестиционное законодательство Российской Федерации.</w:t>
      </w:r>
    </w:p>
    <w:p w:rsidR="00A969C6" w:rsidRPr="00DA76A7" w:rsidRDefault="00A969C6" w:rsidP="00A969C6">
      <w:pPr>
        <w:ind w:firstLine="567"/>
        <w:jc w:val="both"/>
        <w:rPr>
          <w:rFonts w:ascii="Arial" w:hAnsi="Arial" w:cs="Arial"/>
          <w:bCs/>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bCs/>
          <w:i/>
          <w:color w:val="000000" w:themeColor="text1"/>
          <w:sz w:val="22"/>
          <w:szCs w:val="22"/>
          <w:lang w:val="en-US"/>
        </w:rPr>
        <w:t xml:space="preserve"> foreign investments; international investment law; international treaties in the field of foreign investments; implementation; investment legislation of the Russian Federation.</w:t>
      </w:r>
    </w:p>
    <w:p w:rsidR="00A969C6" w:rsidRPr="00DA76A7" w:rsidRDefault="00A969C6" w:rsidP="00A969C6">
      <w:pPr>
        <w:ind w:firstLine="567"/>
        <w:jc w:val="both"/>
        <w:rPr>
          <w:rFonts w:ascii="Arial" w:hAnsi="Arial" w:cs="Arial"/>
          <w:bCs/>
          <w:i/>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международно-правовое регулирование иностранных инвестиций строится на системе многочисленных двусторонних международных договоров о защите и поощрении капиталовложений. По данным Конференции ООН по торговле и развитию (ЮНКТАД) с момента заключения первого подобного договора к настоящему времени число двусторонних договоров о защите и поощрении капиталовложений превысило 2 600 [17, 185]. Пространственные рамки их действия приняли глобальный характер: каждое развитое государство и более 90 развивающихся стран на сегодня выступают в качестве одной из сторон хотя бы в одном таком международном договоре [17, 185].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Российская Федерация, по оценкам отечественных специалистов, является участницей или правопреемницей порядка 60-70 подобных договоров [13, 16-21]. Предмет таких международных договоров традиционно составляют защита иностранных инвестиций от некоммерческих, или политических, рисков и стимулирование притока иностранных инвестиций путем предоставления им льгот и привилегий [8, 109-134]. Большинство двусторонних международных договоров о защите и поощрении капиталовложений гарантируют в своих положениях основные права иностранных инвесторов, а именно: право на полную защиту и безопасность, в соответствии с которым принимающее государство обязуется компенсировать инвестору любой ущерб, причиненный неправомерными действиями официальных властей; право на справедливое и равное отношение, в соответствии с которым принимающее государство обязуется воздерживаться от принятия неоправданных или дискриминационных мер, могущих нанести ущерб капиталовложениям; право на осуществление деятельности в условиях применения национального режима и режима наиболее благоприятствуемой нации; право на репатриацию доходов и капиталовложений; право на защиту от незаконной экспроприации собственности и компенсацию в случае ее изъятия на недискриминационной основе в публичных интересах; право на урегулирование споров в независимом международном суде или арбитраже [14, 213-214].</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Итак, в текущий период развития человечества международное регулирование защиты иностранных инвестиций строится в основном на системе двусторонних международных договоров о защите и поощрении капиталовложений. В этой связи необходимо обратить особое внимание на то, что двусторонний характер таких договоров обуславливает предоставление гарантий и преимуществ инвесторам из одного строго определенного государства, реализующим инвестиционные проекты на территории другого строго определенного государства. Как следствие, в рамках одного государства инвесторы из различных стран пользуются различным набором прав в зависимости от того, под действие каких двусторонних договоров о защите и поощрении капиталовложений они подпадают [16, 232].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Развитие регулирования защиты иностранных инвестиций характеризуется тем, что формирование международно-правового и национально-правового блоков происходило параллельно как два взаимосвязанных процесса, но при этом создание международных норм предшествовало созданию национальных. В этой связи мы считаем необходимым предварить содержательное исследование международных многосторонних договоров об иностранных инвестициях изучением вопроса о месте таких договоров в правовой системе и практике Российской Федерации.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п. 1 ст. 3 Федерального закона РФ «Об иностранных инвестициях в Российской Федерации» «правовое регулирование иностранных инвестиций на территории Российской Федерации осуществляется указанным федеральным законом, другими федеральными законами и иными нормативными правовыми актами Российской Федерации, а также международными договорами Российской Федерации» [5]. Обращает на себя внимание тот факт, что в изложенной формулировке законодатель придает международным договорам в некой мере дополнительное, второстепенное значение.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Мы поддерживаем авторов, полагающих, что данный подход не соответствует широко известному положению ч. 4 ст. 15 Конституции РФ, согласно которому «общепризнанные принципы и нормы международного права и международные договоры Российской Федерации являются составной частью ее правовой системы, и при этом если международным договором Российской Федерации установлены иные правила, чем предусмотренные законом, то подлежат применению правила международного договора» [1].</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Примечательно, что даже в широко известном Постановлении Конституционного Суда РФ по вопросам, возникающим в связи с исполнением постановлений Европейского Суда по правам человека, не подвергается сомнению непреложное значение ч. 4 ст. 15 Конституции РФ и в связи с этим подчеркивается: «Будучи правовым демократическим государством, Россия как член мирового сообщества, в котором действуют общепризнанные принципы и нормы международного права, заключает международные договоры и участвует в межгосударственных объединениях» [6].</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этом основании мы считаем необходимым поддержать значительный круг ученых, по мнению которых международные договоры выступают ключевым инструментом правового регулирования защиты иностранных инвестиций. Как отмечается в научной литературе, в области защиты иностранных инвестиций международные инструменты выполняют две функции: во-первых, они создают благоприятный инвестиционный климат и тем самым обеспечивают приток иностранного капитала в экономику страны; во-вторых, устанавливают нормативные и организационные гарантии для различных отечественных капиталовложений за рубежом [15, 206-210].</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мы отмечали ранее, современное международное регулирование защиты иностранных инвестиций строится на двусторонних международных договорах о защите и поощрении капиталовложений. Однако, двусторонний характер таких договоров обуславливает тот факт, что в рамках одного государства инвесторы из различных стран пользуются различным набором прав в зависимости от того, под действие каких международных инструментов они подпадают. По этой причине мы также полагаем, что развитие правового регулирования защиты иностранных инвестиций будет в дальнейшем происходить по пути разработки и принятия универсальных международных договоров и, следовательно, по пути перехода от двустороннего к многостороннему регулированию.</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Тем не менее, на современном этапе развития человечества на уровне многосторонних международных договоров получили регламентацию только отдельные процессы, которые связанны с инвестированием: страхование инвестиций и урегулирование инвестиционных споров. Как следствие, в рамках настоящей научной статьи мы уделим более пристальное внимание международному регулированию обозначенных процессов.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Сеульская конвенция об учреждении Многостороннего агентства по гарантиям инвестиций была заключена в 1985 г. и ратифицирована Российской Федерацией в 1992 г. [2] В соответствии со ст. 2 Конвенции задача агентства состоит в том, чтобы стимулировать поток инвестиций в производительных целях между странами-членами и особенно в развивающиеся страны, дополняя таким образом деятельность Международного банка реконструкции и развития, Международной финансовой корпорации и других финансовых учреждений развития. При этом для достижения такой цели агентство предоставляет гарантии, включая совместное и повторное страхование от некоммерческих рисков в отношении инвестиций, осуществляемых в какой-либо стране-члене из других стран-членов; проводит соответствующую дополнительную деятельность по оказанию содействия потоку инвестиций в развивающиеся страны-члены и между ними; а также пользуется такими другими дополнительными полномочиями, которые могут потребоваться для достижения обозначенной цели.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хотя в целом анализируемая конвенция и участие в ней Российской Федерации получают позитивную оценку в научной литературе, отдельные авторы обращают внимание на то, что Вашингтонская конвенция об урегулировании инвестиционных споров между государствами и физическими или юридическими лицами других государств, Сеульская конвенция об учреждении Многостороннего агентства по гарантиям инвестиций, а также двусторонние международные договоры о защите и поощрении капиталовложений составляют единый международно-правовой механизм защиты иностранных инвестиций [11, 45; 12, 66-78]. Но Вашингтонская конвенция была заключена в 1965 г., подписана Российской Федерацией в 1992 г. и при этом не ратифицирована по настоящее время [3].</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в соответствии с ч. 4 ст. 15 Конституции Российской Федерации «общепризнанные принципы и нормы международного права и международные договоры Российской Федерации являются составной частью ее правовой системы. При этом если международным договором Российской Федерации установлены иные правила, чем предусмотренные законом, то подлежат применению правила международного договора» [1]. Однако, согласно ч. 1 ст. 15 Федерального закона «О международных договорах Российской Федерации» «международные договоры Российской Федерации, исполнение которых требует изменения действующих или принятия новых федеральных законов, а также устанавливающие иные правила, чем предусмотренные законом, подлежат ратификации» [4]. На указанные положения внимание судов обращено в п. 5 Постановления Пленума Верховного Суда РФ «О применении судами общей юрисдикции общепризнанных принципов и норм международного права и международных договоров Российской Федерации» [7].</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изложенным необходимо рассмотреть вопрос о целесообразности ратификации Вашингтонской конвенции об урегулировании инвестиционных споров между государствами и физическими или юридическими лицами других государств. На основании ст. 1 данной Конвенции был учрежден Международный центр по урегулированию инвестиционных споров, задача которого состоит в предоставлении структур для примирения и арбитража в связи с инвестиционными спорами между государствами и физическими или юридическими лицами других государств. На сегодняшний день, по данным официального сайта центра, 158 государств подписали конвенцию, из которых 150 государств стали ее участниками посредством ратификации или иных установленных процедур [20].</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отечественной юридической науке неоднократно высказывались весьма обоснованные мнения о целесообразности ратификации Российской Федерацией указанной конвенции [9, 77-83; 10, 53-67; 19, 162-171; 15, 206-210]. В частности, Н. Г. Доронина в своем выступлении в 2008 г. на Международном научном симпозиуме на тему «Принцип соблюдения международных договоров: коллизии международного и национального права» прямо заявила: «Тот факт, что Вашингтонская конвенция не была ратифицирована Российской Федерацией, является большим недостатком правового регулирования иностранных инвестиций» [18, 132]. Мы полностью поддерживаем ученых и также придерживаемся точки зрения, в соответствии с которой ратификация указанной конвенции Российской Федерации внесет существенный вклад в интеграцию государства и его национальных субъектов в мировое экономическое пространство.</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итогам настоящего исследования важно сделать следующие выводы. В настоящее время система международно-правового регулирования иностранных инвестиций строится на двусторонних международных договорах о защите и поощрении капиталовложений. Однако, мы считаем, что дальнейшее развитие в исследуемой области будет происходить по пути разработки универсальных международных договоров и, следовательно, по пути перехода от двустороннего к многостороннему регулированию.</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то, что на современном этапе мировое сообщество не показало готовность к появлению универсального международного договора в области защиты иностранных инвестиций, на уровне многосторонних договоров уже получили регламентацию отдельные процедуры, связанные с инвестированием: страхование инвестиций и урегулирование инвестиционных споров.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этой связи мы читаем необходимым всецело поддержать отечественных ученых в том, что ратификация Российской Федерацией Вашингтонской конвенции об урегулировании инвестиционных споров между государствами и физическими или юридическими лицами других государств должна стать весомым шагом на пути интеграции государства и его национальных субъектов в мировое экономическое пространство.</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Список литературы:</w:t>
      </w:r>
    </w:p>
    <w:p w:rsidR="00A969C6" w:rsidRPr="00DA76A7" w:rsidRDefault="00A969C6" w:rsidP="00D45D6B">
      <w:pPr>
        <w:pStyle w:val="a6"/>
        <w:numPr>
          <w:ilvl w:val="0"/>
          <w:numId w:val="1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Конституция Российской Федерации, принята всенародным голосованием 12 декабря 1993 г. // СЗ РФ. – 2014. – № 9. – Ст. 851.</w:t>
      </w:r>
    </w:p>
    <w:p w:rsidR="00A969C6" w:rsidRPr="00DA76A7" w:rsidRDefault="00A969C6" w:rsidP="00D45D6B">
      <w:pPr>
        <w:pStyle w:val="a6"/>
        <w:numPr>
          <w:ilvl w:val="0"/>
          <w:numId w:val="1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Конвенция об учреждении Многостороннего агентства по гарантиям инвестиций от 11 октября 1985 г. (г. Сеул) (Конвенция вступила в силу 12 апреля 1988 г. Российская Федерация ратифицировала конвенцию 22 декабря 1992 г. Конвенция вступила в силу для Российской Федерации 29 декабря 1992 г.) // Международно-правовые основы иностранных инвестиций в России: Сборник нормативных актов и документов. – М., 1995. – С. 197</w:t>
      </w:r>
      <w:r w:rsidRPr="00DA76A7">
        <w:rPr>
          <w:rFonts w:ascii="Arial" w:hAnsi="Arial" w:cs="Arial"/>
          <w:color w:val="000000" w:themeColor="text1"/>
        </w:rPr>
        <w:noBreakHyphen/>
        <w:t>276.</w:t>
      </w:r>
    </w:p>
    <w:p w:rsidR="00A969C6" w:rsidRPr="00DA76A7" w:rsidRDefault="00A969C6" w:rsidP="00D45D6B">
      <w:pPr>
        <w:pStyle w:val="a6"/>
        <w:numPr>
          <w:ilvl w:val="0"/>
          <w:numId w:val="1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Конвенция об урегулировании инвестиционных споров между государствами и физическими или юридическими лицами других государств от 18 марта 1965 г. (г. Вашингтон) (Конвенция вступила в силу 14 октября 1966 г. Российская Федерация подписала Конвенцию 16 июня 1992 г. Конвенция не вступила в силу для Российской Федерации) // Регистр текстов международных конвенций и других документов, касающихся права международной торговли. Т. II. – Нью-Йорк, 1973. – С. 54</w:t>
      </w:r>
      <w:r w:rsidRPr="00DA76A7">
        <w:rPr>
          <w:rFonts w:ascii="Arial" w:hAnsi="Arial" w:cs="Arial"/>
          <w:color w:val="000000" w:themeColor="text1"/>
        </w:rPr>
        <w:noBreakHyphen/>
        <w:t>77.</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Федеральный закон Российской Федерации «О международных договорах Российской Федерации» от 15 июля 1995 г. № 101</w:t>
      </w:r>
      <w:r w:rsidRPr="00DA76A7">
        <w:rPr>
          <w:rFonts w:ascii="Arial" w:hAnsi="Arial" w:cs="Arial"/>
          <w:color w:val="000000" w:themeColor="text1"/>
        </w:rPr>
        <w:noBreakHyphen/>
        <w:t>ФЗ // СЗ РФ. – 1995. – № 29. – Ст. 2757.</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Федеральный закон Российской Федерации «Об иностранных инвестициях в Российской Федерации» от 09 июля 1999 г. № 160</w:t>
      </w:r>
      <w:r w:rsidRPr="00DA76A7">
        <w:rPr>
          <w:rFonts w:ascii="Arial" w:hAnsi="Arial" w:cs="Arial"/>
          <w:color w:val="000000" w:themeColor="text1"/>
        </w:rPr>
        <w:noBreakHyphen/>
        <w:t>ФЗ // СЗ РФ. – 1999. – № 28. – Ст. 3493.</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Постановление Конституционного Суда РФ от 14 июля 2015 г. № 21-П «По делу о проверке конституционности положений статьи 1 Федерального закона «О ратификации Конвенции о защите прав человека и основных свобод и Протоколов к ней», пунктов 1 и 2 статьи 32 Федерального закона «О международных договорах Российской Федерации», частей первой и четвертой статьи 11, пункта 4 части четвертой статьи 392 Гражданского процессуального кодекса Российской Федерации, частей 1 и 4 статьи 13, пункта 4 части 3 статьи 311 Арбитражного процессуального кодекса Российской Федерации, частей 1 и 4 статьи 15, пункта 4 части 1 статьи 350 Кодекса административного судопроизводства Российской Федерации и пункта 2 части четвертой статьи 413 Уголовно-процессуального кодекса Российской Федерации в связи с запросом группы депутатов Государственной Думы» // СЗ РФ. – 2015. – № 30. – Ст. 4658.</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Постановление Пленума Верховного Суда Российской Федерации «О применении судами общей юрисдикции общепризнанных принципов и норм международного права и международных договоров Российской Федерации» от 10 октября 2003 г. № 5 // Бюллетень ВС РФ. – 2003. – № 12.</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Богатырев А. Г. Проблема соотношения источников в современном международном инвестиционном праве // Современный юрист. – 2012. – № 1. – С. 109-134.</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Доронина Н. Г. Актуальные проблемы защиты интересов государства в экономических отношениях // Журнал российского права. – 2005. – № 12. – С. 77-83.</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Доронина Н. Г. Унификация и гармонизация права в условиях международной интеграции // Журнал российского права. – 1998. – № 6. – С. 53-67.</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Доронина Н. Г., Семилютина Н. Г. Международное частное право и инвестиции: Научно-практическое исследование. – М., 2011. – 163 с.</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Доронина Н. Г., Семилютина Н. Г. Регулирование инвестиций как форма защиты экономических интересов государства // Журнал российского права. – 2005. – № 9. – С. 66-78.</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Ершова И. В. Система правового регулирования российских инвестиций за рубежом // Предпринимательское право. Приложение «Бизнес и право в России и за рубежом». – 2012. – № 4. – С. 16-21.</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Лабин Д. К. Международное право по защите и поощрению иностранных инвестиций. – М., 2008. – 336 с.</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Новикова Т. В. Имплементация международных договоров о защите и поощрении иностранных инвестиций в правовой системе Российской Федерации // Гуманитарные, социально-экономические и общественные науки. – 2014. – № 2. – С. 206-210.</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Новикова Т. В. Планирование национальности юридического лица в международном инвестиционном праве // Теория и практика общественного развития. – 2013. – № 3. – С. 231-234.</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Международное экономическое право: Учебное пособие / Под ред. Вылегжанина А. Н. – М., 2012. – 272 с.</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Тиунов О. И., Манов Б. Г. Принцип соблюдения международных договоров: коллизии международного и национального права // Журнал российского права. – 2008. – № 6. – С. 124-142.</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Шестакова М. П., Лазарева Т. П., Хлестова И. О. Международное частное право и инвестиции // Журнал российского права. – 2008. – № 2. – С. 162-171.</w:t>
      </w:r>
    </w:p>
    <w:p w:rsidR="00A969C6" w:rsidRPr="00DA76A7" w:rsidRDefault="00A969C6" w:rsidP="00D45D6B">
      <w:pPr>
        <w:pStyle w:val="a6"/>
        <w:numPr>
          <w:ilvl w:val="0"/>
          <w:numId w:val="1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Официальный сайт Международного центра по урегулированию инвестиционных споров // Интернет-ресурс: https://icsid.worldbank.org (дата обращения: 01 марта 2018 г.).</w:t>
      </w:r>
    </w:p>
    <w:p w:rsidR="00A969C6" w:rsidRPr="00DA76A7" w:rsidRDefault="00A969C6" w:rsidP="00A969C6">
      <w:pPr>
        <w:tabs>
          <w:tab w:val="left" w:pos="851"/>
        </w:tabs>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К ВОПРОСУ ОБ ИСТОЧНИКАХ КОЛЛИЗИОННО-ПРАВОВОГО РЕГУЛИРОВАНИЯ АЛИМЕНТНЫХ ОТНОШЕНИЙ РОДИТЕЛЕЙ И ДЕТЕЙ</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Истамов Умед Бахриддинович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1-го года обучения заочного отделения юридического факультета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 Турсунзаде, 30</w:t>
      </w:r>
    </w:p>
    <w:p w:rsidR="00A969C6" w:rsidRPr="003A751C"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985026876,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m</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pravo</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p>
    <w:p w:rsidR="00A969C6" w:rsidRPr="003A751C"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TO THE QUESTION OF SOURCES OF COLLISION-LEGAL REGULATION OF ALIMENTARY RELATIONS OF PARENTS AND CHILDREN</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Istamov Umed Bahriddinovich</w:t>
      </w:r>
    </w:p>
    <w:p w:rsidR="00A969C6" w:rsidRPr="00DA76A7" w:rsidRDefault="00A969C6" w:rsidP="00A969C6">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graduate student of the first year of correspondence department of the faculty of law</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Russian-Tajik (Slavonic) university</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985026876, e-mail: m.pravo@mail.ru</w:t>
      </w:r>
    </w:p>
    <w:p w:rsidR="00A969C6" w:rsidRPr="00DA76A7" w:rsidRDefault="00A969C6" w:rsidP="00A969C6">
      <w:pPr>
        <w:tabs>
          <w:tab w:val="left" w:pos="5145"/>
        </w:tabs>
        <w:ind w:firstLine="567"/>
        <w:jc w:val="right"/>
        <w:rPr>
          <w:rFonts w:ascii="Arial" w:hAnsi="Arial" w:cs="Arial"/>
          <w:color w:val="000000" w:themeColor="text1"/>
          <w:sz w:val="22"/>
          <w:szCs w:val="22"/>
          <w:lang w:val="en-US"/>
        </w:rPr>
      </w:pPr>
      <w:r w:rsidRPr="00DA76A7">
        <w:rPr>
          <w:rFonts w:ascii="Arial" w:hAnsi="Arial" w:cs="Arial"/>
          <w:color w:val="000000" w:themeColor="text1"/>
          <w:sz w:val="22"/>
          <w:szCs w:val="22"/>
          <w:lang w:val="en-US"/>
        </w:rPr>
        <w:tab/>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Научный руководитель: к.ю.н., доцент Аминова Ф.М.</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lang w:val="uk-UA"/>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Настоящая статья  посвящена     источникам  коллизионно-правового   регулирования  родительско-детских отношений. Рассматриваются как международные, </w:t>
      </w:r>
      <w:r w:rsidR="00A969C6" w:rsidRPr="00DA76A7">
        <w:rPr>
          <w:rFonts w:ascii="Arial" w:hAnsi="Arial" w:cs="Arial"/>
          <w:i/>
          <w:color w:val="000000" w:themeColor="text1"/>
          <w:sz w:val="22"/>
          <w:szCs w:val="22"/>
          <w:lang w:val="uk-UA"/>
        </w:rPr>
        <w:t>так и национальные источники коллизионно-правового регулирования.</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present article is devoted to sources of conflict-legal regulation of parental-children relations. Both international and national sources of conflict-legal regulation are considered.</w:t>
      </w:r>
    </w:p>
    <w:p w:rsidR="00A969C6" w:rsidRPr="00DA76A7" w:rsidRDefault="00A969C6" w:rsidP="00A969C6">
      <w:pPr>
        <w:ind w:firstLine="567"/>
        <w:jc w:val="both"/>
        <w:rPr>
          <w:rFonts w:ascii="Arial" w:hAnsi="Arial" w:cs="Arial"/>
          <w:i/>
          <w:color w:val="000000" w:themeColor="text1"/>
          <w:sz w:val="22"/>
          <w:szCs w:val="22"/>
          <w:lang w:val="uk-UA"/>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lang w:val="uk-UA"/>
        </w:rPr>
        <w:t xml:space="preserve"> источники коллизионно-правового регулирования, международное право, национальное законодательство.</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sources of conflict-legal regulation, international law, national legislation</w:t>
      </w:r>
    </w:p>
    <w:p w:rsidR="00A969C6" w:rsidRPr="00DA76A7" w:rsidRDefault="00A969C6" w:rsidP="00A969C6">
      <w:pPr>
        <w:tabs>
          <w:tab w:val="left" w:pos="3930"/>
        </w:tabs>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ab/>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Источники  коллизионно-правового   регулирования  родительско-детских отношений следует относить как международное законодательство, так и нормативные правовые акты национального законодательства.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качестве международных документов, содержащих коллизионные нормы, может выступать международный договор в вышеуказанной области. Если говорить о национальном законодательстве, источником содержащим коллизионные нормы выступают  кодексы и законодательные акты, например Семейный Кодекс Республики Таджикистан.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Международно-правовое регулирование взаимоотношения родителей и детей находят в ряде международных договоров.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Весьма отчетливо  регламентируют отношения родителей и детей сегодня  мире ряд Гаагских конвенций. </w:t>
      </w:r>
    </w:p>
    <w:p w:rsidR="00A969C6" w:rsidRPr="00DA76A7" w:rsidRDefault="00A969C6" w:rsidP="00A969C6">
      <w:pPr>
        <w:pStyle w:val="a9"/>
        <w:ind w:firstLine="567"/>
        <w:rPr>
          <w:rFonts w:ascii="Arial" w:hAnsi="Arial" w:cs="Arial"/>
          <w:b/>
          <w:i/>
          <w:color w:val="000000" w:themeColor="text1"/>
          <w:lang w:val="ru-RU"/>
        </w:rPr>
      </w:pPr>
      <w:r w:rsidRPr="00DA76A7">
        <w:rPr>
          <w:rFonts w:ascii="Arial" w:hAnsi="Arial" w:cs="Arial"/>
          <w:color w:val="000000" w:themeColor="text1"/>
          <w:lang w:val="ru-RU"/>
        </w:rPr>
        <w:t xml:space="preserve">Так, некоторые  конвенции в сфере алиментных отношений были приняты Гаагской конференцией по международному частному праву: Конвенция о праве, применимом к алиментным обязательствам в отношении детей, 1956 г. и Конвенция о праве, применимом к алиментным обязательствам, 1973 г. Для регулирования признания и исполнения иностранных судебных решений были приняты </w:t>
      </w:r>
      <w:r w:rsidRPr="00DA76A7">
        <w:rPr>
          <w:rFonts w:ascii="Arial" w:hAnsi="Arial" w:cs="Arial"/>
          <w:color w:val="000000" w:themeColor="text1"/>
          <w:shd w:val="clear" w:color="auto" w:fill="FFFFFF"/>
          <w:lang w:val="ru-RU"/>
        </w:rPr>
        <w:t xml:space="preserve">Гаагская конвенция о признании и исполнении решений по делам об алиментных обязательствах в отношении детей (1958г.) и </w:t>
      </w:r>
      <w:r w:rsidRPr="00DA76A7">
        <w:rPr>
          <w:rFonts w:ascii="Arial" w:hAnsi="Arial" w:cs="Arial"/>
          <w:color w:val="000000" w:themeColor="text1"/>
          <w:lang w:val="ru-RU"/>
        </w:rPr>
        <w:t xml:space="preserve">Гаагская конвенция «О признании и приведении в исполнение решений, относящихся к алиментным обязательствам» от 2 октября 1973 г.  </w:t>
      </w:r>
      <w:r w:rsidRPr="00DA76A7">
        <w:rPr>
          <w:rFonts w:ascii="Arial" w:eastAsia="Calibri" w:hAnsi="Arial" w:cs="Arial"/>
          <w:color w:val="000000" w:themeColor="text1"/>
          <w:lang w:val="ru-RU"/>
        </w:rPr>
        <w:t>Интерес представляет также Конвенция о юрисдикции, применимом праве, признании и исполнении решений иностранных судов в области усыновления 1965 г.</w:t>
      </w:r>
    </w:p>
    <w:p w:rsidR="00A969C6" w:rsidRPr="00DA76A7" w:rsidRDefault="00A969C6" w:rsidP="00A969C6">
      <w:pPr>
        <w:ind w:firstLine="567"/>
        <w:jc w:val="both"/>
        <w:rPr>
          <w:rFonts w:ascii="Arial" w:hAnsi="Arial" w:cs="Arial"/>
          <w:color w:val="000000" w:themeColor="text1"/>
          <w:sz w:val="22"/>
          <w:szCs w:val="22"/>
        </w:rPr>
      </w:pPr>
      <w:r w:rsidRPr="00DA76A7">
        <w:rPr>
          <w:rFonts w:ascii="Arial" w:eastAsia="Calibri" w:hAnsi="Arial" w:cs="Arial"/>
          <w:bCs/>
          <w:iCs/>
          <w:color w:val="000000" w:themeColor="text1"/>
          <w:sz w:val="22"/>
          <w:szCs w:val="22"/>
        </w:rPr>
        <w:t xml:space="preserve">В Гаагской конвенции была продолжена тема защиты прав и интересов детей. В частности были затронуты  вопросы гражданско-правовых аспектов похищения детей 1980 г., участниками которой являются более 80 государств. </w:t>
      </w:r>
      <w:r w:rsidRPr="00DA76A7">
        <w:rPr>
          <w:rFonts w:ascii="Arial" w:eastAsia="Calibri" w:hAnsi="Arial" w:cs="Arial"/>
          <w:color w:val="000000" w:themeColor="text1"/>
          <w:sz w:val="22"/>
          <w:szCs w:val="22"/>
        </w:rPr>
        <w:t>Присоединение имеет силу только в отношениях между присоединившимся государством и теми Договаривающимися государствами, которые заявят о своем признании присоединения, в этом особенность Конвенции. Каждое ранее присоединившееся государство  проводит анализ способности нового государства – участника реализовать положения Конвенции для этого [2,41]..</w:t>
      </w:r>
    </w:p>
    <w:p w:rsidR="00A969C6" w:rsidRPr="00DA76A7" w:rsidRDefault="00A969C6" w:rsidP="00A969C6">
      <w:pPr>
        <w:pStyle w:val="HTML"/>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Вызывает много споров и  Конвенция о защите детей и сотрудничестве в отношении иностранного усыновления от 1993 г., которая направлена на развитие положений, изложенных в  Конвенции ООН о правах ребенка от  1989 г., Декларации ООН о социальных и правовых принципах, касающихся защиты и благосостояния детей, и Резолюции 41/85 Генеральной ассамблеи ООН от 1986 г. о передаче детей на воспитание и их усыновлении на национальном и международном уровнях. Конвенция имеет целью правового регулирования только иностранного усыновления, когда ребенок из государства «происхождения» переезжает жить к усыновителям в «принимающее» государство. </w:t>
      </w:r>
    </w:p>
    <w:p w:rsidR="00A969C6" w:rsidRPr="00DA76A7" w:rsidRDefault="00A969C6" w:rsidP="00A969C6">
      <w:pPr>
        <w:pStyle w:val="HTML"/>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Еще одним международным документом, направленным на развитие Гаагской конвенции о праве, применимом к алиментным обязательствам в отношении детей, 1956 г. и Гаагской конвенции о праве, применимом к алиментным обязательствам, 1973 г., является Гаагская конвенция о международном порядке взыскания алиментов на детей и других формах содержания семьи 2007 года и Протокол о праве, применимом к алиментным обязательствам 2007 года. </w:t>
      </w:r>
    </w:p>
    <w:p w:rsidR="00A969C6" w:rsidRPr="00DA76A7" w:rsidRDefault="00A969C6" w:rsidP="00A969C6">
      <w:pPr>
        <w:pStyle w:val="HTML"/>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качестве применимого права и Конвенция, и Протокол определяют закон обычного места жительства алиментоплательщика, то есть устанавливают территориальный принцип регулирования коллизионных отношений.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 перечисленные Конвенции  на территории нашей страны не имеют никакой юридической силы  в связи с их нератифицированностью.</w:t>
      </w:r>
    </w:p>
    <w:p w:rsidR="00A969C6" w:rsidRPr="00DA76A7" w:rsidRDefault="00A969C6" w:rsidP="00A969C6">
      <w:pPr>
        <w:pStyle w:val="a9"/>
        <w:ind w:firstLine="567"/>
        <w:rPr>
          <w:rFonts w:ascii="Arial" w:hAnsi="Arial" w:cs="Arial"/>
          <w:b/>
          <w:bCs/>
          <w:i/>
          <w:iCs/>
          <w:color w:val="000000" w:themeColor="text1"/>
          <w:lang w:val="ru-RU"/>
        </w:rPr>
      </w:pPr>
      <w:r w:rsidRPr="00DA76A7">
        <w:rPr>
          <w:rFonts w:ascii="Arial" w:hAnsi="Arial" w:cs="Arial"/>
          <w:color w:val="000000" w:themeColor="text1"/>
          <w:lang w:val="ru-RU"/>
        </w:rPr>
        <w:t xml:space="preserve">В качестве показательного примера интеграционных процессов в сфере законодательства можно назвать право Европейского союза. Если говорить об этой территориальной международной организации, то в ее рамках введен в действие Регламент Совета ЕС  №2201/ 2003 от 27 ноября 2003 года (Брюссель </w:t>
      </w:r>
      <w:r w:rsidRPr="00DA76A7">
        <w:rPr>
          <w:rFonts w:ascii="Arial" w:hAnsi="Arial" w:cs="Arial"/>
          <w:color w:val="000000" w:themeColor="text1"/>
        </w:rPr>
        <w:t>II</w:t>
      </w:r>
      <w:r w:rsidRPr="00DA76A7">
        <w:rPr>
          <w:rFonts w:ascii="Arial" w:hAnsi="Arial" w:cs="Arial"/>
          <w:color w:val="000000" w:themeColor="text1"/>
          <w:lang w:val="ru-RU"/>
        </w:rPr>
        <w:t>-</w:t>
      </w:r>
      <w:r w:rsidRPr="00DA76A7">
        <w:rPr>
          <w:rFonts w:ascii="Arial" w:hAnsi="Arial" w:cs="Arial"/>
          <w:color w:val="000000" w:themeColor="text1"/>
        </w:rPr>
        <w:t>bis</w:t>
      </w:r>
      <w:r w:rsidRPr="00DA76A7">
        <w:rPr>
          <w:rFonts w:ascii="Arial" w:hAnsi="Arial" w:cs="Arial"/>
          <w:color w:val="000000" w:themeColor="text1"/>
          <w:lang w:val="ru-RU"/>
        </w:rPr>
        <w:t xml:space="preserve">), определяющий компетенцию юрисдикционных органов,  основания признания и исполнения иностранных судебных решений по семейным делам и делам об обязанностях родителей в отношении общих детей супругов. </w:t>
      </w:r>
    </w:p>
    <w:p w:rsidR="00A969C6" w:rsidRPr="00DA76A7" w:rsidRDefault="00A969C6" w:rsidP="00A969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Важным международным договором, посвященном коллизионным вопросам родительской ответственности, является Конвенция о юрисдикции, применимом праве, признании, исполнении и сотрудничестве в отношении родительский ответственности и мерах по защите детей 1996 г.  </w:t>
      </w:r>
    </w:p>
    <w:p w:rsidR="00A969C6" w:rsidRPr="00DA76A7" w:rsidRDefault="00A969C6" w:rsidP="00A969C6">
      <w:pPr>
        <w:pStyle w:val="a9"/>
        <w:ind w:firstLine="567"/>
        <w:rPr>
          <w:rFonts w:ascii="Arial" w:hAnsi="Arial" w:cs="Arial"/>
          <w:b/>
          <w:i/>
          <w:color w:val="000000" w:themeColor="text1"/>
          <w:lang w:val="ru-RU"/>
        </w:rPr>
      </w:pPr>
      <w:r w:rsidRPr="00DA76A7">
        <w:rPr>
          <w:rFonts w:ascii="Arial" w:hAnsi="Arial" w:cs="Arial"/>
          <w:color w:val="000000" w:themeColor="text1"/>
          <w:lang w:val="ru-RU"/>
        </w:rPr>
        <w:t>Тем не менее следует отметить что ни одна из Гаагских конвенций, осуществляющих регулирование в области родительских отношений не получила применения в Республике Таджикистан. Данные Конвенции в нашей стране остаются не ратифицированными.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Страны Латинской Америки также осуществляют действия по унификации международного частного права. Так, знаменитый  Кодекс Бустаманте, который является приложением к Конвенции о международном частном праве 1928 г.,  включает в себя коллизионные нормы, призванные регулировать семейные отношения, осложненные иностранным элементом,  в том числе и  нормы о спорах, об отцовстве и происхождении детей, алиментных обязательствах, имущественных спорах между отдельными родственниками и т.д.</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Если говорить о нашей стране, главными  источниками права в области международного регулирования отношений, в которых участвуют граждане  Таджикистана, возникающих между родителями и детьми, выступают:  </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-Декларация прав человека от 20 ноября 1959г;</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-Конвенция о правах ребенка от 20 ноября 1989г;</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-Кишиневская</w:t>
      </w:r>
      <w:r w:rsidRPr="00DA76A7">
        <w:rPr>
          <w:rFonts w:ascii="Arial" w:hAnsi="Arial" w:cs="Arial"/>
          <w:color w:val="000000" w:themeColor="text1"/>
          <w:sz w:val="22"/>
          <w:szCs w:val="22"/>
          <w:shd w:val="clear" w:color="auto" w:fill="FFFFFF"/>
        </w:rPr>
        <w:t xml:space="preserve"> Конвенция от 7 октября 2002 года «О правовой помощи и правовых отношениях по гражданским, семейным и уголовным делам»</w:t>
      </w:r>
      <w:r w:rsidRPr="00DA76A7">
        <w:rPr>
          <w:rFonts w:ascii="Arial" w:hAnsi="Arial" w:cs="Arial"/>
          <w:color w:val="000000" w:themeColor="text1"/>
          <w:sz w:val="22"/>
          <w:szCs w:val="22"/>
        </w:rPr>
        <w:t>;</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-Семейный Кодекс Республики Таджикистан;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-Гражданский кодекс Республики Таджикистан (ч.3);</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-Двусторонние договора и соглашения между государствами.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Положения Декларации закрепляют за родителями ответственность по образованию и обучению своих несовершеннолетних детей. Так принцип 7 гласит: «наилучшее обеспечение  интересов  ребенка должно быть руководящим принципом для тех,  на ком лежит ответственность за образование и обучение детей».</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данном случае Конвенцией приняты во внимание возможные обстоятельства, при которых ребенок не приобретает права на получение сведений о своих родителях. Например, в случае, связанном с рождением ребенка в результате искусственного осеменения спермой чужого донора (не являющегося мужем женщины), либо в случае усыновления (удочерения) ребенка, в связи с положениями тайны усыновления.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Родители, которые воспитывают ребенка, несут непосредственную ответственность в зависимости от своих социальных и финансовых возможностей  за обеспечение, требующееся  в целях развития ребенка.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Страны-участницы Конвенции о правах ребенка обязуются в пределах своих возможностей принимать соответствующие меры, связанные с  оказанием помощи по воспитанию детей. В случае необходимости для  осуществления вышеуказанного права, участники Конвенции берут на себя обязательства по оказанию общей материальной помощи, также они обязуются принимать необходимые меры в целях обеспечения восстановления содержания ребенка его родителями, которые несут финансовую ответственность за своего ребенка, как внутри государства-участника, так же и за пределами государства. К примеру, в случаях, когда лицо, несущее финансовую ответственность за ребенка, и ребенок живут в разных странах,  государства-участники должны способствовать подписанию международных соглашений, или заключению их, а также достижению других подобных соглашений.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eastAsia="Times-Roman" w:hAnsi="Arial" w:cs="Arial"/>
          <w:color w:val="000000" w:themeColor="text1"/>
          <w:sz w:val="22"/>
          <w:szCs w:val="22"/>
        </w:rPr>
        <w:t>Между отдельными государствами, являющимися членами СНГ, унификация коллизионных норм, затрагивающих отношения родителей и детей была произведена вследствие принятия в 1993 г. в г. Минске Конвенции о правовой помощи и правоотношениях по гражданским, семейным и уголовным делам.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в рамках Содружества Независимых государств можно выделить две Конвенции: </w:t>
      </w:r>
      <w:r w:rsidRPr="00DA76A7">
        <w:rPr>
          <w:rFonts w:ascii="Arial" w:hAnsi="Arial" w:cs="Arial"/>
          <w:color w:val="000000" w:themeColor="text1"/>
          <w:sz w:val="22"/>
          <w:szCs w:val="22"/>
          <w:shd w:val="clear" w:color="auto" w:fill="FFFFFF"/>
        </w:rPr>
        <w:t>Минскую конвенцию от 22 января 1993 года «О правовой помощи и правовых отношениях по гражданским, семейным и уголовным делам»</w:t>
      </w:r>
      <w:r w:rsidRPr="00DA76A7">
        <w:rPr>
          <w:rFonts w:ascii="Arial" w:hAnsi="Arial" w:cs="Arial"/>
          <w:color w:val="000000" w:themeColor="text1"/>
          <w:sz w:val="22"/>
          <w:szCs w:val="22"/>
        </w:rPr>
        <w:t xml:space="preserve"> и Кишиневскую</w:t>
      </w:r>
      <w:r w:rsidRPr="00DA76A7">
        <w:rPr>
          <w:rFonts w:ascii="Arial" w:hAnsi="Arial" w:cs="Arial"/>
          <w:color w:val="000000" w:themeColor="text1"/>
          <w:sz w:val="22"/>
          <w:szCs w:val="22"/>
          <w:shd w:val="clear" w:color="auto" w:fill="FFFFFF"/>
        </w:rPr>
        <w:t xml:space="preserve"> Конвенцию от 7 октября 2002 года «О правовой помощи и правовых отношениях по гражданским, семейным и уголовным делам»</w:t>
      </w:r>
      <w:r w:rsidRPr="00DA76A7">
        <w:rPr>
          <w:rFonts w:ascii="Arial" w:hAnsi="Arial" w:cs="Arial"/>
          <w:color w:val="000000" w:themeColor="text1"/>
          <w:sz w:val="22"/>
          <w:szCs w:val="22"/>
        </w:rPr>
        <w:t>.</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Минская Конвенция «О правовой помощи и правовым отношениям по гражданским, семейным и уголовным делам» 1993 г. обеспечивает, с одной стороны, защиту в судах этих стран граждан-стран участниц и других лиц, с другой - четкое и надежное правовое сотрудничество судов и других учреждений юстиции. В рамках данной Конвенции рассматривается широкий круг сотрудничества в данной области, в том числе и разрешается вопрос применимого к отношениям законодательства.</w:t>
      </w:r>
    </w:p>
    <w:p w:rsidR="00A969C6" w:rsidRPr="00DA76A7" w:rsidRDefault="00A969C6" w:rsidP="00A969C6">
      <w:pPr>
        <w:tabs>
          <w:tab w:val="left" w:pos="1603"/>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Минская конвенция наряду с нормами о приравнивании иностранных граждан к собственным, правилами коллизионного гражданского права, а также процессуальных норм, затрагивающих вопросы подсудности, признании и исполнении иностранных судебных решений, и т.д., включает в себя положения, подлежащие применению к семейным отношениям с участием иностранного элемента.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eastAsia="Times-Roman" w:hAnsi="Arial" w:cs="Arial"/>
          <w:color w:val="000000" w:themeColor="text1"/>
          <w:sz w:val="22"/>
          <w:szCs w:val="22"/>
        </w:rPr>
        <w:t>Положения данной конвенции регулируют родительские отношения, отношения по установлению или оспаривания отцовства (материнства), а также отношения по установлению или отмене усыновления, опеки и попечительства. Конвенция стран СНГ затрагивает также вопросы, касающиеся подсудности правоотношений между родителями и детьми, так в частности  в указанной области компетентен суд того из государств, чье законодательство  подлежит применению.</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Минская конвенция в свое время сыграла весьма важную роль, она долгое время являлась регулятором отношений, затрагивающих многие сферы частной  жизни, осложненные иностранным элементом, в том числе и в области  семейного права.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Ее положения в области коллизионного семейного права без серьезных изменений были воспроизведены в подписанной 7 октября 2002 г. в Кишиневе новой конвенции, которая на территории нашей страны заменила действующую Минскую конвенцию. На сегодняшний день Кишиневская конвенция регулирует частноправовые отношения, осложненные иностранным элементом возникающие  между гражданами, лицами без гражданства, проживающими в таких странах как Казахстан, Киргизия, Белоруссия, Армения, Азербайджан, являющимися непосредственными участниками данной конвенции. Кишиневская конвенция, также как и в свое время Минская распространяет  национальный режим,  как на граждан стран-участниц, так и  на других лиц, проживающих на  территориях данных государств.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Некоторые страны подписали, но не ратифицировали данную конвенцию. Для данных стран продолжает действовать Минская Конвенция.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Путем проведения сравнительного анализа двух данных конвенций можно прийти к выводу, о том, что Кишиневская конвенция является улучшенным вариантом Минской конвенции. Однако, как отмечают С.Н. Тагаева и Ф.М. Аминова «Не смотря на все положительные стороны Кишиневской конвенции, в ней есть недостатки» [1,197]. В качестве примера ими приводится неурегулированность родительско- детских отношений, вытекающих из вспомогательных репродуктивных технологий [1,197].</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можно прийти к выводу о том, что источники коллизионно-правовых норм регулирующих алиментных отношения между родителями и детьми в мире весьма обширны, однако из-за нератифицированности многих из них и пробелов в ратифицироанных конвенциях на практике зачастую  могут возникать сложности.</w:t>
      </w:r>
    </w:p>
    <w:p w:rsidR="006F7B90" w:rsidRPr="00DA76A7" w:rsidRDefault="006F7B90"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6"/>
        <w:numPr>
          <w:ilvl w:val="0"/>
          <w:numId w:val="19"/>
        </w:numPr>
        <w:tabs>
          <w:tab w:val="left" w:pos="851"/>
        </w:tabs>
        <w:autoSpaceDE w:val="0"/>
        <w:autoSpaceDN w:val="0"/>
        <w:adjustRightInd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Тагаева С.Н., Аминова Ф.М. Проблемы применения правопорядка к осложненным иностранным элементом отношениям, возникающим из вспомогательных репродуктивных технологий// Вестник Пермского университета. - 2017.- </w:t>
      </w:r>
      <w:r w:rsidRPr="00DA76A7">
        <w:rPr>
          <w:rFonts w:ascii="Arial" w:hAnsi="Arial" w:cs="Arial"/>
          <w:color w:val="000000" w:themeColor="text1"/>
          <w:lang w:val="en-US"/>
        </w:rPr>
        <w:t>C</w:t>
      </w:r>
      <w:r w:rsidRPr="00DA76A7">
        <w:rPr>
          <w:rFonts w:ascii="Arial" w:hAnsi="Arial" w:cs="Arial"/>
          <w:color w:val="000000" w:themeColor="text1"/>
        </w:rPr>
        <w:t>.192-203.</w:t>
      </w:r>
    </w:p>
    <w:p w:rsidR="00A969C6" w:rsidRPr="00DA76A7" w:rsidRDefault="00A969C6" w:rsidP="00D45D6B">
      <w:pPr>
        <w:pStyle w:val="af2"/>
        <w:numPr>
          <w:ilvl w:val="0"/>
          <w:numId w:val="19"/>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Тригубович Н.В., Семина Т.А. Конвенция о гражданско-правовых аспектах международного похищения детей 1980 г. в российской правовой системе регулирования семейных отношений //Семейное и жилищное право. 2012.  -№5. -С.40-44.</w:t>
      </w:r>
    </w:p>
    <w:p w:rsidR="00A969C6" w:rsidRPr="00DA76A7" w:rsidRDefault="00A969C6" w:rsidP="00A969C6">
      <w:pPr>
        <w:ind w:firstLine="567"/>
        <w:rPr>
          <w:rFonts w:ascii="Arial" w:hAnsi="Arial" w:cs="Arial"/>
          <w:color w:val="000000" w:themeColor="text1"/>
          <w:sz w:val="22"/>
          <w:szCs w:val="22"/>
        </w:rPr>
      </w:pPr>
    </w:p>
    <w:p w:rsidR="00A969C6" w:rsidRDefault="00A969C6" w:rsidP="00A969C6">
      <w:pPr>
        <w:ind w:firstLine="567"/>
        <w:rPr>
          <w:rFonts w:ascii="Arial" w:hAnsi="Arial" w:cs="Arial"/>
          <w:color w:val="000000" w:themeColor="text1"/>
          <w:sz w:val="22"/>
          <w:szCs w:val="22"/>
        </w:rPr>
      </w:pPr>
    </w:p>
    <w:p w:rsidR="000E7DCF" w:rsidRPr="00DA76A7" w:rsidRDefault="000E7DCF" w:rsidP="00A969C6">
      <w:pPr>
        <w:ind w:firstLine="567"/>
        <w:rPr>
          <w:rFonts w:ascii="Arial" w:hAnsi="Arial" w:cs="Arial"/>
          <w:color w:val="000000" w:themeColor="text1"/>
          <w:sz w:val="22"/>
          <w:szCs w:val="22"/>
        </w:rPr>
      </w:pPr>
    </w:p>
    <w:p w:rsidR="00A969C6" w:rsidRPr="00DA76A7" w:rsidRDefault="00A969C6" w:rsidP="006F7B90">
      <w:pPr>
        <w:jc w:val="center"/>
        <w:rPr>
          <w:rFonts w:ascii="Arial" w:hAnsi="Arial" w:cs="Arial"/>
          <w:b/>
          <w:color w:val="000000" w:themeColor="text1"/>
          <w:sz w:val="22"/>
          <w:szCs w:val="22"/>
        </w:rPr>
      </w:pPr>
      <w:r w:rsidRPr="00DA76A7">
        <w:rPr>
          <w:rFonts w:ascii="Arial" w:hAnsi="Arial" w:cs="Arial"/>
          <w:b/>
          <w:color w:val="000000" w:themeColor="text1"/>
          <w:sz w:val="22"/>
          <w:szCs w:val="22"/>
        </w:rPr>
        <w:t>ПЕРСПЕКТИВЫ И ОСО</w:t>
      </w:r>
      <w:r w:rsidR="006F7B90" w:rsidRPr="00DA76A7">
        <w:rPr>
          <w:rFonts w:ascii="Arial" w:hAnsi="Arial" w:cs="Arial"/>
          <w:b/>
          <w:color w:val="000000" w:themeColor="text1"/>
          <w:sz w:val="22"/>
          <w:szCs w:val="22"/>
        </w:rPr>
        <w:t xml:space="preserve">БЕННОСТИ БОРЬБЫ С МЕЖДУНАРОДНЫМ </w:t>
      </w:r>
      <w:r w:rsidRPr="00DA76A7">
        <w:rPr>
          <w:rFonts w:ascii="Arial" w:hAnsi="Arial" w:cs="Arial"/>
          <w:b/>
          <w:color w:val="000000" w:themeColor="text1"/>
          <w:sz w:val="22"/>
          <w:szCs w:val="22"/>
        </w:rPr>
        <w:t>ТЕРРОРИЗМОМ В КОНТЕКСТЕ НЕПРИЗНАННЫХ ГОСУДАРСТВ</w:t>
      </w:r>
    </w:p>
    <w:p w:rsidR="00A969C6" w:rsidRPr="00DA76A7" w:rsidRDefault="00A969C6" w:rsidP="006F7B90">
      <w:pPr>
        <w:pStyle w:val="a4"/>
        <w:jc w:val="center"/>
        <w:rPr>
          <w:rFonts w:ascii="Arial" w:hAnsi="Arial" w:cs="Arial"/>
          <w:b/>
          <w:color w:val="000000" w:themeColor="text1"/>
          <w:sz w:val="22"/>
          <w:szCs w:val="22"/>
        </w:rPr>
      </w:pPr>
    </w:p>
    <w:p w:rsidR="00A969C6" w:rsidRPr="00DA76A7" w:rsidRDefault="00A969C6" w:rsidP="006F7B90">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Курбанов Фаррух Бахрулоевич</w:t>
      </w:r>
    </w:p>
    <w:p w:rsidR="00A969C6" w:rsidRPr="00DA76A7" w:rsidRDefault="00A969C6" w:rsidP="006F7B90">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A969C6" w:rsidRPr="00DA76A7" w:rsidRDefault="00A969C6" w:rsidP="006F7B90">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6F7B90">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A969C6" w:rsidRPr="003A751C" w:rsidRDefault="00A969C6" w:rsidP="006F7B90">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+992</w:t>
      </w:r>
      <w:r w:rsidRPr="00DA76A7">
        <w:rPr>
          <w:rFonts w:ascii="Arial" w:hAnsi="Arial" w:cs="Arial"/>
          <w:color w:val="000000" w:themeColor="text1"/>
          <w:sz w:val="22"/>
          <w:szCs w:val="22"/>
          <w:lang w:val="en-US"/>
        </w:rPr>
        <w:t> </w:t>
      </w:r>
      <w:r w:rsidRPr="003A751C">
        <w:rPr>
          <w:rFonts w:ascii="Arial" w:hAnsi="Arial" w:cs="Arial"/>
          <w:color w:val="000000" w:themeColor="text1"/>
          <w:sz w:val="22"/>
          <w:szCs w:val="22"/>
          <w:lang w:val="en-US"/>
        </w:rPr>
        <w:t xml:space="preserve">909-00-00-54, </w:t>
      </w:r>
      <w:r w:rsidRPr="00DA76A7">
        <w:rPr>
          <w:rFonts w:ascii="Arial" w:hAnsi="Arial" w:cs="Arial"/>
          <w:color w:val="000000" w:themeColor="text1"/>
          <w:sz w:val="22"/>
          <w:szCs w:val="22"/>
        </w:rPr>
        <w:t>е</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hyperlink r:id="rId50" w:history="1">
        <w:r w:rsidRPr="00DA76A7">
          <w:rPr>
            <w:rStyle w:val="af0"/>
            <w:rFonts w:ascii="Arial" w:hAnsi="Arial" w:cs="Arial"/>
            <w:color w:val="000000" w:themeColor="text1"/>
            <w:sz w:val="22"/>
            <w:szCs w:val="22"/>
            <w:u w:val="none"/>
            <w:lang w:val="en-US"/>
          </w:rPr>
          <w:t>fb</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kurbanov</w:t>
        </w:r>
        <w:r w:rsidRPr="003A751C">
          <w:rPr>
            <w:rStyle w:val="af0"/>
            <w:rFonts w:ascii="Arial" w:hAnsi="Arial" w:cs="Arial"/>
            <w:color w:val="000000" w:themeColor="text1"/>
            <w:sz w:val="22"/>
            <w:szCs w:val="22"/>
            <w:u w:val="none"/>
            <w:lang w:val="en-US"/>
          </w:rPr>
          <w:t>90@</w:t>
        </w:r>
        <w:r w:rsidRPr="00DA76A7">
          <w:rPr>
            <w:rStyle w:val="af0"/>
            <w:rFonts w:ascii="Arial" w:hAnsi="Arial" w:cs="Arial"/>
            <w:color w:val="000000" w:themeColor="text1"/>
            <w:sz w:val="22"/>
            <w:szCs w:val="22"/>
            <w:u w:val="none"/>
            <w:lang w:val="en-US"/>
          </w:rPr>
          <w:t>gmail</w:t>
        </w:r>
        <w:r w:rsidRPr="003A751C">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com</w:t>
        </w:r>
      </w:hyperlink>
    </w:p>
    <w:p w:rsidR="00A969C6" w:rsidRPr="003A751C" w:rsidRDefault="00A969C6" w:rsidP="006F7B90">
      <w:pPr>
        <w:tabs>
          <w:tab w:val="left" w:pos="567"/>
        </w:tabs>
        <w:jc w:val="center"/>
        <w:textAlignment w:val="top"/>
        <w:rPr>
          <w:rFonts w:ascii="Arial" w:hAnsi="Arial" w:cs="Arial"/>
          <w:color w:val="000000" w:themeColor="text1"/>
          <w:sz w:val="22"/>
          <w:szCs w:val="22"/>
          <w:lang w:val="en-US"/>
        </w:rPr>
      </w:pPr>
    </w:p>
    <w:p w:rsidR="000E7DCF" w:rsidRPr="003A751C" w:rsidRDefault="000E7DCF" w:rsidP="006F7B90">
      <w:pPr>
        <w:tabs>
          <w:tab w:val="left" w:pos="567"/>
        </w:tabs>
        <w:jc w:val="center"/>
        <w:textAlignment w:val="top"/>
        <w:rPr>
          <w:rFonts w:ascii="Arial" w:hAnsi="Arial" w:cs="Arial"/>
          <w:color w:val="000000" w:themeColor="text1"/>
          <w:sz w:val="22"/>
          <w:szCs w:val="22"/>
          <w:lang w:val="en-US"/>
        </w:rPr>
      </w:pPr>
    </w:p>
    <w:p w:rsidR="000E7DCF" w:rsidRPr="003A751C" w:rsidRDefault="000E7DCF" w:rsidP="006F7B90">
      <w:pPr>
        <w:tabs>
          <w:tab w:val="left" w:pos="567"/>
        </w:tabs>
        <w:jc w:val="center"/>
        <w:textAlignment w:val="top"/>
        <w:rPr>
          <w:rFonts w:ascii="Arial" w:hAnsi="Arial" w:cs="Arial"/>
          <w:color w:val="000000" w:themeColor="text1"/>
          <w:sz w:val="22"/>
          <w:szCs w:val="22"/>
          <w:lang w:val="en-US"/>
        </w:rPr>
      </w:pPr>
    </w:p>
    <w:p w:rsidR="000E7DCF" w:rsidRPr="003A751C" w:rsidRDefault="000E7DCF" w:rsidP="006F7B90">
      <w:pPr>
        <w:tabs>
          <w:tab w:val="left" w:pos="567"/>
        </w:tabs>
        <w:jc w:val="center"/>
        <w:textAlignment w:val="top"/>
        <w:rPr>
          <w:rFonts w:ascii="Arial" w:hAnsi="Arial" w:cs="Arial"/>
          <w:color w:val="000000" w:themeColor="text1"/>
          <w:sz w:val="22"/>
          <w:szCs w:val="22"/>
          <w:lang w:val="en-US"/>
        </w:rPr>
      </w:pPr>
    </w:p>
    <w:p w:rsidR="00A969C6" w:rsidRPr="00DA76A7" w:rsidRDefault="00A969C6"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PERSPECTIVES AND PECULIARITIES OF STRUGGLE WITH INTERNATIONAL</w:t>
      </w:r>
    </w:p>
    <w:p w:rsidR="00A969C6" w:rsidRPr="00DA76A7" w:rsidRDefault="00A969C6"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TERRORISM IN THE CONTEXT OF UNRECOGNIZED STATES</w:t>
      </w:r>
    </w:p>
    <w:p w:rsidR="00A969C6" w:rsidRPr="00DA76A7" w:rsidRDefault="00A969C6" w:rsidP="006F7B90">
      <w:pPr>
        <w:pStyle w:val="HTML"/>
        <w:shd w:val="clear" w:color="auto" w:fill="FFFFFF"/>
        <w:jc w:val="center"/>
        <w:rPr>
          <w:rFonts w:ascii="Arial" w:hAnsi="Arial" w:cs="Arial"/>
          <w:b/>
          <w:color w:val="000000" w:themeColor="text1"/>
          <w:sz w:val="22"/>
          <w:szCs w:val="22"/>
          <w:lang w:val="en-US"/>
        </w:rPr>
      </w:pPr>
    </w:p>
    <w:p w:rsidR="00A969C6" w:rsidRPr="00DA76A7" w:rsidRDefault="00A969C6"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Kurbanov Farrukh Bahruloevich</w:t>
      </w:r>
    </w:p>
    <w:p w:rsidR="00A969C6" w:rsidRPr="00DA76A7" w:rsidRDefault="00A969C6"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second year of correspondence department of the law faculty</w:t>
      </w:r>
    </w:p>
    <w:p w:rsidR="00A969C6" w:rsidRPr="00DA76A7" w:rsidRDefault="00A969C6" w:rsidP="006F7B90">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+992 909-00-00-54,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51" w:history="1">
        <w:r w:rsidRPr="00DA76A7">
          <w:rPr>
            <w:rStyle w:val="af0"/>
            <w:rFonts w:ascii="Arial" w:hAnsi="Arial" w:cs="Arial"/>
            <w:color w:val="000000" w:themeColor="text1"/>
            <w:sz w:val="22"/>
            <w:szCs w:val="22"/>
            <w:u w:val="none"/>
            <w:lang w:val="en-US"/>
          </w:rPr>
          <w:t>fb.kurbanov90@gmail.com</w:t>
        </w:r>
      </w:hyperlink>
    </w:p>
    <w:p w:rsidR="00A969C6" w:rsidRPr="00DA76A7" w:rsidRDefault="00A969C6" w:rsidP="00A969C6">
      <w:pPr>
        <w:ind w:firstLine="567"/>
        <w:jc w:val="right"/>
        <w:rPr>
          <w:rFonts w:ascii="Arial" w:hAnsi="Arial" w:cs="Arial"/>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Мирсайзод Х.С.</w:t>
      </w:r>
    </w:p>
    <w:p w:rsidR="00A969C6" w:rsidRPr="00DA76A7" w:rsidRDefault="00A969C6" w:rsidP="00A969C6">
      <w:pPr>
        <w:ind w:firstLine="567"/>
        <w:jc w:val="center"/>
        <w:rPr>
          <w:rFonts w:ascii="Arial" w:hAnsi="Arial" w:cs="Arial"/>
          <w:color w:val="000000" w:themeColor="text1"/>
          <w:sz w:val="22"/>
          <w:szCs w:val="22"/>
        </w:rPr>
      </w:pPr>
    </w:p>
    <w:p w:rsidR="00A969C6" w:rsidRPr="00DA76A7" w:rsidRDefault="00B46B9E" w:rsidP="00A969C6">
      <w:pPr>
        <w:ind w:firstLine="567"/>
        <w:jc w:val="both"/>
        <w:textAlignment w:val="top"/>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Статья посвящена одной из самых важных для мирового сообщества проблем - проблеме </w:t>
      </w:r>
      <w:r w:rsidR="00A969C6" w:rsidRPr="00DA76A7">
        <w:rPr>
          <w:rStyle w:val="hl"/>
          <w:rFonts w:ascii="Arial" w:hAnsi="Arial" w:cs="Arial"/>
          <w:i/>
          <w:color w:val="000000" w:themeColor="text1"/>
          <w:sz w:val="22"/>
          <w:szCs w:val="22"/>
          <w:bdr w:val="none" w:sz="0" w:space="0" w:color="auto" w:frame="1"/>
        </w:rPr>
        <w:t>международного терроризма</w:t>
      </w:r>
      <w:r w:rsidR="00A969C6" w:rsidRPr="00DA76A7">
        <w:rPr>
          <w:rFonts w:ascii="Arial" w:hAnsi="Arial" w:cs="Arial"/>
          <w:i/>
          <w:color w:val="000000" w:themeColor="text1"/>
          <w:sz w:val="22"/>
          <w:szCs w:val="22"/>
        </w:rPr>
        <w:t> как </w:t>
      </w:r>
      <w:r w:rsidR="00A969C6" w:rsidRPr="00DA76A7">
        <w:rPr>
          <w:rStyle w:val="hl"/>
          <w:rFonts w:ascii="Arial" w:hAnsi="Arial" w:cs="Arial"/>
          <w:i/>
          <w:color w:val="000000" w:themeColor="text1"/>
          <w:sz w:val="22"/>
          <w:szCs w:val="22"/>
          <w:bdr w:val="none" w:sz="0" w:space="0" w:color="auto" w:frame="1"/>
        </w:rPr>
        <w:t>угрозе</w:t>
      </w:r>
      <w:r w:rsidR="00A969C6" w:rsidRPr="00DA76A7">
        <w:rPr>
          <w:rFonts w:ascii="Arial" w:hAnsi="Arial" w:cs="Arial"/>
          <w:i/>
          <w:color w:val="000000" w:themeColor="text1"/>
          <w:sz w:val="22"/>
          <w:szCs w:val="22"/>
        </w:rPr>
        <w:t> </w:t>
      </w:r>
      <w:r w:rsidR="00A969C6" w:rsidRPr="00DA76A7">
        <w:rPr>
          <w:rStyle w:val="hl"/>
          <w:rFonts w:ascii="Arial" w:hAnsi="Arial" w:cs="Arial"/>
          <w:i/>
          <w:color w:val="000000" w:themeColor="text1"/>
          <w:sz w:val="22"/>
          <w:szCs w:val="22"/>
          <w:bdr w:val="none" w:sz="0" w:space="0" w:color="auto" w:frame="1"/>
        </w:rPr>
        <w:t>национальной безопасности</w:t>
      </w:r>
      <w:r w:rsidR="00A969C6" w:rsidRPr="00DA76A7">
        <w:rPr>
          <w:rFonts w:ascii="Arial" w:hAnsi="Arial" w:cs="Arial"/>
          <w:i/>
          <w:color w:val="000000" w:themeColor="text1"/>
          <w:sz w:val="22"/>
          <w:szCs w:val="22"/>
        </w:rPr>
        <w:t>. Существующие подходы к обеспечению </w:t>
      </w:r>
      <w:r w:rsidR="00A969C6" w:rsidRPr="00DA76A7">
        <w:rPr>
          <w:rStyle w:val="hl"/>
          <w:rFonts w:ascii="Arial" w:hAnsi="Arial" w:cs="Arial"/>
          <w:i/>
          <w:color w:val="000000" w:themeColor="text1"/>
          <w:sz w:val="22"/>
          <w:szCs w:val="22"/>
          <w:bdr w:val="none" w:sz="0" w:space="0" w:color="auto" w:frame="1"/>
        </w:rPr>
        <w:t>национальной безопасности</w:t>
      </w:r>
      <w:r w:rsidR="00A969C6" w:rsidRPr="00DA76A7">
        <w:rPr>
          <w:rFonts w:ascii="Arial" w:hAnsi="Arial" w:cs="Arial"/>
          <w:i/>
          <w:color w:val="000000" w:themeColor="text1"/>
          <w:sz w:val="22"/>
          <w:szCs w:val="22"/>
        </w:rPr>
        <w:t> стран, основанные, как правило, на силовом подходе. Делается вывод о необходимости поиска и научного обоснования других эффективных </w:t>
      </w:r>
      <w:r w:rsidR="00A969C6" w:rsidRPr="00DA76A7">
        <w:rPr>
          <w:rStyle w:val="hl"/>
          <w:rFonts w:ascii="Arial" w:hAnsi="Arial" w:cs="Arial"/>
          <w:i/>
          <w:color w:val="000000" w:themeColor="text1"/>
          <w:sz w:val="22"/>
          <w:szCs w:val="22"/>
          <w:bdr w:val="none" w:sz="0" w:space="0" w:color="auto" w:frame="1"/>
        </w:rPr>
        <w:t>методов борьбы</w:t>
      </w:r>
      <w:r w:rsidR="00A969C6" w:rsidRPr="00DA76A7">
        <w:rPr>
          <w:rFonts w:ascii="Arial" w:hAnsi="Arial" w:cs="Arial"/>
          <w:i/>
          <w:color w:val="000000" w:themeColor="text1"/>
          <w:sz w:val="22"/>
          <w:szCs w:val="22"/>
        </w:rPr>
        <w:t> с организаторами терактов и носителями экстремистских идей.</w:t>
      </w:r>
    </w:p>
    <w:p w:rsidR="00A969C6" w:rsidRPr="00DA76A7" w:rsidRDefault="00081412" w:rsidP="00A969C6">
      <w:pPr>
        <w:tabs>
          <w:tab w:val="left" w:pos="567"/>
        </w:tabs>
        <w:ind w:firstLine="567"/>
        <w:jc w:val="both"/>
        <w:textAlignment w:val="top"/>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The article is devoted to one of the most important problems for the world community regarding the problem of international terrorism as a threat to national security. Existing approaches to ensuring national security of the countries, based, as a rule, on the security approach. It is concluded that it is necessary to search for and scientifically substantiate other effective methods of combating the organizers of terrorist acts and carriers of extremist ideas.</w:t>
      </w:r>
    </w:p>
    <w:p w:rsidR="00A969C6" w:rsidRPr="00DA76A7" w:rsidRDefault="00A969C6" w:rsidP="00A969C6">
      <w:pPr>
        <w:tabs>
          <w:tab w:val="left" w:pos="567"/>
        </w:tabs>
        <w:ind w:firstLine="567"/>
        <w:jc w:val="both"/>
        <w:textAlignment w:val="top"/>
        <w:rPr>
          <w:rStyle w:val="hl"/>
          <w:rFonts w:ascii="Arial" w:hAnsi="Arial" w:cs="Arial"/>
          <w:i/>
          <w:color w:val="000000" w:themeColor="text1"/>
          <w:sz w:val="22"/>
          <w:szCs w:val="22"/>
          <w:bdr w:val="none" w:sz="0" w:space="0" w:color="auto" w:frame="1"/>
        </w:rPr>
      </w:pPr>
      <w:r w:rsidRPr="00DA76A7">
        <w:rPr>
          <w:rStyle w:val="hl"/>
          <w:rFonts w:ascii="Arial" w:hAnsi="Arial" w:cs="Arial"/>
          <w:b/>
          <w:i/>
          <w:color w:val="000000" w:themeColor="text1"/>
          <w:sz w:val="22"/>
          <w:szCs w:val="22"/>
          <w:bdr w:val="none" w:sz="0" w:space="0" w:color="auto" w:frame="1"/>
        </w:rPr>
        <w:t>Ключевые слова</w:t>
      </w:r>
      <w:r w:rsidRPr="00DA76A7">
        <w:rPr>
          <w:rStyle w:val="hl"/>
          <w:rFonts w:ascii="Arial" w:hAnsi="Arial" w:cs="Arial"/>
          <w:i/>
          <w:color w:val="000000" w:themeColor="text1"/>
          <w:sz w:val="22"/>
          <w:szCs w:val="22"/>
          <w:bdr w:val="none" w:sz="0" w:space="0" w:color="auto" w:frame="1"/>
        </w:rPr>
        <w:t>: национальная безопасность, международный терроризм, экстремизм, методы борьбы, террористы, государство.</w:t>
      </w:r>
    </w:p>
    <w:p w:rsidR="00A969C6" w:rsidRPr="00DA76A7" w:rsidRDefault="00A969C6" w:rsidP="00A969C6">
      <w:pPr>
        <w:tabs>
          <w:tab w:val="left" w:pos="567"/>
        </w:tabs>
        <w:ind w:firstLine="567"/>
        <w:jc w:val="both"/>
        <w:textAlignment w:val="top"/>
        <w:rPr>
          <w:rStyle w:val="hl"/>
          <w:rFonts w:ascii="Arial" w:hAnsi="Arial" w:cs="Arial"/>
          <w:i/>
          <w:color w:val="000000" w:themeColor="text1"/>
          <w:sz w:val="22"/>
          <w:szCs w:val="22"/>
          <w:bdr w:val="none" w:sz="0" w:space="0" w:color="auto" w:frame="1"/>
          <w:lang w:val="en-US"/>
        </w:rPr>
      </w:pPr>
      <w:r w:rsidRPr="00DA76A7">
        <w:rPr>
          <w:rStyle w:val="hl"/>
          <w:rFonts w:ascii="Arial" w:hAnsi="Arial" w:cs="Arial"/>
          <w:b/>
          <w:i/>
          <w:color w:val="000000" w:themeColor="text1"/>
          <w:sz w:val="22"/>
          <w:szCs w:val="22"/>
          <w:bdr w:val="none" w:sz="0" w:space="0" w:color="auto" w:frame="1"/>
          <w:lang w:val="en-US"/>
        </w:rPr>
        <w:t>Key words</w:t>
      </w:r>
      <w:r w:rsidRPr="00DA76A7">
        <w:rPr>
          <w:rStyle w:val="hl"/>
          <w:rFonts w:ascii="Arial" w:hAnsi="Arial" w:cs="Arial"/>
          <w:i/>
          <w:color w:val="000000" w:themeColor="text1"/>
          <w:sz w:val="22"/>
          <w:szCs w:val="22"/>
          <w:bdr w:val="none" w:sz="0" w:space="0" w:color="auto" w:frame="1"/>
          <w:lang w:val="en-US"/>
        </w:rPr>
        <w:t>: national security, international terrorism, extremism, methods of struggle, terrorists, the state.</w:t>
      </w:r>
    </w:p>
    <w:p w:rsidR="00A969C6" w:rsidRPr="00DA76A7" w:rsidRDefault="00A969C6" w:rsidP="00A969C6">
      <w:pPr>
        <w:pStyle w:val="a7"/>
        <w:tabs>
          <w:tab w:val="left" w:pos="780"/>
          <w:tab w:val="center" w:pos="4677"/>
        </w:tabs>
        <w:spacing w:before="0" w:beforeAutospacing="0" w:after="0" w:afterAutospacing="0"/>
        <w:ind w:firstLine="567"/>
        <w:rPr>
          <w:rFonts w:ascii="Arial" w:hAnsi="Arial" w:cs="Arial"/>
          <w:b/>
          <w:color w:val="000000" w:themeColor="text1"/>
          <w:sz w:val="22"/>
          <w:szCs w:val="22"/>
          <w:lang w:val="en-US"/>
        </w:rPr>
      </w:pPr>
    </w:p>
    <w:p w:rsidR="00A969C6" w:rsidRPr="00DA76A7" w:rsidRDefault="00A969C6" w:rsidP="00A969C6">
      <w:pPr>
        <w:tabs>
          <w:tab w:val="left" w:pos="567"/>
        </w:tabs>
        <w:ind w:firstLine="567"/>
        <w:jc w:val="both"/>
        <w:textAlignment w:val="top"/>
        <w:rPr>
          <w:rStyle w:val="15"/>
          <w:rFonts w:ascii="Arial" w:hAnsi="Arial" w:cs="Arial"/>
          <w:b/>
          <w:color w:val="000000" w:themeColor="text1"/>
          <w:sz w:val="22"/>
          <w:szCs w:val="22"/>
        </w:rPr>
      </w:pPr>
      <w:r w:rsidRPr="00DA76A7">
        <w:rPr>
          <w:rFonts w:ascii="Arial" w:hAnsi="Arial" w:cs="Arial"/>
          <w:color w:val="000000" w:themeColor="text1"/>
          <w:sz w:val="22"/>
          <w:szCs w:val="22"/>
        </w:rPr>
        <w:t xml:space="preserve">В современных условиях бороться с терроризмом крайне не возможно без совместных действий международного сообщества. Это явление, считаясь как одним из самых серьезных вызовов мировому сообществу, приобрело международный, глобальный характер, стало универсальным. Ныне привлечено всеобщее внимание к проблеме международного терроризма: часто стали говорить о ней, делаются яростные заявления, анализируются разнообразные, как правило, удачные и неудачные опыты, т.д. А между тем, этот вопрос представляется весьма актуальным в нынешнее время, особенно в связи с появлением непризнанных государств, которые порою их территория становится очагом возрождения, формирования и распространения таких явлений, как терроризм и экстремизм. Примечателен тот факт, что все террористические и экстремистские группировки во всем мире уделяют внимание непризнанным государствам. Для них территория таковых государств является надежным убежищем и полигоном. Так террористическая группировка Ал-Каида нашла себе убежище в Вазиристане. Первичные группировки Талибан также базировались и базируются до сих пор там же. А боевики группировки Шабаб организовались и, создав базы, действуют с территории Сомалиленда. </w:t>
      </w:r>
    </w:p>
    <w:p w:rsidR="00A969C6" w:rsidRPr="00DA76A7" w:rsidRDefault="00A969C6" w:rsidP="00A969C6">
      <w:pPr>
        <w:pStyle w:val="a7"/>
        <w:tabs>
          <w:tab w:val="left" w:pos="780"/>
          <w:tab w:val="center" w:pos="4677"/>
        </w:tabs>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Все более широкая интернационализация терроризма и экстремизма - это неоспоримый факт, с которым столкнулись государства. Важно подчеркнуть, что терроризм развивался и в настоящее время также протекает в условиях абсолютного безразличия к этому процессу международных структур и некоторых государств, которые лицемерно начинают выражать озабоченность только в тех случаях, когда теракт происходит на их собственной территории.</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Современный международный терроризм - это мощные международные структуры с соответствующим их масштабам оснащением. Это уже не только и не столько диверсанты-одиночки, угонщики самолетов и убийцы-камикадзе. События конца XX - начала XXI в. свидетельствуют о том, что нынешний терроризм способен участвовать в крупных вооруженных конфликтах и вести диверсионно-террористическую войну. Особенностями современного международного терроризма являются формирования сетей международных и региональных руководящих органов, которые занимаются решением вопросов планирования  террористической деятельности, подготовки проведения конкретных операций, организации взаимодействия между отдельными группами и исполнителями. Современные террористы ставят перед собой задачи, связанные возбуждать антиправительственное настроение жителей в обществе в целях завоевания власти, проникновения в общественные и государственные политические, экономические и силовые структуры, создания разветвленной сети центров и баз по подготовке боевиков и осуществления террористических операций в различных регионах мира.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Практически различные международные террористические организации и кланы охватили под свой контроль все континенты. Сегодня международный терроризм поддерживается не только отдельными террористическими организациями, но и целыми государствами. К таким государствам по данным западных исследователей и политиков относятся некоторые ближневосточные государства с авторитарным строем, где активно действуют различные экстремистские группировки, религиозно-политические, крайне правые или крайне левые движения и общественно-политические организации.</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Например, в ежегодном докладе Государственного департамента США к числу государств, причастных к «спонсированию» международного терроризма, как и в прошлые годы, отнесены Куба, Северная Корея, Иран, Ирак и Судан. По утверждению авторов доклада, правительства этих государств «сами участвуют в террористической деятельности или предоставляют террористам оружие, убежище, финансовую поддержку и другую помощь».[2, с.34] Однако, это надо понять только с позиции Соединенных штатов.</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Проблемы международного терроризма все чаще и чаще становятся объектом научного анализа ученых многих стран. Эти вопросы глубоко разрабатываются российскими политологами О.А. Бельковым, М.И. Дзлиевым, В.Н. Кудрявцевым, Г.И. Мирским, А. Неклесса, В.В. Никитаевым, Д.В. Ольшанским, В.Е. Петрищевым, В.М. Розиным, Е.Я. Сатановским, М.П. Требиным, В.Г. Хоресом и др. В своих научных трудах этими учеными сделаны существенные шаги по определению феномена «международный терроризм».</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Вопросы о предмете международного терроризма нашли широкое рассмотрение в отечественной юридической литературе. Так, А.А. Моджорян и Е.Г. Ляхов выделяют следующие элементы международных террористических актов: [4, 87]</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«1) террорист и лица, страдающие от террористического акта, являются гражданами одного и того же государства, но преступление совершено за пределами этих государств;</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2) террористический акт направлен против лиц, пользующихся международной защитой;</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3) подготовка террористического акта ведется в одном государстве, а осуществляется в другом;</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4) совершивший террористический акт в одном государстве, террорист укрывается в другом, и встает вопрос о его выдаче.»</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Вопросы определения международного терроризма нашли широкое рассмотрение и в западной юридической литературе.</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Важно выделить пять признаков международного терроризма, характерных мнению западных авторов:</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совершенные на территории третьей страны;</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направленные против граждан третьей страны;</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направленные против государственной собственности третьих стран;</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направленные против государственной собственности третьей страны (не находящейся на её территории);</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затрагивающие интересы третьей страны.</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При сравнении видим, что, во-первых, обязательным элементом западных дефиниций является указание на то, что террористы используют насилие против третьих сторон, пытаясь оказать воздействие на лиц, не являющихся непосредственными жертвами насилия; во-вторых, отечественная доктрина связывает противоправность данного деяния с его опасностью, прежде всего, для международного мира и безопасности международных отношений; зарубежные исследователи на первое место ставят нарушение прав и свобод человека, угрозу демократическим основам.</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Но, несмотря на определённые различия, существует ряд общих признаков, которые характеризуют сущность международного терроризма как противоправного деяния и находят свое отражение в большинстве существующих дефиниций:</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насилие или угроза его применения всеми исследователями понимается как базовый, неотъемлемый элемент любого террористического акта, обусловливающий повышенную угрозу актов международного терроризма;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своих целей террористы добиваются путем устранения или принуждения лиц, не являющихся непосредственными жертвами насилия, что и составляет специфику террористического акта в сравнении с другими формами противоправного использования насилия;</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объекты нападения террористов крайне разнообразны и выбираются ими, исходя из возможности привлечения к террористическому акту наибольшего внимания, а это зачастую напрямую связано с количеством жертв;</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дестабилизация межгосударственных отношений, международного правопорядка в целом в результате проведения определенных актов международного терроризма.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Исходя из вышесказанного, можно определить характеристики понятия международного терроризма: [3, 139]</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международный терроризм - это посягающее на международный правопорядок применение физическим лицом (гражданами, организацией) насилия, направленного на достижение международно-противоправовых целей путем устранения лиц, не являющихся непосредственными жертвами нападения, насилия; посягательство на жизнь, здоровье, свободу физических лиц; действия, направленные на разрушение путем взрыва, поджога или иным способом использования транспортных средств, общественных и жилых помещений и других материальных объектов;</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исполнитель и жертва нападения являются гражданами различных государств; акт насилия организован или осуществлен иностранным государством; акт насилия подготовлен и осуществлен организацией, дислоцирующейся на территории иностранного государства; предмет посягательства (транспортные средства, общественные, жилые здания, другие материальные объекты), принадлежащий иностранному государству или гражданину;</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никакие соображения политического, экономического, военного и иного характера не могут служить оправданием международному терроризму;</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акт международного терроризма влечет за собой международную ответственность государства-делинквента и лица (лиц), совершивших это деяние;</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не могут квалифицироваться как международные, террористические акты насилия, совершаемые народами, борющимися против оккупационных и колониальных режимов за свое освобождение.»</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Для более четкого понимания специфику преступления международного терроризма, следует рассмотреть и проанализировать элементы его состава. Сделаем это не в том порядке, который принят в среде специалистов уголовного права. Объектом посягательства международного терроризма являются всеобщий мир, безопасность и благополучие. Что же касается объективной стороны международного терроризма как преступления, то в данном случае в теории понимаются действия, направленные против жизни конкретного политического деятеля либо неопределенного числа людей, которые находят свое выражение в насилии или угрозе его применения. С точки зрения субъективной характеристики, международный терроризм - это преступление, всегда совершаемое с прямым умыслом. Целью преступления является стремление вызвать международные осложнения или сознательно допустить их.</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Субъектами актов международного терроризма выступают физические лица, непосредственные исполнители преступных деяний, преступные группы или преступные организации, все члены которых должны нести ответственность как соучастники совершенных преступлений. Международные преступления, в свою очередь, совершаются непосредственно самим государством. К таким преступлениям Римский статут Международного уголовного суда относит агрессию, геноцид, апартеид, военные преступления, преступления против человечности.</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Ученые криминалисты считают,что состав преступления не всегда совпадает с составом международного преступления. Важно проводить грань между международными преступлениями и международным терроризмом. Действия преступников, уничтожающие целые группы людей, жилища и т.п., могут считаться как терроризм только в том случае, если подобные деяния совершают террористические организации или отдельные лица, а не государства или их официальные органы.</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терроризм представляет собой механизм воздействия коалиции традиционных обществ на мир либеральной цивилизации. Западный мир, выступая источником общемировой динамики, дестабилизирует развивающиеся страны. В этом нет злого умысла со стороны Запада, так как динамичные общества по своей природе эффективнее застойных и активнее разлагают традиционный мир. Однако, идеологи осмысливают эту закономерность мировой истории как заговор, направленный против традиционного мира, представляя лидеров мировой динамики в образе «дьявола», говорят о «крестоносцах», о «мировом владычестве масонов» и т.д.</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терроризм сегодня - эффективное средство воздействия, избранное коалицией наиболее радикальных сил. Эта коалиция, наравне  самих обществах Запада находит себе союзников так и в постоянно растущей на Западе среде иммигрантов из Азии и Африки. Современный терроризм при достижении своей стратегической цели разрушения общества, использует природу либерального общества, спекулируя на сущности либерального государства.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Глубинный эффект терроризма - трансформация принципов либерализма. Террористы подталкивают объекты террора к отказу от либеральных ценностей, от гражданских прав и свобод. Толкают власть на путь тотального контроля, стремятся разрушить структуры гражданского общества. </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Терроризм легко победить его же собственным оружием. Государственный террор сметает структуры терроризма. Однако этот путь борьбы с терроризмом закрыт. Задача состоит в том, чтобы разрушить терроризм, не пожертвовав базовыми принципами либеральной цивилизации.</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современном мире наблюдается активная поддержка международного терроризма со стороны отдельных государств.</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«Понятие «государственная поддержка международного терроризма» может быть определено как любое из следующих действий, совершенных государством: [1, 20]</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предоставление оружия, взрывчатых или смертоносных веществ любому лицу, группе или организации, участвующему/ей в актах международного терроризма;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направление, подготовка или содействие любому лицу, группе или организации, планирующему/ей или осуществляющему/ей любой акт международного терроризма;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предоставление финансовой поддержки любому лицу, группе или организации, планирующему/ей или осуществляющему/ей любой акт международного терроризма;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отказ в выдаче или преследовании любого лица на своей территории, совершившего какой-либо акт международного терроризма;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предоставление дипломатической защиты лицам, которые помогают, содействуют совершению любого акта международного терроризма.»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терроризм наносит ущерб жизни и здоровью людей, имуществу, правам и законным их интересам, дезорганизует общественную жизнь целых стран. Террористический акт сопровождается физическим воздействием вплоть до причинения телесных повреждений и смерти большого количества населения. Он может сопровождаться и психологическим воздействием, и вымогательством разных благ, что особенно характерно для тех случаев, когда этот акт сопровождается требованием выкупа.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терроризм может выражаться также в разрушении или попытке разрушения каких-либо объектов: самолетов, административных зданий, жилищ, морских судов, объектов жизнеобеспечения и т.п. Одно из главных средств достижения целей для международных террористов - запугивание, создание атмосферы страха, неуверенности в безопасности жизни народов. Уничтожение имущества террористическими группами, даже не повлекшее человеческих жертв, также можно квалифицировать как международный терроризм.</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терроризм - это заранее продуманное и подготовленное противозаконное применение насилия или вероятность такой акции в отношении личности, общества или отдельного государства.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Данная проблема относится к числу транснациональных преступлений. Она требует единообразного подхода к его толкованию и, главное, к выработке единых международно-правовых понятий для осуществления согласованных оценок и действий в борьбе с ним.</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терроризм вызывает самые разноречивые суждения. Он либо политизировался, либо рассматривался как обычное уголовное преступление. Сегодня между юристами мира стало больше понимания по существу проблемы. По многим вопросам международного терроризма - и как явления, и как международного преступления - достигнуто определенное единство, что очень важно ввиду той опасности, которую он представляет для человечества.</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Для плодотворного противодействия в борьбе с международному терроризму необходимы усилия всего мирового сообщества, совместные спланированные действия стран и народов, прежде всего крупных держав. Обеспечивая национальную безопасность России, руководство страны должно постоянно, говоря словами Президента России, «разгребать текущие завалы, защищать целостность страны в борьбе с сепаратизмом и международным терроризмом, и при этом закладывать основы нашего будущего».</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терроризм умело использует экономические и социальные проблемы, проявления религиозного экстремизма, сепаратистские настроения на территории многих стран. Им предпринимаются активные меры по использованию каналов незаконной миграции и контрабандной деятельности для проникновения на территории суверенных государств, организации финансового и материально-технического обеспечения диверсионно-террористической деятельности, переправы из-за рубежа оружия, взрывчатых веществ и т.д.</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этой связи, следует узнать точку зрения ведущего эксперта института исследований национальной безопасности Тель-Авива Йорама Швейцера. Опираясь на опыт Израиля, эксперт указывает, что «…в современной борьбе с терроризмом необходим целый комплекс мер. Необходимо совершенствовать координацию между ведомствами различных стран, чтобы не возникало бюрократических барьеров. Например, Израиль сумел добиться того, чтобы различные структуры действовали согласованно - как в оркестре. По сравнению с началом 2000-х, когда страна подвергалась десяткам атак, их удалось свести практически к нулю». [5, 31]</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Таким образом, одних силовых методов, карательной политики уже недостаточно. На смену уничтоженным боевикам, участникам незаконных формирований, приходят другие «люди действия». По сути, нетронутыми остаются «люди мысли» - носители экстремистских идей. Нужна огромная профилактическая работа по созданию такой социально-экономической и толерантной среды в обществе, которая отторгала бы террористов. Нужен открытый диалог политиков, правозащитников, представителей неправительственных организаций, где бы оговаривались все проблемы и противоречия, тормозящие борьбу с терроризмом.</w:t>
      </w:r>
    </w:p>
    <w:p w:rsidR="00A969C6" w:rsidRPr="00DA76A7" w:rsidRDefault="00A969C6" w:rsidP="00A969C6">
      <w:pPr>
        <w:tabs>
          <w:tab w:val="left" w:pos="567"/>
        </w:tabs>
        <w:ind w:firstLine="567"/>
        <w:jc w:val="center"/>
        <w:textAlignment w:val="top"/>
        <w:rPr>
          <w:rFonts w:ascii="Arial" w:hAnsi="Arial" w:cs="Arial"/>
          <w:b/>
          <w:color w:val="000000" w:themeColor="text1"/>
          <w:sz w:val="22"/>
          <w:szCs w:val="22"/>
        </w:rPr>
      </w:pPr>
    </w:p>
    <w:p w:rsidR="00A969C6" w:rsidRPr="00DA76A7" w:rsidRDefault="00A969C6" w:rsidP="00A969C6">
      <w:pPr>
        <w:tabs>
          <w:tab w:val="left" w:pos="567"/>
        </w:tabs>
        <w:ind w:firstLine="567"/>
        <w:jc w:val="center"/>
        <w:textAlignment w:val="top"/>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r w:rsidRPr="00DA76A7">
        <w:rPr>
          <w:rFonts w:ascii="Arial" w:hAnsi="Arial" w:cs="Arial"/>
          <w:color w:val="000000" w:themeColor="text1"/>
          <w:sz w:val="22"/>
          <w:szCs w:val="22"/>
        </w:rPr>
        <w:t>:</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1. Антонян Ю.М. Терроризм. — М.,1998. – 305 с.</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2. Дугард Дж. Доклад посланника ООН по правам человека на палестинских территориях  // Время новостей. —  2006. — № 114. – С. 34-36.</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3. Латыпов У.Р. К вопросу об определении международного терроризма // Советский ежегодник международного права. —  1988. - № 4. - С. 139-141.</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4. Ляхов Е. Проблемы сотрудничества государств в борьбе с международным терроризмом — М., 1979. – 167 с.</w:t>
      </w:r>
    </w:p>
    <w:p w:rsidR="00A969C6" w:rsidRPr="00DA76A7" w:rsidRDefault="00A969C6" w:rsidP="00A969C6">
      <w:pPr>
        <w:tabs>
          <w:tab w:val="left" w:pos="567"/>
        </w:tabs>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5. Нечипоренко О. Вся планета прифронтовая зона // Известия. — 2010. – от 5 июля. – С.13-14.</w:t>
      </w:r>
    </w:p>
    <w:p w:rsidR="00A969C6" w:rsidRPr="00DA76A7" w:rsidRDefault="00A969C6" w:rsidP="00A969C6">
      <w:pPr>
        <w:ind w:firstLine="567"/>
        <w:rPr>
          <w:rFonts w:ascii="Arial" w:hAnsi="Arial" w:cs="Arial"/>
          <w:color w:val="000000" w:themeColor="text1"/>
          <w:sz w:val="22"/>
          <w:szCs w:val="22"/>
        </w:rPr>
      </w:pPr>
    </w:p>
    <w:p w:rsidR="006F7B90" w:rsidRPr="00DA76A7" w:rsidRDefault="006F7B90" w:rsidP="006F7B90">
      <w:pPr>
        <w:pStyle w:val="ac"/>
        <w:jc w:val="center"/>
        <w:rPr>
          <w:rFonts w:ascii="Arial" w:hAnsi="Arial" w:cs="Arial"/>
          <w:b/>
          <w:color w:val="000000" w:themeColor="text1"/>
          <w:lang w:val="uk-UA"/>
        </w:rPr>
      </w:pPr>
      <w:r w:rsidRPr="00DA76A7">
        <w:rPr>
          <w:rFonts w:ascii="Arial" w:hAnsi="Arial" w:cs="Arial"/>
          <w:b/>
          <w:color w:val="000000" w:themeColor="text1"/>
          <w:lang w:val="uk-UA"/>
        </w:rPr>
        <w:t>ТОРГОВЫЕ ПРЕДСТАВИТЕЛЬСТВА РЕСПУБЛИКИ ТАДЖИКИСТАН КАК ОТДЕЛЬНЫЙ СУБЪЕКТ МЕЖДУНАРОДНОГО ЭКОНОМИЧЕСКОГО ПРАВА</w:t>
      </w:r>
    </w:p>
    <w:p w:rsidR="006F7B90" w:rsidRPr="00DA76A7" w:rsidRDefault="006F7B90" w:rsidP="006F7B90">
      <w:pPr>
        <w:pStyle w:val="ConsPlusNormal"/>
        <w:widowControl/>
        <w:suppressLineNumbers/>
        <w:suppressAutoHyphens/>
        <w:ind w:firstLine="0"/>
        <w:jc w:val="center"/>
        <w:rPr>
          <w:b/>
          <w:color w:val="000000" w:themeColor="text1"/>
          <w:sz w:val="22"/>
          <w:szCs w:val="22"/>
        </w:rPr>
      </w:pPr>
      <w:r w:rsidRPr="00DA76A7">
        <w:rPr>
          <w:b/>
          <w:color w:val="000000" w:themeColor="text1"/>
          <w:sz w:val="22"/>
          <w:szCs w:val="22"/>
        </w:rPr>
        <w:t xml:space="preserve"> </w:t>
      </w:r>
    </w:p>
    <w:p w:rsidR="006F7B90" w:rsidRPr="00DA76A7" w:rsidRDefault="006F7B90" w:rsidP="006F7B90">
      <w:pPr>
        <w:pStyle w:val="ConsPlusNormal"/>
        <w:widowControl/>
        <w:suppressLineNumbers/>
        <w:suppressAutoHyphens/>
        <w:ind w:firstLine="0"/>
        <w:jc w:val="center"/>
        <w:rPr>
          <w:b/>
          <w:color w:val="000000" w:themeColor="text1"/>
          <w:sz w:val="22"/>
          <w:szCs w:val="22"/>
        </w:rPr>
      </w:pPr>
      <w:r w:rsidRPr="00DA76A7">
        <w:rPr>
          <w:b/>
          <w:color w:val="000000" w:themeColor="text1"/>
          <w:sz w:val="22"/>
          <w:szCs w:val="22"/>
        </w:rPr>
        <w:t>Мамадалиева Мухае Садикджановна</w:t>
      </w:r>
    </w:p>
    <w:p w:rsidR="006F7B90" w:rsidRPr="00DA76A7" w:rsidRDefault="006F7B90" w:rsidP="006F7B90">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6F7B90" w:rsidRPr="00DA76A7" w:rsidRDefault="006F7B90" w:rsidP="006F7B90">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w:t>
      </w:r>
    </w:p>
    <w:p w:rsidR="006F7B90" w:rsidRPr="00DA76A7" w:rsidRDefault="006F7B90" w:rsidP="006F7B90">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 Турсунзаде, 30</w:t>
      </w:r>
    </w:p>
    <w:p w:rsidR="006F7B90" w:rsidRPr="003A751C" w:rsidRDefault="006F7B90" w:rsidP="006F7B90">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2273986,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m</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pravo</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p>
    <w:p w:rsidR="006F7B90" w:rsidRPr="003A751C" w:rsidRDefault="006F7B90" w:rsidP="006F7B90">
      <w:pPr>
        <w:shd w:val="clear" w:color="auto" w:fill="FFFFFF"/>
        <w:jc w:val="both"/>
        <w:rPr>
          <w:rFonts w:ascii="Arial" w:hAnsi="Arial" w:cs="Arial"/>
          <w:b/>
          <w:color w:val="000000" w:themeColor="text1"/>
          <w:sz w:val="22"/>
          <w:szCs w:val="22"/>
          <w:lang w:val="en-US"/>
        </w:rPr>
      </w:pPr>
    </w:p>
    <w:p w:rsidR="006F7B90" w:rsidRPr="00DA76A7" w:rsidRDefault="006F7B90" w:rsidP="006F7B90">
      <w:pPr>
        <w:pStyle w:val="ac"/>
        <w:jc w:val="both"/>
        <w:rPr>
          <w:rFonts w:ascii="Arial" w:hAnsi="Arial" w:cs="Arial"/>
          <w:color w:val="000000" w:themeColor="text1"/>
          <w:lang w:val="uk-UA"/>
        </w:rPr>
      </w:pPr>
      <w:r w:rsidRPr="00DA76A7">
        <w:rPr>
          <w:rFonts w:ascii="Arial" w:hAnsi="Arial" w:cs="Arial"/>
          <w:b/>
          <w:color w:val="000000" w:themeColor="text1"/>
          <w:lang w:val="en-US"/>
        </w:rPr>
        <w:t>TRADE REPRESENTATIVES OF THE REPUBLIC OF TAJIKISTAN AS A SEPARATE SUBJECT OF INTERNATIONAL ECONOMIC LAW</w:t>
      </w:r>
      <w:r w:rsidRPr="00DA76A7">
        <w:rPr>
          <w:rFonts w:ascii="Arial" w:hAnsi="Arial" w:cs="Arial"/>
          <w:color w:val="000000" w:themeColor="text1"/>
          <w:lang w:val="en-US"/>
        </w:rPr>
        <w:t> </w:t>
      </w:r>
    </w:p>
    <w:p w:rsidR="006F7B90" w:rsidRPr="00DA76A7" w:rsidRDefault="006F7B90" w:rsidP="006F7B90">
      <w:pPr>
        <w:pStyle w:val="ac"/>
        <w:jc w:val="center"/>
        <w:rPr>
          <w:rFonts w:ascii="Arial" w:hAnsi="Arial" w:cs="Arial"/>
          <w:b/>
          <w:color w:val="000000" w:themeColor="text1"/>
          <w:lang w:val="en-US"/>
        </w:rPr>
      </w:pPr>
    </w:p>
    <w:p w:rsidR="006F7B90" w:rsidRPr="00DA76A7" w:rsidRDefault="006F7B90" w:rsidP="006F7B90">
      <w:pPr>
        <w:pStyle w:val="ac"/>
        <w:jc w:val="center"/>
        <w:rPr>
          <w:rFonts w:ascii="Arial" w:hAnsi="Arial" w:cs="Arial"/>
          <w:b/>
          <w:color w:val="000000" w:themeColor="text1"/>
          <w:lang w:val="en-US"/>
        </w:rPr>
      </w:pPr>
      <w:r w:rsidRPr="00DA76A7">
        <w:rPr>
          <w:rFonts w:ascii="Arial" w:hAnsi="Arial" w:cs="Arial"/>
          <w:b/>
          <w:color w:val="000000" w:themeColor="text1"/>
          <w:lang w:val="en-US"/>
        </w:rPr>
        <w:t>Mamadalieva Mukhae Sadikdjanovna</w:t>
      </w:r>
    </w:p>
    <w:p w:rsidR="006F7B90" w:rsidRPr="00DA76A7" w:rsidRDefault="006F7B90"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full-time department of the faculty of law</w:t>
      </w:r>
    </w:p>
    <w:p w:rsidR="006F7B90" w:rsidRPr="00DA76A7" w:rsidRDefault="006F7B90" w:rsidP="006F7B90">
      <w:pPr>
        <w:pStyle w:val="ac"/>
        <w:jc w:val="center"/>
        <w:rPr>
          <w:rFonts w:ascii="Arial" w:hAnsi="Arial" w:cs="Arial"/>
          <w:color w:val="000000" w:themeColor="text1"/>
          <w:lang w:val="en-US"/>
        </w:rPr>
      </w:pPr>
      <w:r w:rsidRPr="00DA76A7">
        <w:rPr>
          <w:rFonts w:ascii="Arial" w:hAnsi="Arial" w:cs="Arial"/>
          <w:color w:val="000000" w:themeColor="text1"/>
          <w:lang w:val="en-US"/>
        </w:rPr>
        <w:t>Russian-Tajik (Slavonic) university</w:t>
      </w:r>
    </w:p>
    <w:p w:rsidR="006F7B90" w:rsidRPr="00DA76A7" w:rsidRDefault="006F7B90" w:rsidP="006F7B90">
      <w:pPr>
        <w:pStyle w:val="ac"/>
        <w:jc w:val="center"/>
        <w:rPr>
          <w:rFonts w:ascii="Arial" w:hAnsi="Arial" w:cs="Arial"/>
          <w:color w:val="000000" w:themeColor="text1"/>
          <w:lang w:val="en-US"/>
        </w:rPr>
      </w:pPr>
      <w:r w:rsidRPr="00DA76A7">
        <w:rPr>
          <w:rFonts w:ascii="Arial" w:hAnsi="Arial" w:cs="Arial"/>
          <w:color w:val="000000" w:themeColor="text1"/>
          <w:lang w:val="en-US"/>
        </w:rPr>
        <w:t>734025, Republic of Tajikistan, Dushanbe, M. Tursunzade str., 30</w:t>
      </w:r>
    </w:p>
    <w:p w:rsidR="006F7B90" w:rsidRPr="00DA76A7" w:rsidRDefault="006F7B90" w:rsidP="006F7B90">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2273986, e-mail: m.pravo@mail.ru</w:t>
      </w:r>
    </w:p>
    <w:p w:rsidR="006F7B90" w:rsidRPr="00DA76A7" w:rsidRDefault="006F7B90" w:rsidP="006F7B90">
      <w:pPr>
        <w:pStyle w:val="ac"/>
        <w:ind w:firstLine="567"/>
        <w:jc w:val="center"/>
        <w:rPr>
          <w:rFonts w:ascii="Arial" w:hAnsi="Arial" w:cs="Arial"/>
          <w:color w:val="000000" w:themeColor="text1"/>
          <w:lang w:val="en-US"/>
        </w:rPr>
      </w:pPr>
    </w:p>
    <w:p w:rsidR="006F7B90" w:rsidRPr="00DA76A7" w:rsidRDefault="006F7B90" w:rsidP="006F7B90">
      <w:pPr>
        <w:pStyle w:val="ac"/>
        <w:ind w:firstLine="567"/>
        <w:jc w:val="right"/>
        <w:rPr>
          <w:rFonts w:ascii="Arial" w:hAnsi="Arial" w:cs="Arial"/>
          <w:color w:val="000000" w:themeColor="text1"/>
          <w:lang w:val="uk-UA"/>
        </w:rPr>
      </w:pPr>
      <w:r w:rsidRPr="00DA76A7">
        <w:rPr>
          <w:rFonts w:ascii="Arial" w:hAnsi="Arial" w:cs="Arial"/>
          <w:color w:val="000000" w:themeColor="text1"/>
          <w:lang w:val="uk-UA"/>
        </w:rPr>
        <w:t xml:space="preserve">                                                                     Научный руководитель: к.п.н. Курбонов Р.Г.</w:t>
      </w:r>
    </w:p>
    <w:p w:rsidR="006F7B90" w:rsidRPr="00DA76A7" w:rsidRDefault="006F7B90" w:rsidP="006F7B90">
      <w:pPr>
        <w:pStyle w:val="ac"/>
        <w:ind w:firstLine="567"/>
        <w:jc w:val="both"/>
        <w:rPr>
          <w:rFonts w:ascii="Arial" w:hAnsi="Arial" w:cs="Arial"/>
          <w:color w:val="000000" w:themeColor="text1"/>
          <w:lang w:val="uk-UA"/>
        </w:rPr>
      </w:pPr>
    </w:p>
    <w:p w:rsidR="006F7B90" w:rsidRPr="00DA76A7" w:rsidRDefault="006F7B90" w:rsidP="006F7B90">
      <w:pPr>
        <w:shd w:val="clear" w:color="auto" w:fill="FFFFFF"/>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настоящей статье рассматриваются торговые  представительства Республики Таджикистан. Выявляется их  сущность и роль   в качестве субъектов  международного экономического права.  </w:t>
      </w:r>
    </w:p>
    <w:p w:rsidR="006F7B90" w:rsidRPr="00DA76A7" w:rsidRDefault="006F7B90" w:rsidP="006F7B90">
      <w:pPr>
        <w:shd w:val="clear" w:color="auto" w:fill="FFFFFF"/>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внешнеэкономические связи, торговые представительства, государство пребывания, атташе посольств, экономическая деятельность.</w:t>
      </w:r>
    </w:p>
    <w:p w:rsidR="006F7B90" w:rsidRPr="00DA76A7" w:rsidRDefault="006F7B90" w:rsidP="006F7B90">
      <w:pPr>
        <w:pStyle w:val="ac"/>
        <w:ind w:firstLine="567"/>
        <w:jc w:val="both"/>
        <w:rPr>
          <w:rFonts w:ascii="Arial" w:hAnsi="Arial" w:cs="Arial"/>
          <w:i/>
          <w:color w:val="000000" w:themeColor="text1"/>
          <w:lang w:val="uk-UA"/>
        </w:rPr>
      </w:pPr>
      <w:r w:rsidRPr="00DA76A7">
        <w:rPr>
          <w:rFonts w:ascii="Arial" w:hAnsi="Arial" w:cs="Arial"/>
          <w:b/>
          <w:i/>
          <w:color w:val="000000" w:themeColor="text1"/>
          <w:lang w:val="en-US"/>
        </w:rPr>
        <w:t>Annotation.</w:t>
      </w:r>
      <w:r w:rsidRPr="00DA76A7">
        <w:rPr>
          <w:rFonts w:ascii="Arial" w:hAnsi="Arial" w:cs="Arial"/>
          <w:i/>
          <w:color w:val="000000" w:themeColor="text1"/>
          <w:lang w:val="en-US"/>
        </w:rPr>
        <w:t xml:space="preserve"> This article deals with trade missions of the Republic of Tajikistan. Their essence and role as subjects of the international economic law is revealed.</w:t>
      </w:r>
    </w:p>
    <w:p w:rsidR="006F7B90" w:rsidRPr="00DA76A7" w:rsidRDefault="006F7B90" w:rsidP="006F7B90">
      <w:pPr>
        <w:pStyle w:val="ac"/>
        <w:ind w:firstLine="567"/>
        <w:jc w:val="both"/>
        <w:rPr>
          <w:rFonts w:ascii="Arial" w:hAnsi="Arial" w:cs="Arial"/>
          <w:i/>
          <w:color w:val="000000" w:themeColor="text1"/>
          <w:lang w:val="uk-UA"/>
        </w:rPr>
      </w:pPr>
      <w:r w:rsidRPr="00DA76A7">
        <w:rPr>
          <w:rFonts w:ascii="Arial" w:hAnsi="Arial" w:cs="Arial"/>
          <w:b/>
          <w:i/>
          <w:color w:val="000000" w:themeColor="text1"/>
          <w:lang w:val="en-US"/>
        </w:rPr>
        <w:t>Key words:</w:t>
      </w:r>
      <w:r w:rsidRPr="00DA76A7">
        <w:rPr>
          <w:rFonts w:ascii="Arial" w:hAnsi="Arial" w:cs="Arial"/>
          <w:i/>
          <w:color w:val="000000" w:themeColor="text1"/>
          <w:lang w:val="en-US"/>
        </w:rPr>
        <w:t xml:space="preserve"> foreign economic relations, trade missions, host country, attachés of embassies, economic activities.</w:t>
      </w:r>
    </w:p>
    <w:p w:rsidR="006F7B90" w:rsidRPr="00DA76A7" w:rsidRDefault="006F7B90" w:rsidP="006F7B90">
      <w:pPr>
        <w:pStyle w:val="ac"/>
        <w:ind w:firstLine="567"/>
        <w:jc w:val="both"/>
        <w:rPr>
          <w:rFonts w:ascii="Arial" w:hAnsi="Arial" w:cs="Arial"/>
          <w:i/>
          <w:color w:val="000000" w:themeColor="text1"/>
          <w:lang w:val="uk-UA"/>
        </w:rPr>
      </w:pP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hAnsi="Arial" w:cs="Arial"/>
          <w:color w:val="000000" w:themeColor="text1"/>
        </w:rPr>
        <w:t>В Таджикистане в качестве зарубежных органов внешнеэко</w:t>
      </w:r>
      <w:r w:rsidRPr="00DA76A7">
        <w:rPr>
          <w:rFonts w:ascii="Arial" w:hAnsi="Arial" w:cs="Arial"/>
          <w:color w:val="000000" w:themeColor="text1"/>
        </w:rPr>
        <w:softHyphen/>
        <w:t>номических связей заметную роль играют торговые предста</w:t>
      </w:r>
      <w:r w:rsidRPr="00DA76A7">
        <w:rPr>
          <w:rFonts w:ascii="Arial" w:hAnsi="Arial" w:cs="Arial"/>
          <w:color w:val="000000" w:themeColor="text1"/>
        </w:rPr>
        <w:softHyphen/>
        <w:t>вительства РТ (торгпредства)</w:t>
      </w:r>
      <w:r w:rsidRPr="00DA76A7">
        <w:rPr>
          <w:rStyle w:val="af3"/>
          <w:rFonts w:ascii="Arial" w:hAnsi="Arial" w:cs="Arial"/>
          <w:color w:val="000000" w:themeColor="text1"/>
        </w:rPr>
        <w:footnoteReference w:id="1"/>
      </w:r>
      <w:r w:rsidRPr="00DA76A7">
        <w:rPr>
          <w:rFonts w:ascii="Arial" w:hAnsi="Arial" w:cs="Arial"/>
          <w:color w:val="000000" w:themeColor="text1"/>
        </w:rPr>
        <w:t xml:space="preserve">. </w:t>
      </w:r>
      <w:r w:rsidRPr="00DA76A7">
        <w:rPr>
          <w:rFonts w:ascii="Arial" w:eastAsia="Times New Roman" w:hAnsi="Arial" w:cs="Arial"/>
          <w:color w:val="000000" w:themeColor="text1"/>
          <w:lang w:eastAsia="ru-RU"/>
        </w:rPr>
        <w:t>Осуществление внешнеэкономической деятельности Республики Таджикистан за рубежом возлагается на торговые представительства либо торговых советников или атташе посольств. В своей функциональной деятельности они руководствуются Конституцией Республики Таджикистан, внутренними и международными договорами, участниками, которых является Республика Таджикистан и государства пребывания.</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Торговое представительство – это государственное ведомство, осуществляющее за границей права своего государства в сфере торгово-экономических отношений.</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 xml:space="preserve">Торгпредство – орган, осуществляющий за границей права государства в области внешнеэкономической деятельности. </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Торгпредство не является юридическим лицом. Права и обязанности по его сделкам возникают непосредственно у государства [1, 158].</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Торговые представительства – это зарубежные органы государства, осуществляющие внешнеторговую деятельность на государственном уровне.</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В Энциклопедии публичного права дано следующее определение торгового представительства «торговое представительство – в некоторых странах орган государства, осуществляющий за границей его права в области внешнеэкономической деятельности».</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Практически аналогичное понятие дано в Постановлении Правительства Республики Таджикистан от 3 сентября 1998 года №356»Об утверждении положения о торговом представительстве Республики Таджикистан за границей: «Торговые представительства Республики Таджикистан (далее - торговые представительства) являются государственными органами, осуществляющими за границей полномочия Республики Таджикистан в области внешнеэкономической деятельности».</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Торговое представительство за границей учреждается на основе двустороннего международного договора с соответствующим иностранным государством. Этим договором, как правило, определяется правовой статус торгового представительства в стране пребывания.</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Учреждение торгового представительства может осуществляться на основе международных договоров, заключенных между Республикой Таджикистан и странами пребывания, или иных договоренностей с компетентными органами стран пребывания.</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функции торгпредставительств в стране пребывания входит:</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представлять и защищать государственные интересы по всем вопросам внешнеэкономической деятельности (ВЭД);</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проводить внешнеэкономическую политику государства;</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содействовать развитию экономических связей России со страной пребывания и улучшению структуры взаимной торговли;</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осуществлять контроль за соблюдением государствен</w:t>
      </w:r>
      <w:r w:rsidRPr="00DA76A7">
        <w:rPr>
          <w:rFonts w:ascii="Arial" w:hAnsi="Arial" w:cs="Arial"/>
          <w:color w:val="000000" w:themeColor="text1"/>
          <w:sz w:val="22"/>
          <w:szCs w:val="22"/>
        </w:rPr>
        <w:softHyphen/>
        <w:t>ных интересов всеми российскими участниками ВЭД, коор</w:t>
      </w:r>
      <w:r w:rsidRPr="00DA76A7">
        <w:rPr>
          <w:rFonts w:ascii="Arial" w:hAnsi="Arial" w:cs="Arial"/>
          <w:color w:val="000000" w:themeColor="text1"/>
          <w:sz w:val="22"/>
          <w:szCs w:val="22"/>
        </w:rPr>
        <w:softHyphen/>
        <w:t>динировать их деятельность в стране пребывания;</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защищать в стране пребывания интересы предприятий и организаций Таджикистана.</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Торговые представительства Республики Таджикистан были образованы в 27 странах мира. Из них в настоящее время функционирует 16 оставшиеся, работа 11 торговых представительств согласно внутренних законодательств республики в связи с освобождением от должности торговых представителей временно была приостановлена в следующих странах: Объединенные Арабские Эмираты, Эстония, Литва, Польша, Болгария, Пакистан, Словакия, Киргизская Республика, Австрия, Чехословакия, Индия и Соединенные Штаты Америки.</w:t>
      </w:r>
    </w:p>
    <w:p w:rsidR="006F7B90" w:rsidRPr="00DA76A7" w:rsidRDefault="006F7B90" w:rsidP="006F7B90">
      <w:pPr>
        <w:pStyle w:val="ac"/>
        <w:ind w:firstLine="567"/>
        <w:jc w:val="both"/>
        <w:rPr>
          <w:rFonts w:ascii="Arial" w:eastAsia="Times New Roman" w:hAnsi="Arial" w:cs="Arial"/>
          <w:color w:val="000000" w:themeColor="text1"/>
          <w:lang w:eastAsia="ru-RU"/>
        </w:rPr>
      </w:pPr>
      <w:r w:rsidRPr="00DA76A7">
        <w:rPr>
          <w:rFonts w:ascii="Arial" w:eastAsia="Times New Roman" w:hAnsi="Arial" w:cs="Arial"/>
          <w:color w:val="000000" w:themeColor="text1"/>
          <w:lang w:eastAsia="ru-RU"/>
        </w:rPr>
        <w:t>На сегодняшний день функционирующими выступают торговые представительства в следующих странах:</w:t>
      </w:r>
      <w:r w:rsidRPr="00DA76A7">
        <w:rPr>
          <w:rFonts w:ascii="Arial" w:hAnsi="Arial" w:cs="Arial"/>
          <w:color w:val="000000" w:themeColor="text1"/>
        </w:rPr>
        <w:t xml:space="preserve"> </w:t>
      </w:r>
      <w:r w:rsidRPr="00DA76A7">
        <w:rPr>
          <w:rFonts w:ascii="Arial" w:eastAsia="Times New Roman" w:hAnsi="Arial" w:cs="Arial"/>
          <w:color w:val="000000" w:themeColor="text1"/>
          <w:lang w:eastAsia="ru-RU"/>
        </w:rPr>
        <w:t>Российская Федерация, Республика Казахстан, Туркменистан, Республика Беларусь, Украина, Латвия, Венгерская Республика, Республика Малайзия, Турецкая Республика, Исламская Республика Иран, Исламская Республика Афганистан, Федеративная Республика Германия, Государство Кувейт, Китайская Народная Республика, Великобритания и Северная Ирландия, Республика Узбекистан.</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странах, где нет торгпредств, соответствующие функции выполняют непосредственно работники российских по</w:t>
      </w:r>
      <w:r w:rsidRPr="00DA76A7">
        <w:rPr>
          <w:rFonts w:ascii="Arial" w:hAnsi="Arial" w:cs="Arial"/>
          <w:color w:val="000000" w:themeColor="text1"/>
          <w:sz w:val="22"/>
          <w:szCs w:val="22"/>
        </w:rPr>
        <w:softHyphen/>
        <w:t>сольств. Прослеживается тенденция на постепенную замену института торгпредств и торговых представителей аппарата</w:t>
      </w:r>
      <w:r w:rsidRPr="00DA76A7">
        <w:rPr>
          <w:rFonts w:ascii="Arial" w:hAnsi="Arial" w:cs="Arial"/>
          <w:color w:val="000000" w:themeColor="text1"/>
          <w:sz w:val="22"/>
          <w:szCs w:val="22"/>
        </w:rPr>
        <w:softHyphen/>
        <w:t>ми экономсоветников и торговых советников посольств.</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Институт торгпредств был впервые введен Советским го</w:t>
      </w:r>
      <w:r w:rsidRPr="00DA76A7">
        <w:rPr>
          <w:rFonts w:ascii="Arial" w:hAnsi="Arial" w:cs="Arial"/>
          <w:color w:val="000000" w:themeColor="text1"/>
          <w:sz w:val="22"/>
          <w:szCs w:val="22"/>
        </w:rPr>
        <w:softHyphen/>
        <w:t>сударством и получил международно-правовое признание. Все торгпредства учреждены на основе международных дого</w:t>
      </w:r>
      <w:r w:rsidRPr="00DA76A7">
        <w:rPr>
          <w:rFonts w:ascii="Arial" w:hAnsi="Arial" w:cs="Arial"/>
          <w:color w:val="000000" w:themeColor="text1"/>
          <w:sz w:val="22"/>
          <w:szCs w:val="22"/>
        </w:rPr>
        <w:softHyphen/>
        <w:t>воров [2, 4].</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Торгпредства являются органами государства. Они вхо</w:t>
      </w:r>
      <w:r w:rsidRPr="00DA76A7">
        <w:rPr>
          <w:rFonts w:ascii="Arial" w:hAnsi="Arial" w:cs="Arial"/>
          <w:color w:val="000000" w:themeColor="text1"/>
          <w:sz w:val="22"/>
          <w:szCs w:val="22"/>
        </w:rPr>
        <w:softHyphen/>
        <w:t>дят в состав посольств РФ и пользуются соответствующими иммунитетами. Штатный состав торгпредств определяется Министерством торговли РФ по согласованию с МИД РФ и другими ведомствами.</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Торгпредства не вправе осуществлять коммерческую дея</w:t>
      </w:r>
      <w:r w:rsidRPr="00DA76A7">
        <w:rPr>
          <w:rFonts w:ascii="Arial" w:hAnsi="Arial" w:cs="Arial"/>
          <w:color w:val="000000" w:themeColor="text1"/>
          <w:sz w:val="22"/>
          <w:szCs w:val="22"/>
        </w:rPr>
        <w:softHyphen/>
        <w:t>тельность в стране пребывания. Торгпредство работает под общим руководством посла.</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На практике в странах пребывания за торгпредствами иногда отказывались признавать статус органа государства, предоставлять им судебный иммунитет [4, 98]. </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Были случаи, когда иностранные суды представляли торгпредства в качестве лица, несущего универсальную ответственность за действия всех российских организаций, осуществлявших ВЭД. К торг</w:t>
      </w:r>
      <w:r w:rsidRPr="00DA76A7">
        <w:rPr>
          <w:rFonts w:ascii="Arial" w:hAnsi="Arial" w:cs="Arial"/>
          <w:color w:val="000000" w:themeColor="text1"/>
          <w:sz w:val="22"/>
          <w:szCs w:val="22"/>
        </w:rPr>
        <w:softHyphen/>
        <w:t>предствам предъявлялись иски бывшими собственниками национализированного в России имущества. В 1927 году имел место полицейский налет на торгпредство СССР в Лон</w:t>
      </w:r>
      <w:r w:rsidRPr="00DA76A7">
        <w:rPr>
          <w:rFonts w:ascii="Arial" w:hAnsi="Arial" w:cs="Arial"/>
          <w:color w:val="000000" w:themeColor="text1"/>
          <w:sz w:val="22"/>
          <w:szCs w:val="22"/>
        </w:rPr>
        <w:softHyphen/>
        <w:t>доне, в 1940 году — в Париже.</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Зачастую высказываются предложения превратить торговые </w:t>
      </w:r>
      <w:r w:rsidRPr="00DA76A7">
        <w:rPr>
          <w:rFonts w:ascii="Arial" w:hAnsi="Arial" w:cs="Arial"/>
          <w:color w:val="000000" w:themeColor="text1"/>
          <w:sz w:val="22"/>
          <w:szCs w:val="22"/>
        </w:rPr>
        <w:softHyphen/>
        <w:t>представительства Республики Таджикистан в подобие государственных торговых домов за границей с правом осуществления коммерческой деятель</w:t>
      </w:r>
      <w:r w:rsidRPr="00DA76A7">
        <w:rPr>
          <w:rFonts w:ascii="Arial" w:hAnsi="Arial" w:cs="Arial"/>
          <w:color w:val="000000" w:themeColor="text1"/>
          <w:sz w:val="22"/>
          <w:szCs w:val="22"/>
        </w:rPr>
        <w:softHyphen/>
        <w:t>ности и соответствующим изменением их правового статуса.</w:t>
      </w:r>
    </w:p>
    <w:p w:rsidR="006F7B90" w:rsidRPr="00DA76A7" w:rsidRDefault="006F7B90" w:rsidP="006F7B90">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Как известно, государство не несет имущественной ответ</w:t>
      </w:r>
      <w:r w:rsidRPr="00DA76A7">
        <w:rPr>
          <w:rFonts w:ascii="Arial" w:hAnsi="Arial" w:cs="Arial"/>
          <w:color w:val="000000" w:themeColor="text1"/>
          <w:sz w:val="22"/>
          <w:szCs w:val="22"/>
        </w:rPr>
        <w:softHyphen/>
        <w:t>ственности по хозяйственным договорам своих юридических лиц.</w:t>
      </w:r>
    </w:p>
    <w:p w:rsidR="006F7B90" w:rsidRPr="00DA76A7" w:rsidRDefault="006F7B90" w:rsidP="006F7B90">
      <w:pPr>
        <w:ind w:firstLine="567"/>
        <w:jc w:val="center"/>
        <w:rPr>
          <w:rFonts w:ascii="Arial" w:hAnsi="Arial" w:cs="Arial"/>
          <w:b/>
          <w:color w:val="000000" w:themeColor="text1"/>
          <w:sz w:val="22"/>
          <w:szCs w:val="22"/>
        </w:rPr>
      </w:pPr>
    </w:p>
    <w:p w:rsidR="006F7B90" w:rsidRPr="00DA76A7" w:rsidRDefault="006F7B90" w:rsidP="006F7B90">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6F7B90" w:rsidRPr="00DA76A7" w:rsidRDefault="006F7B90" w:rsidP="006F7B90">
      <w:pPr>
        <w:pStyle w:val="af2"/>
        <w:numPr>
          <w:ilvl w:val="0"/>
          <w:numId w:val="2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Богуславский М.М. Международное частное право. - М.: Юрист, </w:t>
      </w:r>
      <w:r w:rsidRPr="00DA76A7">
        <w:rPr>
          <w:rFonts w:ascii="Arial" w:hAnsi="Arial" w:cs="Arial"/>
          <w:color w:val="000000" w:themeColor="text1"/>
          <w:sz w:val="22"/>
          <w:szCs w:val="22"/>
          <w:lang w:val="uk-UA"/>
        </w:rPr>
        <w:t>2005</w:t>
      </w:r>
      <w:r w:rsidRPr="00DA76A7">
        <w:rPr>
          <w:rFonts w:ascii="Arial" w:hAnsi="Arial" w:cs="Arial"/>
          <w:color w:val="000000" w:themeColor="text1"/>
          <w:sz w:val="22"/>
          <w:szCs w:val="22"/>
        </w:rPr>
        <w:t xml:space="preserve">. - </w:t>
      </w:r>
      <w:r w:rsidRPr="00DA76A7">
        <w:rPr>
          <w:rFonts w:ascii="Arial" w:hAnsi="Arial" w:cs="Arial"/>
          <w:color w:val="000000" w:themeColor="text1"/>
          <w:sz w:val="22"/>
          <w:szCs w:val="22"/>
          <w:lang w:val="uk-UA"/>
        </w:rPr>
        <w:t>604 с</w:t>
      </w:r>
      <w:r w:rsidRPr="00DA76A7">
        <w:rPr>
          <w:rFonts w:ascii="Arial" w:hAnsi="Arial" w:cs="Arial"/>
          <w:color w:val="000000" w:themeColor="text1"/>
          <w:sz w:val="22"/>
          <w:szCs w:val="22"/>
        </w:rPr>
        <w:t xml:space="preserve">. </w:t>
      </w:r>
    </w:p>
    <w:p w:rsidR="006F7B90" w:rsidRPr="00DA76A7" w:rsidRDefault="006F7B90" w:rsidP="006F7B90">
      <w:pPr>
        <w:pStyle w:val="a6"/>
        <w:numPr>
          <w:ilvl w:val="0"/>
          <w:numId w:val="2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Королев М.А. Наднациональность с точки зрения международного права // Московский журнал международного права. 1997. - № 2. - С. 3 - 20.</w:t>
      </w:r>
    </w:p>
    <w:p w:rsidR="006F7B90" w:rsidRPr="00DA76A7" w:rsidRDefault="006F7B90" w:rsidP="006F7B90">
      <w:pPr>
        <w:pStyle w:val="a6"/>
        <w:numPr>
          <w:ilvl w:val="0"/>
          <w:numId w:val="2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Лунц Л. А. Курс международного частного права: общая часть. - М.: Юридическая литература, 1973. - 384 с.</w:t>
      </w:r>
    </w:p>
    <w:p w:rsidR="006F7B90" w:rsidRPr="00DA76A7" w:rsidRDefault="006F7B90" w:rsidP="006F7B90">
      <w:pPr>
        <w:pStyle w:val="a6"/>
        <w:numPr>
          <w:ilvl w:val="0"/>
          <w:numId w:val="2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Макарова И.А. К вопросу о правосубъектности международных неправительственных организаций // Международное право в современном мире: Сб. статей / отв. ред. Ю. М. Колосов. - М.: Международные отношения, 1991. – 192 с.</w:t>
      </w:r>
    </w:p>
    <w:p w:rsidR="006F7B90" w:rsidRPr="00DA76A7" w:rsidRDefault="006F7B90" w:rsidP="006F7B90">
      <w:pPr>
        <w:ind w:firstLine="567"/>
        <w:jc w:val="center"/>
        <w:rPr>
          <w:rFonts w:ascii="Arial" w:hAnsi="Arial" w:cs="Arial"/>
          <w:b/>
          <w:color w:val="000000" w:themeColor="text1"/>
          <w:sz w:val="22"/>
          <w:szCs w:val="22"/>
          <w:lang w:val="uk-UA"/>
        </w:rPr>
      </w:pPr>
    </w:p>
    <w:p w:rsidR="006F7B90" w:rsidRPr="00DA76A7" w:rsidRDefault="006F7B90" w:rsidP="00A969C6">
      <w:pPr>
        <w:ind w:firstLine="567"/>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lang w:val="uk-UA"/>
        </w:rPr>
      </w:pPr>
      <w:r w:rsidRPr="00DA76A7">
        <w:rPr>
          <w:rFonts w:ascii="Arial" w:hAnsi="Arial" w:cs="Arial"/>
          <w:b/>
          <w:color w:val="000000" w:themeColor="text1"/>
          <w:sz w:val="22"/>
          <w:szCs w:val="22"/>
          <w:lang w:val="uk-UA"/>
        </w:rPr>
        <w:t>УЧАСТИЕ ТАДЖИКИСТАНА В МЕЖДУНАРОДНЫХ ЭКОНОМИЧЕСКИХ ОТНОШЕНИЯХ В РАМКАХ СНГ</w:t>
      </w:r>
    </w:p>
    <w:p w:rsidR="00A969C6" w:rsidRPr="00DA76A7" w:rsidRDefault="00A969C6" w:rsidP="00A969C6">
      <w:pPr>
        <w:pStyle w:val="ConsPlusNormal"/>
        <w:widowControl/>
        <w:suppressLineNumbers/>
        <w:suppressAutoHyphens/>
        <w:ind w:firstLine="0"/>
        <w:jc w:val="center"/>
        <w:rPr>
          <w:b/>
          <w:color w:val="000000" w:themeColor="text1"/>
          <w:sz w:val="22"/>
          <w:szCs w:val="22"/>
        </w:rPr>
      </w:pPr>
    </w:p>
    <w:p w:rsidR="00A969C6" w:rsidRPr="00DA76A7" w:rsidRDefault="00A969C6" w:rsidP="00A969C6">
      <w:pPr>
        <w:pStyle w:val="ConsPlusNormal"/>
        <w:widowControl/>
        <w:suppressLineNumbers/>
        <w:suppressAutoHyphens/>
        <w:ind w:firstLine="0"/>
        <w:jc w:val="center"/>
        <w:rPr>
          <w:b/>
          <w:color w:val="000000" w:themeColor="text1"/>
          <w:sz w:val="22"/>
          <w:szCs w:val="22"/>
        </w:rPr>
      </w:pPr>
      <w:r w:rsidRPr="00DA76A7">
        <w:rPr>
          <w:b/>
          <w:color w:val="000000" w:themeColor="text1"/>
          <w:sz w:val="22"/>
          <w:szCs w:val="22"/>
        </w:rPr>
        <w:t>Мамадалиева Мухае Содикджоновна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М.Турсунзаде,30</w:t>
      </w:r>
    </w:p>
    <w:p w:rsidR="00A969C6" w:rsidRPr="003A751C"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2273986,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m</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pravo</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p>
    <w:p w:rsidR="00A969C6" w:rsidRPr="003A751C" w:rsidRDefault="00A969C6" w:rsidP="00A969C6">
      <w:pPr>
        <w:jc w:val="center"/>
        <w:rPr>
          <w:rFonts w:ascii="Arial" w:hAnsi="Arial" w:cs="Arial"/>
          <w:color w:val="000000" w:themeColor="text1"/>
          <w:sz w:val="22"/>
          <w:szCs w:val="22"/>
          <w:lang w:val="en-US"/>
        </w:rPr>
      </w:pP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Mamadalieva Mukha Sodikdzhonovna</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full-time department of the faculty of law</w:t>
      </w:r>
    </w:p>
    <w:p w:rsidR="00A969C6" w:rsidRPr="00DA76A7" w:rsidRDefault="00A969C6" w:rsidP="00A969C6">
      <w:pPr>
        <w:pStyle w:val="ac"/>
        <w:jc w:val="center"/>
        <w:rPr>
          <w:rFonts w:ascii="Arial" w:hAnsi="Arial" w:cs="Arial"/>
          <w:color w:val="000000" w:themeColor="text1"/>
          <w:lang w:val="en-US"/>
        </w:rPr>
      </w:pPr>
      <w:r w:rsidRPr="00DA76A7">
        <w:rPr>
          <w:rFonts w:ascii="Arial" w:hAnsi="Arial" w:cs="Arial"/>
          <w:color w:val="000000" w:themeColor="text1"/>
          <w:lang w:val="en-US"/>
        </w:rPr>
        <w:t>Russian-Tajik (Slavonic) university</w:t>
      </w:r>
    </w:p>
    <w:p w:rsidR="00A969C6" w:rsidRPr="00DA76A7" w:rsidRDefault="00A969C6" w:rsidP="00A969C6">
      <w:pPr>
        <w:pStyle w:val="ac"/>
        <w:jc w:val="center"/>
        <w:rPr>
          <w:rFonts w:ascii="Arial" w:hAnsi="Arial" w:cs="Arial"/>
          <w:color w:val="000000" w:themeColor="text1"/>
          <w:lang w:val="uk-UA"/>
        </w:rPr>
      </w:pPr>
      <w:r w:rsidRPr="00DA76A7">
        <w:rPr>
          <w:rFonts w:ascii="Arial" w:hAnsi="Arial" w:cs="Arial"/>
          <w:color w:val="000000" w:themeColor="text1"/>
          <w:lang w:val="en-US"/>
        </w:rPr>
        <w:t>734025, Republic of Tajikistan, Dushanbe, M. Tursunzade str., 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2273986, e-mail: m.pravo@mail.ru</w:t>
      </w:r>
    </w:p>
    <w:p w:rsidR="00A969C6" w:rsidRPr="00DA76A7" w:rsidRDefault="00A969C6" w:rsidP="00A969C6">
      <w:pPr>
        <w:ind w:firstLine="567"/>
        <w:jc w:val="center"/>
        <w:rPr>
          <w:rFonts w:ascii="Arial" w:hAnsi="Arial" w:cs="Arial"/>
          <w:color w:val="000000" w:themeColor="text1"/>
          <w:sz w:val="22"/>
          <w:szCs w:val="22"/>
          <w:lang w:val="en-US"/>
        </w:rPr>
      </w:pPr>
    </w:p>
    <w:p w:rsidR="00A969C6" w:rsidRPr="00DA76A7" w:rsidRDefault="00A969C6" w:rsidP="00A969C6">
      <w:pPr>
        <w:ind w:firstLine="567"/>
        <w:rPr>
          <w:rFonts w:ascii="Arial" w:hAnsi="Arial" w:cs="Arial"/>
          <w:color w:val="000000" w:themeColor="text1"/>
          <w:sz w:val="22"/>
          <w:szCs w:val="22"/>
          <w:lang w:val="uk-UA"/>
        </w:rPr>
      </w:pPr>
      <w:r w:rsidRPr="00DA76A7">
        <w:rPr>
          <w:rFonts w:ascii="Arial" w:hAnsi="Arial" w:cs="Arial"/>
          <w:color w:val="000000" w:themeColor="text1"/>
          <w:sz w:val="22"/>
          <w:szCs w:val="22"/>
          <w:lang w:val="uk-UA"/>
        </w:rPr>
        <w:t xml:space="preserve">                                                                     </w:t>
      </w:r>
      <w:r w:rsidR="006F7B90" w:rsidRPr="00DA76A7">
        <w:rPr>
          <w:rFonts w:ascii="Arial" w:hAnsi="Arial" w:cs="Arial"/>
          <w:color w:val="000000" w:themeColor="text1"/>
          <w:sz w:val="22"/>
          <w:szCs w:val="22"/>
          <w:lang w:val="uk-UA"/>
        </w:rPr>
        <w:t>Научный руководитель: к.п.н.</w:t>
      </w:r>
      <w:r w:rsidRPr="00DA76A7">
        <w:rPr>
          <w:rFonts w:ascii="Arial" w:hAnsi="Arial" w:cs="Arial"/>
          <w:color w:val="000000" w:themeColor="text1"/>
          <w:sz w:val="22"/>
          <w:szCs w:val="22"/>
          <w:lang w:val="uk-UA"/>
        </w:rPr>
        <w:t xml:space="preserve"> Курбонов Р.Г.</w:t>
      </w:r>
    </w:p>
    <w:p w:rsidR="00A969C6" w:rsidRPr="00DA76A7" w:rsidRDefault="00A969C6" w:rsidP="00A969C6">
      <w:pPr>
        <w:ind w:firstLine="567"/>
        <w:rPr>
          <w:rFonts w:ascii="Arial" w:hAnsi="Arial" w:cs="Arial"/>
          <w:i/>
          <w:color w:val="000000" w:themeColor="text1"/>
          <w:sz w:val="22"/>
          <w:szCs w:val="22"/>
          <w:lang w:val="uk-UA"/>
        </w:rPr>
      </w:pPr>
    </w:p>
    <w:p w:rsidR="00A969C6" w:rsidRPr="00DA76A7" w:rsidRDefault="00B46B9E" w:rsidP="00A969C6">
      <w:pPr>
        <w:ind w:firstLine="567"/>
        <w:jc w:val="both"/>
        <w:rPr>
          <w:rFonts w:ascii="Arial" w:hAnsi="Arial" w:cs="Arial"/>
          <w:i/>
          <w:color w:val="000000" w:themeColor="text1"/>
          <w:sz w:val="22"/>
          <w:szCs w:val="22"/>
          <w:lang w:val="uk-UA"/>
        </w:rPr>
      </w:pPr>
      <w:r w:rsidRPr="00DA76A7">
        <w:rPr>
          <w:rFonts w:ascii="Arial" w:hAnsi="Arial" w:cs="Arial"/>
          <w:b/>
          <w:i/>
          <w:color w:val="000000" w:themeColor="text1"/>
          <w:sz w:val="22"/>
          <w:szCs w:val="22"/>
          <w:lang w:val="uk-UA"/>
        </w:rPr>
        <w:t>Аннотация.</w:t>
      </w:r>
      <w:r w:rsidR="00A969C6" w:rsidRPr="00DA76A7">
        <w:rPr>
          <w:rFonts w:ascii="Arial" w:hAnsi="Arial" w:cs="Arial"/>
          <w:b/>
          <w:i/>
          <w:color w:val="000000" w:themeColor="text1"/>
          <w:sz w:val="22"/>
          <w:szCs w:val="22"/>
          <w:lang w:val="uk-UA"/>
        </w:rPr>
        <w:t xml:space="preserve"> </w:t>
      </w:r>
      <w:r w:rsidR="00A969C6" w:rsidRPr="00DA76A7">
        <w:rPr>
          <w:rFonts w:ascii="Arial" w:hAnsi="Arial" w:cs="Arial"/>
          <w:i/>
          <w:color w:val="000000" w:themeColor="text1"/>
          <w:sz w:val="22"/>
          <w:szCs w:val="22"/>
          <w:lang w:val="uk-UA"/>
        </w:rPr>
        <w:t>В настоящей статье автор раскрывает участие Таджикистана в международных экономических отношениях в рамках Содружества независимых государств.</w:t>
      </w:r>
    </w:p>
    <w:p w:rsidR="00A969C6" w:rsidRPr="00DA76A7" w:rsidRDefault="00081412" w:rsidP="00A969C6">
      <w:pPr>
        <w:ind w:firstLine="567"/>
        <w:jc w:val="both"/>
        <w:rPr>
          <w:rFonts w:ascii="Arial" w:hAnsi="Arial" w:cs="Arial"/>
          <w:i/>
          <w:color w:val="000000" w:themeColor="text1"/>
          <w:sz w:val="22"/>
          <w:szCs w:val="22"/>
          <w:lang w:val="uk-UA"/>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lang w:val="uk-UA"/>
        </w:rPr>
        <w:t>In this article, the author reveals Tajikistan's participation in international economic relations within the framework of the Commonwealth of Independent States.</w:t>
      </w:r>
    </w:p>
    <w:p w:rsidR="00A969C6" w:rsidRPr="00DA76A7" w:rsidRDefault="00A969C6" w:rsidP="00A969C6">
      <w:pPr>
        <w:ind w:firstLine="567"/>
        <w:jc w:val="both"/>
        <w:rPr>
          <w:rFonts w:ascii="Arial" w:hAnsi="Arial" w:cs="Arial"/>
          <w:i/>
          <w:color w:val="000000" w:themeColor="text1"/>
          <w:sz w:val="22"/>
          <w:szCs w:val="22"/>
          <w:lang w:val="uk-UA"/>
        </w:rPr>
      </w:pPr>
      <w:r w:rsidRPr="00DA76A7">
        <w:rPr>
          <w:rFonts w:ascii="Arial" w:hAnsi="Arial" w:cs="Arial"/>
          <w:b/>
          <w:i/>
          <w:color w:val="000000" w:themeColor="text1"/>
          <w:sz w:val="22"/>
          <w:szCs w:val="22"/>
          <w:lang w:val="uk-UA"/>
        </w:rPr>
        <w:t xml:space="preserve">Ключевые слова: </w:t>
      </w:r>
      <w:r w:rsidRPr="00DA76A7">
        <w:rPr>
          <w:rFonts w:ascii="Arial" w:hAnsi="Arial" w:cs="Arial"/>
          <w:i/>
          <w:color w:val="000000" w:themeColor="text1"/>
          <w:sz w:val="22"/>
          <w:szCs w:val="22"/>
        </w:rPr>
        <w:t>Содружество Независимых Госу</w:t>
      </w:r>
      <w:r w:rsidRPr="00DA76A7">
        <w:rPr>
          <w:rFonts w:ascii="Arial" w:hAnsi="Arial" w:cs="Arial"/>
          <w:i/>
          <w:color w:val="000000" w:themeColor="text1"/>
          <w:sz w:val="22"/>
          <w:szCs w:val="22"/>
        </w:rPr>
        <w:softHyphen/>
        <w:t xml:space="preserve">дарств, </w:t>
      </w:r>
      <w:r w:rsidRPr="00DA76A7">
        <w:rPr>
          <w:rFonts w:ascii="Arial" w:hAnsi="Arial" w:cs="Arial"/>
          <w:i/>
          <w:color w:val="000000" w:themeColor="text1"/>
          <w:sz w:val="22"/>
          <w:szCs w:val="22"/>
          <w:lang w:val="uk-UA"/>
        </w:rPr>
        <w:t>интеграция, экономические отношения, таможенный союз, межгосударственный экономический комітет, гармонизация.</w:t>
      </w:r>
    </w:p>
    <w:p w:rsidR="00A969C6" w:rsidRPr="00DA76A7" w:rsidRDefault="00A969C6" w:rsidP="00A969C6">
      <w:pPr>
        <w:ind w:firstLine="567"/>
        <w:jc w:val="both"/>
        <w:rPr>
          <w:rFonts w:ascii="Arial" w:hAnsi="Arial" w:cs="Arial"/>
          <w:i/>
          <w:color w:val="000000" w:themeColor="text1"/>
          <w:sz w:val="22"/>
          <w:szCs w:val="22"/>
          <w:lang w:val="uk-UA"/>
        </w:rPr>
      </w:pPr>
      <w:r w:rsidRPr="00DA76A7">
        <w:rPr>
          <w:rFonts w:ascii="Arial" w:hAnsi="Arial" w:cs="Arial"/>
          <w:b/>
          <w:i/>
          <w:color w:val="000000" w:themeColor="text1"/>
          <w:sz w:val="22"/>
          <w:szCs w:val="22"/>
          <w:lang w:val="uk-UA"/>
        </w:rPr>
        <w:t>Key words:</w:t>
      </w:r>
      <w:r w:rsidRPr="00DA76A7">
        <w:rPr>
          <w:rFonts w:ascii="Arial" w:hAnsi="Arial" w:cs="Arial"/>
          <w:i/>
          <w:color w:val="000000" w:themeColor="text1"/>
          <w:sz w:val="22"/>
          <w:szCs w:val="22"/>
          <w:lang w:val="uk-UA"/>
        </w:rPr>
        <w:t xml:space="preserve"> Commonwealth of Independent States, integration, economic relations, customs union, interstate economic committee, harmonization.</w:t>
      </w:r>
    </w:p>
    <w:p w:rsidR="00A969C6" w:rsidRPr="00DA76A7" w:rsidRDefault="00A969C6" w:rsidP="00A969C6">
      <w:pPr>
        <w:ind w:firstLine="567"/>
        <w:jc w:val="both"/>
        <w:rPr>
          <w:rFonts w:ascii="Arial" w:hAnsi="Arial" w:cs="Arial"/>
          <w:b/>
          <w:color w:val="000000" w:themeColor="text1"/>
          <w:sz w:val="22"/>
          <w:szCs w:val="22"/>
          <w:lang w:val="uk-UA"/>
        </w:rPr>
      </w:pP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lang w:val="uk-UA"/>
        </w:rPr>
        <w:t xml:space="preserve">На сегодняшний день </w:t>
      </w:r>
      <w:r w:rsidRPr="00DA76A7">
        <w:rPr>
          <w:rFonts w:ascii="Arial" w:hAnsi="Arial" w:cs="Arial"/>
          <w:color w:val="000000" w:themeColor="text1"/>
          <w:sz w:val="22"/>
          <w:szCs w:val="22"/>
        </w:rPr>
        <w:t xml:space="preserve"> основные государственные интересы Таджикистана состоят в развертывании процессов интеграции на террито</w:t>
      </w:r>
      <w:r w:rsidRPr="00DA76A7">
        <w:rPr>
          <w:rFonts w:ascii="Arial" w:hAnsi="Arial" w:cs="Arial"/>
          <w:color w:val="000000" w:themeColor="text1"/>
          <w:sz w:val="22"/>
          <w:szCs w:val="22"/>
        </w:rPr>
        <w:softHyphen/>
        <w:t>риях бывшего СССР — в рамках СНГ.</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Соглашение о создании Содружества Независимых Госу</w:t>
      </w:r>
      <w:r w:rsidRPr="00DA76A7">
        <w:rPr>
          <w:rFonts w:ascii="Arial" w:hAnsi="Arial" w:cs="Arial"/>
          <w:color w:val="000000" w:themeColor="text1"/>
          <w:sz w:val="22"/>
          <w:szCs w:val="22"/>
        </w:rPr>
        <w:softHyphen/>
        <w:t>дарств (СНГ) подписано Россией, Беларусью и Украиной 8 декабря 1991 года. Специальный протокол об участии в нем подписали 21 декабря 1991 года Азербайджан, Армения, Гру</w:t>
      </w:r>
      <w:r w:rsidRPr="00DA76A7">
        <w:rPr>
          <w:rFonts w:ascii="Arial" w:hAnsi="Arial" w:cs="Arial"/>
          <w:color w:val="000000" w:themeColor="text1"/>
          <w:sz w:val="22"/>
          <w:szCs w:val="22"/>
        </w:rPr>
        <w:softHyphen/>
        <w:t>зия, Казахстан, Кыргызстан, Молдова, Таджикистан, Турк</w:t>
      </w:r>
      <w:r w:rsidRPr="00DA76A7">
        <w:rPr>
          <w:rFonts w:ascii="Arial" w:hAnsi="Arial" w:cs="Arial"/>
          <w:color w:val="000000" w:themeColor="text1"/>
          <w:sz w:val="22"/>
          <w:szCs w:val="22"/>
        </w:rPr>
        <w:softHyphen/>
        <w:t>менистан, Узбекистан.</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Соглашении к сфере совместной деятельности сторон от</w:t>
      </w:r>
      <w:r w:rsidRPr="00DA76A7">
        <w:rPr>
          <w:rFonts w:ascii="Arial" w:hAnsi="Arial" w:cs="Arial"/>
          <w:color w:val="000000" w:themeColor="text1"/>
          <w:sz w:val="22"/>
          <w:szCs w:val="22"/>
        </w:rPr>
        <w:softHyphen/>
        <w:t>носится, в частности, формирование и развитие общего эконо</w:t>
      </w:r>
      <w:r w:rsidRPr="00DA76A7">
        <w:rPr>
          <w:rFonts w:ascii="Arial" w:hAnsi="Arial" w:cs="Arial"/>
          <w:color w:val="000000" w:themeColor="text1"/>
          <w:sz w:val="22"/>
          <w:szCs w:val="22"/>
        </w:rPr>
        <w:softHyphen/>
        <w:t>мического пространства, таможенной и миграционной поли</w:t>
      </w:r>
      <w:r w:rsidRPr="00DA76A7">
        <w:rPr>
          <w:rFonts w:ascii="Arial" w:hAnsi="Arial" w:cs="Arial"/>
          <w:color w:val="000000" w:themeColor="text1"/>
          <w:sz w:val="22"/>
          <w:szCs w:val="22"/>
        </w:rPr>
        <w:softHyphen/>
        <w:t>тики, развитие системы транспорта, связи, энергетики. Пред</w:t>
      </w:r>
      <w:r w:rsidRPr="00DA76A7">
        <w:rPr>
          <w:rFonts w:ascii="Arial" w:hAnsi="Arial" w:cs="Arial"/>
          <w:color w:val="000000" w:themeColor="text1"/>
          <w:sz w:val="22"/>
          <w:szCs w:val="22"/>
        </w:rPr>
        <w:softHyphen/>
        <w:t>усмотрена координация кредитно-финансовой политики, по</w:t>
      </w:r>
      <w:r w:rsidRPr="00DA76A7">
        <w:rPr>
          <w:rFonts w:ascii="Arial" w:hAnsi="Arial" w:cs="Arial"/>
          <w:color w:val="000000" w:themeColor="text1"/>
          <w:sz w:val="22"/>
          <w:szCs w:val="22"/>
        </w:rPr>
        <w:softHyphen/>
        <w:t>ощрение и защита инвестиций, сближение законодательств.</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октябре 1993 года рядом государств СНГ подписан ра</w:t>
      </w:r>
      <w:r w:rsidRPr="00DA76A7">
        <w:rPr>
          <w:rFonts w:ascii="Arial" w:hAnsi="Arial" w:cs="Arial"/>
          <w:color w:val="000000" w:themeColor="text1"/>
          <w:sz w:val="22"/>
          <w:szCs w:val="22"/>
        </w:rPr>
        <w:softHyphen/>
        <w:t>мочный Договор о создании Экономического союза, который предусматривает поэтапное углубление интеграции путем формирования межгосударственной ассоциации свободной торговли, таможенного союза, общего рынка, валютного союза. Договором зафиксирован приоритет норм Договора перед внутренним правом стран-участниц.</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Высшими органами Союза являются высшие органы СНГ В качестве постоянного органа Союза создан Межгосу</w:t>
      </w:r>
      <w:r w:rsidRPr="00DA76A7">
        <w:rPr>
          <w:rFonts w:ascii="Arial" w:hAnsi="Arial" w:cs="Arial"/>
          <w:color w:val="000000" w:themeColor="text1"/>
          <w:sz w:val="22"/>
          <w:szCs w:val="22"/>
        </w:rPr>
        <w:softHyphen/>
        <w:t>дарственный экономический комитет (МЭК), являющийся координирующим и исполнительным органом.</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апреле 1994 года подписано Соглашение о создании зоны свободной торговли, направленное на постепенную от</w:t>
      </w:r>
      <w:r w:rsidRPr="00DA76A7">
        <w:rPr>
          <w:rFonts w:ascii="Arial" w:hAnsi="Arial" w:cs="Arial"/>
          <w:color w:val="000000" w:themeColor="text1"/>
          <w:sz w:val="22"/>
          <w:szCs w:val="22"/>
        </w:rPr>
        <w:softHyphen/>
        <w:t>мену таможенных пошлин, налогов, сборов, количественных и других препятствий во взаимной торговле, применение унифицированной товарной номенклатуры.</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в соответствии с этим Соглашением, таможенные пошлины при импорте из стран-участниц на практике не взимаются, а НДС и акцизы взимаются по тем же ставкам, которые применяются к товарам российского производства. Сборы за таможенное оформление взимаются на общих основаниях [1, 21].</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Договор о создании Таможенного союза подписан в январе 1995 года. В Таможенном союзе участвуют Белоруссия, Казахстан, Кыргызстан (с марта 1996 года), Россия.</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ходе работы по формированию Таможенного союза про</w:t>
      </w:r>
      <w:r w:rsidRPr="00DA76A7">
        <w:rPr>
          <w:rFonts w:ascii="Arial" w:hAnsi="Arial" w:cs="Arial"/>
          <w:color w:val="000000" w:themeColor="text1"/>
          <w:sz w:val="22"/>
          <w:szCs w:val="22"/>
        </w:rPr>
        <w:softHyphen/>
        <w:t>изведена отмена тарифных и количественных ограничений в торговле, унификация нормативных актов, связанных с та</w:t>
      </w:r>
      <w:r w:rsidRPr="00DA76A7">
        <w:rPr>
          <w:rFonts w:ascii="Arial" w:hAnsi="Arial" w:cs="Arial"/>
          <w:color w:val="000000" w:themeColor="text1"/>
          <w:sz w:val="22"/>
          <w:szCs w:val="22"/>
        </w:rPr>
        <w:softHyphen/>
        <w:t>рифным и нетарифным регулированием во внешней торгов</w:t>
      </w:r>
      <w:r w:rsidRPr="00DA76A7">
        <w:rPr>
          <w:rFonts w:ascii="Arial" w:hAnsi="Arial" w:cs="Arial"/>
          <w:color w:val="000000" w:themeColor="text1"/>
          <w:sz w:val="22"/>
          <w:szCs w:val="22"/>
        </w:rPr>
        <w:softHyphen/>
        <w:t>ле, унификация ставок акцизов на ввозимые товары, опреде</w:t>
      </w:r>
      <w:r w:rsidRPr="00DA76A7">
        <w:rPr>
          <w:rFonts w:ascii="Arial" w:hAnsi="Arial" w:cs="Arial"/>
          <w:color w:val="000000" w:themeColor="text1"/>
          <w:sz w:val="22"/>
          <w:szCs w:val="22"/>
        </w:rPr>
        <w:softHyphen/>
        <w:t>лен порядок совместного ведения таможенной статистики, таможенного контроля на внешней границе, сняты таможен</w:t>
      </w:r>
      <w:r w:rsidRPr="00DA76A7">
        <w:rPr>
          <w:rFonts w:ascii="Arial" w:hAnsi="Arial" w:cs="Arial"/>
          <w:color w:val="000000" w:themeColor="text1"/>
          <w:sz w:val="22"/>
          <w:szCs w:val="22"/>
        </w:rPr>
        <w:softHyphen/>
        <w:t>ные границы с Беларусью и Казахстаном.</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Гармонизируется хозяйственное законодательство, согла</w:t>
      </w:r>
      <w:r w:rsidRPr="00DA76A7">
        <w:rPr>
          <w:rFonts w:ascii="Arial" w:hAnsi="Arial" w:cs="Arial"/>
          <w:color w:val="000000" w:themeColor="text1"/>
          <w:sz w:val="22"/>
          <w:szCs w:val="22"/>
        </w:rPr>
        <w:softHyphen/>
        <w:t>совывается бюджетная, налоговая, валютно-финансовая по</w:t>
      </w:r>
      <w:r w:rsidRPr="00DA76A7">
        <w:rPr>
          <w:rFonts w:ascii="Arial" w:hAnsi="Arial" w:cs="Arial"/>
          <w:color w:val="000000" w:themeColor="text1"/>
          <w:sz w:val="22"/>
          <w:szCs w:val="22"/>
        </w:rPr>
        <w:softHyphen/>
        <w:t>литика, разрабатываются документы, касающиеся единой технологии таможенного дела.</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 Для управления процессом интеграции созданы Межго</w:t>
      </w:r>
      <w:r w:rsidRPr="00DA76A7">
        <w:rPr>
          <w:rFonts w:ascii="Arial" w:hAnsi="Arial" w:cs="Arial"/>
          <w:color w:val="000000" w:themeColor="text1"/>
          <w:sz w:val="22"/>
          <w:szCs w:val="22"/>
        </w:rPr>
        <w:softHyphen/>
        <w:t>сударственный Совет на уровне глав государств и прави</w:t>
      </w:r>
      <w:r w:rsidRPr="00DA76A7">
        <w:rPr>
          <w:rFonts w:ascii="Arial" w:hAnsi="Arial" w:cs="Arial"/>
          <w:color w:val="000000" w:themeColor="text1"/>
          <w:sz w:val="22"/>
          <w:szCs w:val="22"/>
        </w:rPr>
        <w:softHyphen/>
        <w:t>тельств, постоянный исполнительный орган — Интеграцион</w:t>
      </w:r>
      <w:r w:rsidRPr="00DA76A7">
        <w:rPr>
          <w:rFonts w:ascii="Arial" w:hAnsi="Arial" w:cs="Arial"/>
          <w:color w:val="000000" w:themeColor="text1"/>
          <w:sz w:val="22"/>
          <w:szCs w:val="22"/>
        </w:rPr>
        <w:softHyphen/>
        <w:t>ный комитет, а также Межпарламентский комитет как орган межпарламентского сотрудничества.</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Организационной и технической подготовкой заседаний высших органов СНГ, МЭК и других органов занимается Ис</w:t>
      </w:r>
      <w:r w:rsidRPr="00DA76A7">
        <w:rPr>
          <w:rFonts w:ascii="Arial" w:hAnsi="Arial" w:cs="Arial"/>
          <w:color w:val="000000" w:themeColor="text1"/>
          <w:sz w:val="22"/>
          <w:szCs w:val="22"/>
        </w:rPr>
        <w:softHyphen/>
        <w:t>полнительный секретариат СНГ.</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Межгосударственный Совет вправе принимать решения, имеющие юридически обязательный характер для органов и организаций государств-участников, а также решения, под</w:t>
      </w:r>
      <w:r w:rsidRPr="00DA76A7">
        <w:rPr>
          <w:rFonts w:ascii="Arial" w:hAnsi="Arial" w:cs="Arial"/>
          <w:color w:val="000000" w:themeColor="text1"/>
          <w:sz w:val="22"/>
          <w:szCs w:val="22"/>
        </w:rPr>
        <w:softHyphen/>
        <w:t>лежащие трансформации во внутреннее право. Более того, государства-участники обязываются обеспечить ответствен</w:t>
      </w:r>
      <w:r w:rsidRPr="00DA76A7">
        <w:rPr>
          <w:rFonts w:ascii="Arial" w:hAnsi="Arial" w:cs="Arial"/>
          <w:color w:val="000000" w:themeColor="text1"/>
          <w:sz w:val="22"/>
          <w:szCs w:val="22"/>
        </w:rPr>
        <w:softHyphen/>
        <w:t>ность должностных лиц государственной власти за исполне</w:t>
      </w:r>
      <w:r w:rsidRPr="00DA76A7">
        <w:rPr>
          <w:rFonts w:ascii="Arial" w:hAnsi="Arial" w:cs="Arial"/>
          <w:color w:val="000000" w:themeColor="text1"/>
          <w:sz w:val="22"/>
          <w:szCs w:val="22"/>
        </w:rPr>
        <w:softHyphen/>
        <w:t>ние решений органов управления интеграцией (ст. 24).</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декабре 1996 года Межгосударственный Совет одобрил решение глав правительств «четверки» об определении Ин</w:t>
      </w:r>
      <w:r w:rsidRPr="00DA76A7">
        <w:rPr>
          <w:rFonts w:ascii="Arial" w:hAnsi="Arial" w:cs="Arial"/>
          <w:color w:val="000000" w:themeColor="text1"/>
          <w:sz w:val="22"/>
          <w:szCs w:val="22"/>
        </w:rPr>
        <w:softHyphen/>
        <w:t>теграционного комитета в качестве исполнительного органа Таможенного союза.</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Интерес к участию в Таможенном союзе проявляют Азер</w:t>
      </w:r>
      <w:r w:rsidRPr="00DA76A7">
        <w:rPr>
          <w:rFonts w:ascii="Arial" w:hAnsi="Arial" w:cs="Arial"/>
          <w:color w:val="000000" w:themeColor="text1"/>
          <w:sz w:val="22"/>
          <w:szCs w:val="22"/>
        </w:rPr>
        <w:softHyphen/>
        <w:t>байджан, Молдова, Таджикистан, Узбекистан.</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свою очередь  российско-белорусское взаимодействие нацелено на еще большую высокую ступень интеграции. Предполагается более интенсивное формирование общего рынка, единого экономического пространство, а со свободным передвижением товаров, услуг, капиталов, рабочей силы.</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Формируются единые энергетическая и транспортная системы. Проводится унификация финансовых систем. Изу</w:t>
      </w:r>
      <w:r w:rsidRPr="00DA76A7">
        <w:rPr>
          <w:rFonts w:ascii="Arial" w:hAnsi="Arial" w:cs="Arial"/>
          <w:color w:val="000000" w:themeColor="text1"/>
          <w:sz w:val="22"/>
          <w:szCs w:val="22"/>
        </w:rPr>
        <w:softHyphen/>
        <w:t>чаются предложения по введению общей валюты.</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В декабре 1999 года было подписан Договор о создании Союзного государства Беларуси и России  [2, 136].</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 На основе ст. 22 Устава Содружества в рамках СНГ в качестве постоянного органа действует Экономический суд СНГ. В июле 1992 года на Совете глав государств СНГ было заключено Соглашение о статусе Экономического суда СНГ, утверждено Положение об Экономическом суде.</w:t>
      </w:r>
    </w:p>
    <w:p w:rsidR="00A969C6" w:rsidRPr="00DA76A7" w:rsidRDefault="00A969C6" w:rsidP="00A969C6">
      <w:pPr>
        <w:pStyle w:val="af4"/>
        <w:ind w:firstLine="567"/>
        <w:rPr>
          <w:rFonts w:ascii="Arial" w:hAnsi="Arial" w:cs="Arial"/>
          <w:color w:val="000000" w:themeColor="text1"/>
          <w:sz w:val="22"/>
          <w:szCs w:val="22"/>
        </w:rPr>
      </w:pPr>
      <w:r w:rsidRPr="00DA76A7">
        <w:rPr>
          <w:rFonts w:ascii="Arial" w:hAnsi="Arial" w:cs="Arial"/>
          <w:color w:val="000000" w:themeColor="text1"/>
          <w:sz w:val="22"/>
          <w:szCs w:val="22"/>
        </w:rPr>
        <w:t>К ведению Суда отнесены межгосударственные экономи</w:t>
      </w:r>
      <w:r w:rsidRPr="00DA76A7">
        <w:rPr>
          <w:rFonts w:ascii="Arial" w:hAnsi="Arial" w:cs="Arial"/>
          <w:color w:val="000000" w:themeColor="text1"/>
          <w:sz w:val="22"/>
          <w:szCs w:val="22"/>
        </w:rPr>
        <w:softHyphen/>
        <w:t>ческие споры, возникающие при исполнении обязательств по соглашениям и в соответствии с решениями органов СНГ, а также споры о соответствии внутренних актов государств со</w:t>
      </w:r>
      <w:r w:rsidRPr="00DA76A7">
        <w:rPr>
          <w:rFonts w:ascii="Arial" w:hAnsi="Arial" w:cs="Arial"/>
          <w:color w:val="000000" w:themeColor="text1"/>
          <w:sz w:val="22"/>
          <w:szCs w:val="22"/>
        </w:rPr>
        <w:softHyphen/>
        <w:t>глашениям и решениям органов СНГ.</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Споры могут быть  рассмотрены исключительно в соответствии с  согласия заинте</w:t>
      </w:r>
      <w:r w:rsidRPr="00DA76A7">
        <w:rPr>
          <w:rFonts w:ascii="Arial" w:hAnsi="Arial" w:cs="Arial"/>
          <w:color w:val="000000" w:themeColor="text1"/>
          <w:sz w:val="22"/>
          <w:szCs w:val="22"/>
        </w:rPr>
        <w:softHyphen/>
        <w:t>ресованных государств или по заявлению органов Содружества независимых государств. Воз</w:t>
      </w:r>
      <w:r w:rsidRPr="00DA76A7">
        <w:rPr>
          <w:rFonts w:ascii="Arial" w:hAnsi="Arial" w:cs="Arial"/>
          <w:color w:val="000000" w:themeColor="text1"/>
          <w:sz w:val="22"/>
          <w:szCs w:val="22"/>
        </w:rPr>
        <w:softHyphen/>
        <w:t>можность суброгации, т.е. передачи претензий частными ор</w:t>
      </w:r>
      <w:r w:rsidRPr="00DA76A7">
        <w:rPr>
          <w:rFonts w:ascii="Arial" w:hAnsi="Arial" w:cs="Arial"/>
          <w:color w:val="000000" w:themeColor="text1"/>
          <w:sz w:val="22"/>
          <w:szCs w:val="22"/>
        </w:rPr>
        <w:softHyphen/>
        <w:t xml:space="preserve">ганизациями государствам, не предусмотрена. Обеспечить исполнение решения  должно государство, в отношении которого Суд принял соответствующее решение. </w:t>
      </w:r>
    </w:p>
    <w:p w:rsidR="00A969C6" w:rsidRPr="00DA76A7" w:rsidRDefault="00A969C6" w:rsidP="00A969C6">
      <w:pPr>
        <w:ind w:firstLine="567"/>
        <w:jc w:val="center"/>
        <w:rPr>
          <w:rFonts w:ascii="Arial" w:hAnsi="Arial" w:cs="Arial"/>
          <w:b/>
          <w:color w:val="000000" w:themeColor="text1"/>
          <w:sz w:val="22"/>
          <w:szCs w:val="22"/>
          <w:lang w:val="uk-UA"/>
        </w:rPr>
      </w:pPr>
    </w:p>
    <w:p w:rsidR="00A969C6" w:rsidRPr="00DA76A7" w:rsidRDefault="00A969C6" w:rsidP="00A969C6">
      <w:pPr>
        <w:ind w:firstLine="567"/>
        <w:jc w:val="center"/>
        <w:rPr>
          <w:rFonts w:ascii="Arial" w:hAnsi="Arial" w:cs="Arial"/>
          <w:b/>
          <w:color w:val="000000" w:themeColor="text1"/>
          <w:sz w:val="22"/>
          <w:szCs w:val="22"/>
          <w:lang w:val="uk-UA"/>
        </w:rPr>
      </w:pPr>
      <w:r w:rsidRPr="00DA76A7">
        <w:rPr>
          <w:rFonts w:ascii="Arial" w:hAnsi="Arial" w:cs="Arial"/>
          <w:b/>
          <w:color w:val="000000" w:themeColor="text1"/>
          <w:sz w:val="22"/>
          <w:szCs w:val="22"/>
          <w:lang w:val="uk-UA"/>
        </w:rPr>
        <w:t>Список литературы: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Мамутов В. К. Сближение современных систем правового регулирования хозяйственной деятельности // Государство и право. 1999. - № 1. - С. 18-24.</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Странска М., Копал В., Ушаков Н.А. Международное право на службе мира и сотрудничества государство. - М.: Международные отношения, 1981. -176 с.</w:t>
      </w:r>
    </w:p>
    <w:p w:rsidR="00A969C6" w:rsidRPr="00DA76A7" w:rsidRDefault="00A969C6" w:rsidP="00A969C6">
      <w:pPr>
        <w:pStyle w:val="af2"/>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lang w:val="uk-UA"/>
        </w:rPr>
      </w:pPr>
    </w:p>
    <w:p w:rsidR="00A969C6" w:rsidRPr="00DA76A7" w:rsidRDefault="00A969C6" w:rsidP="00A969C6">
      <w:pPr>
        <w:pStyle w:val="ConsPlusNormal"/>
        <w:widowControl/>
        <w:suppressLineNumbers/>
        <w:suppressAutoHyphens/>
        <w:ind w:firstLine="0"/>
        <w:jc w:val="center"/>
        <w:rPr>
          <w:b/>
          <w:color w:val="000000" w:themeColor="text1"/>
          <w:sz w:val="22"/>
          <w:szCs w:val="22"/>
        </w:rPr>
      </w:pPr>
      <w:r w:rsidRPr="00DA76A7">
        <w:rPr>
          <w:b/>
          <w:color w:val="000000" w:themeColor="text1"/>
          <w:sz w:val="22"/>
          <w:szCs w:val="22"/>
        </w:rPr>
        <w:t>ИНСТИТУТ ИНВЕСТИРОВАНИЯ КАК ФОРМА ОСУЩЕСТВЛЕНИЯ ВЛОЖЕНИЙ В ТАДЖИКИСТАНЕ</w:t>
      </w:r>
    </w:p>
    <w:p w:rsidR="00A969C6" w:rsidRPr="00DA76A7" w:rsidRDefault="00A969C6" w:rsidP="00A969C6">
      <w:pPr>
        <w:pStyle w:val="ConsPlusNormal"/>
        <w:widowControl/>
        <w:suppressLineNumbers/>
        <w:suppressAutoHyphens/>
        <w:ind w:firstLine="0"/>
        <w:jc w:val="center"/>
        <w:rPr>
          <w:b/>
          <w:color w:val="000000" w:themeColor="text1"/>
          <w:sz w:val="22"/>
          <w:szCs w:val="22"/>
          <w:shd w:val="clear" w:color="auto" w:fill="FFFFFF"/>
        </w:rPr>
      </w:pPr>
    </w:p>
    <w:p w:rsidR="00A969C6" w:rsidRPr="00DA76A7" w:rsidRDefault="00A969C6" w:rsidP="00A969C6">
      <w:pPr>
        <w:pStyle w:val="ConsPlusNormal"/>
        <w:widowControl/>
        <w:suppressLineNumbers/>
        <w:suppressAutoHyphens/>
        <w:ind w:firstLine="0"/>
        <w:jc w:val="center"/>
        <w:rPr>
          <w:b/>
          <w:color w:val="000000" w:themeColor="text1"/>
          <w:sz w:val="22"/>
          <w:szCs w:val="22"/>
          <w:shd w:val="clear" w:color="auto" w:fill="FFFFFF"/>
        </w:rPr>
      </w:pPr>
      <w:r w:rsidRPr="00DA76A7">
        <w:rPr>
          <w:b/>
          <w:color w:val="000000" w:themeColor="text1"/>
          <w:sz w:val="22"/>
          <w:szCs w:val="22"/>
          <w:shd w:val="clear" w:color="auto" w:fill="FFFFFF"/>
        </w:rPr>
        <w:t>Маматкулова Азиза</w:t>
      </w:r>
      <w:r w:rsidRPr="00DA76A7">
        <w:rPr>
          <w:color w:val="000000" w:themeColor="text1"/>
          <w:sz w:val="22"/>
          <w:szCs w:val="22"/>
        </w:rPr>
        <w:t xml:space="preserve"> </w:t>
      </w:r>
      <w:r w:rsidRPr="00DA76A7">
        <w:rPr>
          <w:b/>
          <w:color w:val="000000" w:themeColor="text1"/>
          <w:sz w:val="22"/>
          <w:szCs w:val="22"/>
        </w:rPr>
        <w:t>Орифджоновна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ул.М. Турсунзаде,</w:t>
      </w:r>
      <w:r w:rsidR="00AB49D0"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rPr>
        <w:t>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888889188, e-mail: azizahon27@126.com</w:t>
      </w:r>
    </w:p>
    <w:p w:rsidR="00A969C6" w:rsidRPr="00DA76A7" w:rsidRDefault="00A969C6" w:rsidP="00A969C6">
      <w:pPr>
        <w:shd w:val="clear" w:color="auto" w:fill="FFFFFF"/>
        <w:jc w:val="center"/>
        <w:rPr>
          <w:rFonts w:ascii="Arial" w:hAnsi="Arial" w:cs="Arial"/>
          <w:color w:val="000000" w:themeColor="text1"/>
          <w:sz w:val="22"/>
          <w:szCs w:val="22"/>
          <w:lang w:val="en-US"/>
        </w:rPr>
      </w:pPr>
    </w:p>
    <w:p w:rsidR="00A969C6" w:rsidRPr="00DA76A7" w:rsidRDefault="00A969C6" w:rsidP="00A969C6">
      <w:pPr>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INSTITUTE OF INVESTMENT AS A FORM OF IMPLEMENTATION OF INVESTMENTS IN TAJIKISTAN</w:t>
      </w:r>
    </w:p>
    <w:p w:rsidR="00A969C6" w:rsidRPr="00DA76A7" w:rsidRDefault="00A969C6" w:rsidP="00A969C6">
      <w:pPr>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Mamatkulova Aziza Orifjonovna</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A969C6" w:rsidRPr="00DA76A7" w:rsidRDefault="00A969C6" w:rsidP="00A969C6">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Russian-Tajik (Slavonic) university</w:t>
      </w:r>
    </w:p>
    <w:p w:rsidR="00A969C6" w:rsidRPr="00DA76A7" w:rsidRDefault="00A969C6" w:rsidP="00A969C6">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lang w:val="en-US"/>
        </w:rPr>
        <w:t>tel</w:t>
      </w:r>
      <w:r w:rsidRPr="00DA76A7">
        <w:rPr>
          <w:rFonts w:ascii="Arial" w:hAnsi="Arial" w:cs="Arial"/>
          <w:color w:val="000000" w:themeColor="text1"/>
          <w:sz w:val="22"/>
          <w:szCs w:val="22"/>
        </w:rPr>
        <w:t xml:space="preserve">.: 888889188,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52" w:history="1">
        <w:r w:rsidRPr="00DA76A7">
          <w:rPr>
            <w:rStyle w:val="af0"/>
            <w:rFonts w:ascii="Arial" w:hAnsi="Arial" w:cs="Arial"/>
            <w:color w:val="000000" w:themeColor="text1"/>
            <w:sz w:val="22"/>
            <w:szCs w:val="22"/>
            <w:u w:val="none"/>
            <w:lang w:val="en-US"/>
          </w:rPr>
          <w:t>azizahon</w:t>
        </w:r>
        <w:r w:rsidRPr="00DA76A7">
          <w:rPr>
            <w:rStyle w:val="af0"/>
            <w:rFonts w:ascii="Arial" w:hAnsi="Arial" w:cs="Arial"/>
            <w:color w:val="000000" w:themeColor="text1"/>
            <w:sz w:val="22"/>
            <w:szCs w:val="22"/>
            <w:u w:val="none"/>
          </w:rPr>
          <w:t>27@126.</w:t>
        </w:r>
        <w:r w:rsidRPr="00DA76A7">
          <w:rPr>
            <w:rStyle w:val="af0"/>
            <w:rFonts w:ascii="Arial" w:hAnsi="Arial" w:cs="Arial"/>
            <w:color w:val="000000" w:themeColor="text1"/>
            <w:sz w:val="22"/>
            <w:szCs w:val="22"/>
            <w:u w:val="none"/>
            <w:lang w:val="en-US"/>
          </w:rPr>
          <w:t>com</w:t>
        </w:r>
      </w:hyperlink>
    </w:p>
    <w:p w:rsidR="00A969C6" w:rsidRPr="00DA76A7" w:rsidRDefault="00A969C6" w:rsidP="00A969C6">
      <w:pPr>
        <w:pStyle w:val="ConsPlusNormal"/>
        <w:widowControl/>
        <w:suppressLineNumbers/>
        <w:suppressAutoHyphens/>
        <w:ind w:firstLine="567"/>
        <w:jc w:val="center"/>
        <w:rPr>
          <w:color w:val="000000" w:themeColor="text1"/>
          <w:sz w:val="22"/>
          <w:szCs w:val="22"/>
        </w:rPr>
      </w:pPr>
      <w:r w:rsidRPr="00DA76A7">
        <w:rPr>
          <w:color w:val="000000" w:themeColor="text1"/>
          <w:sz w:val="22"/>
          <w:szCs w:val="22"/>
        </w:rPr>
        <w:t xml:space="preserve"> </w:t>
      </w:r>
    </w:p>
    <w:p w:rsidR="00A969C6" w:rsidRPr="00DA76A7" w:rsidRDefault="00A969C6" w:rsidP="00A969C6">
      <w:pPr>
        <w:pStyle w:val="ConsPlusNormal"/>
        <w:widowControl/>
        <w:suppressLineNumbers/>
        <w:suppressAutoHyphens/>
        <w:ind w:firstLine="567"/>
        <w:jc w:val="right"/>
        <w:rPr>
          <w:color w:val="000000" w:themeColor="text1"/>
          <w:sz w:val="22"/>
          <w:szCs w:val="22"/>
        </w:rPr>
      </w:pPr>
      <w:r w:rsidRPr="00DA76A7">
        <w:rPr>
          <w:color w:val="000000" w:themeColor="text1"/>
          <w:sz w:val="22"/>
          <w:szCs w:val="22"/>
        </w:rPr>
        <w:t xml:space="preserve">                                                              Научный руководитель: к.п.н. Курбонов Р.Г.</w:t>
      </w:r>
    </w:p>
    <w:p w:rsidR="00A969C6" w:rsidRPr="00DA76A7" w:rsidRDefault="00A969C6" w:rsidP="00A969C6">
      <w:pPr>
        <w:pStyle w:val="ConsPlusNormal"/>
        <w:widowControl/>
        <w:suppressLineNumbers/>
        <w:suppressAutoHyphens/>
        <w:ind w:firstLine="567"/>
        <w:jc w:val="center"/>
        <w:rPr>
          <w:b/>
          <w:color w:val="000000" w:themeColor="text1"/>
          <w:sz w:val="22"/>
          <w:szCs w:val="22"/>
          <w:shd w:val="clear" w:color="auto" w:fill="FFFFFF"/>
        </w:rPr>
      </w:pPr>
    </w:p>
    <w:p w:rsidR="00A969C6" w:rsidRPr="00DA76A7" w:rsidRDefault="00B46B9E"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В статье  рассматривается место и роль инвестиций в законодательстве Таджикистана и в международно-правовых актах. Их</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регулирование</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и</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общая</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характеристика</w:t>
      </w:r>
      <w:r w:rsidR="00A969C6" w:rsidRPr="00DA76A7">
        <w:rPr>
          <w:rFonts w:ascii="Arial" w:hAnsi="Arial" w:cs="Arial"/>
          <w:i/>
          <w:color w:val="000000" w:themeColor="text1"/>
          <w:sz w:val="22"/>
          <w:szCs w:val="22"/>
          <w:lang w:val="en-US"/>
        </w:rPr>
        <w:t xml:space="preserve">. </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The article considers the place and role of investments in the legislation of Tajikistan and in international legal acts. Their regulation and general characteristics.</w:t>
      </w:r>
    </w:p>
    <w:p w:rsidR="00A969C6" w:rsidRPr="00DA76A7" w:rsidRDefault="00A969C6" w:rsidP="00A969C6">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rPr>
        <w:t>Ключевые</w:t>
      </w:r>
      <w:r w:rsidRPr="00DA76A7">
        <w:rPr>
          <w:rFonts w:ascii="Arial" w:hAnsi="Arial" w:cs="Arial"/>
          <w:b/>
          <w:i/>
          <w:color w:val="000000" w:themeColor="text1"/>
          <w:sz w:val="22"/>
          <w:szCs w:val="22"/>
          <w:lang w:val="en-US"/>
        </w:rPr>
        <w:t xml:space="preserve"> </w:t>
      </w:r>
      <w:r w:rsidRPr="00DA76A7">
        <w:rPr>
          <w:rFonts w:ascii="Arial" w:hAnsi="Arial" w:cs="Arial"/>
          <w:b/>
          <w:i/>
          <w:color w:val="000000" w:themeColor="text1"/>
          <w:sz w:val="22"/>
          <w:szCs w:val="22"/>
        </w:rPr>
        <w:t>слова</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rPr>
        <w:t>Инвестиционное</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законодательство</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Таджикистан</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льготы</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инвесторы</w:t>
      </w:r>
      <w:r w:rsidRPr="00DA76A7">
        <w:rPr>
          <w:rFonts w:ascii="Arial" w:hAnsi="Arial" w:cs="Arial"/>
          <w:i/>
          <w:color w:val="000000" w:themeColor="text1"/>
          <w:sz w:val="22"/>
          <w:szCs w:val="22"/>
          <w:lang w:val="en-US"/>
        </w:rPr>
        <w:t>.</w:t>
      </w:r>
    </w:p>
    <w:p w:rsidR="00A969C6" w:rsidRPr="00DA76A7" w:rsidRDefault="00A969C6" w:rsidP="00A969C6">
      <w:pPr>
        <w:shd w:val="clear" w:color="auto" w:fill="FFFFFF"/>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Investment legislation, Tajikistan, benefits, investors.</w:t>
      </w:r>
    </w:p>
    <w:p w:rsidR="00A969C6" w:rsidRPr="00DA76A7" w:rsidRDefault="00A969C6" w:rsidP="00A969C6">
      <w:pPr>
        <w:ind w:firstLine="567"/>
        <w:jc w:val="both"/>
        <w:rPr>
          <w:rFonts w:ascii="Arial" w:hAnsi="Arial" w:cs="Arial"/>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Институт инвестирования как форма осуществления вложения денег, ценных бумаг, имущества, имущественных прав в объекты предпринимательской или иной деятельности в целях получения прибыли получил правовое закрепление в таджикском законодательстве. Инвестиции оказывают воздействие на объем общественного производства и занятости, структурные сдвиги в экономике, развитие отраслей и сфер хозяйства. Наличие достаточных инвестиционных ресурсов и их рациональное использование являются долгосрочными факторами развития национальной экономики [3, 42].</w:t>
      </w:r>
    </w:p>
    <w:p w:rsidR="00A969C6" w:rsidRPr="00DA76A7" w:rsidRDefault="00A969C6" w:rsidP="00A969C6">
      <w:pPr>
        <w:tabs>
          <w:tab w:val="left" w:pos="993"/>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Понятию инвестиций уделено большое внимание не только в юридической, но и в экономической научной литературе. Это объясняется тем, что инвестиции выступают одновременно в двух основных качествах: экономическим и юридическом. При том в первую очередь инвестиции необходимо рассматривать как экономическую категорию, и затем уже как правовую, поскольку правовые отношения возникают из экономических отношений.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«Инвестиции - совокупность затрат, реализуемых в форме долгосрочных вложений капитала в промышленность, сельское хозяйство, транспорт и другие отрасли хозяйства»[1, 299]. «Инвестиции - долгосрочные вложения государственного или частного капитала в различные отрасли народного хозяйства как внутри страны, так и за границей с целью извлечения прибыли»[2, 200].</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Приведённые определения инвестиций позволяют выявить сущностные признаки инвестиций, характеризующие их с экономической стороны. Вместе с тем отношения, складывающиеся по поводу инвестиций, инвестирования, урегулированы правовыми нормами, а юридические определения понятия «инвестиции», правовые конструкции инвестирования обладают некоторой спецификой, отражающей формальную определенность экономического содержания инвестиций.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понятие «инвестиции» законодательно урегулировано, в том числе на международном уровне. Так, согласно заключенной 28 марта 1997 г. в Москве в рамках Содружества Независимых Государств Конвенции «О защите прав инвестора»[4, 80] инвестиции - это вложенные инвестором финансовые и материальные средства в различные объекты деятельности, а также переданные права на имущественную и интеллектуальную собственность с целью получения прибыли (дохода) или достижения социального эффекта, если они не изъяты из оборота или не ограничены в обороте в соответствии с национальным законодательством сторон.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Закону РТ «О государственных финансах Республики Таджикистан» инвестиции это денежные средства, направляемые на капитальное строительство, приобретение основных средств и ценных бумаг, пополнение государственных материальных запасов и резервов. Как видим здесь понятие инвестиций несколько разнится с аналогичным понятием в Законе РТ «Об инвестициях». Однако такая несогласованность вполне объяснима, так, как каждый из перечисленных актов регулирует особые виды инвестиционной деятельности и поэтому имеет свою специфику. Но закрепление в законодательстве единообразных понятий способствовало бы рассмотрению нормативного массива, регулирующего инвестиционный процесс, как единого целого и регулирование инвестиционной деятельности не было бы фрагментарным и непоследовательным.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Юридические определения инвестиций по аналогии с экономическими определениями весьма многообразны.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цивилистической литературе понятие «инвестиции» может представлять собой: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инструмент, в который вкладывают;</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объект, который передают (вкладывают);</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действия (процесс).</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Понятие «инвестиционная деятельность» традиционно определяется через совокупность действий.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верного понимания юридической сущности инвестиций и инвестиционной деятельности необходимо четко определиться с понятием «инвестиционные правоотношения».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критериям деления права на отрасли традиционно относят предмет и метод правового регулирования[6, 390].</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Предмет правового регулирования - это фактические отношения людей, объективно нуждающиеся в правовомопосредовании. Таким отношениям присущи следующие черты: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жизненно важные для человека и его объединений отношения;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волевые, целенаправленные (разумные) отношения;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устойчивые, повторяющиеся и типичные отношения;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отношения поведенческие, за которыми можно осуществлять внешний контроль (например, юрисдикционными органами)[7, 279].</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Общеизвестно, что для появления предмета правового регулирования необходимо, чтобы группа общественных отношений обладала указанными признаками. Однако эти признаки являются универсальными для предметов всех отраслей права и не позволяют отграничить одну отрасль от другой.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Отрасли права - это наиболее крупные, центральные звенья структуры права, которые охватывают качественно особые виды общественных отношений, требующих обособленного, юридически своеобразного регулирования. Следовательно, для обособления предмета отрасли права необходимо, чтобы он, помимо названных универсальных черт, обладал качественным своеобразием, а также единством и однородностью содержания.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достаточно распространенной позицией относительно правовой природы инвестиционного права является отнесение его к комплексной отрасли права.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Популярность теории «комплексности» на протяжении последних десятилетий неуклонно растет. В рамках гражданского права постепенно «остается» лишь небольшая группа традиционных цивилистических институтов (в частности, деликты, наследование и хранение), которые пока еще не наделены свойствами «комплексности»[5, 65].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Различие указанных правовых форм заключается в разнородности их юридической природы, которая в одних случаях может быть частноправовой (например, гражданской), а в других - публично-правовой (например, административной). В свою очередь, разнородность юридической природы должна базироваться на экономических особенностях опосредуемых инвестиционных отношений. Следовательно, предметом правового регулирования здесь служат не особые инвестиционные, а обычные классические частные и публичные отношения, возникающие при осуществлении инвестиционной деятельности.</w:t>
      </w:r>
    </w:p>
    <w:p w:rsidR="00A969C6" w:rsidRPr="00DA76A7" w:rsidRDefault="00A969C6" w:rsidP="00A969C6">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Создание инвестиционного законодательства в Республике Таджикистан начинается с принятия Закона Республики Таджикистан «Об иностранных инвестициях в Республике Таджикистан» от 12 декабря 1997 года. Данный закон установил правовой режим защиты инвестиций, а также ряд налоговых льгот для иностранных инвесторов. Следующим шагом в развитии правового регулирования инвестиционной деятельности стал принятый 12 мая 2007 года Закон Республики Таджикистан «Об инвестиции».  Согласно анализу инвестиционного законодательства РТ, сделанному </w:t>
      </w:r>
      <w:r w:rsidRPr="00DA76A7">
        <w:rPr>
          <w:rFonts w:ascii="Arial" w:hAnsi="Arial" w:cs="Arial"/>
          <w:color w:val="000000" w:themeColor="text1"/>
          <w:sz w:val="22"/>
          <w:szCs w:val="22"/>
          <w:lang w:val="en-US"/>
        </w:rPr>
        <w:t>USAID</w:t>
      </w:r>
      <w:r w:rsidRPr="00DA76A7">
        <w:rPr>
          <w:rStyle w:val="af3"/>
          <w:rFonts w:ascii="Arial" w:hAnsi="Arial" w:cs="Arial"/>
          <w:color w:val="000000" w:themeColor="text1"/>
          <w:sz w:val="22"/>
          <w:szCs w:val="22"/>
          <w:lang w:val="en-US"/>
        </w:rPr>
        <w:footnoteReference w:id="2"/>
      </w:r>
      <w:r w:rsidRPr="00DA76A7">
        <w:rPr>
          <w:rFonts w:ascii="Arial" w:hAnsi="Arial" w:cs="Arial"/>
          <w:color w:val="000000" w:themeColor="text1"/>
          <w:sz w:val="22"/>
          <w:szCs w:val="22"/>
        </w:rPr>
        <w:t xml:space="preserve"> было наглядно показано и выведено ряд брешей и недостатков в инвестиционном законодательстве РТ. После дополнений и изменений в 2016 году после редактирования Постановлением был принят новый закон об инвестициях от 10-го февраля 2016 года, № 357. Данный закон был отредактирован и в него были включены и дополнены некоторые пункты закона, некоторые пункты были исключены или сокращены.</w:t>
      </w:r>
      <w:r w:rsidRPr="00DA76A7">
        <w:rPr>
          <w:rFonts w:ascii="Arial" w:hAnsi="Arial" w:cs="Arial"/>
          <w:color w:val="000000" w:themeColor="text1"/>
          <w:sz w:val="22"/>
          <w:szCs w:val="22"/>
          <w:shd w:val="clear" w:color="auto" w:fill="FFFFFF"/>
        </w:rPr>
        <w:t xml:space="preserve"> </w:t>
      </w:r>
    </w:p>
    <w:p w:rsidR="00A969C6" w:rsidRPr="00DA76A7" w:rsidRDefault="00A969C6" w:rsidP="00A969C6">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Таким образом, следует заключить, что институт инвестирования как форма осуществления вложения денег в Республике Таджикистан сформировался сравнительно  недавно, но на сегодняшний день является  важным составляющим элементом экономики нашей страны, в связи с чем требует к себе особого внимания со стороны юридической доктрины и законодательства. Необходимым является постоянное его совершенствование в соответствии с реалиями настоящего времени.</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pStyle w:val="af2"/>
        <w:tabs>
          <w:tab w:val="left" w:pos="993"/>
        </w:tabs>
        <w:ind w:firstLine="567"/>
        <w:rPr>
          <w:rFonts w:ascii="Arial" w:hAnsi="Arial" w:cs="Arial"/>
          <w:color w:val="000000" w:themeColor="text1"/>
          <w:sz w:val="22"/>
          <w:szCs w:val="22"/>
        </w:rPr>
      </w:pPr>
      <w:r w:rsidRPr="00DA76A7">
        <w:rPr>
          <w:rFonts w:ascii="Arial" w:hAnsi="Arial" w:cs="Arial"/>
          <w:color w:val="000000" w:themeColor="text1"/>
          <w:sz w:val="22"/>
          <w:szCs w:val="22"/>
        </w:rPr>
        <w:t>1.  Азрилиян А.Н., Азрилиян О.М., Калашникова Е.В. и др. Большой экономический словарь / под ред. А.Н. Азрилияна. - М.: Институт новой экономики, 1999.- 435 с.</w:t>
      </w:r>
    </w:p>
    <w:p w:rsidR="00A969C6" w:rsidRPr="00DA76A7" w:rsidRDefault="00A969C6" w:rsidP="00A969C6">
      <w:pPr>
        <w:pStyle w:val="af2"/>
        <w:tabs>
          <w:tab w:val="left" w:pos="993"/>
        </w:tabs>
        <w:ind w:firstLine="567"/>
        <w:rPr>
          <w:rFonts w:ascii="Arial" w:hAnsi="Arial" w:cs="Arial"/>
          <w:color w:val="000000" w:themeColor="text1"/>
          <w:sz w:val="22"/>
          <w:szCs w:val="22"/>
        </w:rPr>
      </w:pPr>
      <w:r w:rsidRPr="00DA76A7">
        <w:rPr>
          <w:rFonts w:ascii="Arial" w:hAnsi="Arial" w:cs="Arial"/>
          <w:color w:val="000000" w:themeColor="text1"/>
          <w:sz w:val="22"/>
          <w:szCs w:val="22"/>
        </w:rPr>
        <w:t>2. Вечканов Г.С., Вечканова Г.Р. Современная экономическая энциклопедия. - СПб.: Лань, 2002.-632 с.</w:t>
      </w:r>
    </w:p>
    <w:p w:rsidR="00A969C6" w:rsidRPr="00DA76A7" w:rsidRDefault="00A969C6" w:rsidP="00A969C6">
      <w:pPr>
        <w:pStyle w:val="af2"/>
        <w:tabs>
          <w:tab w:val="left" w:pos="993"/>
        </w:tabs>
        <w:ind w:firstLine="567"/>
        <w:rPr>
          <w:rFonts w:ascii="Arial" w:hAnsi="Arial" w:cs="Arial"/>
          <w:color w:val="000000" w:themeColor="text1"/>
          <w:sz w:val="22"/>
          <w:szCs w:val="22"/>
        </w:rPr>
      </w:pPr>
      <w:r w:rsidRPr="00DA76A7">
        <w:rPr>
          <w:rFonts w:ascii="Arial" w:hAnsi="Arial" w:cs="Arial"/>
          <w:color w:val="000000" w:themeColor="text1"/>
          <w:sz w:val="22"/>
          <w:szCs w:val="22"/>
        </w:rPr>
        <w:t>3. Игонина Л.Л. Инвестиции: учебник. - М.: Магистр, 2011. – 422 с.</w:t>
      </w:r>
    </w:p>
    <w:p w:rsidR="00A969C6" w:rsidRPr="00DA76A7" w:rsidRDefault="00A969C6" w:rsidP="00A969C6">
      <w:pPr>
        <w:pStyle w:val="af2"/>
        <w:tabs>
          <w:tab w:val="left" w:pos="993"/>
        </w:tabs>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4. </w:t>
      </w:r>
      <w:hyperlink r:id="rId53" w:history="1">
        <w:r w:rsidRPr="00DA76A7">
          <w:rPr>
            <w:rStyle w:val="af0"/>
            <w:rFonts w:ascii="Arial" w:hAnsi="Arial" w:cs="Arial"/>
            <w:color w:val="000000" w:themeColor="text1"/>
            <w:sz w:val="22"/>
            <w:szCs w:val="22"/>
            <w:u w:val="none"/>
          </w:rPr>
          <w:t>Конвенция</w:t>
        </w:r>
      </w:hyperlink>
      <w:r w:rsidRPr="00DA76A7">
        <w:rPr>
          <w:rFonts w:ascii="Arial" w:hAnsi="Arial" w:cs="Arial"/>
          <w:color w:val="000000" w:themeColor="text1"/>
          <w:sz w:val="22"/>
          <w:szCs w:val="22"/>
        </w:rPr>
        <w:t xml:space="preserve"> от 28 марта 1997 г. «О защите прав инвестора» // Вестник ВАС РФ. - 1997. - N 8. - 120 с.</w:t>
      </w:r>
    </w:p>
    <w:p w:rsidR="00A969C6" w:rsidRPr="00DA76A7" w:rsidRDefault="00A969C6" w:rsidP="00A969C6">
      <w:pPr>
        <w:tabs>
          <w:tab w:val="left" w:pos="993"/>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Красавчиков О.А. Система права и система законодательства (гражданско-правовой аспект) // Правоведение. - 1975. - N 2. - С. 60 - 67.</w:t>
      </w:r>
    </w:p>
    <w:p w:rsidR="00A969C6" w:rsidRPr="00DA76A7" w:rsidRDefault="00A969C6" w:rsidP="00A969C6">
      <w:pPr>
        <w:pStyle w:val="af2"/>
        <w:tabs>
          <w:tab w:val="left" w:pos="993"/>
        </w:tabs>
        <w:ind w:firstLine="567"/>
        <w:rPr>
          <w:rFonts w:ascii="Arial" w:hAnsi="Arial" w:cs="Arial"/>
          <w:color w:val="000000" w:themeColor="text1"/>
          <w:sz w:val="22"/>
          <w:szCs w:val="22"/>
        </w:rPr>
      </w:pPr>
      <w:r w:rsidRPr="00DA76A7">
        <w:rPr>
          <w:rFonts w:ascii="Arial" w:hAnsi="Arial" w:cs="Arial"/>
          <w:color w:val="000000" w:themeColor="text1"/>
          <w:sz w:val="22"/>
          <w:szCs w:val="22"/>
        </w:rPr>
        <w:t>6.Теория государства и права: учебник / под ред. В.К. Бабаева. - М.: Юрист, 2003. - 592 с.</w:t>
      </w:r>
    </w:p>
    <w:p w:rsidR="00A969C6" w:rsidRPr="00DA76A7" w:rsidRDefault="00A969C6" w:rsidP="00A969C6">
      <w:pPr>
        <w:pStyle w:val="af2"/>
        <w:tabs>
          <w:tab w:val="left" w:pos="993"/>
        </w:tabs>
        <w:ind w:firstLine="567"/>
        <w:rPr>
          <w:rFonts w:ascii="Arial" w:hAnsi="Arial" w:cs="Arial"/>
          <w:color w:val="000000" w:themeColor="text1"/>
          <w:sz w:val="22"/>
          <w:szCs w:val="22"/>
        </w:rPr>
      </w:pPr>
      <w:r w:rsidRPr="00DA76A7">
        <w:rPr>
          <w:rFonts w:ascii="Arial" w:hAnsi="Arial" w:cs="Arial"/>
          <w:color w:val="000000" w:themeColor="text1"/>
          <w:sz w:val="22"/>
          <w:szCs w:val="22"/>
        </w:rPr>
        <w:t>7. Теория государства и права: учебник  / [Алексеев С.С. , Архипов С.И. и др.]; под общ. ред. проф. С.С. Алексеева. - М.: Норма, 2004. - 283 с.</w:t>
      </w:r>
    </w:p>
    <w:p w:rsidR="00A969C6" w:rsidRPr="00DA76A7" w:rsidRDefault="00A969C6" w:rsidP="00A969C6">
      <w:pPr>
        <w:pStyle w:val="22"/>
        <w:shd w:val="clear" w:color="auto" w:fill="auto"/>
        <w:spacing w:after="0" w:line="240" w:lineRule="auto"/>
        <w:ind w:firstLine="567"/>
        <w:rPr>
          <w:rFonts w:ascii="Arial" w:hAnsi="Arial" w:cs="Arial"/>
          <w:b/>
          <w:color w:val="000000" w:themeColor="text1"/>
          <w:sz w:val="22"/>
          <w:szCs w:val="22"/>
          <w:lang w:eastAsia="ru-RU" w:bidi="ru-RU"/>
        </w:rPr>
      </w:pPr>
    </w:p>
    <w:p w:rsidR="00A969C6" w:rsidRPr="00DA76A7" w:rsidRDefault="00A969C6" w:rsidP="00A969C6">
      <w:pPr>
        <w:pStyle w:val="22"/>
        <w:shd w:val="clear" w:color="auto" w:fill="auto"/>
        <w:spacing w:after="0" w:line="240" w:lineRule="auto"/>
        <w:rPr>
          <w:rFonts w:ascii="Arial" w:hAnsi="Arial" w:cs="Arial"/>
          <w:b/>
          <w:color w:val="000000" w:themeColor="text1"/>
          <w:sz w:val="22"/>
          <w:szCs w:val="22"/>
          <w:lang w:eastAsia="ru-RU" w:bidi="ru-RU"/>
        </w:rPr>
      </w:pPr>
      <w:r w:rsidRPr="00DA76A7">
        <w:rPr>
          <w:rFonts w:ascii="Arial" w:hAnsi="Arial" w:cs="Arial"/>
          <w:b/>
          <w:color w:val="000000" w:themeColor="text1"/>
          <w:sz w:val="22"/>
          <w:szCs w:val="22"/>
          <w:lang w:eastAsia="ru-RU" w:bidi="ru-RU"/>
        </w:rPr>
        <w:t>РОЛЬ РЕАДМИССИИ В МЕЖДУНАРОДНО-ПРАВОВОМ РЕГУЛИРОВАНИИ ПРОЦЕССОВ НЕЗАКОНОЙ МИГРАЦИИ</w:t>
      </w:r>
    </w:p>
    <w:p w:rsidR="00A969C6" w:rsidRPr="00DA76A7" w:rsidRDefault="00A969C6" w:rsidP="00A969C6">
      <w:pPr>
        <w:jc w:val="center"/>
        <w:rPr>
          <w:rFonts w:ascii="Arial" w:eastAsia="Calibri" w:hAnsi="Arial" w:cs="Arial"/>
          <w:b/>
          <w:color w:val="000000" w:themeColor="text1"/>
          <w:sz w:val="22"/>
          <w:szCs w:val="22"/>
        </w:rPr>
      </w:pPr>
    </w:p>
    <w:p w:rsidR="00A969C6" w:rsidRPr="00DA76A7" w:rsidRDefault="00A969C6" w:rsidP="00A969C6">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Меликова Зухро Зикирёевна</w:t>
      </w:r>
    </w:p>
    <w:p w:rsidR="00A969C6" w:rsidRPr="00DA76A7" w:rsidRDefault="00A969C6" w:rsidP="00A969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магистрант 2- го года обучения заочного отделения юридического факультета </w:t>
      </w:r>
    </w:p>
    <w:p w:rsidR="00A969C6" w:rsidRPr="00DA76A7" w:rsidRDefault="00A969C6" w:rsidP="00A969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rPr>
        <w:t>734025, Республика Таджикистан, г. Душанбе, ул. М</w:t>
      </w:r>
      <w:r w:rsidRPr="00DA76A7">
        <w:rPr>
          <w:rFonts w:ascii="Arial" w:eastAsia="Calibri" w:hAnsi="Arial" w:cs="Arial"/>
          <w:color w:val="000000" w:themeColor="text1"/>
          <w:sz w:val="22"/>
          <w:szCs w:val="22"/>
          <w:lang w:val="en-US"/>
        </w:rPr>
        <w:t xml:space="preserve">. </w:t>
      </w:r>
      <w:r w:rsidRPr="00DA76A7">
        <w:rPr>
          <w:rFonts w:ascii="Arial" w:eastAsia="Calibri" w:hAnsi="Arial" w:cs="Arial"/>
          <w:color w:val="000000" w:themeColor="text1"/>
          <w:sz w:val="22"/>
          <w:szCs w:val="22"/>
        </w:rPr>
        <w:t>Турсунзаде</w:t>
      </w:r>
      <w:r w:rsidRPr="00DA76A7">
        <w:rPr>
          <w:rFonts w:ascii="Arial" w:eastAsia="Calibri" w:hAnsi="Arial" w:cs="Arial"/>
          <w:color w:val="000000" w:themeColor="text1"/>
          <w:sz w:val="22"/>
          <w:szCs w:val="22"/>
          <w:lang w:val="en-US"/>
        </w:rPr>
        <w:t xml:space="preserve">, 30 </w:t>
      </w:r>
    </w:p>
    <w:p w:rsidR="00A969C6" w:rsidRPr="00DA76A7" w:rsidRDefault="00A969C6" w:rsidP="00A969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e-mail: melikova-zuro@mail.ru</w:t>
      </w:r>
    </w:p>
    <w:p w:rsidR="00A969C6" w:rsidRPr="00DA76A7" w:rsidRDefault="00A969C6" w:rsidP="00A969C6">
      <w:pPr>
        <w:jc w:val="center"/>
        <w:rPr>
          <w:rFonts w:ascii="Arial" w:eastAsia="Calibri" w:hAnsi="Arial" w:cs="Arial"/>
          <w:b/>
          <w:color w:val="000000" w:themeColor="text1"/>
          <w:sz w:val="22"/>
          <w:szCs w:val="22"/>
          <w:lang w:val="en-US"/>
        </w:rPr>
      </w:pPr>
    </w:p>
    <w:p w:rsidR="00A969C6" w:rsidRPr="00DA76A7" w:rsidRDefault="00A969C6" w:rsidP="00A969C6">
      <w:pPr>
        <w:jc w:val="center"/>
        <w:rPr>
          <w:rFonts w:ascii="Arial" w:eastAsia="Calibri" w:hAnsi="Arial" w:cs="Arial"/>
          <w:b/>
          <w:color w:val="000000" w:themeColor="text1"/>
          <w:sz w:val="22"/>
          <w:szCs w:val="22"/>
          <w:lang w:val="en-US"/>
        </w:rPr>
      </w:pPr>
      <w:r w:rsidRPr="00DA76A7">
        <w:rPr>
          <w:rFonts w:ascii="Arial" w:eastAsia="Calibri" w:hAnsi="Arial" w:cs="Arial"/>
          <w:b/>
          <w:color w:val="000000" w:themeColor="text1"/>
          <w:sz w:val="22"/>
          <w:szCs w:val="22"/>
          <w:lang w:val="en-US"/>
        </w:rPr>
        <w:t>THE ROLE OF READMISSION IN THE INTERNATIONAL LEGAL REGULATION OF PROCESSES OF ILLEGAL MIGRATION</w:t>
      </w:r>
    </w:p>
    <w:p w:rsidR="00A969C6" w:rsidRPr="00DA76A7" w:rsidRDefault="00A969C6" w:rsidP="00A969C6">
      <w:pPr>
        <w:pStyle w:val="22"/>
        <w:spacing w:after="0" w:line="240" w:lineRule="auto"/>
        <w:rPr>
          <w:rFonts w:ascii="Arial" w:hAnsi="Arial" w:cs="Arial"/>
          <w:b/>
          <w:color w:val="000000" w:themeColor="text1"/>
          <w:sz w:val="22"/>
          <w:szCs w:val="22"/>
          <w:lang w:val="en-US" w:eastAsia="ru-RU" w:bidi="ru-RU"/>
        </w:rPr>
      </w:pPr>
    </w:p>
    <w:p w:rsidR="00A969C6" w:rsidRPr="00DA76A7" w:rsidRDefault="00A969C6" w:rsidP="00A969C6">
      <w:pPr>
        <w:pStyle w:val="22"/>
        <w:spacing w:after="0" w:line="240" w:lineRule="auto"/>
        <w:rPr>
          <w:rFonts w:ascii="Arial" w:hAnsi="Arial" w:cs="Arial"/>
          <w:b/>
          <w:color w:val="000000" w:themeColor="text1"/>
          <w:sz w:val="22"/>
          <w:szCs w:val="22"/>
          <w:lang w:val="en-US" w:eastAsia="ru-RU" w:bidi="ru-RU"/>
        </w:rPr>
      </w:pPr>
      <w:r w:rsidRPr="00DA76A7">
        <w:rPr>
          <w:rFonts w:ascii="Arial" w:hAnsi="Arial" w:cs="Arial"/>
          <w:b/>
          <w:color w:val="000000" w:themeColor="text1"/>
          <w:sz w:val="22"/>
          <w:szCs w:val="22"/>
          <w:lang w:val="en-US" w:eastAsia="ru-RU" w:bidi="ru-RU"/>
        </w:rPr>
        <w:t>Melikova Zukhro Zikirevna</w:t>
      </w:r>
    </w:p>
    <w:p w:rsidR="00A969C6" w:rsidRPr="00DA76A7" w:rsidRDefault="00A969C6" w:rsidP="00A969C6">
      <w:pPr>
        <w:pStyle w:val="22"/>
        <w:spacing w:after="0" w:line="240" w:lineRule="auto"/>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master of 2 nd year of correspondence course of the faculty of law</w:t>
      </w:r>
    </w:p>
    <w:p w:rsidR="00A969C6" w:rsidRPr="00DA76A7" w:rsidRDefault="00A969C6" w:rsidP="00A969C6">
      <w:pPr>
        <w:pStyle w:val="22"/>
        <w:spacing w:after="0" w:line="240" w:lineRule="auto"/>
        <w:rPr>
          <w:rFonts w:ascii="Arial" w:hAnsi="Arial" w:cs="Arial"/>
          <w:color w:val="000000" w:themeColor="text1"/>
          <w:sz w:val="22"/>
          <w:szCs w:val="22"/>
          <w:lang w:val="en-US" w:eastAsia="ru-RU" w:bidi="ru-RU"/>
        </w:rPr>
      </w:pPr>
      <w:r w:rsidRPr="00DA76A7">
        <w:rPr>
          <w:rFonts w:ascii="Arial" w:hAnsi="Arial" w:cs="Arial"/>
          <w:color w:val="000000" w:themeColor="text1"/>
          <w:sz w:val="22"/>
          <w:szCs w:val="22"/>
          <w:lang w:val="en-US" w:eastAsia="ru-RU" w:bidi="ru-RU"/>
        </w:rPr>
        <w:t>Russian-Tajik (Slavonic) university</w:t>
      </w:r>
    </w:p>
    <w:p w:rsidR="00A969C6" w:rsidRPr="00DA76A7" w:rsidRDefault="00A969C6" w:rsidP="00A969C6">
      <w:pPr>
        <w:pStyle w:val="22"/>
        <w:spacing w:after="0" w:line="240" w:lineRule="auto"/>
        <w:rPr>
          <w:rFonts w:ascii="Arial" w:hAnsi="Arial" w:cs="Arial"/>
          <w:color w:val="000000" w:themeColor="text1"/>
          <w:sz w:val="22"/>
          <w:szCs w:val="22"/>
          <w:lang w:val="en-US" w:eastAsia="ru-RU" w:bidi="ru-RU"/>
        </w:rPr>
      </w:pPr>
      <w:r w:rsidRPr="00DA76A7">
        <w:rPr>
          <w:rFonts w:ascii="Arial" w:hAnsi="Arial" w:cs="Arial"/>
          <w:color w:val="000000" w:themeColor="text1"/>
          <w:sz w:val="22"/>
          <w:szCs w:val="22"/>
          <w:lang w:val="en-US" w:eastAsia="ru-RU" w:bidi="ru-RU"/>
        </w:rPr>
        <w:t>734025, Republic of Tajikistan, Dushanbe, M. Tursunzade str., 30</w:t>
      </w:r>
    </w:p>
    <w:p w:rsidR="00A969C6" w:rsidRPr="00DA76A7" w:rsidRDefault="00A969C6" w:rsidP="00A969C6">
      <w:pPr>
        <w:pStyle w:val="22"/>
        <w:shd w:val="clear" w:color="auto" w:fill="auto"/>
        <w:spacing w:after="0" w:line="240" w:lineRule="auto"/>
        <w:rPr>
          <w:rFonts w:ascii="Arial" w:hAnsi="Arial" w:cs="Arial"/>
          <w:color w:val="000000" w:themeColor="text1"/>
          <w:sz w:val="22"/>
          <w:szCs w:val="22"/>
          <w:lang w:val="en-US" w:eastAsia="ru-RU" w:bidi="ru-RU"/>
        </w:rPr>
      </w:pPr>
      <w:r w:rsidRPr="00DA76A7">
        <w:rPr>
          <w:rFonts w:ascii="Arial" w:hAnsi="Arial" w:cs="Arial"/>
          <w:color w:val="000000" w:themeColor="text1"/>
          <w:sz w:val="22"/>
          <w:szCs w:val="22"/>
          <w:lang w:val="en-US" w:eastAsia="ru-RU" w:bidi="ru-RU"/>
        </w:rPr>
        <w:t>e-mail: melikova-zuro@mail.ru</w:t>
      </w:r>
    </w:p>
    <w:p w:rsidR="00A969C6" w:rsidRPr="00DA76A7" w:rsidRDefault="00A969C6" w:rsidP="00A969C6">
      <w:pPr>
        <w:pStyle w:val="22"/>
        <w:shd w:val="clear" w:color="auto" w:fill="auto"/>
        <w:spacing w:after="0" w:line="240" w:lineRule="auto"/>
        <w:ind w:firstLine="567"/>
        <w:jc w:val="both"/>
        <w:rPr>
          <w:rFonts w:ascii="Arial" w:hAnsi="Arial" w:cs="Arial"/>
          <w:color w:val="000000" w:themeColor="text1"/>
          <w:sz w:val="22"/>
          <w:szCs w:val="22"/>
          <w:lang w:val="en-US" w:eastAsia="ru-RU" w:bidi="ru-RU"/>
        </w:rPr>
      </w:pPr>
    </w:p>
    <w:p w:rsidR="00A969C6" w:rsidRPr="00DA76A7" w:rsidRDefault="00A969C6" w:rsidP="00A969C6">
      <w:pPr>
        <w:pStyle w:val="22"/>
        <w:shd w:val="clear" w:color="auto" w:fill="auto"/>
        <w:spacing w:after="0" w:line="240" w:lineRule="auto"/>
        <w:ind w:firstLine="567"/>
        <w:jc w:val="right"/>
        <w:rPr>
          <w:rFonts w:ascii="Arial" w:hAnsi="Arial" w:cs="Arial"/>
          <w:color w:val="000000" w:themeColor="text1"/>
          <w:sz w:val="22"/>
          <w:szCs w:val="22"/>
          <w:lang w:eastAsia="ru-RU" w:bidi="ru-RU"/>
        </w:rPr>
      </w:pPr>
      <w:r w:rsidRPr="00DA76A7">
        <w:rPr>
          <w:rFonts w:ascii="Arial" w:hAnsi="Arial" w:cs="Arial"/>
          <w:color w:val="000000" w:themeColor="text1"/>
          <w:sz w:val="22"/>
          <w:szCs w:val="22"/>
          <w:lang w:eastAsia="ru-RU" w:bidi="ru-RU"/>
        </w:rPr>
        <w:t>Научны</w:t>
      </w:r>
      <w:r w:rsidRPr="00DA76A7">
        <w:rPr>
          <w:rFonts w:ascii="Arial" w:hAnsi="Arial" w:cs="Arial"/>
          <w:color w:val="000000" w:themeColor="text1"/>
          <w:sz w:val="22"/>
          <w:szCs w:val="22"/>
          <w:lang w:eastAsia="ru-RU" w:bidi="ru-RU"/>
        </w:rPr>
        <w:tab/>
        <w:t xml:space="preserve">й руководитель: </w:t>
      </w:r>
      <w:r w:rsidRPr="00DA76A7">
        <w:rPr>
          <w:rFonts w:ascii="Arial" w:hAnsi="Arial" w:cs="Arial"/>
          <w:color w:val="000000" w:themeColor="text1"/>
          <w:sz w:val="22"/>
          <w:szCs w:val="22"/>
        </w:rPr>
        <w:t>к.ю.н., доцент Хошимзода Д.Д.</w:t>
      </w:r>
    </w:p>
    <w:p w:rsidR="00A969C6" w:rsidRPr="00DA76A7" w:rsidRDefault="00A969C6" w:rsidP="00A969C6">
      <w:pPr>
        <w:pStyle w:val="22"/>
        <w:shd w:val="clear" w:color="auto" w:fill="auto"/>
        <w:spacing w:after="0" w:line="240" w:lineRule="auto"/>
        <w:ind w:firstLine="567"/>
        <w:jc w:val="right"/>
        <w:rPr>
          <w:rFonts w:ascii="Arial" w:hAnsi="Arial" w:cs="Arial"/>
          <w:color w:val="000000" w:themeColor="text1"/>
          <w:sz w:val="22"/>
          <w:szCs w:val="22"/>
          <w:lang w:eastAsia="ru-RU" w:bidi="ru-RU"/>
        </w:rPr>
      </w:pPr>
    </w:p>
    <w:p w:rsidR="00A969C6" w:rsidRPr="00DA76A7" w:rsidRDefault="00B46B9E" w:rsidP="00A969C6">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Аннотация.</w:t>
      </w:r>
      <w:r w:rsidR="00A969C6" w:rsidRPr="00DA76A7">
        <w:rPr>
          <w:rFonts w:ascii="Arial" w:eastAsia="Calibri" w:hAnsi="Arial" w:cs="Arial"/>
          <w:i/>
          <w:color w:val="000000" w:themeColor="text1"/>
          <w:sz w:val="22"/>
          <w:szCs w:val="22"/>
        </w:rPr>
        <w:t xml:space="preserve"> в статье рассматривается роль реадмиссии в международно-правовом регулировании процессов незаконной миграции, а также международные нормативные правовые акты, регулирующие миграционные отношения. При этом отмечается, что международных соглашений и концепций недостаточно, если они не подкрепляются внутригосударственной законодательной и правоприменительной практикой. </w:t>
      </w:r>
    </w:p>
    <w:p w:rsidR="00A969C6" w:rsidRPr="00DA76A7" w:rsidRDefault="00081412" w:rsidP="00A969C6">
      <w:pPr>
        <w:ind w:firstLine="567"/>
        <w:jc w:val="both"/>
        <w:rPr>
          <w:rFonts w:ascii="Arial" w:eastAsia="Calibri" w:hAnsi="Arial" w:cs="Arial"/>
          <w:i/>
          <w:color w:val="000000" w:themeColor="text1"/>
          <w:sz w:val="22"/>
          <w:szCs w:val="22"/>
          <w:lang w:val="en-US"/>
        </w:rPr>
      </w:pPr>
      <w:r w:rsidRPr="00DA76A7">
        <w:rPr>
          <w:rFonts w:ascii="Arial" w:eastAsia="Calibri" w:hAnsi="Arial" w:cs="Arial"/>
          <w:b/>
          <w:i/>
          <w:color w:val="000000" w:themeColor="text1"/>
          <w:sz w:val="22"/>
          <w:szCs w:val="22"/>
          <w:lang w:val="en-US"/>
        </w:rPr>
        <w:t>Annotation.</w:t>
      </w:r>
      <w:r w:rsidR="00A969C6" w:rsidRPr="00DA76A7">
        <w:rPr>
          <w:rFonts w:ascii="Arial" w:eastAsia="Calibri" w:hAnsi="Arial" w:cs="Arial"/>
          <w:i/>
          <w:color w:val="000000" w:themeColor="text1"/>
          <w:sz w:val="22"/>
          <w:szCs w:val="22"/>
          <w:lang w:val="en-US"/>
        </w:rPr>
        <w:t xml:space="preserve"> The article examines the role of readmission in international legal regulation of illegal migration processes, as well as international normative legal acts regulating migration relations. It is noted that international agreements and concepts are not enough if they are not backed by domestic legislative and law enforcement practices.</w:t>
      </w:r>
    </w:p>
    <w:p w:rsidR="00A969C6" w:rsidRPr="00DA76A7" w:rsidRDefault="00A969C6" w:rsidP="00A969C6">
      <w:pPr>
        <w:ind w:firstLine="567"/>
        <w:rPr>
          <w:rFonts w:ascii="Arial" w:eastAsia="Calibri"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реадмиссия, незаконная миграция, Европейский Союз.</w:t>
      </w:r>
    </w:p>
    <w:p w:rsidR="00A969C6" w:rsidRPr="00DA76A7" w:rsidRDefault="00A969C6" w:rsidP="00A969C6">
      <w:pPr>
        <w:ind w:firstLine="567"/>
        <w:rPr>
          <w:rFonts w:ascii="Arial" w:eastAsia="Calibri" w:hAnsi="Arial" w:cs="Arial"/>
          <w:i/>
          <w:color w:val="000000" w:themeColor="text1"/>
          <w:sz w:val="22"/>
          <w:szCs w:val="22"/>
          <w:lang w:val="en-US"/>
        </w:rPr>
      </w:pPr>
      <w:r w:rsidRPr="00DA76A7">
        <w:rPr>
          <w:rFonts w:ascii="Arial" w:eastAsia="Calibri" w:hAnsi="Arial" w:cs="Arial"/>
          <w:b/>
          <w:i/>
          <w:color w:val="000000" w:themeColor="text1"/>
          <w:sz w:val="22"/>
          <w:szCs w:val="22"/>
          <w:lang w:val="en-US"/>
        </w:rPr>
        <w:t>Key words</w:t>
      </w:r>
      <w:r w:rsidRPr="00DA76A7">
        <w:rPr>
          <w:rFonts w:ascii="Arial" w:eastAsia="Calibri" w:hAnsi="Arial" w:cs="Arial"/>
          <w:i/>
          <w:color w:val="000000" w:themeColor="text1"/>
          <w:sz w:val="22"/>
          <w:szCs w:val="22"/>
          <w:lang w:val="en-US"/>
        </w:rPr>
        <w:t>: readmission, illegal migration, European Union.</w:t>
      </w:r>
    </w:p>
    <w:p w:rsidR="00A969C6" w:rsidRPr="00DA76A7" w:rsidRDefault="00A969C6" w:rsidP="00A969C6">
      <w:pPr>
        <w:pStyle w:val="22"/>
        <w:shd w:val="clear" w:color="auto" w:fill="auto"/>
        <w:spacing w:after="0" w:line="240" w:lineRule="auto"/>
        <w:ind w:firstLine="567"/>
        <w:jc w:val="both"/>
        <w:rPr>
          <w:rFonts w:ascii="Arial" w:hAnsi="Arial" w:cs="Arial"/>
          <w:color w:val="000000" w:themeColor="text1"/>
          <w:sz w:val="22"/>
          <w:szCs w:val="22"/>
          <w:lang w:val="en-US" w:eastAsia="ru-RU" w:bidi="ru-RU"/>
        </w:rPr>
      </w:pPr>
    </w:p>
    <w:p w:rsidR="00A969C6" w:rsidRPr="00DA76A7" w:rsidRDefault="00A969C6" w:rsidP="00A969C6">
      <w:pPr>
        <w:pStyle w:val="22"/>
        <w:shd w:val="clear" w:color="auto" w:fill="auto"/>
        <w:spacing w:after="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eastAsia="ru-RU" w:bidi="ru-RU"/>
        </w:rPr>
        <w:t>В порядке небольшого отступления следует пояснить, что сущность со</w:t>
      </w:r>
      <w:r w:rsidRPr="00DA76A7">
        <w:rPr>
          <w:rFonts w:ascii="Arial" w:hAnsi="Arial" w:cs="Arial"/>
          <w:color w:val="000000" w:themeColor="text1"/>
          <w:sz w:val="22"/>
          <w:szCs w:val="22"/>
          <w:lang w:eastAsia="ru-RU" w:bidi="ru-RU"/>
        </w:rPr>
        <w:softHyphen/>
        <w:t>глашений о реадмиссии заключается во взаимных обязательствах сторон принимать обратно своих граждан, лиц без гражданства и граждан третьих стран, которые незаконно прибыли на территорию договаривающейся сторо</w:t>
      </w:r>
      <w:r w:rsidRPr="00DA76A7">
        <w:rPr>
          <w:rFonts w:ascii="Arial" w:hAnsi="Arial" w:cs="Arial"/>
          <w:color w:val="000000" w:themeColor="text1"/>
          <w:sz w:val="22"/>
          <w:szCs w:val="22"/>
          <w:lang w:eastAsia="ru-RU" w:bidi="ru-RU"/>
        </w:rPr>
        <w:softHyphen/>
        <w:t>ны с территории другой договаривающейся стороны. В таких соглашениях стороны, как правило, регламентируют процедуру реадмиссии, включая во</w:t>
      </w:r>
      <w:r w:rsidRPr="00DA76A7">
        <w:rPr>
          <w:rFonts w:ascii="Arial" w:hAnsi="Arial" w:cs="Arial"/>
          <w:color w:val="000000" w:themeColor="text1"/>
          <w:sz w:val="22"/>
          <w:szCs w:val="22"/>
          <w:lang w:eastAsia="ru-RU" w:bidi="ru-RU"/>
        </w:rPr>
        <w:softHyphen/>
        <w:t>просы о содержании и сроках запроса (ходатайства), о доказательствах граж</w:t>
      </w:r>
      <w:r w:rsidRPr="00DA76A7">
        <w:rPr>
          <w:rFonts w:ascii="Arial" w:hAnsi="Arial" w:cs="Arial"/>
          <w:color w:val="000000" w:themeColor="text1"/>
          <w:sz w:val="22"/>
          <w:szCs w:val="22"/>
          <w:lang w:eastAsia="ru-RU" w:bidi="ru-RU"/>
        </w:rPr>
        <w:softHyphen/>
        <w:t>данской принадлежности лица, о расходах по транспортировке, о сроках пе</w:t>
      </w:r>
      <w:r w:rsidRPr="00DA76A7">
        <w:rPr>
          <w:rFonts w:ascii="Arial" w:hAnsi="Arial" w:cs="Arial"/>
          <w:color w:val="000000" w:themeColor="text1"/>
          <w:sz w:val="22"/>
          <w:szCs w:val="22"/>
          <w:lang w:eastAsia="ru-RU" w:bidi="ru-RU"/>
        </w:rPr>
        <w:softHyphen/>
        <w:t>редачи и принятия лица и др.</w:t>
      </w:r>
    </w:p>
    <w:p w:rsidR="00A969C6" w:rsidRPr="00DA76A7" w:rsidRDefault="00A969C6" w:rsidP="00A969C6">
      <w:pPr>
        <w:pStyle w:val="22"/>
        <w:shd w:val="clear" w:color="auto" w:fill="auto"/>
        <w:spacing w:after="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eastAsia="ru-RU" w:bidi="ru-RU"/>
        </w:rPr>
        <w:t>Возвращаясь к предложениям, звучавшим во время саммита, прохо</w:t>
      </w:r>
      <w:r w:rsidRPr="00DA76A7">
        <w:rPr>
          <w:rFonts w:ascii="Arial" w:hAnsi="Arial" w:cs="Arial"/>
          <w:color w:val="000000" w:themeColor="text1"/>
          <w:sz w:val="22"/>
          <w:szCs w:val="22"/>
          <w:lang w:eastAsia="ru-RU" w:bidi="ru-RU"/>
        </w:rPr>
        <w:softHyphen/>
        <w:t>дившего в Севилье, следует добавить, что ряд государств - в частности, Ве</w:t>
      </w:r>
      <w:r w:rsidRPr="00DA76A7">
        <w:rPr>
          <w:rFonts w:ascii="Arial" w:hAnsi="Arial" w:cs="Arial"/>
          <w:color w:val="000000" w:themeColor="text1"/>
          <w:sz w:val="22"/>
          <w:szCs w:val="22"/>
          <w:lang w:eastAsia="ru-RU" w:bidi="ru-RU"/>
        </w:rPr>
        <w:softHyphen/>
        <w:t>ликобритания, Германия, Испания и Италия - настаивали на применении экономических санкций в отношении третьих государств, которые не прини</w:t>
      </w:r>
      <w:r w:rsidRPr="00DA76A7">
        <w:rPr>
          <w:rFonts w:ascii="Arial" w:hAnsi="Arial" w:cs="Arial"/>
          <w:color w:val="000000" w:themeColor="text1"/>
          <w:sz w:val="22"/>
          <w:szCs w:val="22"/>
          <w:lang w:eastAsia="ru-RU" w:bidi="ru-RU"/>
        </w:rPr>
        <w:softHyphen/>
        <w:t>мают должных мер по пресечению незаконного выезда своих граждан в страны Европейского Союза. Однако такие государства, как Франция и Шве</w:t>
      </w:r>
      <w:r w:rsidRPr="00DA76A7">
        <w:rPr>
          <w:rFonts w:ascii="Arial" w:hAnsi="Arial" w:cs="Arial"/>
          <w:color w:val="000000" w:themeColor="text1"/>
          <w:sz w:val="22"/>
          <w:szCs w:val="22"/>
          <w:lang w:eastAsia="ru-RU" w:bidi="ru-RU"/>
        </w:rPr>
        <w:softHyphen/>
        <w:t>ция, не поддержали подобной инициативы и высказались в пользу мер, осно</w:t>
      </w:r>
      <w:r w:rsidRPr="00DA76A7">
        <w:rPr>
          <w:rFonts w:ascii="Arial" w:hAnsi="Arial" w:cs="Arial"/>
          <w:color w:val="000000" w:themeColor="text1"/>
          <w:sz w:val="22"/>
          <w:szCs w:val="22"/>
          <w:lang w:eastAsia="ru-RU" w:bidi="ru-RU"/>
        </w:rPr>
        <w:softHyphen/>
        <w:t xml:space="preserve">ванных на конструктивном диалоге и сотрудничестве всех сторон, имеющих отношение к обсуждаемой проблеме. </w:t>
      </w:r>
      <w:r w:rsidRPr="00DA76A7">
        <w:rPr>
          <w:rFonts w:ascii="Arial" w:eastAsia="Calibri" w:hAnsi="Arial" w:cs="Arial"/>
          <w:color w:val="000000" w:themeColor="text1"/>
          <w:sz w:val="22"/>
          <w:szCs w:val="22"/>
        </w:rPr>
        <w:t>[3, 330].</w:t>
      </w:r>
    </w:p>
    <w:p w:rsidR="00A969C6" w:rsidRPr="00DA76A7" w:rsidRDefault="00A969C6" w:rsidP="00A969C6">
      <w:pPr>
        <w:pStyle w:val="190"/>
        <w:shd w:val="clear" w:color="auto" w:fill="auto"/>
        <w:spacing w:before="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eastAsia="ru-RU" w:bidi="ru-RU"/>
        </w:rPr>
        <w:t xml:space="preserve">Реадмиссия (от </w:t>
      </w:r>
      <w:r w:rsidRPr="00DA76A7">
        <w:rPr>
          <w:rStyle w:val="1913pt"/>
          <w:rFonts w:ascii="Arial" w:hAnsi="Arial" w:cs="Arial"/>
          <w:color w:val="000000" w:themeColor="text1"/>
          <w:sz w:val="22"/>
          <w:szCs w:val="22"/>
        </w:rPr>
        <w:t>англ</w:t>
      </w:r>
      <w:r w:rsidRPr="00DA76A7">
        <w:rPr>
          <w:rFonts w:ascii="Arial" w:hAnsi="Arial" w:cs="Arial"/>
          <w:color w:val="000000" w:themeColor="text1"/>
          <w:sz w:val="22"/>
          <w:szCs w:val="22"/>
          <w:lang w:eastAsia="ru-RU" w:bidi="ru-RU"/>
        </w:rPr>
        <w:t xml:space="preserve"> </w:t>
      </w:r>
      <w:r w:rsidRPr="00DA76A7">
        <w:rPr>
          <w:rFonts w:ascii="Arial" w:hAnsi="Arial" w:cs="Arial"/>
          <w:color w:val="000000" w:themeColor="text1"/>
          <w:sz w:val="22"/>
          <w:szCs w:val="22"/>
          <w:lang w:val="en-US" w:bidi="en-US"/>
        </w:rPr>
        <w:t>readmit</w:t>
      </w:r>
      <w:r w:rsidRPr="00DA76A7">
        <w:rPr>
          <w:rFonts w:ascii="Arial" w:hAnsi="Arial" w:cs="Arial"/>
          <w:color w:val="000000" w:themeColor="text1"/>
          <w:sz w:val="22"/>
          <w:szCs w:val="22"/>
          <w:lang w:bidi="en-US"/>
        </w:rPr>
        <w:t xml:space="preserve"> </w:t>
      </w:r>
      <w:r w:rsidRPr="00DA76A7">
        <w:rPr>
          <w:rFonts w:ascii="Arial" w:hAnsi="Arial" w:cs="Arial"/>
          <w:color w:val="000000" w:themeColor="text1"/>
          <w:sz w:val="22"/>
          <w:szCs w:val="22"/>
          <w:lang w:eastAsia="ru-RU" w:bidi="ru-RU"/>
        </w:rPr>
        <w:t>- вновь допустить, принять) Например, Соглашение о реадмиссии было заключено между ЕС и Российской Федерацией 25 мая 2006 года жители государств ЕС, однако, не отказывались от идеи привлечения закон</w:t>
      </w:r>
      <w:r w:rsidRPr="00DA76A7">
        <w:rPr>
          <w:rFonts w:ascii="Arial" w:hAnsi="Arial" w:cs="Arial"/>
          <w:color w:val="000000" w:themeColor="text1"/>
          <w:sz w:val="22"/>
          <w:szCs w:val="22"/>
          <w:lang w:eastAsia="ru-RU" w:bidi="ru-RU"/>
        </w:rPr>
        <w:softHyphen/>
        <w:t>ных иммигрантов в страны Союза. При этом, предлагалось проводить сба</w:t>
      </w:r>
      <w:r w:rsidRPr="00DA76A7">
        <w:rPr>
          <w:rFonts w:ascii="Arial" w:hAnsi="Arial" w:cs="Arial"/>
          <w:color w:val="000000" w:themeColor="text1"/>
          <w:sz w:val="22"/>
          <w:szCs w:val="22"/>
          <w:lang w:eastAsia="ru-RU" w:bidi="ru-RU"/>
        </w:rPr>
        <w:softHyphen/>
        <w:t>лансированную миграционную политику, стимулирующую, с одной стороны, законную миграцию (например, посредством программ интеграции), с другой стороны, предусматривающую решительные действия, направленные на борьбу с незаконной миграцией.</w:t>
      </w:r>
    </w:p>
    <w:p w:rsidR="00A969C6" w:rsidRPr="00DA76A7" w:rsidRDefault="00A969C6" w:rsidP="00A969C6">
      <w:pPr>
        <w:pStyle w:val="22"/>
        <w:shd w:val="clear" w:color="auto" w:fill="auto"/>
        <w:spacing w:after="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eastAsia="ru-RU" w:bidi="ru-RU"/>
        </w:rPr>
        <w:t>Как представляется, саммит, состоявшийся в Севилье, стал определён</w:t>
      </w:r>
      <w:r w:rsidRPr="00DA76A7">
        <w:rPr>
          <w:rFonts w:ascii="Arial" w:hAnsi="Arial" w:cs="Arial"/>
          <w:color w:val="000000" w:themeColor="text1"/>
          <w:sz w:val="22"/>
          <w:szCs w:val="22"/>
          <w:lang w:eastAsia="ru-RU" w:bidi="ru-RU"/>
        </w:rPr>
        <w:softHyphen/>
        <w:t>ной вехой в выработке согласованной миграционной политики стран ЕС. Особую важность он приобретал также в преддверии расширения Европей</w:t>
      </w:r>
      <w:r w:rsidRPr="00DA76A7">
        <w:rPr>
          <w:rFonts w:ascii="Arial" w:hAnsi="Arial" w:cs="Arial"/>
          <w:color w:val="000000" w:themeColor="text1"/>
          <w:sz w:val="22"/>
          <w:szCs w:val="22"/>
          <w:lang w:eastAsia="ru-RU" w:bidi="ru-RU"/>
        </w:rPr>
        <w:softHyphen/>
        <w:t>ского Союза на Восток - значимого политического шага, безусловно требу</w:t>
      </w:r>
      <w:r w:rsidRPr="00DA76A7">
        <w:rPr>
          <w:rFonts w:ascii="Arial" w:hAnsi="Arial" w:cs="Arial"/>
          <w:color w:val="000000" w:themeColor="text1"/>
          <w:sz w:val="22"/>
          <w:szCs w:val="22"/>
          <w:lang w:eastAsia="ru-RU" w:bidi="ru-RU"/>
        </w:rPr>
        <w:softHyphen/>
        <w:t>ющего от ЕС пересмотра миграционной политики. Следует заметить, что в годы, непосредственно предшествующие расширению Европейского Союза, отдельные страны, входящие в его состав, выступили с инициативой оказа</w:t>
      </w:r>
      <w:r w:rsidRPr="00DA76A7">
        <w:rPr>
          <w:rFonts w:ascii="Arial" w:hAnsi="Arial" w:cs="Arial"/>
          <w:color w:val="000000" w:themeColor="text1"/>
          <w:sz w:val="22"/>
          <w:szCs w:val="22"/>
          <w:lang w:eastAsia="ru-RU" w:bidi="ru-RU"/>
        </w:rPr>
        <w:softHyphen/>
        <w:t>ния содействия партнёрству и усилению приграничного сотрудничества между странами Восточной Европы. Например, в 2001 году Шведская ми</w:t>
      </w:r>
      <w:r w:rsidRPr="00DA76A7">
        <w:rPr>
          <w:rFonts w:ascii="Arial" w:hAnsi="Arial" w:cs="Arial"/>
          <w:color w:val="000000" w:themeColor="text1"/>
          <w:sz w:val="22"/>
          <w:szCs w:val="22"/>
          <w:lang w:eastAsia="ru-RU" w:bidi="ru-RU"/>
        </w:rPr>
        <w:softHyphen/>
        <w:t>грационная служба совместно с Управлением Верховного комиссара ООН по делам беженцев предложили начать диалог по проблемам незаконной мигра</w:t>
      </w:r>
      <w:r w:rsidRPr="00DA76A7">
        <w:rPr>
          <w:rFonts w:ascii="Arial" w:hAnsi="Arial" w:cs="Arial"/>
          <w:color w:val="000000" w:themeColor="text1"/>
          <w:sz w:val="22"/>
          <w:szCs w:val="22"/>
          <w:lang w:eastAsia="ru-RU" w:bidi="ru-RU"/>
        </w:rPr>
        <w:softHyphen/>
        <w:t>ции и предоставления убежища среди стран-кандидатов на вступление в Ев</w:t>
      </w:r>
      <w:r w:rsidRPr="00DA76A7">
        <w:rPr>
          <w:rFonts w:ascii="Arial" w:hAnsi="Arial" w:cs="Arial"/>
          <w:color w:val="000000" w:themeColor="text1"/>
          <w:sz w:val="22"/>
          <w:szCs w:val="22"/>
          <w:lang w:eastAsia="ru-RU" w:bidi="ru-RU"/>
        </w:rPr>
        <w:softHyphen/>
        <w:t>ропейский Союз и государств, граничащих с этими странами. Инициатива была названа Седеркопингским процессом в честь г. Седеркопинг (Швеция), где состоялась первая официальная встреча, участниками которой стали вы</w:t>
      </w:r>
      <w:r w:rsidRPr="00DA76A7">
        <w:rPr>
          <w:rFonts w:ascii="Arial" w:hAnsi="Arial" w:cs="Arial"/>
          <w:color w:val="000000" w:themeColor="text1"/>
          <w:sz w:val="22"/>
          <w:szCs w:val="22"/>
          <w:lang w:eastAsia="ru-RU" w:bidi="ru-RU"/>
        </w:rPr>
        <w:softHyphen/>
        <w:t>сокие должностные лица Беларуси, Литвы, Польши и Украины, а также представители Швеции, УВКБ ООН, Европейской комиссии и Междуна</w:t>
      </w:r>
      <w:r w:rsidRPr="00DA76A7">
        <w:rPr>
          <w:rFonts w:ascii="Arial" w:hAnsi="Arial" w:cs="Arial"/>
          <w:color w:val="000000" w:themeColor="text1"/>
          <w:sz w:val="22"/>
          <w:szCs w:val="22"/>
          <w:lang w:eastAsia="ru-RU" w:bidi="ru-RU"/>
        </w:rPr>
        <w:softHyphen/>
        <w:t>родной организации по миграции'. Одной из основных целей Седеркопинг- ского процесса стало осуществление государствами-участниками пригра</w:t>
      </w:r>
      <w:r w:rsidRPr="00DA76A7">
        <w:rPr>
          <w:rFonts w:ascii="Arial" w:hAnsi="Arial" w:cs="Arial"/>
          <w:color w:val="000000" w:themeColor="text1"/>
          <w:sz w:val="22"/>
          <w:szCs w:val="22"/>
          <w:lang w:eastAsia="ru-RU" w:bidi="ru-RU"/>
        </w:rPr>
        <w:softHyphen/>
        <w:t>ничного сотрудничества в вопросах, связанных с предупреждением и пресе</w:t>
      </w:r>
      <w:r w:rsidRPr="00DA76A7">
        <w:rPr>
          <w:rFonts w:ascii="Arial" w:hAnsi="Arial" w:cs="Arial"/>
          <w:color w:val="000000" w:themeColor="text1"/>
          <w:sz w:val="22"/>
          <w:szCs w:val="22"/>
          <w:lang w:eastAsia="ru-RU" w:bidi="ru-RU"/>
        </w:rPr>
        <w:softHyphen/>
        <w:t>чением незаконной миграции, а также с предоставлением убежища.</w:t>
      </w:r>
      <w:r w:rsidRPr="00DA76A7">
        <w:rPr>
          <w:rFonts w:ascii="Arial" w:eastAsia="Calibri" w:hAnsi="Arial" w:cs="Arial"/>
          <w:color w:val="000000" w:themeColor="text1"/>
          <w:sz w:val="22"/>
          <w:szCs w:val="22"/>
        </w:rPr>
        <w:t xml:space="preserve"> [2, 153].</w:t>
      </w:r>
    </w:p>
    <w:p w:rsidR="00A969C6" w:rsidRPr="00DA76A7" w:rsidRDefault="00A969C6" w:rsidP="00A969C6">
      <w:pPr>
        <w:pStyle w:val="22"/>
        <w:shd w:val="clear" w:color="auto" w:fill="auto"/>
        <w:spacing w:after="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eastAsia="ru-RU" w:bidi="ru-RU"/>
        </w:rPr>
        <w:t>Следует отметить, что принципы миграционной политики ЕС, разрабо</w:t>
      </w:r>
      <w:r w:rsidRPr="00DA76A7">
        <w:rPr>
          <w:rFonts w:ascii="Arial" w:hAnsi="Arial" w:cs="Arial"/>
          <w:color w:val="000000" w:themeColor="text1"/>
          <w:sz w:val="22"/>
          <w:szCs w:val="22"/>
          <w:lang w:eastAsia="ru-RU" w:bidi="ru-RU"/>
        </w:rPr>
        <w:softHyphen/>
        <w:t>танные в ходе Севильского саммита, получили дальнейшее развитие в ряде программ Европейского Союза, а также в отдельных документах, подготов</w:t>
      </w:r>
      <w:r w:rsidRPr="00DA76A7">
        <w:rPr>
          <w:rFonts w:ascii="Arial" w:hAnsi="Arial" w:cs="Arial"/>
          <w:color w:val="000000" w:themeColor="text1"/>
          <w:sz w:val="22"/>
          <w:szCs w:val="22"/>
          <w:lang w:eastAsia="ru-RU" w:bidi="ru-RU"/>
        </w:rPr>
        <w:softHyphen/>
        <w:t>ленных Европейской комиссией. Например, в Гаагской программе 2004 г., содержащей основы миграционной политики ЕС (обусловленной идеей со</w:t>
      </w:r>
      <w:r w:rsidRPr="00DA76A7">
        <w:rPr>
          <w:rFonts w:ascii="Arial" w:hAnsi="Arial" w:cs="Arial"/>
          <w:color w:val="000000" w:themeColor="text1"/>
          <w:sz w:val="22"/>
          <w:szCs w:val="22"/>
          <w:lang w:eastAsia="ru-RU" w:bidi="ru-RU"/>
        </w:rPr>
        <w:softHyphen/>
        <w:t>здания пространства свободы, безопасности и правопорядка в Европейском Союзе), вновь говорится о необходимости укрепления партнёрства с третьи</w:t>
      </w:r>
      <w:r w:rsidRPr="00DA76A7">
        <w:rPr>
          <w:rFonts w:ascii="Arial" w:hAnsi="Arial" w:cs="Arial"/>
          <w:color w:val="000000" w:themeColor="text1"/>
          <w:sz w:val="22"/>
          <w:szCs w:val="22"/>
          <w:lang w:eastAsia="ru-RU" w:bidi="ru-RU"/>
        </w:rPr>
        <w:softHyphen/>
        <w:t>ми странами в оказании противодействия незаконной миграции, а также о разработке эффективной политики репатриации незаконных мигрантов.</w:t>
      </w:r>
    </w:p>
    <w:p w:rsidR="00A969C6" w:rsidRPr="00DA76A7" w:rsidRDefault="00A969C6" w:rsidP="00A969C6">
      <w:pPr>
        <w:pStyle w:val="22"/>
        <w:shd w:val="clear" w:color="auto" w:fill="auto"/>
        <w:spacing w:after="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eastAsia="ru-RU" w:bidi="ru-RU"/>
        </w:rPr>
        <w:t>Предложения по оказанию противодействия незаконной миграции так</w:t>
      </w:r>
      <w:r w:rsidRPr="00DA76A7">
        <w:rPr>
          <w:rFonts w:ascii="Arial" w:hAnsi="Arial" w:cs="Arial"/>
          <w:color w:val="000000" w:themeColor="text1"/>
          <w:sz w:val="22"/>
          <w:szCs w:val="22"/>
          <w:lang w:eastAsia="ru-RU" w:bidi="ru-RU"/>
        </w:rPr>
        <w:softHyphen/>
        <w:t>же содержатся в документах Европейской комиссии - в частности, в Сооб</w:t>
      </w:r>
      <w:r w:rsidRPr="00DA76A7">
        <w:rPr>
          <w:rFonts w:ascii="Arial" w:hAnsi="Arial" w:cs="Arial"/>
          <w:color w:val="000000" w:themeColor="text1"/>
          <w:sz w:val="22"/>
          <w:szCs w:val="22"/>
          <w:lang w:eastAsia="ru-RU" w:bidi="ru-RU"/>
        </w:rPr>
        <w:softHyphen/>
        <w:t>щении, подготовленном Комиссией в 2008 году на тему общей иммиграци</w:t>
      </w:r>
      <w:r w:rsidRPr="00DA76A7">
        <w:rPr>
          <w:rFonts w:ascii="Arial" w:hAnsi="Arial" w:cs="Arial"/>
          <w:color w:val="000000" w:themeColor="text1"/>
          <w:sz w:val="22"/>
          <w:szCs w:val="22"/>
          <w:lang w:eastAsia="ru-RU" w:bidi="ru-RU"/>
        </w:rPr>
        <w:softHyphen/>
        <w:t>онной политики Европейского Союза. Так, в документе говорится о необхо</w:t>
      </w:r>
      <w:r w:rsidRPr="00DA76A7">
        <w:rPr>
          <w:rFonts w:ascii="Arial" w:hAnsi="Arial" w:cs="Arial"/>
          <w:color w:val="000000" w:themeColor="text1"/>
          <w:sz w:val="22"/>
          <w:szCs w:val="22"/>
          <w:lang w:eastAsia="ru-RU" w:bidi="ru-RU"/>
        </w:rPr>
        <w:softHyphen/>
        <w:t>димости совместной охраны общей границы с целью обеспечения безопасно</w:t>
      </w:r>
      <w:r w:rsidRPr="00DA76A7">
        <w:rPr>
          <w:rFonts w:ascii="Arial" w:hAnsi="Arial" w:cs="Arial"/>
          <w:color w:val="000000" w:themeColor="text1"/>
          <w:sz w:val="22"/>
          <w:szCs w:val="22"/>
          <w:lang w:eastAsia="ru-RU" w:bidi="ru-RU"/>
        </w:rPr>
        <w:softHyphen/>
        <w:t>сти в пределах Союза, об усилении борьбы с незаконным ввозом мигрантов, а также о проведении эффективной политики возвращения незаконных ми</w:t>
      </w:r>
      <w:r w:rsidRPr="00DA76A7">
        <w:rPr>
          <w:rFonts w:ascii="Arial" w:hAnsi="Arial" w:cs="Arial"/>
          <w:color w:val="000000" w:themeColor="text1"/>
          <w:sz w:val="22"/>
          <w:szCs w:val="22"/>
          <w:lang w:eastAsia="ru-RU" w:bidi="ru-RU"/>
        </w:rPr>
        <w:softHyphen/>
        <w:t>грантов в страны их происхождения.</w:t>
      </w:r>
      <w:r w:rsidRPr="00DA76A7">
        <w:rPr>
          <w:rFonts w:ascii="Arial" w:eastAsia="Calibri" w:hAnsi="Arial" w:cs="Arial"/>
          <w:color w:val="000000" w:themeColor="text1"/>
          <w:sz w:val="22"/>
          <w:szCs w:val="22"/>
        </w:rPr>
        <w:t xml:space="preserve"> [1, 150].</w:t>
      </w:r>
    </w:p>
    <w:p w:rsidR="00A969C6" w:rsidRPr="00DA76A7" w:rsidRDefault="00A969C6" w:rsidP="00A969C6">
      <w:pPr>
        <w:pStyle w:val="22"/>
        <w:shd w:val="clear" w:color="auto" w:fill="auto"/>
        <w:spacing w:after="0" w:line="240" w:lineRule="auto"/>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eastAsia="ru-RU" w:bidi="ru-RU"/>
        </w:rPr>
        <w:t>Таким образом, в Европейском Союзе наблюдается процесс гармониза</w:t>
      </w:r>
      <w:r w:rsidRPr="00DA76A7">
        <w:rPr>
          <w:rFonts w:ascii="Arial" w:hAnsi="Arial" w:cs="Arial"/>
          <w:color w:val="000000" w:themeColor="text1"/>
          <w:sz w:val="22"/>
          <w:szCs w:val="22"/>
          <w:lang w:eastAsia="ru-RU" w:bidi="ru-RU"/>
        </w:rPr>
        <w:softHyphen/>
        <w:t>ции общеевропейской миграционной политики. Однако при этом следует за</w:t>
      </w:r>
      <w:r w:rsidRPr="00DA76A7">
        <w:rPr>
          <w:rFonts w:ascii="Arial" w:hAnsi="Arial" w:cs="Arial"/>
          <w:color w:val="000000" w:themeColor="text1"/>
          <w:sz w:val="22"/>
          <w:szCs w:val="22"/>
          <w:lang w:eastAsia="ru-RU" w:bidi="ru-RU"/>
        </w:rPr>
        <w:softHyphen/>
        <w:t>метить, что сфера регулирования миграционных процессов по-прежнему оста</w:t>
      </w:r>
      <w:r w:rsidRPr="00DA76A7">
        <w:rPr>
          <w:rFonts w:ascii="Arial" w:hAnsi="Arial" w:cs="Arial"/>
          <w:color w:val="000000" w:themeColor="text1"/>
          <w:sz w:val="22"/>
          <w:szCs w:val="22"/>
          <w:lang w:eastAsia="ru-RU" w:bidi="ru-RU"/>
        </w:rPr>
        <w:softHyphen/>
        <w:t>ётся, главным образом, в компетенции государств-членов ЕС. В частности, каждое государство продолжает нести ответственность за контроль над своим участком границы, а также вправе самостоятельно принимать меры по регули</w:t>
      </w:r>
      <w:r w:rsidRPr="00DA76A7">
        <w:rPr>
          <w:rFonts w:ascii="Arial" w:hAnsi="Arial" w:cs="Arial"/>
          <w:color w:val="000000" w:themeColor="text1"/>
          <w:sz w:val="22"/>
          <w:szCs w:val="22"/>
          <w:lang w:eastAsia="ru-RU" w:bidi="ru-RU"/>
        </w:rPr>
        <w:softHyphen/>
        <w:t>рованию миграционных процессов, исходя из особенностей своей социально- экономической и демографической конъюнктуры. Это касается и мер оказания противодействия незаконной иммиграции. Например, такие страны ЕС, как Греция, Испания, Италия и Португалия, долгое время предпочитали практико</w:t>
      </w:r>
      <w:r w:rsidRPr="00DA76A7">
        <w:rPr>
          <w:rFonts w:ascii="Arial" w:hAnsi="Arial" w:cs="Arial"/>
          <w:color w:val="000000" w:themeColor="text1"/>
          <w:sz w:val="22"/>
          <w:szCs w:val="22"/>
          <w:lang w:eastAsia="ru-RU" w:bidi="ru-RU"/>
        </w:rPr>
        <w:softHyphen/>
        <w:t>вать легализацию незаконных иммигрантов. Другие же государства - в част</w:t>
      </w:r>
      <w:r w:rsidRPr="00DA76A7">
        <w:rPr>
          <w:rFonts w:ascii="Arial" w:hAnsi="Arial" w:cs="Arial"/>
          <w:color w:val="000000" w:themeColor="text1"/>
          <w:sz w:val="22"/>
          <w:szCs w:val="22"/>
          <w:lang w:eastAsia="ru-RU" w:bidi="ru-RU"/>
        </w:rPr>
        <w:softHyphen/>
        <w:t>ности, Германия, Франция и Люксембург - в большей степени склонны при</w:t>
      </w:r>
      <w:r w:rsidRPr="00DA76A7">
        <w:rPr>
          <w:rFonts w:ascii="Arial" w:hAnsi="Arial" w:cs="Arial"/>
          <w:color w:val="000000" w:themeColor="text1"/>
          <w:sz w:val="22"/>
          <w:szCs w:val="22"/>
          <w:lang w:eastAsia="ru-RU" w:bidi="ru-RU"/>
        </w:rPr>
        <w:softHyphen/>
        <w:t>менять меры принудительного характера. Например, во французском Кодексе о въезде и пребывании иностранцев и о праве на убежище 2004 г. предусмот</w:t>
      </w:r>
      <w:r w:rsidRPr="00DA76A7">
        <w:rPr>
          <w:rFonts w:ascii="Arial" w:hAnsi="Arial" w:cs="Arial"/>
          <w:color w:val="000000" w:themeColor="text1"/>
          <w:sz w:val="22"/>
          <w:szCs w:val="22"/>
          <w:lang w:eastAsia="ru-RU" w:bidi="ru-RU"/>
        </w:rPr>
        <w:softHyphen/>
        <w:t>рены жёсткие уголовно-правовые и административные санкции в отношении иностранцев, незаконно въехавших на территорию страны или пребывающих в ней сверх разрешённого срока. Согласно Кодексу, к уголовной ответствен</w:t>
      </w:r>
      <w:r w:rsidRPr="00DA76A7">
        <w:rPr>
          <w:rFonts w:ascii="Arial" w:hAnsi="Arial" w:cs="Arial"/>
          <w:color w:val="000000" w:themeColor="text1"/>
          <w:sz w:val="22"/>
          <w:szCs w:val="22"/>
          <w:lang w:eastAsia="ru-RU" w:bidi="ru-RU"/>
        </w:rPr>
        <w:softHyphen/>
        <w:t>ности привлекаются лица, содействующие незаконному въезду или прожива</w:t>
      </w:r>
      <w:r w:rsidRPr="00DA76A7">
        <w:rPr>
          <w:rFonts w:ascii="Arial" w:hAnsi="Arial" w:cs="Arial"/>
          <w:color w:val="000000" w:themeColor="text1"/>
          <w:sz w:val="22"/>
          <w:szCs w:val="22"/>
          <w:lang w:eastAsia="ru-RU" w:bidi="ru-RU"/>
        </w:rPr>
        <w:softHyphen/>
        <w:t>нию иностранцев на территории Франции. Кроме того, к ответственности при</w:t>
      </w:r>
      <w:r w:rsidRPr="00DA76A7">
        <w:rPr>
          <w:rFonts w:ascii="Arial" w:hAnsi="Arial" w:cs="Arial"/>
          <w:color w:val="000000" w:themeColor="text1"/>
          <w:sz w:val="22"/>
          <w:szCs w:val="22"/>
          <w:lang w:eastAsia="ru-RU" w:bidi="ru-RU"/>
        </w:rPr>
        <w:softHyphen/>
        <w:t>влекаются также авиакомпании и другие транспортные перевозчики, которые доставили в страну граждан третьих государств, не обладающих действитель</w:t>
      </w:r>
      <w:r w:rsidRPr="00DA76A7">
        <w:rPr>
          <w:rFonts w:ascii="Arial" w:hAnsi="Arial" w:cs="Arial"/>
          <w:color w:val="000000" w:themeColor="text1"/>
          <w:sz w:val="22"/>
          <w:szCs w:val="22"/>
          <w:lang w:eastAsia="ru-RU" w:bidi="ru-RU"/>
        </w:rPr>
        <w:softHyphen/>
        <w:t>ным документом на поездку и визой.</w:t>
      </w:r>
    </w:p>
    <w:p w:rsidR="000E7DCF" w:rsidRDefault="000E7DCF">
      <w:pPr>
        <w:widowControl/>
        <w:autoSpaceDE/>
        <w:autoSpaceDN/>
        <w:adjustRightInd/>
        <w:spacing w:after="200" w:line="276" w:lineRule="auto"/>
        <w:rPr>
          <w:rFonts w:ascii="Arial" w:eastAsia="Calibri" w:hAnsi="Arial" w:cs="Arial"/>
          <w:b/>
          <w:color w:val="000000" w:themeColor="text1"/>
          <w:sz w:val="22"/>
          <w:szCs w:val="22"/>
        </w:rPr>
      </w:pPr>
      <w:r>
        <w:rPr>
          <w:rFonts w:ascii="Arial" w:eastAsia="Calibri" w:hAnsi="Arial" w:cs="Arial"/>
          <w:b/>
          <w:color w:val="000000" w:themeColor="text1"/>
          <w:sz w:val="22"/>
          <w:szCs w:val="22"/>
        </w:rPr>
        <w:br w:type="page"/>
      </w:r>
    </w:p>
    <w:p w:rsidR="00A969C6" w:rsidRPr="00DA76A7" w:rsidRDefault="00A969C6" w:rsidP="00A969C6">
      <w:pPr>
        <w:ind w:firstLine="567"/>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Список литературы:</w:t>
      </w:r>
    </w:p>
    <w:p w:rsidR="00A969C6" w:rsidRPr="00DA76A7" w:rsidRDefault="00A969C6" w:rsidP="00D45D6B">
      <w:pPr>
        <w:pStyle w:val="a6"/>
        <w:numPr>
          <w:ilvl w:val="0"/>
          <w:numId w:val="21"/>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Правовые основы реадмиссии: учеб. пособие для студентов, обучающихся по специальности «Юриспруденция» / С.А. Герасимов, Л.И. Белянская, С.А. Акимова; под ред. И.Н. Глебова, А.С. Прудникова. М.: ЮНИТИ-ДАНА: Закон и право, 2010. 159 с.</w:t>
      </w:r>
    </w:p>
    <w:p w:rsidR="00A969C6" w:rsidRPr="00DA76A7" w:rsidRDefault="00A969C6" w:rsidP="00D45D6B">
      <w:pPr>
        <w:pStyle w:val="a6"/>
        <w:numPr>
          <w:ilvl w:val="0"/>
          <w:numId w:val="21"/>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Руководство по реадмиссии для экспертов и специалистов-практиков: Опыт избранных стран по вопросам реадмиссии и возвращения (Т.1). – М.: Бюро Международной организации по миграции в г. Москве, 2009. – 151 с.</w:t>
      </w:r>
    </w:p>
    <w:p w:rsidR="00A969C6" w:rsidRPr="00DA76A7" w:rsidRDefault="00A969C6" w:rsidP="00D45D6B">
      <w:pPr>
        <w:pStyle w:val="a6"/>
        <w:numPr>
          <w:ilvl w:val="0"/>
          <w:numId w:val="21"/>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Хабриева Т.Я. Миграционное право России: теория и практика / Т.Я. Хабриева. – М.: Юридическая фирма «КОНТРАКТ», 2008. – 336 с.</w:t>
      </w:r>
    </w:p>
    <w:p w:rsidR="00A969C6" w:rsidRPr="00DA76A7" w:rsidRDefault="00A969C6" w:rsidP="00A969C6">
      <w:pPr>
        <w:tabs>
          <w:tab w:val="left" w:pos="851"/>
          <w:tab w:val="left" w:pos="993"/>
        </w:tabs>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МЕСТО ПРЕДСТАВИТЕЛЬСТВА РЕСПУБЛИКИ ТАДЖИКИСТАН ПРИ МЕЖДУНАРОДНЫХ ОРГАНИЗАЦИЯХ В СИСТЕМЕ ОРГАНОВ ВНЕШНИХ СНОШЕНИЙ</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Назарова Симин Абдуллоевна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аспирант 3-го года обучения 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Таджикский национальный университет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проспект Рудаки 17 </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985-61-91-06, e-mail: </w:t>
      </w:r>
      <w:hyperlink r:id="rId54" w:history="1">
        <w:r w:rsidRPr="00DA76A7">
          <w:rPr>
            <w:rStyle w:val="af0"/>
            <w:rFonts w:ascii="Arial" w:hAnsi="Arial" w:cs="Arial"/>
            <w:color w:val="000000" w:themeColor="text1"/>
            <w:sz w:val="22"/>
            <w:szCs w:val="22"/>
            <w:u w:val="none"/>
            <w:lang w:val="en-US"/>
          </w:rPr>
          <w:t>simin.9292@mail.ru</w:t>
        </w:r>
      </w:hyperlink>
    </w:p>
    <w:p w:rsidR="00A969C6" w:rsidRPr="00DA76A7" w:rsidRDefault="00A969C6" w:rsidP="00A969C6">
      <w:pPr>
        <w:tabs>
          <w:tab w:val="left" w:pos="567"/>
        </w:tabs>
        <w:jc w:val="center"/>
        <w:rPr>
          <w:rFonts w:ascii="Arial" w:hAnsi="Arial" w:cs="Arial"/>
          <w:b/>
          <w:bCs/>
          <w:color w:val="000000" w:themeColor="text1"/>
          <w:sz w:val="22"/>
          <w:szCs w:val="22"/>
          <w:lang w:val="en-US"/>
        </w:rPr>
      </w:pPr>
    </w:p>
    <w:p w:rsidR="00A969C6" w:rsidRPr="00DA76A7" w:rsidRDefault="00A969C6" w:rsidP="00A969C6">
      <w:pPr>
        <w:tabs>
          <w:tab w:val="left" w:pos="567"/>
        </w:tabs>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THE PLACE OF  REPRESENTATIVE OF REPUBLIC OF TAJIKISTAN IN INTERNATIONAL ORGANIZATIONS IN THE SYSTEM OF EXTERNAL RELATIONS AUTHORITY</w:t>
      </w:r>
    </w:p>
    <w:p w:rsidR="00A969C6" w:rsidRPr="00DA76A7" w:rsidRDefault="00A969C6" w:rsidP="00A969C6">
      <w:pPr>
        <w:tabs>
          <w:tab w:val="left" w:pos="567"/>
        </w:tabs>
        <w:jc w:val="center"/>
        <w:rPr>
          <w:rFonts w:ascii="Arial" w:hAnsi="Arial" w:cs="Arial"/>
          <w:b/>
          <w:bCs/>
          <w:color w:val="000000" w:themeColor="text1"/>
          <w:sz w:val="22"/>
          <w:szCs w:val="22"/>
          <w:lang w:val="en-US"/>
        </w:rPr>
      </w:pPr>
    </w:p>
    <w:p w:rsidR="00A969C6" w:rsidRPr="00DA76A7" w:rsidRDefault="00A969C6" w:rsidP="00A969C6">
      <w:pPr>
        <w:tabs>
          <w:tab w:val="left" w:pos="567"/>
        </w:tabs>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Nazarova Simin Abdulloevna</w:t>
      </w:r>
    </w:p>
    <w:p w:rsidR="00A969C6" w:rsidRPr="00DA76A7" w:rsidRDefault="00A969C6" w:rsidP="00A969C6">
      <w:pPr>
        <w:tabs>
          <w:tab w:val="left" w:pos="567"/>
        </w:tabs>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postgraduate 3</w:t>
      </w:r>
      <w:r w:rsidRPr="00DA76A7">
        <w:rPr>
          <w:rFonts w:ascii="Arial" w:hAnsi="Arial" w:cs="Arial"/>
          <w:bCs/>
          <w:color w:val="000000" w:themeColor="text1"/>
          <w:sz w:val="22"/>
          <w:szCs w:val="22"/>
          <w:vertAlign w:val="superscript"/>
          <w:lang w:val="en-US"/>
        </w:rPr>
        <w:t>rd</w:t>
      </w:r>
      <w:r w:rsidRPr="00DA76A7">
        <w:rPr>
          <w:rFonts w:ascii="Arial" w:hAnsi="Arial" w:cs="Arial"/>
          <w:bCs/>
          <w:color w:val="000000" w:themeColor="text1"/>
          <w:sz w:val="22"/>
          <w:szCs w:val="22"/>
          <w:lang w:val="en-US"/>
        </w:rPr>
        <w:t xml:space="preserve"> year student of full-time department of law faculty</w:t>
      </w:r>
    </w:p>
    <w:p w:rsidR="00A969C6" w:rsidRPr="00DA76A7" w:rsidRDefault="00A969C6" w:rsidP="00A969C6">
      <w:pPr>
        <w:tabs>
          <w:tab w:val="left" w:pos="567"/>
        </w:tabs>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Tajik national university</w:t>
      </w:r>
    </w:p>
    <w:p w:rsidR="00A969C6" w:rsidRPr="00DA76A7" w:rsidRDefault="00A969C6" w:rsidP="00A969C6">
      <w:pPr>
        <w:tabs>
          <w:tab w:val="left" w:pos="567"/>
        </w:tabs>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734025, Tajikistan, Dushanbe, Rudaki ave, 17</w:t>
      </w:r>
    </w:p>
    <w:p w:rsidR="00A969C6" w:rsidRPr="00DA76A7" w:rsidRDefault="00A969C6" w:rsidP="00A969C6">
      <w:pPr>
        <w:tabs>
          <w:tab w:val="left" w:pos="567"/>
        </w:tabs>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tel.: 985-619106, e-mail: simin.9292@mail.ru</w:t>
      </w:r>
    </w:p>
    <w:p w:rsidR="00A969C6" w:rsidRPr="00DA76A7" w:rsidRDefault="00A969C6" w:rsidP="00A969C6">
      <w:pPr>
        <w:tabs>
          <w:tab w:val="left" w:pos="567"/>
        </w:tabs>
        <w:ind w:firstLine="567"/>
        <w:rPr>
          <w:rFonts w:ascii="Arial" w:hAnsi="Arial" w:cs="Arial"/>
          <w:b/>
          <w:bCs/>
          <w:color w:val="000000" w:themeColor="text1"/>
          <w:sz w:val="22"/>
          <w:szCs w:val="22"/>
          <w:lang w:val="en-US"/>
        </w:rPr>
      </w:pPr>
    </w:p>
    <w:p w:rsidR="00A969C6" w:rsidRPr="00DA76A7" w:rsidRDefault="00A969C6" w:rsidP="00A969C6">
      <w:pPr>
        <w:tabs>
          <w:tab w:val="left" w:pos="567"/>
        </w:tabs>
        <w:ind w:firstLine="567"/>
        <w:jc w:val="both"/>
        <w:rPr>
          <w:rFonts w:ascii="Arial" w:hAnsi="Arial" w:cs="Arial"/>
          <w:b/>
          <w:bCs/>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i/>
          <w:color w:val="000000" w:themeColor="text1"/>
          <w:sz w:val="22"/>
          <w:szCs w:val="22"/>
        </w:rPr>
        <w:t xml:space="preserve">Статья посвящена вопросу представительства  Республики Таджикистан как органа внешних сношений государства при международной организации и проблеме ее функционирования. </w:t>
      </w:r>
    </w:p>
    <w:p w:rsidR="00A969C6" w:rsidRPr="00DA76A7" w:rsidRDefault="00A969C6" w:rsidP="00A969C6">
      <w:pPr>
        <w:tabs>
          <w:tab w:val="left" w:pos="567"/>
        </w:tabs>
        <w:ind w:firstLine="567"/>
        <w:jc w:val="both"/>
        <w:rPr>
          <w:rFonts w:ascii="Arial" w:hAnsi="Arial" w:cs="Arial"/>
          <w:i/>
          <w:color w:val="000000" w:themeColor="text1"/>
          <w:sz w:val="22"/>
          <w:szCs w:val="22"/>
          <w:lang w:val="en-US"/>
        </w:rPr>
      </w:pPr>
      <w:r w:rsidRPr="00DA76A7">
        <w:rPr>
          <w:rFonts w:ascii="Arial" w:hAnsi="Arial" w:cs="Arial"/>
          <w:b/>
          <w:bCs/>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investigates the issue of the place of representative Republic of Tajikistan as an authority of external relations and the problem of their functions.  </w:t>
      </w:r>
    </w:p>
    <w:p w:rsidR="00A969C6" w:rsidRPr="00DA76A7" w:rsidRDefault="00A969C6" w:rsidP="00A969C6">
      <w:pPr>
        <w:tabs>
          <w:tab w:val="left" w:pos="567"/>
        </w:tabs>
        <w:ind w:firstLine="567"/>
        <w:jc w:val="both"/>
        <w:rPr>
          <w:rFonts w:ascii="Arial" w:hAnsi="Arial" w:cs="Arial"/>
          <w:b/>
          <w:bCs/>
          <w:i/>
          <w:color w:val="000000" w:themeColor="text1"/>
          <w:sz w:val="22"/>
          <w:szCs w:val="22"/>
        </w:rPr>
      </w:pPr>
      <w:r w:rsidRPr="00DA76A7">
        <w:rPr>
          <w:rFonts w:ascii="Arial" w:hAnsi="Arial" w:cs="Arial"/>
          <w:b/>
          <w:bCs/>
          <w:i/>
          <w:color w:val="000000" w:themeColor="text1"/>
          <w:sz w:val="22"/>
          <w:szCs w:val="22"/>
        </w:rPr>
        <w:t>Ключевые слова:</w:t>
      </w:r>
      <w:r w:rsidRPr="00DA76A7">
        <w:rPr>
          <w:rFonts w:ascii="Arial" w:hAnsi="Arial" w:cs="Arial"/>
          <w:i/>
          <w:color w:val="000000" w:themeColor="text1"/>
          <w:sz w:val="22"/>
          <w:szCs w:val="22"/>
        </w:rPr>
        <w:t xml:space="preserve"> орган внешних сношений; постоянное представительство; международная организация; Республика Таджикистан.</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bCs/>
          <w:i/>
          <w:color w:val="000000" w:themeColor="text1"/>
          <w:sz w:val="22"/>
          <w:szCs w:val="22"/>
          <w:lang w:val="en-US"/>
        </w:rPr>
        <w:t xml:space="preserve">Key words: </w:t>
      </w:r>
      <w:r w:rsidRPr="00DA76A7">
        <w:rPr>
          <w:rFonts w:ascii="Arial" w:hAnsi="Arial" w:cs="Arial"/>
          <w:i/>
          <w:color w:val="000000" w:themeColor="text1"/>
          <w:sz w:val="22"/>
          <w:szCs w:val="22"/>
          <w:lang w:val="en-US"/>
        </w:rPr>
        <w:t>authority of external relations; permanent mission; international organization; Republic of Tajikistan.</w:t>
      </w:r>
    </w:p>
    <w:p w:rsidR="00A969C6" w:rsidRPr="00DA76A7" w:rsidRDefault="00A969C6" w:rsidP="00A969C6">
      <w:pPr>
        <w:ind w:firstLine="567"/>
        <w:jc w:val="both"/>
        <w:rPr>
          <w:rFonts w:ascii="Arial" w:hAnsi="Arial" w:cs="Arial"/>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современном мире, в период развития международных отношений роль международных организаций и их сотрудничество с государствами существенна. Сотрудничество государств с международными организациями как форма многосторонней дипломатии, обладает особыми характеристиками. Если в процессе сотрудничества посредством  дипломатических и консульских представительств, которая имеет древнее происхождение, развивается сотрудничество между определенным малым количеством, в основном между двумя государствами, то сотрудничество, посредством постоянных представительств, являясь сравнительно новой формой сотрудничества в международном праве, уже включает в себя сотрудничество многочисленных государств.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Создание ряда международных организаций с широким, зачастую универсальным участием повлекло за собой становление нового института международных отношений – института постоянных представительств и постоянных представителей государств при международных организациях[5,8]. С развитием капиталистических отношений в ХIХ веке возникла острая потребность в учреждении международных структур постоянного действия, которые взяли бы на себя функцию управления сферами многосторонних международных отношений в интересах создавших их государств. Правда, они возникли в процессе длительного «…развития международного общения, в ходе которого формировались объективные общественные потребности в создании специальных органов, призванных регулировать все более усложнившиеся многосторонние отношения между государствами в различных областях, представлявших международный интерес»[6,4]. В итоге появились такие межправительственные союзы как, Международный союз для измерения земли 1864г., Всемирный телеграфный союз 1865г., Всемирный почтовый союз 1874г., Международное бюро мер и весов 1875г., и др.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Первые постоянные дипломатические представительства государств при международной организации появились в период функционирования Лиги Наций, а после второй мировой войны они получили дальнейшее развитие, и нашли правовое закрепление основных положений в различных юридических актах.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настоящее время в мире насчитывается около 7 тысяч международных организаций  центральное место в системе, которой занимает Организация Объединенных Наций, наделенная широким кругом полномочий.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Государство – участник международной организации осуществляет свою деятельность посредством аккредитованной при этой организации дипломатического представительства, возглавляемого постоянным представителем. Функции постоянного представительства определяются Уставом международной организации, специальными соглашениями между государствами – участницами, также законодательными актами аккредитующего государства.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Быстрый рост числа международных организаций привело к необходимости унификации деятельности представительств, регулирования функций постоянных представительств и наблюдателей, определения их правового статуса, иммунитетов и привилегий и других вопросов. В связи с этим 14 марта 1975 года в Вене была подписана «Конвенция о представительстве государств в их отношениях с международными организациями универсального характера». В соответствии с данной Конвенцией постоянным представителям, наблюдателям, членам их персонала предоставляются привилегии и иммунитеты аналогичные дипломатическим представительствам.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Отметим, что Республика Таджикистан как субъект международного права и участник международных отношений, также активно осуществляет свое сотрудничество посредством представительств при международных организаций.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29 января 1992 года Совет Безопасности Организации Объединенных Наций на своем заседании</w:t>
      </w:r>
      <w:r w:rsidRPr="00DA76A7">
        <w:rPr>
          <w:rFonts w:ascii="Arial" w:hAnsi="Arial" w:cs="Arial"/>
          <w:color w:val="000000" w:themeColor="text1"/>
          <w:sz w:val="22"/>
          <w:szCs w:val="22"/>
          <w:lang w:val="en-US"/>
        </w:rPr>
        <w:t> </w:t>
      </w:r>
      <w:r w:rsidRPr="00DA76A7">
        <w:rPr>
          <w:rFonts w:ascii="Arial" w:hAnsi="Arial" w:cs="Arial"/>
          <w:color w:val="000000" w:themeColor="text1"/>
          <w:sz w:val="22"/>
          <w:szCs w:val="22"/>
        </w:rPr>
        <w:t xml:space="preserve"> принял резолюцию о рекомендации принять Республику Таджикистан в члены Организации Объединенных Наций. 2 марта 1992 года на 46-й сессии Генеральной Ассамблеи Организации Объединенных Наций была единогласно принята резолюция 46/224 </w:t>
      </w:r>
      <w:r w:rsidRPr="00DA76A7">
        <w:rPr>
          <w:rFonts w:ascii="Arial" w:hAnsi="Arial" w:cs="Arial"/>
          <w:color w:val="000000" w:themeColor="text1"/>
          <w:sz w:val="22"/>
          <w:szCs w:val="22"/>
          <w:lang w:val="en-US"/>
        </w:rPr>
        <w:t> </w:t>
      </w:r>
      <w:r w:rsidRPr="00DA76A7">
        <w:rPr>
          <w:rFonts w:ascii="Arial" w:hAnsi="Arial" w:cs="Arial"/>
          <w:color w:val="000000" w:themeColor="text1"/>
          <w:sz w:val="22"/>
          <w:szCs w:val="22"/>
        </w:rPr>
        <w:t xml:space="preserve">о приеме Республики Таджикистан в Организацию Объединенных Наций. Вступление страны в Организацию Объединенных Наций заложило фундаментальную базу для развития ее сотрудничества со специализированными организациями, учреждениями и институтами Организации Объединенных Наций. За период своего членства в Организации Республика Таджикистан сумело занять в международном сообществе заметное место. Особое внимание наша республика уделяет развитию сотрудничества с Организацией Объединенных Наций в области экономики, социального развития, экологии, культуры, борьбе с терроризмом, незаконным оборотом наркотических средств и т.д.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Республика Таджикистан осуществляет свое представительство в международных отношениях посредством следующих органов внешних сношений: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Министерство иностранных дел Республики Таджикистан;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заграничные учреждения Республики Таджикистан;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представительства и учреждения, подведомственные Министерству иностранных дел Республики Таджикистан, которые основаны с целью обеспечения деятельности министерства на территории страны[1].</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Термин «заграничные учреждения» охватывает следующие органы: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дипломатические представительства Республики Таджикистан за рубежом;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постоянные представительства Республики Таджикистан при международных организациях;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консульства Республики Таджикистан за рубежом.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действующих нормативно – правовых актах Республики Таджикистан понятие «представительство» или «заграничные учреждения» используются  как обобщающее понятие в отношении различных субъектов, таких как дипломатические и консульские представительства, представительства ООН и других международных организаций.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Министерство иностранных дел и его дипломатическая служба являются основным инструментом внешней политики любого государства[4,16]. Поэтому постоянное представительство Республики Таджикистан является государственным органом внешних сношений, которое входит в систему Министерства иностранных дел Республики Таджикистан.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Правовой основой деятельности постоянных представительств Республики Таджикистан при международных организаций является Положение о Постоянном представительстве Республики Таджикистан при международной организации, утвержденное Указом Президента Республики Таджикистан за № 729 от 30 октября 2009 года. Постоянное представительство входит в систему Министерства иностранных дел Республики Таджикистан, является государственным органом внешних сношений и осуществляет представительство Республики при соответствующей организации. Учреждается представительство по предложению Министерства иностранных дел Республики Таджикистан постановлением Правительства в месте нахождения штаб-квартиры международной организации или ее отделения, если это допускается правилами международной организации. Оно обеспечивает проведение единой политической линии страны и в этих целях осуществляет защиту национальных интересов, реализация внешнеполитического курса Республики Таджикистан в международной организации, обеспечивает участие Республики Таджикистан в деятельности международной организации, анализирует деятельность международной организации, организует сотрудничество с государствами – членами в рамках международной организации, информирует органы исполнительной власти по вопросам деятельности международной организации, ведет переговоры с международной организацией и в ее рамках, участвует в разработке проектов международных договоров и других документов по вопросам, относящимся к деятельности международной организации и др.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что Республика в соответствии с Концепцией внешней политики Республики Таджикистан[2] и Положением о Постоянном представительстве Республики Таджикистан при международной организации[3], приоритетами дипломатической деятельности Таджикистана на этом направлении являются: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защита и укрепление государственного суверенитета Таджикистана и обеспечения его национальной безопасности;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формирование пояса безопасности и добрососедства на границах страны;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развития отношений доверия, дружбы и сотрудничества со всеми странами мира на основе взаимного учета интересов;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формирования благоприятных условий для экономического, социального и культурного  развития, постепенного роста благосостояния народа, обеспечения экономической безопасности страны;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обеспечения энергетической независимости Таджикистана, достижения продовольственной безопасности и выхода страны из коммуникационного тупика;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обеспечения защиты прав и свобод, достоинства и интересов граждан Таджикистана внутри и за пределами страны; укрепления положительного имиджа Таджикистана в мире как демократического, светского и правового государства;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содействия созидательной и законной деятельности обществ таджиков и соотечественников в других странах.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Правовой статус постоянных представительств государств при международных организаций также характеризуется тем, что данные органы внешних сношений пользуются также рядом привилегий и иммунитетов, которые  предоставляются с целью обеспечения благоприятных условий для полноценного выполнения дипломатических функций.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международно-правовом регулировании существуют комплекс норм регламентирующих  правоотношения, связанные с привилегиями и иммунитетами международных организаций и их должностных лиц. В первую очередь, это Конвенция о привилегиях и иммунитетах Организации Объединенных Наций от 13 февраля 1946 года. Республика Таджикистан ратифицировала данную конвенцию, а также Конвенцию о привилегиях и иммунитетах специализированных учреждений Организации Объединенных Наций, утвержденная 21 ноября 1947 года, которая применима ко всем специализированным учреждениям системы Организации Объединенных Наций.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Важнейшим иммунитетом постоянного представительства, как органа внешних сношений государства, является неприкосновенность помещений и персонала представительства.  Так как постоянные представители при международных организациях имеют представительный характер, Венская Конвенция о представительстве государств в их отношениях с международными организациями универсального характера 1975 года приравнивает их привилегии и иммунитеты с дипломатическими представительствами. Неприкосновенность помещений представительства и ее персонала исходит главным образом от суверенитета посылающего государства, и гарантируются им как представителям посылающего государства не для выгод отдельных лиц, а для выгоды государства. </w:t>
      </w:r>
    </w:p>
    <w:p w:rsidR="00A969C6" w:rsidRPr="00DA76A7" w:rsidRDefault="00A969C6" w:rsidP="00A969C6">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Так же как и принцип суверенного равенства, одно государство не может воздействовать на другое государство, так и постоянные представительства во время исполнения своих обязанностей должны быть свободны от всякого контроля и воздействия извне, также их представительный характер должен уважаться. Поэтому постоянные представители и их персонал должны быть свободны от воздействия законодательства государства пребывания или же того или иного отделения международной организации и должны быть наделены иммунитетом и привилегиями обеспечивающие им независимость и свободу исполнения возложенных на них функций и задач.</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Обобщая все сказанное, отметим, что постоянные представительства Республики Таджикистан при международных организациях как органы внешних сношений играют важную роль в осуществлении внешней политики Республики Таджикистан в порядке, предусмотренных как нормами национального законодательства, так и международно-правовыми нормами. </w:t>
      </w:r>
    </w:p>
    <w:p w:rsidR="00A969C6" w:rsidRPr="00DA76A7" w:rsidRDefault="00A969C6" w:rsidP="00A969C6">
      <w:pPr>
        <w:ind w:firstLine="567"/>
        <w:rPr>
          <w:rFonts w:ascii="Arial" w:hAnsi="Arial" w:cs="Arial"/>
          <w:color w:val="000000" w:themeColor="text1"/>
          <w:sz w:val="22"/>
          <w:szCs w:val="22"/>
        </w:rPr>
      </w:pPr>
    </w:p>
    <w:p w:rsidR="00A969C6" w:rsidRPr="00DA76A7" w:rsidRDefault="00A969C6" w:rsidP="00A969C6">
      <w:pPr>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                                                            </w:t>
      </w:r>
      <w:r w:rsidRPr="00DA76A7">
        <w:rPr>
          <w:rFonts w:ascii="Arial" w:hAnsi="Arial" w:cs="Arial"/>
          <w:b/>
          <w:color w:val="000000" w:themeColor="text1"/>
          <w:sz w:val="22"/>
          <w:szCs w:val="22"/>
        </w:rPr>
        <w:t>Список литературы</w:t>
      </w:r>
      <w:r w:rsidRPr="00DA76A7">
        <w:rPr>
          <w:rFonts w:ascii="Arial" w:hAnsi="Arial" w:cs="Arial"/>
          <w:color w:val="000000" w:themeColor="text1"/>
          <w:sz w:val="22"/>
          <w:szCs w:val="22"/>
        </w:rPr>
        <w:t>:</w:t>
      </w:r>
    </w:p>
    <w:p w:rsidR="00A969C6" w:rsidRPr="00DA76A7" w:rsidRDefault="00A969C6" w:rsidP="00D45D6B">
      <w:pPr>
        <w:widowControl/>
        <w:numPr>
          <w:ilvl w:val="0"/>
          <w:numId w:val="22"/>
        </w:numPr>
        <w:tabs>
          <w:tab w:val="clear" w:pos="720"/>
          <w:tab w:val="num"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Закон Республики Таджикистан «О дипломатической службе» от 31 декабря 2014 года.</w:t>
      </w:r>
    </w:p>
    <w:p w:rsidR="00A969C6" w:rsidRPr="00DA76A7" w:rsidRDefault="00A969C6" w:rsidP="00D45D6B">
      <w:pPr>
        <w:widowControl/>
        <w:numPr>
          <w:ilvl w:val="0"/>
          <w:numId w:val="22"/>
        </w:numPr>
        <w:tabs>
          <w:tab w:val="clear" w:pos="720"/>
          <w:tab w:val="num"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Концепция внешней политики Республики Таджикистан, утвержденное Указом  Президента  Республики Таджикистан за № 332 от 27 января 2015 года. </w:t>
      </w:r>
    </w:p>
    <w:p w:rsidR="00A969C6" w:rsidRPr="00DA76A7" w:rsidRDefault="00A969C6" w:rsidP="00D45D6B">
      <w:pPr>
        <w:widowControl/>
        <w:numPr>
          <w:ilvl w:val="0"/>
          <w:numId w:val="22"/>
        </w:numPr>
        <w:tabs>
          <w:tab w:val="clear" w:pos="720"/>
          <w:tab w:val="num"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Положение о постоянном представительстве Республики Таджикистан при международной организации, утвержденное Указом Президента Республики Таджикистан за № 729 от 30 октября 2009 года. </w:t>
      </w:r>
    </w:p>
    <w:p w:rsidR="00A969C6" w:rsidRPr="00DA76A7" w:rsidRDefault="00A969C6" w:rsidP="00D45D6B">
      <w:pPr>
        <w:pStyle w:val="a6"/>
        <w:numPr>
          <w:ilvl w:val="0"/>
          <w:numId w:val="22"/>
        </w:numPr>
        <w:tabs>
          <w:tab w:val="clear" w:pos="720"/>
          <w:tab w:val="num"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Дипломатическая служба арабских государств: перевод с франц. / Фараг Муса; Пер.: Глухов А.И. /под ред. и со вступ. ст.: Блищенко И.П. - М.: Изд-во ИМО, 1962. – 175 с. </w:t>
      </w:r>
    </w:p>
    <w:p w:rsidR="00A969C6" w:rsidRPr="00DA76A7" w:rsidRDefault="00A969C6" w:rsidP="00D45D6B">
      <w:pPr>
        <w:pStyle w:val="a6"/>
        <w:numPr>
          <w:ilvl w:val="0"/>
          <w:numId w:val="22"/>
        </w:numPr>
        <w:tabs>
          <w:tab w:val="clear" w:pos="720"/>
          <w:tab w:val="num"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Зайцева О.Г. Международные межправительственные организации.- М.: Наука, 1983. -  167 с.</w:t>
      </w:r>
    </w:p>
    <w:p w:rsidR="00A969C6" w:rsidRPr="00DA76A7" w:rsidRDefault="00A969C6" w:rsidP="00D45D6B">
      <w:pPr>
        <w:pStyle w:val="af2"/>
        <w:numPr>
          <w:ilvl w:val="0"/>
          <w:numId w:val="22"/>
        </w:numPr>
        <w:tabs>
          <w:tab w:val="clear" w:pos="720"/>
          <w:tab w:val="num"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Кузнецов С.А. Представители государств в международных организациях. - М.: Междунар. отношения, 1980. – 104 с.</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К ВОПРОСУ О МЕЖДУНАРОДНО-ПРАВОВОЙ КВАЛИФИКАЦИИ ВООРУЖЕННОГО КОНФЛИКТА В ТАДЖИКИСТАНЕ </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Некхох Дин Мухаммад</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 Турсунзаде,30</w:t>
      </w:r>
    </w:p>
    <w:p w:rsidR="00A969C6" w:rsidRPr="003A751C"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908555151,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m</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pravo</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p>
    <w:p w:rsidR="00A969C6" w:rsidRPr="003A751C"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ON THE QUESTION OF THE INTERNATIONAL LEGAL QUALIFICATION OF THE ARMED CONFLICT IN TAJIKISTAN</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Nekhokh Dean Muhammad</w:t>
      </w:r>
    </w:p>
    <w:p w:rsidR="00A969C6" w:rsidRPr="00DA76A7" w:rsidRDefault="00A969C6" w:rsidP="00A969C6">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2 nd year of full-time study of the law faculty</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tel.: 908555151, e-mail: m.pravo@mail.ru</w:t>
      </w:r>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jc w:val="right"/>
        <w:rPr>
          <w:rFonts w:ascii="Arial" w:hAnsi="Arial" w:cs="Arial"/>
          <w:color w:val="000000" w:themeColor="text1"/>
          <w:sz w:val="22"/>
          <w:szCs w:val="22"/>
        </w:rPr>
      </w:pPr>
      <w:r w:rsidRPr="00DA76A7">
        <w:rPr>
          <w:rFonts w:ascii="Arial" w:hAnsi="Arial" w:cs="Arial"/>
          <w:b/>
          <w:i/>
          <w:color w:val="000000" w:themeColor="text1"/>
          <w:sz w:val="22"/>
          <w:szCs w:val="22"/>
          <w:lang w:val="en-US"/>
        </w:rPr>
        <w:t xml:space="preserve">                                             </w:t>
      </w:r>
      <w:r w:rsidRPr="00DA76A7">
        <w:rPr>
          <w:rFonts w:ascii="Arial" w:hAnsi="Arial" w:cs="Arial"/>
          <w:color w:val="000000" w:themeColor="text1"/>
          <w:sz w:val="22"/>
          <w:szCs w:val="22"/>
        </w:rPr>
        <w:t>Научный руководитель: д.ю.н., профессор Раджабов С.А.</w:t>
      </w:r>
    </w:p>
    <w:p w:rsidR="00A969C6" w:rsidRPr="00DA76A7" w:rsidRDefault="00A969C6" w:rsidP="00A969C6">
      <w:pPr>
        <w:ind w:firstLine="567"/>
        <w:jc w:val="both"/>
        <w:rPr>
          <w:rFonts w:ascii="Arial" w:hAnsi="Arial" w:cs="Arial"/>
          <w:b/>
          <w:i/>
          <w:color w:val="000000" w:themeColor="text1"/>
          <w:sz w:val="22"/>
          <w:szCs w:val="22"/>
        </w:rPr>
      </w:pPr>
    </w:p>
    <w:p w:rsidR="00A969C6" w:rsidRPr="00DA76A7" w:rsidRDefault="00B46B9E" w:rsidP="00A969C6">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настоящей статье автором рассматривается проблема </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международно-правовой квалификации вооруженного конфликта в Таджикистане</w:t>
      </w:r>
      <w:r w:rsidR="00A969C6" w:rsidRPr="00DA76A7">
        <w:rPr>
          <w:rFonts w:ascii="Arial" w:hAnsi="Arial" w:cs="Arial"/>
          <w:b/>
          <w:i/>
          <w:color w:val="000000" w:themeColor="text1"/>
          <w:sz w:val="22"/>
          <w:szCs w:val="22"/>
        </w:rPr>
        <w:t xml:space="preserve"> </w:t>
      </w:r>
    </w:p>
    <w:p w:rsidR="00A969C6" w:rsidRPr="00DA76A7" w:rsidRDefault="00081412" w:rsidP="00A969C6">
      <w:pPr>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In this article the author examines the problem of international legal qualification of the armed conflict in Tajikistan</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вооруженный конфликт, квалификация, внутренняя напряженность, гражданская война.</w:t>
      </w:r>
    </w:p>
    <w:p w:rsidR="00A969C6" w:rsidRPr="00DA76A7" w:rsidRDefault="00A969C6" w:rsidP="00A969C6">
      <w:pPr>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armed conflict, qualification, internal tension, civil war.</w:t>
      </w:r>
    </w:p>
    <w:p w:rsidR="00A969C6" w:rsidRPr="00DA76A7" w:rsidRDefault="00A969C6" w:rsidP="00A969C6">
      <w:pPr>
        <w:ind w:firstLine="567"/>
        <w:jc w:val="both"/>
        <w:rPr>
          <w:rFonts w:ascii="Arial" w:hAnsi="Arial" w:cs="Arial"/>
          <w:i/>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Ситуация в Таджикистане еще до начала гражданской войны претерпела ряд изменений. Ее можно охарактеризовать как нарушение внутреннего порядка и обстановки внутренней напряженности. Примером могут служить февральские события 1990 года в городе Душанбе. Правовая квалификация данного этапа развития ситуации в республике, на наш взгляд была такова: мы имели дело с внутренними беспорядками и ситуация характеризовалась напряженностью, но еще не шла речь о нарушении норм международного гуманитарного права, т.е. статьи 3, общей всех Женевских конвенций 1949 года и Дополнительного протокола </w:t>
      </w:r>
      <w:r w:rsidRPr="00DA76A7">
        <w:rPr>
          <w:rFonts w:ascii="Arial" w:hAnsi="Arial" w:cs="Arial"/>
          <w:color w:val="000000" w:themeColor="text1"/>
          <w:sz w:val="22"/>
          <w:szCs w:val="22"/>
          <w:lang w:val="en-US"/>
        </w:rPr>
        <w:t>II</w:t>
      </w:r>
      <w:r w:rsidRPr="00DA76A7">
        <w:rPr>
          <w:rFonts w:ascii="Arial" w:hAnsi="Arial" w:cs="Arial"/>
          <w:color w:val="000000" w:themeColor="text1"/>
          <w:sz w:val="22"/>
          <w:szCs w:val="22"/>
        </w:rPr>
        <w:t xml:space="preserve"> 1977 года к ним. Тогда ситуация подпадала под действие национального права (Конституция Республики Таджикистан и Уголовный кодекс Республики Таджикистан), международных и региональных документов по правам человека (Международного билля о правах человека, Заключительного акта Совещания по безопасности и сотрудничеству в Европе и др.).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Ситуация еще больше дестабилизировалась весной 1992 года в результате многодневных митингов и противостояния двух площадей в г. Душанбе – Шахидон и Озоди, что представляло собой проявление противоречий (политических, идеологических, экономических, национально-территориальных, религиозных и др.) таджикского общества после достижения политической независимости [5, 75].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этот раз ситуацию в рамках внутренней напряженности удержать не удалось. Она развилась и переросла в гражданскую войну, что характеризовалось расколом общества на противоборствующие стороны.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Внутреннему вооруженному конфликту на данном этапе были присущи следующие черты: участниками военных действий явились регулярные правительственные силы, проправительственный Народный фронт Таджикистана во главе с Сангаком Сафаровым, с одной стороны и антиправительственные вооруженные отряды Исламской партии возрождения Таджикистана, Демократической партии Таджикистана и группировки Народного движения «Растохез» и общества «ЛаълиБадахшон»,  с другой стороны.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своим объективным и субъективным критериям (непродолжительность и низкая интенсивность боевых действий, не подконтрольность территории и т.д.)  сложившуюся ситуацию можно было охарактеризовать как вооруженный конфликт, не носящий международный характер, что автоматически подпадало под действие общей статьи 3 всех Женевских конвенций 1949 года о защите жертв войны.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новом витке напряженности ситуация в Таджикистане характеризовалась такими качественными параметрами как определенный уровень представительства и организованность вооруженных подразделений Объединенной таджикской оппозиции:</w:t>
      </w:r>
    </w:p>
    <w:p w:rsidR="00A969C6" w:rsidRPr="00DA76A7" w:rsidRDefault="00A969C6" w:rsidP="00D45D6B">
      <w:pPr>
        <w:widowControl/>
        <w:numPr>
          <w:ilvl w:val="0"/>
          <w:numId w:val="23"/>
        </w:numPr>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наличие сформированного оппозиционного правительства со штаб-квартирой в г. Талукане (Исламское Государство Афганистан), наличие вертикального подчинения лидеру ОТО СайидуАбдуллоНури подразделений полевых командиров (МирзоЗияева, МирзохуджаНизомова и др.); </w:t>
      </w:r>
    </w:p>
    <w:p w:rsidR="00A969C6" w:rsidRPr="00DA76A7" w:rsidRDefault="00A969C6" w:rsidP="00D45D6B">
      <w:pPr>
        <w:widowControl/>
        <w:numPr>
          <w:ilvl w:val="0"/>
          <w:numId w:val="23"/>
        </w:numPr>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издание приказов и инструкций, выпуск периодических изданий (газет и журналов); - контроль над частью территории государства (Каратегинская долина, Тавильдаринский район).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 стороны Правительства Республики Таджикистан было объявлено чрезвычайное положение, мобилизованы силы безопасности и внутренних дел для борьбы с оппозицией.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данном этапе порог интенсивности боевых действий был достаточно высок, так как ситуация характеризовалась всеми критериями, изложенными в части 1 статьи 1 Дополнительного протокола </w:t>
      </w:r>
      <w:r w:rsidRPr="00DA76A7">
        <w:rPr>
          <w:rFonts w:ascii="Arial" w:hAnsi="Arial" w:cs="Arial"/>
          <w:color w:val="000000" w:themeColor="text1"/>
          <w:sz w:val="22"/>
          <w:szCs w:val="22"/>
          <w:lang w:val="en-US"/>
        </w:rPr>
        <w:t>II</w:t>
      </w:r>
      <w:r w:rsidRPr="00DA76A7">
        <w:rPr>
          <w:rFonts w:ascii="Arial" w:hAnsi="Arial" w:cs="Arial"/>
          <w:color w:val="000000" w:themeColor="text1"/>
          <w:sz w:val="22"/>
          <w:szCs w:val="22"/>
        </w:rPr>
        <w:t xml:space="preserve"> к Женевским конвенциям 1949 года, а именно: это был конфликт между  правительственными и антиправительственными силами;  силы оппозиции, находясь под ответственным командованием, осуществляли над частью территории государства такой контроль, который позволял им осуществлять непрерывные и согласованные военные действия и применять Дополнительный протокол </w:t>
      </w:r>
      <w:r w:rsidRPr="00DA76A7">
        <w:rPr>
          <w:rFonts w:ascii="Arial" w:hAnsi="Arial" w:cs="Arial"/>
          <w:color w:val="000000" w:themeColor="text1"/>
          <w:sz w:val="22"/>
          <w:szCs w:val="22"/>
          <w:lang w:val="en-US"/>
        </w:rPr>
        <w:t>II</w:t>
      </w:r>
      <w:r w:rsidRPr="00DA76A7">
        <w:rPr>
          <w:rFonts w:ascii="Arial" w:hAnsi="Arial" w:cs="Arial"/>
          <w:color w:val="000000" w:themeColor="text1"/>
          <w:sz w:val="22"/>
          <w:szCs w:val="22"/>
        </w:rPr>
        <w:t>.</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заключение следует отметить, что вооруженный конфликт немеждународного характера в Таджикистане прошел в своем развитии три стадии:</w:t>
      </w:r>
    </w:p>
    <w:p w:rsidR="00A969C6" w:rsidRPr="00DA76A7" w:rsidRDefault="00A969C6" w:rsidP="00D45D6B">
      <w:pPr>
        <w:widowControl/>
        <w:numPr>
          <w:ilvl w:val="0"/>
          <w:numId w:val="24"/>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стадия внутренней напряженности и беспорядков на начальном этапе, когда применяются нормы национального законодательства и международного права прав человека;</w:t>
      </w:r>
    </w:p>
    <w:p w:rsidR="00A969C6" w:rsidRPr="00DA76A7" w:rsidRDefault="00A969C6" w:rsidP="00D45D6B">
      <w:pPr>
        <w:widowControl/>
        <w:numPr>
          <w:ilvl w:val="0"/>
          <w:numId w:val="24"/>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стадия конфликта с низким порогом интенсивности, когда применима общая статья 3 всех Женевских конвенций 1949 года.</w:t>
      </w:r>
    </w:p>
    <w:p w:rsidR="00A969C6" w:rsidRPr="00DA76A7" w:rsidRDefault="00A969C6" w:rsidP="00D45D6B">
      <w:pPr>
        <w:widowControl/>
        <w:numPr>
          <w:ilvl w:val="0"/>
          <w:numId w:val="24"/>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стадия, когда конфликт дошел до самого верхнего порога насилия, когда применимы нормы Дополнительного протокола </w:t>
      </w:r>
      <w:r w:rsidRPr="00DA76A7">
        <w:rPr>
          <w:rFonts w:ascii="Arial" w:hAnsi="Arial" w:cs="Arial"/>
          <w:color w:val="000000" w:themeColor="text1"/>
          <w:sz w:val="22"/>
          <w:szCs w:val="22"/>
          <w:lang w:val="en-US"/>
        </w:rPr>
        <w:t>II</w:t>
      </w:r>
      <w:r w:rsidRPr="00DA76A7">
        <w:rPr>
          <w:rFonts w:ascii="Arial" w:hAnsi="Arial" w:cs="Arial"/>
          <w:color w:val="000000" w:themeColor="text1"/>
          <w:sz w:val="22"/>
          <w:szCs w:val="22"/>
        </w:rPr>
        <w:t>.</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27 июня 1997 года Президентом Республики Таджикистан и руководителем Объединенной Таджикской Оппозиции(ОТО) под эгидой ООН был подписан документ, который известен как «Общее соглашение об установлении мира и национального согласия в Таджикистане» и объединяет пакет из 9 документов (протоколов и соглашений). Этот комплексный документ содержал правовой механизм для разрешения вооруженного конфликта в Республике Таджикистан.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что Правительство Республики Таджикистан приняло меры по выполнению своих международных обязательств, вытекающих из Женевских конвенций 1949 года и Дополнительных протоколов к ним 1977 года. Так, пункт 5 статьи 6 Дополнительного протокола </w:t>
      </w:r>
      <w:r w:rsidRPr="00DA76A7">
        <w:rPr>
          <w:rFonts w:ascii="Arial" w:hAnsi="Arial" w:cs="Arial"/>
          <w:color w:val="000000" w:themeColor="text1"/>
          <w:sz w:val="22"/>
          <w:szCs w:val="22"/>
          <w:lang w:val="en-US"/>
        </w:rPr>
        <w:t>II</w:t>
      </w:r>
      <w:r w:rsidRPr="00DA76A7">
        <w:rPr>
          <w:rFonts w:ascii="Arial" w:hAnsi="Arial" w:cs="Arial"/>
          <w:color w:val="000000" w:themeColor="text1"/>
          <w:sz w:val="22"/>
          <w:szCs w:val="22"/>
        </w:rPr>
        <w:t xml:space="preserve">  от 8 июня 1977 года гласит: «По прекращении военных действий органы,  находящиеся у власти, стремятся предоставить как можно более широкую амнистию лицам, участвовавшим в вооруженном конфликте, и лицам, лишенным свободы по причинам, связанным с вооруженным конфликтом, независимо от того, были ли они интернированы или задержаны» [1, 324].</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полном соответствии с этой правовой нормой и в целях ее реализации Правительство Республики Таджикистан и Комиссия по национальному примирению приняли два важных правовых акта: «Акт о взаимопрощении» и «Закон об амнистии участников политического и военного противостояния в Республике Таджикистан». Кроме того, Правительством Республики Таджикистан было принято «Положение о Комиссии по национальному примирению», которое предусматривало создание четырех подкомиссий, в том числе по правовым вопросам.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функциональные обязанности подкомиссии входило решение следующих вопросов:</w:t>
      </w:r>
    </w:p>
    <w:p w:rsidR="00A969C6" w:rsidRPr="00DA76A7" w:rsidRDefault="00A969C6" w:rsidP="00D45D6B">
      <w:pPr>
        <w:widowControl/>
        <w:numPr>
          <w:ilvl w:val="0"/>
          <w:numId w:val="25"/>
        </w:numPr>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восстановление беженцев и вынужденных переселенцев во всех правах, которыми обладают граждане Республики Таджикистан, включая возвращение им жилья и имущества, сохранение непрерывного стажа работы, а также не привлечение возвращающихся беженцев и  вынужденных переселенцев  к уголовной ответственности за участие в политическом противостоянии и гражданской войне в соответствии с действующим законодательством Республики Таджикистан;</w:t>
      </w:r>
    </w:p>
    <w:p w:rsidR="00A969C6" w:rsidRPr="00DA76A7" w:rsidRDefault="00A969C6" w:rsidP="00D45D6B">
      <w:pPr>
        <w:widowControl/>
        <w:numPr>
          <w:ilvl w:val="0"/>
          <w:numId w:val="25"/>
        </w:numPr>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осуществление амнистии лиц, участвовавших в гражданском конфликте и политическом противостоянии;</w:t>
      </w:r>
    </w:p>
    <w:p w:rsidR="00A969C6" w:rsidRPr="00DA76A7" w:rsidRDefault="00A969C6" w:rsidP="00D45D6B">
      <w:pPr>
        <w:widowControl/>
        <w:numPr>
          <w:ilvl w:val="0"/>
          <w:numId w:val="25"/>
        </w:numPr>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контроль за осуществлением полного обмена военнопленными, заключенными и освобождением насильно удерживаемых лиц;</w:t>
      </w:r>
    </w:p>
    <w:p w:rsidR="00A969C6" w:rsidRPr="00DA76A7" w:rsidRDefault="00A969C6" w:rsidP="00D45D6B">
      <w:pPr>
        <w:widowControl/>
        <w:numPr>
          <w:ilvl w:val="0"/>
          <w:numId w:val="25"/>
        </w:numPr>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снятие запретов и ограничений на деятельность политических партий и движений, входящих в ОТО, а также их СМИ, которые будут функционировать в рамках Конституции и действующих законов Республики Таджикистан [2, 36].</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Женевские конвенции 1949 года также устанавливали для государств-участников конкретное обязательство «ввести в действие законодательство, необходимое для обеспечения эффективных уголовных наказаний для лиц, совершивших или приказавших совершить те или иные серьезные нарушения».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 исполнение этих обязательств Республикой Таджикистан был разработан и принят новый Уголовный кодекс, который предусматривает наказание за наиболее серьезные нарушения норм  Женевских конвенций 1949 года и Дополнительных протоколов к ним 1977 года, которые считаются военными преступлениями [3, 92]. Новый Уголовный кодекс Республики Таджикистан был введен в действие с 1 сентября 1998 года.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анализ правового аспекта достижения мира и согласия в Республике Таджикистан показывает, что для успешного разрешения вооруженного конфликта нормы международных гуманитарных конвенций были успешно имплементированы во внутригосударственное право. Все это способствовало разрешению разногласий и противоречий, которые возникали в ходе переговорного процесса в рамках законности, соблюдая букву и дух достигнутых договоренностей,  в духе соблюдения прав человека  во время вооруженных конфликтов.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 во всех стадиях развития конфликта хочется особо отметить вклад международных организаций (ООН, ОБСЕ, ОИК), стран Контактной группы (Афганистан, Иран, Казахстан, Кыргызстан, Пакистан, Туркменистан, Россия и Узбекистан) и такой международной гуманитарной организации как МККК,  которые работали с таджикскими противоборствующими сторонами  в правовой сфере разрешения вооруженного конфликта наряду с политическими, и гуманитарными аспектами и содействовали установлению мира и согласия на таджикской земле.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ab/>
        <w:t>Уроки внутритаджикского вооруженного конфликта подтверждают, что достигнутый уровень прогрессивного развития норм международного гуманитарного права,  применяемых во время вооруженных конфликтов, как нам представляется, создает определенную основу для теоретического осмысления современного состояния и дальнейшей разработки всего комплекса гуманитарных проблем, порождаемых указанными конфликтами. И, конечно,  обстановка в мире не остается застывшей на уровне 1949 или 1977 года. В целях гуманизации вооруженных конфликтов необходима дальнейшая кодификация и развитие норм и принципов международного гуманитарного права, применяемых как в международных конфликтах, так и в вооруженных конфликтах немеждународного характера.</w:t>
      </w: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f2"/>
        <w:numPr>
          <w:ilvl w:val="0"/>
          <w:numId w:val="26"/>
        </w:numPr>
        <w:ind w:left="0"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Женевские конвенции от 12 августа 1949 года и Дополнительные протоколы к ним. – М.: МККК, 1997. – 634 с.</w:t>
      </w:r>
    </w:p>
    <w:p w:rsidR="00A969C6" w:rsidRPr="00DA76A7" w:rsidRDefault="00A969C6" w:rsidP="00D45D6B">
      <w:pPr>
        <w:pStyle w:val="af2"/>
        <w:numPr>
          <w:ilvl w:val="0"/>
          <w:numId w:val="26"/>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Общее соглашение об установлении мира и национального согласия в Таджикистане. – Душанбе: МНООНТ, 1997. – 132 с.</w:t>
      </w:r>
    </w:p>
    <w:p w:rsidR="00A969C6" w:rsidRPr="00DA76A7" w:rsidRDefault="00A969C6" w:rsidP="00D45D6B">
      <w:pPr>
        <w:pStyle w:val="af2"/>
        <w:numPr>
          <w:ilvl w:val="0"/>
          <w:numId w:val="26"/>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Раджабов С.А. Военные преступления как наиболее серьезные нарушения норм МГП. – Душанбе: РТСУ, 2001. – 92 с.</w:t>
      </w:r>
    </w:p>
    <w:p w:rsidR="00A969C6" w:rsidRPr="00DA76A7" w:rsidRDefault="00A969C6" w:rsidP="00D45D6B">
      <w:pPr>
        <w:pStyle w:val="a6"/>
        <w:numPr>
          <w:ilvl w:val="0"/>
          <w:numId w:val="26"/>
        </w:numPr>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Хайдаров Г, Имонов И. Таджикистан: трагедия и боль народа. Санкт-Петербург: Акционерное общество ЛИНКО, 1993. – 231 с.</w:t>
      </w:r>
    </w:p>
    <w:p w:rsidR="00A969C6" w:rsidRDefault="00A969C6" w:rsidP="00A969C6">
      <w:pPr>
        <w:ind w:firstLine="567"/>
        <w:rPr>
          <w:rFonts w:ascii="Arial" w:hAnsi="Arial" w:cs="Arial"/>
          <w:color w:val="000000" w:themeColor="text1"/>
          <w:sz w:val="22"/>
          <w:szCs w:val="22"/>
        </w:rPr>
      </w:pPr>
    </w:p>
    <w:p w:rsidR="00C76687" w:rsidRDefault="00C76687" w:rsidP="00A969C6">
      <w:pPr>
        <w:ind w:firstLine="567"/>
        <w:rPr>
          <w:rFonts w:ascii="Arial" w:hAnsi="Arial" w:cs="Arial"/>
          <w:color w:val="000000" w:themeColor="text1"/>
          <w:sz w:val="22"/>
          <w:szCs w:val="22"/>
        </w:rPr>
      </w:pPr>
    </w:p>
    <w:p w:rsidR="00C76687" w:rsidRDefault="00C76687" w:rsidP="00A969C6">
      <w:pPr>
        <w:ind w:firstLine="567"/>
        <w:rPr>
          <w:rFonts w:ascii="Arial" w:hAnsi="Arial" w:cs="Arial"/>
          <w:color w:val="000000" w:themeColor="text1"/>
          <w:sz w:val="22"/>
          <w:szCs w:val="22"/>
        </w:rPr>
      </w:pPr>
    </w:p>
    <w:p w:rsidR="00C76687" w:rsidRDefault="00C76687" w:rsidP="00A969C6">
      <w:pPr>
        <w:ind w:firstLine="567"/>
        <w:rPr>
          <w:rFonts w:ascii="Arial" w:hAnsi="Arial" w:cs="Arial"/>
          <w:color w:val="000000" w:themeColor="text1"/>
          <w:sz w:val="22"/>
          <w:szCs w:val="22"/>
        </w:rPr>
      </w:pPr>
    </w:p>
    <w:p w:rsidR="00C76687" w:rsidRDefault="00C76687" w:rsidP="00A969C6">
      <w:pPr>
        <w:ind w:firstLine="567"/>
        <w:rPr>
          <w:rFonts w:ascii="Arial" w:hAnsi="Arial" w:cs="Arial"/>
          <w:color w:val="000000" w:themeColor="text1"/>
          <w:sz w:val="22"/>
          <w:szCs w:val="22"/>
        </w:rPr>
      </w:pPr>
    </w:p>
    <w:p w:rsidR="00C76687" w:rsidRDefault="00C76687" w:rsidP="00A969C6">
      <w:pPr>
        <w:ind w:firstLine="567"/>
        <w:rPr>
          <w:rFonts w:ascii="Arial" w:hAnsi="Arial" w:cs="Arial"/>
          <w:color w:val="000000" w:themeColor="text1"/>
          <w:sz w:val="22"/>
          <w:szCs w:val="22"/>
        </w:rPr>
      </w:pPr>
    </w:p>
    <w:p w:rsidR="00C76687" w:rsidRPr="00DA76A7" w:rsidRDefault="00C76687" w:rsidP="00A969C6">
      <w:pPr>
        <w:ind w:firstLine="567"/>
        <w:rPr>
          <w:rFonts w:ascii="Arial" w:hAnsi="Arial" w:cs="Arial"/>
          <w:color w:val="000000" w:themeColor="text1"/>
          <w:sz w:val="22"/>
          <w:szCs w:val="22"/>
        </w:rPr>
      </w:pPr>
    </w:p>
    <w:p w:rsidR="00A969C6" w:rsidRPr="00DA76A7" w:rsidRDefault="00A969C6" w:rsidP="00A969C6">
      <w:pPr>
        <w:ind w:firstLine="567"/>
        <w:contextualSpacing/>
        <w:jc w:val="center"/>
        <w:rPr>
          <w:rFonts w:ascii="Arial" w:hAnsi="Arial" w:cs="Arial"/>
          <w:b/>
          <w:color w:val="000000" w:themeColor="text1"/>
          <w:sz w:val="22"/>
          <w:szCs w:val="22"/>
        </w:rPr>
      </w:pPr>
    </w:p>
    <w:p w:rsidR="006F7B90" w:rsidRPr="00DA76A7" w:rsidRDefault="006F7B90" w:rsidP="006F7B90">
      <w:pPr>
        <w:pStyle w:val="a6"/>
        <w:spacing w:after="0" w:line="240" w:lineRule="auto"/>
        <w:ind w:left="0"/>
        <w:jc w:val="center"/>
        <w:rPr>
          <w:rFonts w:ascii="Arial" w:hAnsi="Arial" w:cs="Arial"/>
          <w:b/>
          <w:color w:val="000000" w:themeColor="text1"/>
        </w:rPr>
      </w:pPr>
      <w:r w:rsidRPr="00DA76A7">
        <w:rPr>
          <w:rFonts w:ascii="Arial" w:hAnsi="Arial" w:cs="Arial"/>
          <w:b/>
          <w:color w:val="000000" w:themeColor="text1"/>
        </w:rPr>
        <w:t xml:space="preserve">ПРИНЦИПЫ ДЕЯТЕЛЬНОСТИ МЕЖДУНАРОДНОГО УГОЛОВНОГО СУДА </w:t>
      </w:r>
    </w:p>
    <w:p w:rsidR="006F7B90" w:rsidRPr="00DA76A7" w:rsidRDefault="006F7B90" w:rsidP="006F7B90">
      <w:pPr>
        <w:pStyle w:val="a6"/>
        <w:spacing w:after="0" w:line="240" w:lineRule="auto"/>
        <w:ind w:left="0"/>
        <w:jc w:val="center"/>
        <w:rPr>
          <w:rFonts w:ascii="Arial" w:hAnsi="Arial" w:cs="Arial"/>
          <w:color w:val="000000" w:themeColor="text1"/>
        </w:rPr>
      </w:pPr>
    </w:p>
    <w:p w:rsidR="006F7B90" w:rsidRPr="00DA76A7" w:rsidRDefault="006F7B90" w:rsidP="006F7B90">
      <w:pPr>
        <w:pStyle w:val="a6"/>
        <w:spacing w:after="0" w:line="240" w:lineRule="auto"/>
        <w:ind w:left="0"/>
        <w:jc w:val="center"/>
        <w:rPr>
          <w:rFonts w:ascii="Arial" w:hAnsi="Arial" w:cs="Arial"/>
          <w:b/>
          <w:color w:val="000000" w:themeColor="text1"/>
        </w:rPr>
      </w:pPr>
      <w:r w:rsidRPr="00DA76A7">
        <w:rPr>
          <w:rFonts w:ascii="Arial" w:hAnsi="Arial" w:cs="Arial"/>
          <w:b/>
          <w:color w:val="000000" w:themeColor="text1"/>
        </w:rPr>
        <w:t>Одинаев Саади Ниёзович</w:t>
      </w:r>
    </w:p>
    <w:p w:rsidR="006F7B90" w:rsidRPr="00DA76A7" w:rsidRDefault="006F7B90" w:rsidP="006F7B90">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6F7B90" w:rsidRPr="00DA76A7" w:rsidRDefault="006F7B90" w:rsidP="006F7B90">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6F7B90" w:rsidRPr="00DA76A7" w:rsidRDefault="006F7B90" w:rsidP="006F7B90">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6F7B90" w:rsidRPr="003A751C" w:rsidRDefault="006F7B90" w:rsidP="006F7B90">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900402424,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saadi</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odinaev</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yandex</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p>
    <w:p w:rsidR="006F7B90" w:rsidRPr="00DA76A7" w:rsidRDefault="006F7B90" w:rsidP="006F7B90">
      <w:pPr>
        <w:jc w:val="center"/>
        <w:rPr>
          <w:rFonts w:ascii="Arial" w:hAnsi="Arial" w:cs="Arial"/>
          <w:b/>
          <w:color w:val="000000" w:themeColor="text1"/>
          <w:sz w:val="22"/>
          <w:szCs w:val="22"/>
          <w:shd w:val="clear" w:color="auto" w:fill="FFFFFF"/>
          <w:lang w:val="en-US"/>
        </w:rPr>
      </w:pPr>
      <w:r w:rsidRPr="005F43EE">
        <w:rPr>
          <w:rFonts w:ascii="Arial" w:hAnsi="Arial" w:cs="Arial"/>
          <w:color w:val="000000" w:themeColor="text1"/>
          <w:sz w:val="22"/>
          <w:szCs w:val="22"/>
          <w:lang w:val="en-US"/>
        </w:rPr>
        <w:br/>
      </w:r>
      <w:r w:rsidRPr="00DA76A7">
        <w:rPr>
          <w:rFonts w:ascii="Arial" w:hAnsi="Arial" w:cs="Arial"/>
          <w:b/>
          <w:color w:val="000000" w:themeColor="text1"/>
          <w:sz w:val="22"/>
          <w:szCs w:val="22"/>
          <w:shd w:val="clear" w:color="auto" w:fill="FFFFFF"/>
          <w:lang w:val="en-US"/>
        </w:rPr>
        <w:t>PRINCIPLES OF ACTIVITIES OF THE INTERNATIONAL CRIMINAL COURT</w:t>
      </w:r>
    </w:p>
    <w:p w:rsidR="006F7B90" w:rsidRPr="005D1C4B" w:rsidRDefault="006F7B90"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p>
    <w:p w:rsidR="006F7B90" w:rsidRPr="00DA76A7" w:rsidRDefault="006F7B90"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Odinayev Saadi Niyozovich</w:t>
      </w:r>
    </w:p>
    <w:p w:rsidR="006F7B90" w:rsidRPr="00DA76A7" w:rsidRDefault="006F7B90" w:rsidP="006F7B90">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Master of 2 nd year of full-time department of the Faculty of Law</w:t>
      </w:r>
    </w:p>
    <w:p w:rsidR="006F7B90" w:rsidRPr="00DA76A7" w:rsidRDefault="006F7B90" w:rsidP="006F7B90">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 Russian-Tajik (Slavonic) University </w:t>
      </w:r>
    </w:p>
    <w:p w:rsidR="006F7B90" w:rsidRPr="00DA76A7" w:rsidRDefault="006F7B90" w:rsidP="006F7B90">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734025, Republic of Tajikistan, Dushanbe, st. M. Tursunz</w:t>
      </w:r>
      <w:r w:rsidRPr="00DA76A7">
        <w:rPr>
          <w:rFonts w:ascii="Arial" w:hAnsi="Arial" w:cs="Arial"/>
          <w:color w:val="000000" w:themeColor="text1"/>
          <w:sz w:val="22"/>
          <w:szCs w:val="22"/>
          <w:shd w:val="clear" w:color="auto" w:fill="FFFFFF"/>
        </w:rPr>
        <w:t>а</w:t>
      </w:r>
      <w:r w:rsidRPr="00DA76A7">
        <w:rPr>
          <w:rFonts w:ascii="Arial" w:hAnsi="Arial" w:cs="Arial"/>
          <w:color w:val="000000" w:themeColor="text1"/>
          <w:sz w:val="22"/>
          <w:szCs w:val="22"/>
          <w:shd w:val="clear" w:color="auto" w:fill="FFFFFF"/>
          <w:lang w:val="en-US"/>
        </w:rPr>
        <w:t xml:space="preserve">dе, 30 </w:t>
      </w:r>
    </w:p>
    <w:p w:rsidR="006F7B90" w:rsidRPr="00DA76A7" w:rsidRDefault="006F7B90" w:rsidP="006F7B90">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tel.: 900402424</w:t>
      </w:r>
      <w:r w:rsidRPr="00DA76A7">
        <w:rPr>
          <w:rFonts w:ascii="Arial" w:hAnsi="Arial" w:cs="Arial"/>
          <w:color w:val="000000" w:themeColor="text1"/>
          <w:sz w:val="22"/>
          <w:szCs w:val="22"/>
          <w:lang w:val="en-US"/>
        </w:rPr>
        <w:t>, e-mail: saadi.odinaev@yandex.ru</w:t>
      </w:r>
    </w:p>
    <w:p w:rsidR="006F7B90" w:rsidRPr="00DA76A7" w:rsidRDefault="006F7B90" w:rsidP="006F7B90">
      <w:pPr>
        <w:ind w:firstLine="567"/>
        <w:jc w:val="center"/>
        <w:rPr>
          <w:rFonts w:ascii="Arial" w:hAnsi="Arial" w:cs="Arial"/>
          <w:color w:val="000000" w:themeColor="text1"/>
          <w:sz w:val="22"/>
          <w:szCs w:val="22"/>
          <w:lang w:val="en-US"/>
        </w:rPr>
      </w:pPr>
    </w:p>
    <w:p w:rsidR="006F7B90" w:rsidRPr="00DA76A7" w:rsidRDefault="006F7B90" w:rsidP="006F7B90">
      <w:pPr>
        <w:tabs>
          <w:tab w:val="center" w:pos="4677"/>
          <w:tab w:val="right" w:pos="9355"/>
        </w:tabs>
        <w:jc w:val="right"/>
        <w:rPr>
          <w:rFonts w:ascii="Arial" w:eastAsiaTheme="minorEastAsia"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Назиров Б.Т.</w:t>
      </w:r>
    </w:p>
    <w:p w:rsidR="006F7B90" w:rsidRPr="00DA76A7" w:rsidRDefault="006F7B90" w:rsidP="006F7B90">
      <w:pPr>
        <w:ind w:firstLine="567"/>
        <w:jc w:val="center"/>
        <w:rPr>
          <w:rFonts w:ascii="Arial" w:hAnsi="Arial" w:cs="Arial"/>
          <w:color w:val="000000" w:themeColor="text1"/>
          <w:sz w:val="22"/>
          <w:szCs w:val="22"/>
        </w:rPr>
      </w:pPr>
    </w:p>
    <w:p w:rsidR="006F7B90" w:rsidRPr="00DA76A7" w:rsidRDefault="006F7B90" w:rsidP="006F7B90">
      <w:pPr>
        <w:ind w:firstLine="567"/>
        <w:jc w:val="both"/>
        <w:textAlignment w:val="top"/>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рассматриваются основные принципы работы Международного уголовного суда, действующего на основании Римского статута 1998 г. Кроме того, подвергаются анализу особенности юрисдикции Международного уголовного суда и соответствующие правила процедуры.</w:t>
      </w:r>
    </w:p>
    <w:p w:rsidR="006F7B90" w:rsidRPr="00DA76A7" w:rsidRDefault="006F7B90"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examines the basic principles of the work of the International Criminal Court, acting on the basis of the Rome Statute of 1998. In addition, the specific features of the jurisdiction of the International Criminal Court and the relevant rules of procedure are analyzed.</w:t>
      </w:r>
    </w:p>
    <w:p w:rsidR="006F7B90" w:rsidRPr="00DA76A7" w:rsidRDefault="006F7B90" w:rsidP="006F7B90">
      <w:pPr>
        <w:ind w:firstLine="567"/>
        <w:jc w:val="both"/>
        <w:textAlignment w:val="top"/>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Международный уголовный суд, Римский статут, юрисдикция, международное уголовное правосудие.</w:t>
      </w:r>
    </w:p>
    <w:p w:rsidR="006F7B90" w:rsidRPr="00DA76A7" w:rsidRDefault="006F7B90" w:rsidP="006F7B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International Criminal Court, Rome Statute, jurisdiction, international criminal justice.</w:t>
      </w:r>
    </w:p>
    <w:p w:rsidR="006F7B90" w:rsidRPr="00DA76A7" w:rsidRDefault="006F7B90" w:rsidP="006F7B90">
      <w:pPr>
        <w:ind w:firstLine="567"/>
        <w:jc w:val="both"/>
        <w:textAlignment w:val="top"/>
        <w:rPr>
          <w:rFonts w:ascii="Arial" w:hAnsi="Arial" w:cs="Arial"/>
          <w:b/>
          <w:color w:val="000000" w:themeColor="text1"/>
          <w:sz w:val="22"/>
          <w:szCs w:val="22"/>
          <w:lang w:val="en-US"/>
        </w:rPr>
      </w:pP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уголовный суд, юрисдикция которого определяется Римским статутом, является первым постоянным международным судом, созданным на многосторонней договорной основе для содействия прекращению безнаказанности за наиболее тяжкие преступления, совершенные в 21-ом веке.</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После Нюрнбергского и Токийского трибуналов, Генеральная Ассамблея ООН впервые признала важность создания постоянного международного суда для рассмотрения наиболее тяжких преступлений. </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XX в. были приняты определения понятия геноцид, преступлений против человечности, а также военных преступлений. Нюрнбергский и Токийский военные трибуналы рассматривали военные преступления, преступления против мира и преступления против человечности, совершенные в ходе Второй мировой войны.</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июле 1998 г. в Риме 120 государств - членов ООН приняли Римский статут, который учредил постоянный судебный орган - Международный уголовный суд. Римский статут вступил в силу 1 июля 2002 г., после того, как его ратифицировали 60 государств.</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Международный уголовный суд (далее Суд) – первое постоянное судебное учреждение, в компетенцию которого входит преследование лиц, ответственных за такие преступления как геноцид, военные преступления и преступления против человечности. Таким образом, Суд уполномочен осуществлять юрисдикцию в отношении физических лиц, ответственных за самые тяжкие преступления, которые вызывают озабоченность у всего мира.</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его компетенцию входят те преступления, которые совершены уже после вступления Римского статута в силу. Расходы Суда покрываются в основном за счет взносов государств-участников, добровольных взносов правительств, международных организаций, физических лиц, корпораций и других образований (ст. 116, 117 Римского статута).</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Страны становятся участниками Суда, а преступления, совершенные их гражданами или на их территории - подсудными ему после ратификации Римского статута. К июлю 2012 г. Римский статут ратифицировали 121 государство. По состоянию на 1 июля 2012 г. 33 государства - участника Суда относятся к африканским государствам, 18 - к азиатским, 18 - из Восточной Европы, 27 - из Латинской Америки и Карибского бассейна и 25 - из Западной Европы и других государств. </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Римский Статут, как учредительное международное соглашение, состоит из преамбулы, 13 глав и 128 статей. В преамбуле Статута провозглашается один из основополагающих принципов организации данного Суда - принцип дополнительной юрисдикции: «Международный уголовный суд, учрежденный на основании настоящего Статута, дополняет национальные органы уголовной юстиции». Суд призван дополнить национальные судебные учреждения в том случае, если они отсутствуют или не могут эффективно выполнить свои задача и функции в отношении вышеуказанных преступлений. Исходя из этого, ни о каком приоритете юрисдикции Суда по отношению к юрисдикции национальных судебных учреждений и тем более об исключительной юрисдикции Суда речи не идет. В отличие от созданных трибуналов по бывшей Югославии и по Руанде, компетенция государства имеет приоритет над компетенцией международного суда.</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Статутом предусматривается создание трех палат в рамках Суда, которые соответствуют порядку «движения» дела:</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1. Палата предварительного производства, которая занимается обеспечением расследования дела; дает санкцию прокурору на расследование дела по собственной инициативе, выдает ордер на арест и приказ о явке в суд, принимает решение об утверждении обвинений лицу и др. После утверждения обвинений дело переходит в Судебную палату.</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2. Судебная палата на заседании Суда рассматривает дело по сути и принимает решение. В соответствии со Статутом решение не должно выходить за рамки фактов и обстоятельств, которые изложены в обвинении. Помимо этого, установлена обязанность Суда обосновывать свое решение исключительно на доказательствах, представленных ему и рассмотренных им в ходе разбирательства. В случае установления вины лица, обвиняемого в совершении преступления, Суд принимает решение о назначении наказания.  Судебная палата может провести дополнительное судебное слушание для определения меры наказания.</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3. Римским статутом предусмотрено создание Апелляционной палаты, что является нехарактерным для международных судов. Стороны процесса могут обжаловать в Апелляционной палате как решения Судебной палаты, так и Палаты предварительного производства. Апелляционная палата при рассмотрении дела обладает теми же полномочиями, что и Судебная палата, однако ее решения являются окончательными и обжалованию не подлежат[3,125].</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Статут содержит в себе действующие международные стандарты и принципы уголовного преследования. Например, никто не будет подвергаться уголовному преследованию или наказанию со стороны Суда в связи с деянием, которое не являлось преступлением или не предусматривало такого наказания в момент его совершения (ст. 22, 23). Кроме того, никто не будет подвергаться уголовному преследованию со стороны Суда за деяние, составляющее основу состава преступления, в отношении которого данное лицо уже было признано виновным или оправдано Судом или другим судом, при условии, что разбирательство в другом суде не имело целью оградить это лицо от уголовной ответственности, что оно было независимым и беспристрастным в соответствии с нормами должного судопроизводства, признанными международным правом, и что оно проводилось таким образом, что не было несовместимым с целью предать это лицо правосудию (ст. 20). Статья 26 также предусматривает, что уголовному преследованию не будут подвергаться лица, не достигшие 18-летнего возраста на момент предполагаемого совершения преступления[1,184]. Статут предусматривает индивидуальную уголовную ответственность, включая ответственность для пособников в совершении преступления или лиц, каким-либо иным образом содействующих его совершению или покушению на него (ст. 25). Однако, согласно ст. 25.1, Суд обладает юрисдикцией только в отношении физических лиц. Следовательно, его юрисдикция не распространяется на корпорации per se (как это может происходить в национальном законодательстве, когда право причисляет корпорации к юридическим лицам). В результате корпорации не могут обвиняться или подвергаться преследованию Судом[2,127,]. Статут признает определенные основания для освобождения от уголовной ответственности, такие, как самооборона, психическое расстройство и ошибка в факте (ст. 31, 32). Следует, однако, отметить, что лицо не может выдвигать в качестве основания для освобождения от ответственности то обстоятельство, что оно действовало по приказу правительства или начальника, если это лицо не было юридически обязано исполнять приказы данного правительства или начальника.</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В Статуте гарантируется право на справедливое судопроизводство. Например, обвиняемый должен присутствовать на процессе (ст. 63); обвиняемый имеет право считаться невиновным до тех пор, пока его вина не будет доказана в Суде в соответствии с применимым законом (ст. 66.1); бремя доказывания вины обвиняемого лежит на Прокуроре, который должен убедить Суд в виновности обвиняемого, не подлежащей сомнению на разумных основаниях (ст. 66.2, 66.3). </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компетенцию Суда входят только преступления, которые были совершены либо на территории государства-участника, либо гражданином государства-участника (государство, на территории которого имело место данное деяние или, если преступление было совершено на борту морского или воздушного судна, государство регистрации этого морского или воздушного судна; государство, гражданином которого является лицо, обвиняемое в совершении преступления). Если не соблюдается ни личный, ни территориальный принцип, Суд не может действовать. Это положение гарантирует право государств решать, подвергать или нет своих граждан или свою территорию юрисдикции Суда.</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Однако, у этого принципа есть два исключения: во-первых, Совет Безопасности ООН может, посредством резолюции, принятой согласно гл. VII Устава ООН, передать в Суд ситуацию, затрагивающую преступления, которые совершены ни на территории государства-участника, ни гражданами государства-участника. Совет Безопасности воспользовался этим правом, когда передал в Суд ситуацию в Дарфуре. Во-вторых, в соответствии с п. 3 ст. 12 Статута, государство, не являющееся участником Статута, может посредством заявления, представленного секретарю суда, признать осуществление Судом юрисдикции в отношении конкретного преступления.</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Необходимо подчеркнуть, что Суд действует только в случае, если государство, на территории которого совершено преступление или гражданином которого является преступник, не желает или фактически не может осуществить расследование и выдвинуть обвинение.</w:t>
      </w:r>
    </w:p>
    <w:p w:rsidR="006F7B90" w:rsidRPr="00DA76A7" w:rsidRDefault="006F7B90" w:rsidP="006F7B90">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Резюмируя, нужно отметить, что в Римском статуте реализовалась концепция суда с дополнительной (или параллельной) юрисдикцией. Страны имеют свободу выбора между Судом и выдачей другому государству или преданием национальному суду. Эффективность подобного механизма может быть различной, и, очевидно, она будет невысокой в случае причастности государства к совершению преступления. Однако, таким образом идее создания постоянного международного уголовного суда дан исторический шанс. Несмотря на некоторые проблемы в организации Суда, сам факт его создания является знаковым и необходимым для развития международного права. Считаем, что в процессе совершенствования его деятельности концепция суда будет изменятся, полномочия Суда расширится, повысится его эффективность. </w:t>
      </w:r>
    </w:p>
    <w:p w:rsidR="006F7B90" w:rsidRPr="00DA76A7" w:rsidRDefault="006F7B90" w:rsidP="006F7B90">
      <w:pPr>
        <w:ind w:firstLine="567"/>
        <w:jc w:val="center"/>
        <w:textAlignment w:val="top"/>
        <w:rPr>
          <w:rFonts w:ascii="Arial" w:hAnsi="Arial" w:cs="Arial"/>
          <w:b/>
          <w:color w:val="000000" w:themeColor="text1"/>
          <w:sz w:val="22"/>
          <w:szCs w:val="22"/>
        </w:rPr>
      </w:pPr>
      <w:r w:rsidRPr="00DA76A7">
        <w:rPr>
          <w:rFonts w:ascii="Arial" w:hAnsi="Arial" w:cs="Arial"/>
          <w:color w:val="000000" w:themeColor="text1"/>
          <w:sz w:val="22"/>
          <w:szCs w:val="22"/>
        </w:rPr>
        <w:br/>
      </w:r>
      <w:r w:rsidRPr="00DA76A7">
        <w:rPr>
          <w:rFonts w:ascii="Arial" w:hAnsi="Arial" w:cs="Arial"/>
          <w:b/>
          <w:color w:val="000000" w:themeColor="text1"/>
          <w:sz w:val="22"/>
          <w:szCs w:val="22"/>
        </w:rPr>
        <w:t>Список литературы:</w:t>
      </w:r>
    </w:p>
    <w:p w:rsidR="006F7B90" w:rsidRPr="00DA76A7" w:rsidRDefault="006F7B90" w:rsidP="006F7B90">
      <w:pPr>
        <w:pStyle w:val="a6"/>
        <w:numPr>
          <w:ilvl w:val="0"/>
          <w:numId w:val="2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Бирюков П.Н. Международное право: Учеб. пособие. М., 2000. С. 316.</w:t>
      </w:r>
    </w:p>
    <w:p w:rsidR="006F7B90" w:rsidRPr="00DA76A7" w:rsidRDefault="006F7B90" w:rsidP="006F7B90">
      <w:pPr>
        <w:pStyle w:val="a6"/>
        <w:numPr>
          <w:ilvl w:val="0"/>
          <w:numId w:val="2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Колесников А.В. Что такое Международный уголовный суд // Власть. 2008. № 28.С.-124-133. </w:t>
      </w:r>
    </w:p>
    <w:p w:rsidR="006F7B90" w:rsidRPr="00DA76A7" w:rsidRDefault="006F7B90" w:rsidP="006F7B90">
      <w:pPr>
        <w:pStyle w:val="a6"/>
        <w:numPr>
          <w:ilvl w:val="0"/>
          <w:numId w:val="2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Коротков И. Международный уголовный суд — современный этап деятельности // Режим доступа: </w:t>
      </w:r>
      <w:hyperlink r:id="rId55" w:history="1">
        <w:r w:rsidRPr="00DA76A7">
          <w:rPr>
            <w:rStyle w:val="af0"/>
            <w:rFonts w:ascii="Arial" w:hAnsi="Arial" w:cs="Arial"/>
            <w:color w:val="000000" w:themeColor="text1"/>
            <w:u w:val="none"/>
          </w:rPr>
          <w:t>URL://http://www.yuгpгactika.com/aг-ticle.php?id=0000643</w:t>
        </w:r>
      </w:hyperlink>
      <w:r w:rsidRPr="00DA76A7">
        <w:rPr>
          <w:rFonts w:ascii="Arial" w:hAnsi="Arial" w:cs="Arial"/>
          <w:color w:val="000000" w:themeColor="text1"/>
        </w:rPr>
        <w:t xml:space="preserve"> [дата обращения: 25.03.2018г.].</w:t>
      </w:r>
    </w:p>
    <w:p w:rsidR="006F7B90" w:rsidRPr="00DA76A7" w:rsidRDefault="006F7B90" w:rsidP="00A969C6">
      <w:pPr>
        <w:ind w:firstLine="567"/>
        <w:contextualSpacing/>
        <w:jc w:val="center"/>
        <w:rPr>
          <w:rFonts w:ascii="Arial" w:hAnsi="Arial" w:cs="Arial"/>
          <w:b/>
          <w:color w:val="000000" w:themeColor="text1"/>
          <w:sz w:val="22"/>
          <w:szCs w:val="22"/>
        </w:rPr>
      </w:pPr>
    </w:p>
    <w:p w:rsidR="00A969C6" w:rsidRPr="00DA76A7" w:rsidRDefault="00A969C6" w:rsidP="00A969C6">
      <w:pPr>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СРАВНИТЕЛЬНЫЙ АНАЛИЗ РИМСКОГО СТАТУТА МЕЖДУНАРОДНОГО УГОЛОВНОГО СУДА И НАЦИОНАЛЬНЫХ ЗАКОНОДАТЕЛЬСТВ ГОСУДАРСТВ СНГ</w:t>
      </w:r>
    </w:p>
    <w:p w:rsidR="00A969C6" w:rsidRPr="00DA76A7" w:rsidRDefault="00A969C6" w:rsidP="00A969C6">
      <w:pPr>
        <w:contextualSpacing/>
        <w:jc w:val="both"/>
        <w:rPr>
          <w:rFonts w:ascii="Arial" w:hAnsi="Arial" w:cs="Arial"/>
          <w:color w:val="000000" w:themeColor="text1"/>
          <w:sz w:val="22"/>
          <w:szCs w:val="22"/>
        </w:rPr>
      </w:pPr>
    </w:p>
    <w:p w:rsidR="00A969C6" w:rsidRPr="00DA76A7" w:rsidRDefault="00A969C6" w:rsidP="00A969C6">
      <w:pPr>
        <w:pStyle w:val="a6"/>
        <w:spacing w:after="0" w:line="240" w:lineRule="auto"/>
        <w:ind w:left="0"/>
        <w:jc w:val="center"/>
        <w:rPr>
          <w:rFonts w:ascii="Arial" w:hAnsi="Arial" w:cs="Arial"/>
          <w:b/>
          <w:color w:val="000000" w:themeColor="text1"/>
        </w:rPr>
      </w:pPr>
      <w:r w:rsidRPr="00DA76A7">
        <w:rPr>
          <w:rFonts w:ascii="Arial" w:hAnsi="Arial" w:cs="Arial"/>
          <w:b/>
          <w:color w:val="000000" w:themeColor="text1"/>
        </w:rPr>
        <w:t>Одинаев Саади Ниёзович</w:t>
      </w:r>
    </w:p>
    <w:p w:rsidR="00A969C6" w:rsidRPr="00DA76A7" w:rsidRDefault="00A969C6" w:rsidP="00A969C6">
      <w:pPr>
        <w:tabs>
          <w:tab w:val="center" w:pos="4677"/>
          <w:tab w:val="right" w:pos="9355"/>
        </w:tabs>
        <w:jc w:val="center"/>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магистрант 2-го года обучения очного отделения юридического факультета</w:t>
      </w:r>
    </w:p>
    <w:p w:rsidR="00A969C6" w:rsidRPr="00DA76A7" w:rsidRDefault="00A969C6" w:rsidP="00A969C6">
      <w:pPr>
        <w:tabs>
          <w:tab w:val="center" w:pos="4677"/>
          <w:tab w:val="right" w:pos="9355"/>
        </w:tabs>
        <w:jc w:val="center"/>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734025, Республика Таджикистан, г. Душанбе, ул. М. Турсунзаде, 30 </w:t>
      </w:r>
    </w:p>
    <w:p w:rsidR="00A969C6" w:rsidRPr="003A751C"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3A751C">
        <w:rPr>
          <w:rFonts w:ascii="Arial" w:hAnsi="Arial" w:cs="Arial"/>
          <w:color w:val="000000" w:themeColor="text1"/>
          <w:sz w:val="22"/>
          <w:szCs w:val="22"/>
          <w:lang w:val="en-US"/>
        </w:rPr>
        <w:t xml:space="preserve">.: 900402424, </w:t>
      </w:r>
      <w:r w:rsidRPr="00DA76A7">
        <w:rPr>
          <w:rFonts w:ascii="Arial" w:hAnsi="Arial" w:cs="Arial"/>
          <w:color w:val="000000" w:themeColor="text1"/>
          <w:sz w:val="22"/>
          <w:szCs w:val="22"/>
          <w:lang w:val="en-US"/>
        </w:rPr>
        <w:t>e</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3A751C">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saadi</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odinaev</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yandex</w:t>
      </w:r>
      <w:r w:rsidRPr="003A751C">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p>
    <w:p w:rsidR="00A969C6" w:rsidRPr="00DA76A7" w:rsidRDefault="00A969C6" w:rsidP="00A969C6">
      <w:pPr>
        <w:tabs>
          <w:tab w:val="center" w:pos="4677"/>
          <w:tab w:val="right" w:pos="9355"/>
        </w:tabs>
        <w:jc w:val="center"/>
        <w:rPr>
          <w:rFonts w:ascii="Arial" w:hAnsi="Arial" w:cs="Arial"/>
          <w:b/>
          <w:color w:val="000000" w:themeColor="text1"/>
          <w:sz w:val="22"/>
          <w:szCs w:val="22"/>
          <w:shd w:val="clear" w:color="auto" w:fill="FFFFFF"/>
          <w:lang w:val="en-US"/>
        </w:rPr>
      </w:pPr>
      <w:r w:rsidRPr="005F43EE">
        <w:rPr>
          <w:rFonts w:ascii="Arial" w:hAnsi="Arial" w:cs="Arial"/>
          <w:b/>
          <w:color w:val="000000" w:themeColor="text1"/>
          <w:sz w:val="22"/>
          <w:szCs w:val="22"/>
          <w:lang w:val="en-US"/>
        </w:rPr>
        <w:br/>
      </w:r>
      <w:r w:rsidRPr="00DA76A7">
        <w:rPr>
          <w:rFonts w:ascii="Arial" w:hAnsi="Arial" w:cs="Arial"/>
          <w:b/>
          <w:color w:val="000000" w:themeColor="text1"/>
          <w:sz w:val="22"/>
          <w:szCs w:val="22"/>
          <w:shd w:val="clear" w:color="auto" w:fill="FFFFFF"/>
          <w:lang w:val="en-US"/>
        </w:rPr>
        <w:t>COMPARATIVE ANALYSIS OF THE ROMAN STATUTE OF THE INTERNATIONAL CRIMINAL COURT AND NATIONAL LEGISLATION OF THE CIS STATES</w:t>
      </w:r>
    </w:p>
    <w:p w:rsidR="00A969C6" w:rsidRPr="00DA76A7" w:rsidRDefault="00A969C6" w:rsidP="00A969C6">
      <w:pPr>
        <w:tabs>
          <w:tab w:val="center" w:pos="4677"/>
          <w:tab w:val="right" w:pos="9355"/>
        </w:tabs>
        <w:jc w:val="center"/>
        <w:rPr>
          <w:rFonts w:ascii="Arial" w:hAnsi="Arial" w:cs="Arial"/>
          <w:b/>
          <w:color w:val="000000" w:themeColor="text1"/>
          <w:sz w:val="22"/>
          <w:szCs w:val="22"/>
          <w:shd w:val="clear" w:color="auto" w:fill="FFFFFF"/>
          <w:lang w:val="en-US"/>
        </w:rPr>
      </w:pP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shd w:val="clear" w:color="auto" w:fill="FFFFFF"/>
          <w:lang w:val="en-US"/>
        </w:rPr>
        <w:t xml:space="preserve"> </w:t>
      </w:r>
      <w:r w:rsidRPr="00DA76A7">
        <w:rPr>
          <w:rFonts w:ascii="Arial" w:hAnsi="Arial" w:cs="Arial"/>
          <w:b/>
          <w:color w:val="000000" w:themeColor="text1"/>
          <w:sz w:val="22"/>
          <w:szCs w:val="22"/>
          <w:lang w:val="en-US"/>
        </w:rPr>
        <w:t>Odinayev Saadi Niyozovich</w:t>
      </w:r>
    </w:p>
    <w:p w:rsidR="00A969C6" w:rsidRPr="00DA76A7" w:rsidRDefault="00A969C6" w:rsidP="00A969C6">
      <w:pPr>
        <w:tabs>
          <w:tab w:val="center" w:pos="4677"/>
          <w:tab w:val="right" w:pos="9355"/>
        </w:tabs>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 Master of 2 nd year of full-time department of the Faculty of Law</w:t>
      </w:r>
    </w:p>
    <w:p w:rsidR="00A969C6" w:rsidRPr="00DA76A7" w:rsidRDefault="00A969C6" w:rsidP="00A969C6">
      <w:pPr>
        <w:tabs>
          <w:tab w:val="center" w:pos="4677"/>
          <w:tab w:val="right" w:pos="9355"/>
        </w:tabs>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 Russian-Tajik (Slavonic) university</w:t>
      </w:r>
    </w:p>
    <w:p w:rsidR="00A969C6" w:rsidRPr="00DA76A7" w:rsidRDefault="00A969C6" w:rsidP="00A969C6">
      <w:pPr>
        <w:tabs>
          <w:tab w:val="center" w:pos="4677"/>
          <w:tab w:val="right" w:pos="9355"/>
        </w:tabs>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 734025, Republic of Tajikistan, Dushanbe, st. M. Tursunz</w:t>
      </w:r>
      <w:r w:rsidRPr="00DA76A7">
        <w:rPr>
          <w:rFonts w:ascii="Arial" w:hAnsi="Arial" w:cs="Arial"/>
          <w:color w:val="000000" w:themeColor="text1"/>
          <w:sz w:val="22"/>
          <w:szCs w:val="22"/>
          <w:shd w:val="clear" w:color="auto" w:fill="FFFFFF"/>
        </w:rPr>
        <w:t>а</w:t>
      </w:r>
      <w:r w:rsidRPr="00DA76A7">
        <w:rPr>
          <w:rFonts w:ascii="Arial" w:hAnsi="Arial" w:cs="Arial"/>
          <w:color w:val="000000" w:themeColor="text1"/>
          <w:sz w:val="22"/>
          <w:szCs w:val="22"/>
          <w:shd w:val="clear" w:color="auto" w:fill="FFFFFF"/>
          <w:lang w:val="en-US"/>
        </w:rPr>
        <w:t>d</w:t>
      </w:r>
      <w:r w:rsidRPr="00DA76A7">
        <w:rPr>
          <w:rFonts w:ascii="Arial" w:hAnsi="Arial" w:cs="Arial"/>
          <w:color w:val="000000" w:themeColor="text1"/>
          <w:sz w:val="22"/>
          <w:szCs w:val="22"/>
          <w:shd w:val="clear" w:color="auto" w:fill="FFFFFF"/>
        </w:rPr>
        <w:t>е</w:t>
      </w:r>
      <w:r w:rsidRPr="00DA76A7">
        <w:rPr>
          <w:rFonts w:ascii="Arial" w:hAnsi="Arial" w:cs="Arial"/>
          <w:color w:val="000000" w:themeColor="text1"/>
          <w:sz w:val="22"/>
          <w:szCs w:val="22"/>
          <w:shd w:val="clear" w:color="auto" w:fill="FFFFFF"/>
          <w:lang w:val="en-US"/>
        </w:rPr>
        <w:t xml:space="preserve">, 30 </w:t>
      </w:r>
    </w:p>
    <w:p w:rsidR="00A969C6" w:rsidRPr="00DA76A7" w:rsidRDefault="00A969C6" w:rsidP="00A969C6">
      <w:pPr>
        <w:tabs>
          <w:tab w:val="center" w:pos="4677"/>
          <w:tab w:val="right" w:pos="9355"/>
        </w:tabs>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tel.: 900402424</w:t>
      </w:r>
      <w:r w:rsidRPr="00DA76A7">
        <w:rPr>
          <w:rFonts w:ascii="Arial" w:hAnsi="Arial" w:cs="Arial"/>
          <w:color w:val="000000" w:themeColor="text1"/>
          <w:sz w:val="22"/>
          <w:szCs w:val="22"/>
          <w:lang w:val="en-US"/>
        </w:rPr>
        <w:t xml:space="preserve">, e-mail: </w:t>
      </w:r>
      <w:hyperlink r:id="rId56" w:history="1">
        <w:r w:rsidRPr="00DA76A7">
          <w:rPr>
            <w:rStyle w:val="af0"/>
            <w:rFonts w:ascii="Arial" w:hAnsi="Arial" w:cs="Arial"/>
            <w:color w:val="000000" w:themeColor="text1"/>
            <w:sz w:val="22"/>
            <w:szCs w:val="22"/>
            <w:u w:val="none"/>
            <w:lang w:val="en-US"/>
          </w:rPr>
          <w:t>saadi.odinaev@yandex.ru</w:t>
        </w:r>
      </w:hyperlink>
    </w:p>
    <w:p w:rsidR="00A969C6" w:rsidRPr="00DA76A7" w:rsidRDefault="00A969C6" w:rsidP="00A969C6">
      <w:pPr>
        <w:tabs>
          <w:tab w:val="center" w:pos="4677"/>
          <w:tab w:val="right" w:pos="9355"/>
        </w:tabs>
        <w:jc w:val="center"/>
        <w:rPr>
          <w:rFonts w:ascii="Arial" w:eastAsiaTheme="minorEastAsia" w:hAnsi="Arial" w:cs="Arial"/>
          <w:color w:val="000000" w:themeColor="text1"/>
          <w:sz w:val="22"/>
          <w:szCs w:val="22"/>
          <w:lang w:val="en-US"/>
        </w:rPr>
      </w:pPr>
    </w:p>
    <w:p w:rsidR="00A969C6" w:rsidRPr="00DA76A7" w:rsidRDefault="00A969C6" w:rsidP="00A969C6">
      <w:pPr>
        <w:tabs>
          <w:tab w:val="center" w:pos="4677"/>
          <w:tab w:val="right" w:pos="9355"/>
        </w:tabs>
        <w:jc w:val="right"/>
        <w:rPr>
          <w:rFonts w:ascii="Arial" w:eastAsiaTheme="minorEastAsia"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Назиров Б.Т.</w:t>
      </w:r>
    </w:p>
    <w:p w:rsidR="00A969C6" w:rsidRPr="00DA76A7" w:rsidRDefault="00A969C6" w:rsidP="00A969C6">
      <w:pPr>
        <w:jc w:val="both"/>
        <w:rPr>
          <w:rFonts w:ascii="Arial" w:hAnsi="Arial" w:cs="Arial"/>
          <w:color w:val="000000" w:themeColor="text1"/>
          <w:sz w:val="22"/>
          <w:szCs w:val="22"/>
        </w:rPr>
      </w:pPr>
    </w:p>
    <w:p w:rsidR="00A969C6" w:rsidRPr="00DA76A7" w:rsidRDefault="00A969C6" w:rsidP="00A969C6">
      <w:pPr>
        <w:ind w:firstLine="567"/>
        <w:jc w:val="both"/>
        <w:textAlignment w:val="top"/>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проводится сравнительно-правовой анализ основных положений Римского статута Международного уголовного суда и законодательства стран СНГ. Раскрывается правовая природа данного международно-правового акта. Исследуется процесс имплементации норм международного гуманитарного права в национальное законодательство стран СНГ. </w:t>
      </w:r>
    </w:p>
    <w:p w:rsidR="00A969C6" w:rsidRPr="00DA76A7" w:rsidRDefault="00A969C6" w:rsidP="00A969C6">
      <w:pPr>
        <w:ind w:firstLine="567"/>
        <w:jc w:val="both"/>
        <w:textAlignment w:val="top"/>
        <w:rPr>
          <w:rFonts w:ascii="Arial" w:hAnsi="Arial" w:cs="Arial"/>
          <w:i/>
          <w:color w:val="000000" w:themeColor="text1"/>
          <w:sz w:val="22"/>
          <w:szCs w:val="22"/>
          <w:lang w:val="en-US"/>
        </w:rPr>
      </w:pPr>
      <w:r w:rsidRPr="00DA76A7">
        <w:rPr>
          <w:rFonts w:ascii="Arial" w:hAnsi="Arial" w:cs="Arial"/>
          <w:b/>
          <w:i/>
          <w:color w:val="000000" w:themeColor="text1"/>
          <w:sz w:val="22"/>
          <w:szCs w:val="22"/>
          <w:shd w:val="clear" w:color="auto" w:fill="FFFFFF"/>
          <w:lang w:val="en-US"/>
        </w:rPr>
        <w:t>Annotation.</w:t>
      </w:r>
      <w:r w:rsidRPr="00DA76A7">
        <w:rPr>
          <w:rFonts w:ascii="Arial" w:hAnsi="Arial" w:cs="Arial"/>
          <w:i/>
          <w:color w:val="000000" w:themeColor="text1"/>
          <w:sz w:val="22"/>
          <w:szCs w:val="22"/>
          <w:shd w:val="clear" w:color="auto" w:fill="FFFFFF"/>
          <w:lang w:val="en-US"/>
        </w:rPr>
        <w:t xml:space="preserve"> The article provides a comparative legal analysis of the main provisions of the Rome Statute of the International Criminal Court and the legislation of the CIS countries. The legal nature of this international legal act is disclosed. The process of implementation of the norms of international humanitarian law in the national legislation of the CIS countries is being investigated.</w:t>
      </w:r>
    </w:p>
    <w:p w:rsidR="00A969C6" w:rsidRPr="00DA76A7" w:rsidRDefault="00A969C6" w:rsidP="00A969C6">
      <w:pPr>
        <w:ind w:firstLine="567"/>
        <w:jc w:val="both"/>
        <w:textAlignment w:val="top"/>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Римский статут, Содружество Независимых Государств, международные преступления, юрисдикция, законодательство.</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the Rome Statute, the Commonwealth of Independent States, international crimes, jurisdiction, legislation.</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Arial" w:hAnsi="Arial" w:cs="Arial"/>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Международный уголовный суд называли отсутствующим звеном в международно-правовой системе, поскольку данное судебное учреждение рассматривает дела об ответственности государств за международно-противоправные деяния, в то время как вопрос об индивидуальной ответственности физических лиц за совершение международных преступлений долгое время не находил своего решения. Разработка и принятие Римского статута Международного уголовного суда, учредившего специальный орган уголовной юрисдикции явилось важнейшим событием для всего международного сообщества.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Юрисдикция Международного уголовного суда ограничивается наиболее тяжкими преступлениями. Согласно ст. 5 (1) Международный уголовный суд обладает юрисдикцией в отношении следующих преступлений: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а) преступление геноцида;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b) преступления против человечности;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c) военные преступления;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d) преступление агрессии.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Указанные формулировки преступлений опираются на такие важнейшие договорные источники, как Женевские конвенции 1949 г. и Дополнительные протоколы к ним 1977 г., Конвенцию о предупреждении преступления геноцида и наказании за него 1948 г., Конвенцию против пыток и других жестоких, бесчеловечных или унижающих достоинство видов обращения и наказания 1984 г. и т.д., большинство положений которых являются частью международного обычного права. Поэтому необходимость пресечения таких деяний как военные преступления, геноцид и т.п. возникает независимо от участия государства в вышеуказанных договорах.</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этого, криминализация преступлений, которые подпадают под юрисдикцию Международного уголовного суда, с одной стороны, позволяет имплементировать договорные обязательства государств либо реализовать нормы международного обычного права в сфере пресечения тяжких международных преступлений, в борьбе с которыми проявляет заинтересованность все международное сообщество, с другой стороны, дает возможность самому государству осуществить преследование геноцида, военных преступлений и т.д., сводя к минимуму ситуации, когда дело может быть согласно принципу дополнительности принято к производству Международного уголовного суда.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Отметим, что ст. 6 Римского статута («геноцид») полностью отражает определение геноцида, данное в ст. II Конвенции геноцида 1948 г. Большинство стран Содружества Независимых государств является стороной Конвенции и внедрили в свои законодательства обязательства по пресечению преступления геноцида, предусмотрев уголовную ответственность за геноцид. Вместе с тем, учитывая, что принципы, лежащие в основе Конвенции, признаны в международном праве в качестве обязательств (erga omnes), даже без каких-либо договорных обязательств, все страны обязаны преследовать лиц, обвиняемых в геноциде, поскольку осуждение этого преступления носит универсальный характер[2,172].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Уголовное законодательство большинства стран членов Содружества Независимых государств предусматривают ответственность за преступление геноцида. Данное деяние охватывается уголовными кодексами Республики Узбекистан (ст. 153), Республики Кыргызстан (ст. 373), Республики Таджикистан (ст. 398), Республики Беларусь (ст. 127), Республики Казахстан (ст. 160), Азербайджана (ст. 103), Российской Федерации (ст. 357), Грузии (ст. 407), Украины (ст. 442) и ряда других государств Содружества Независимых государств.  Так же, как в конвенционном определении и статье 7 Римского статута, национальные уголовные кодексы для квалификации преступления не устанавливают условия фактического уничтожения идентифицируемой группы, но предполагают в качестве обязательного условия прямой умысел на уничтожение и одну из составляющих действий объективной стороны преступления. Соответствие понятия геноцида по Конвенции 1948 г. и предусматриваемых национальным уголовным кодексами государств-участников Содружества Независимых государств представляется чрезвычайно важным, поскольку позволяет обеспечить адекватность объективных и субъективных характеристик данного преступления в уголовных кодексах и ст. 7 Римского статута, которое также опирается на конвенционное определение.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 8 Статута, Суд обладает юрисдикцией в отношении военных преступлений. В ст. 8 (2) различаются следующие категории военных преступлений: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 серьезные нарушения Женевских конвенций от 12 августа 1949 г. Римский статут воспроизводит определения, содержащиеся в указанных Конвенциях – в ст. 50 Женевской конвенции «Об улучшении участи раненых и больных в действующих армиях» (ЖК I); ст. 51 Женевской конвенции «Об улучшении участи раненых, больных и лиц, потерпевших кораблекрушение» (ЖК II); ст. 130 Женевской конвенции «Об обращении с военнопленными»  (ЖК III); ст. 147 Женевской конвенции «О защите гражданского населения во время войны» (ЖК IV);</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 серьезные нарушения законов и обычаев, применяемых во время международных вооруженных конфликтов, дефиниции которых опираются на такие международные источники как Дополнительный протокол I 1977 г. к Женевским конвенциям, Гаагское положение о законах и обычаях сухопутной войны 1907 г., Гаагская декларация о легко разворачивающихся и сплющивающихся пулях 1899 г., Женевский протокол о применении газов 1925 г.;</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серьезные нарушения ст. 3, общей для четырех Женевских конвенций, применяемой в вооруженных конфликтах немеждународного характера;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 другие серьезные нарушения законов и обычаев, применяемых во время немеждународных вооруженных конфликтов, составы которых основываются на Дополнительном протоколе II к Женевским конвенциям, Гаагском положении о законах и обычаях сухопутной войны 1907 г. и т.д.</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Страны СНГ, ратифицировавшие Женевские конвенции 1949 г. либо присоединившиеся к ним несут обязательства по всестороннему соблюдению и обеспечению их положений, и в том числе, в области преследования военных преступлений. Меры по криминализации военных преступлений в национальных уголовных кодексах осуществлены многими государствами Содружества Независимых государств, однако лишь УК Азербайджана, Республики Беларусь, Грузии и Республики Таджикистан и частично Украины являются совместимыми с Римским статутом в части определения военных преступлений, причем ответственность за указанные преступления наступает независимо от ситуации конфликта, который может быть, как международным, так и внутренним [1,62].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подчеркнуть, что достаточно близка к вышеуказанным уголовным кодексам позиция уголовного кодекса Узбекистана, которая в ст. 152 предусматривает ответственность за нарушение законов и обычаев войны, хотя и не охватывает полный перечень деяний, составляющих согласно ст. 8 Статута военные преступления. Многие государства Содружества Независимых государств, реформировавшие свои уголовные кодексы, предусмотрели разделы об ответственности за преступления против мира и человечности. Однако при этом военные преступления как они определены в ст. 8 Статута не получили в них адекватного отражения. Поэтому в случае принятия в соответствии с национальным законодательством решения о ратификации Статута возникнет необходимость осуществления соответствующих имплементационных мер.</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Отметим, что Римский статут Международного уголовного суда по сути является первым международным соглашением универсального характера, который дает определение преступлений против человечности. В ст. 7 Римского статута предусмотрен широкий перечень деяний, рассматриваемых как преступления против человечности. При этом Статут, определяя преступления против человечности, не требует связи с каким-либо вооруженным конфликтом, хотя и оговаривает условия, при которых могут совершаться преступления против человечности: согласно ст. 7 (1) «преступления против человечности» означают соответствующие деяния, которые совершаются в рамках широкомасштабного или систематического нападения на любых гражданских лиц и, если такое нападение совершается сознательно.</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Общий анализ положений уголовных кодексов стран Содружества Независимых государств не предполагает ответственности за преступления против человечности, так как предусмотрено в ст.7 Статута МУС  Частично подобная ответственность предусмотрена УК Республики Беларусь, ст. 128 которой («Преступления против безопасности человечества») охватывает такие действия как депортация, незаконное содержание в заключении, обращение в рабство, массовое или систематическое осуществление казней без суда, похищение людей, за которым следует их исчезновение, пытки или акты жестокости, совершаемые в связи с расовой, национальной, этнической принадлежностью.</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Уголовный кодекс Узбекистана не предусматривает специальной нормы о преступлениях против человечности, но в главе 8 УК предусматриваются преступления терроризма, наёмничества, возбуждение национальной, расовой или религиозной вражды.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Отдельные составы преступлений против человечности охватываются и ст. 403 УК Республики Таджикистан (депортация, применение практики апартеида и других негуманных и унижающих действий, оскорбляющих достоинство личности, основанных на расовой дискриминации и повлекшее за собой смерть или серьезный ущерб физическому или психическому состоянию любого лица, пытки и т.д.), хотя и в отличие от Римского статута в данной статье речь идет о деяниях, совершенных в ходе вооруженного конфликта.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Уголовные кодексы некоторых стран Содружества Независимых государств (в частности, Республики Казахстан) закрепляют отдельные составы преступлений (например, депортацию), охватываемые ст. 7 Римского статута, однако это не позволяет сделать вывод о соответствии трактовок преступлений против человечности национальных УК и норм Статута.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случае ратификации Статута и признания юрисдикции Международного уголовного суда странам Содружества Независимых государств СНГ будет необходимо закрепить норму об ответственности за преступления против человечности как они даны в ст. 7 Статута, включая отсутствие увязки с каким-либо вооруженным конфликтом.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Преступление агрессии оказалось единственным из деяний, подпадающих под юрисдикцию МУС, упоминание о котором в Римском статуте носит декларативный характер, тем не менее было принято решение о включении состава преступления агрессии и терроризма в Римский Статут и обсуждение этих вопросов предполагается осуществить в дальнейшем.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 5 (2), Суд осуществляет юрисдикцию в отношении преступления агрессии, как только будет принято в соответствии со ст. 121 и 123 положение, содержащее определение этого преступления и излагающее условия при которых Суд осуществляет юрисдикцию касательно данного деяния. Такое положение сообразуется с соответствующими положениями Устава ООН.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Агрессия является особо тяжким по своему характеру международным преступлением, причем преступность агрессии неоднократно находила свое выражение в важнейших международно-правовых соглашениях, и в частности, Уставе Нюрнбергского трибунала и нюрнбергских принципах (см. резолюцию Генеральной Ассамблеи ООН 95 (I) от 11 декабря 1946 г. «Подтверждение принципов международного права, признанных Уставом Нюрнбергского трибунала»), проекте Кодекса преступлений против мира и безопасности человечества (ст. 16) и т.д.</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в ст. 1 (1) Устава ООН предусмотрено, что одной из целей Организации Объединенных Наций является поддержание международного мира и безопасности и принятие эффективных коллективных мер для предотвращения и устранения угрозы миру и подавления актов агрессии, а ст. 2 (4) в качестве одного из важнейших принципов провозгласила воздержание от угрозы силой или ее применения как против территориальной неприкосновенности или политической независимости любого государства, так и каким-либо другим образом, несовместимым с целями ООН.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Большое значение среди международно-правовых актов по проблеме агрессии имело принятие Генеральной Ассамблеей ООН резолюции 3314 (XXIX) от 14 декабря 1974 г., в которой было закреплено определение агрессии. Согласно ст. 2 резолюции Генеральной Ассамблеи от 15 декабря 1974 г., агрессией является применение вооруженной силы государством против суверенитета, территориальной неприкосновенности или политической независимости другого государства или каким-либо другим образом, несовместимым с Уставом Организации Объединенных Наций, как это установлено в настоящем определении. Подавляющее число государств на Римской конференции, высказались за включение агрессии в юрисдикцию Международного уголовного суда, разногласия же касались понятия агрессии и условий осуществления юрисдикции в отношении данного преступления.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Большинство государств - участников Содружества Независимых государств предусматривают уголовную ответственность за агрессивную войну (Российской Федерации – ст. 353; Республики Беларусь – ст. 122; Грузии – ст. 404; Республики Молдова – ст. 139 и т.д.). В указанных статьях речь идет о планировании, подготовке, развязывании, участие в заговоре для осуществления агрессии, начале и ведении агрессивной войны.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Несколько отличную от законодательства других государств трактовку содержит ст. 151 УК Узбекистана, которая устанавливает уголовную ответственность за планирование, подготовку либо развязывании агрессивной войны, а равно участие в заговоре, направленном на совершение таких действий, за начало и ведение агрессивной войны.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целом, ответственность, установленная уголовным законодательством стран Содружества Независимых государств за агрессию либо агрессивную войну, опирается на довольно узкую трактовку, не содержащую всего состава тех действий, которые могут быть квалифицированы как агрессия.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третьем заседании подготовительной комиссии ООН (ноябрь 1999 г.) была создана рабочая группа по преступлению агрессии, которая занята выработкой приемлемого определения. После того, как данное определение будет принято и с учетом ратификации Римского статута потребуется внесение изменений в национальное уголовное законодательство[3,85].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вышеизложенного, отмечая роль и значение Международного уголовного суда, необходимо отметить его влияние на гармонизацию законодательств об уголовной ответственности за международные преступления многих государств, в частности, на примере стран Содружества Независимых государств, такая тенденция однозначно наблюдается во всем мировом сообществе.</w:t>
      </w: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w:t>
      </w:r>
      <w:r w:rsidRPr="00DA76A7">
        <w:rPr>
          <w:rFonts w:ascii="Arial" w:hAnsi="Arial" w:cs="Arial"/>
          <w:b/>
          <w:color w:val="000000" w:themeColor="text1"/>
          <w:sz w:val="22"/>
          <w:szCs w:val="22"/>
          <w:lang w:val="en-US"/>
        </w:rPr>
        <w:t xml:space="preserve"> </w:t>
      </w:r>
      <w:r w:rsidRPr="00DA76A7">
        <w:rPr>
          <w:rFonts w:ascii="Arial" w:hAnsi="Arial" w:cs="Arial"/>
          <w:b/>
          <w:color w:val="000000" w:themeColor="text1"/>
          <w:sz w:val="22"/>
          <w:szCs w:val="22"/>
        </w:rPr>
        <w:t>литературы</w:t>
      </w:r>
      <w:r w:rsidRPr="00DA76A7">
        <w:rPr>
          <w:rFonts w:ascii="Arial" w:hAnsi="Arial" w:cs="Arial"/>
          <w:b/>
          <w:color w:val="000000" w:themeColor="text1"/>
          <w:sz w:val="22"/>
          <w:szCs w:val="22"/>
          <w:lang w:val="en-US"/>
        </w:rPr>
        <w:t>:</w:t>
      </w:r>
    </w:p>
    <w:p w:rsidR="00A969C6" w:rsidRPr="00DA76A7" w:rsidRDefault="00A969C6" w:rsidP="00D45D6B">
      <w:pPr>
        <w:pStyle w:val="a6"/>
        <w:numPr>
          <w:ilvl w:val="0"/>
          <w:numId w:val="27"/>
        </w:numPr>
        <w:tabs>
          <w:tab w:val="left" w:pos="851"/>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Костенко Н.И. Международное сотрудничество Международного уголовного суда и судебная помощь // «Право и политика» №10,М.: 2000.С.-58-62.</w:t>
      </w:r>
    </w:p>
    <w:p w:rsidR="00A969C6" w:rsidRPr="00DA76A7" w:rsidRDefault="00A969C6" w:rsidP="00D45D6B">
      <w:pPr>
        <w:pStyle w:val="a6"/>
        <w:numPr>
          <w:ilvl w:val="0"/>
          <w:numId w:val="27"/>
        </w:numPr>
        <w:tabs>
          <w:tab w:val="left" w:pos="851"/>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Салкин А.И., Кибальник А.Г. Римский статут Международного уголовного суда и криминализация деяний в уголовном законодательстве России // Режим доступа: </w:t>
      </w:r>
      <w:hyperlink r:id="rId57" w:history="1">
        <w:r w:rsidRPr="00DA76A7">
          <w:rPr>
            <w:rStyle w:val="af0"/>
            <w:rFonts w:ascii="Arial" w:hAnsi="Arial" w:cs="Arial"/>
            <w:color w:val="000000" w:themeColor="text1"/>
            <w:u w:val="none"/>
          </w:rPr>
          <w:t>http://science.ncstu.ru/artic1es/vak74/1aw/14.pdf</w:t>
        </w:r>
      </w:hyperlink>
      <w:r w:rsidRPr="00DA76A7">
        <w:rPr>
          <w:rFonts w:ascii="Arial" w:hAnsi="Arial" w:cs="Arial"/>
          <w:color w:val="000000" w:themeColor="text1"/>
        </w:rPr>
        <w:t xml:space="preserve"> [дата обращения:23.03.2018г.]</w:t>
      </w:r>
    </w:p>
    <w:p w:rsidR="00A969C6" w:rsidRPr="00DA76A7" w:rsidRDefault="00A969C6" w:rsidP="00D45D6B">
      <w:pPr>
        <w:pStyle w:val="a6"/>
        <w:numPr>
          <w:ilvl w:val="0"/>
          <w:numId w:val="27"/>
        </w:numPr>
        <w:tabs>
          <w:tab w:val="left" w:pos="851"/>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Трикоз Е.Н. Начало деятельности Международного уголовного суда: состояние и перспективы // Режим доступа: </w:t>
      </w:r>
      <w:hyperlink w:history="1">
        <w:r w:rsidRPr="00DA76A7">
          <w:rPr>
            <w:rStyle w:val="af0"/>
            <w:rFonts w:ascii="Arial" w:hAnsi="Arial" w:cs="Arial"/>
            <w:color w:val="000000" w:themeColor="text1"/>
            <w:u w:val="none"/>
          </w:rPr>
          <w:t>http://www. fictionbook.ru /author/trikoz_elena nikolaevna/nachalo_deyatelnosti_mejdunarodnogo_ugol/trikoz_nachalo_deyatelnosti_mejdunaro dnogo_ugol.html</w:t>
        </w:r>
      </w:hyperlink>
      <w:r w:rsidRPr="00DA76A7">
        <w:rPr>
          <w:rFonts w:ascii="Arial" w:hAnsi="Arial" w:cs="Arial"/>
          <w:color w:val="000000" w:themeColor="text1"/>
        </w:rPr>
        <w:t xml:space="preserve"> [дата обращения: 25.03.2018г.]</w:t>
      </w:r>
    </w:p>
    <w:p w:rsidR="00A969C6" w:rsidRPr="00DA76A7" w:rsidRDefault="00A969C6" w:rsidP="00A969C6">
      <w:pPr>
        <w:ind w:firstLine="567"/>
        <w:textAlignment w:val="top"/>
        <w:rPr>
          <w:rFonts w:ascii="Arial" w:hAnsi="Arial" w:cs="Arial"/>
          <w:color w:val="000000" w:themeColor="text1"/>
          <w:sz w:val="22"/>
          <w:szCs w:val="22"/>
        </w:rPr>
      </w:pPr>
      <w:r w:rsidRPr="00DA76A7">
        <w:rPr>
          <w:rFonts w:ascii="Arial" w:hAnsi="Arial" w:cs="Arial"/>
          <w:color w:val="000000" w:themeColor="text1"/>
          <w:sz w:val="22"/>
          <w:szCs w:val="22"/>
        </w:rPr>
        <w:br/>
      </w:r>
    </w:p>
    <w:p w:rsidR="00A969C6" w:rsidRPr="00DA76A7" w:rsidRDefault="00A969C6" w:rsidP="00A969C6">
      <w:pPr>
        <w:ind w:firstLine="567"/>
        <w:jc w:val="center"/>
        <w:rPr>
          <w:rFonts w:ascii="Arial" w:hAnsi="Arial" w:cs="Arial"/>
          <w:b/>
          <w:color w:val="000000" w:themeColor="text1"/>
          <w:sz w:val="22"/>
          <w:szCs w:val="22"/>
        </w:rPr>
      </w:pPr>
    </w:p>
    <w:p w:rsidR="00FB1C3D" w:rsidRPr="00DA76A7" w:rsidRDefault="00FB1C3D" w:rsidP="00FB1C3D">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РОЛЬ ГЛАВЫ ГОСУДАРСТВА И АППАРАТА ПРЕЗИДЕНТА В НОРМОТВОРЧЕСКОЙ ДЕЯТЕЛЬНОСТИ: ОПЫТ РЕСПУБЛИКИ БЕЛАРУСЬ И РЕСПУБЛИКИ ТАДЖИКИСТАН</w:t>
      </w:r>
    </w:p>
    <w:p w:rsidR="00FB1C3D" w:rsidRPr="00DA76A7" w:rsidRDefault="00FB1C3D" w:rsidP="00FB1C3D">
      <w:pPr>
        <w:ind w:firstLine="567"/>
        <w:jc w:val="center"/>
        <w:rPr>
          <w:rFonts w:ascii="Arial" w:hAnsi="Arial" w:cs="Arial"/>
          <w:b/>
          <w:color w:val="000000" w:themeColor="text1"/>
          <w:sz w:val="22"/>
          <w:szCs w:val="22"/>
        </w:rPr>
      </w:pPr>
    </w:p>
    <w:p w:rsidR="00FB1C3D" w:rsidRPr="00DA76A7" w:rsidRDefault="00FB1C3D" w:rsidP="00FB1C3D">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Полещук Ольга Олеговна</w:t>
      </w:r>
    </w:p>
    <w:p w:rsidR="00FB1C3D" w:rsidRPr="00DA76A7" w:rsidRDefault="00FB1C3D" w:rsidP="00FB1C3D">
      <w:pPr>
        <w:ind w:firstLine="567"/>
        <w:jc w:val="center"/>
        <w:rPr>
          <w:rFonts w:ascii="Arial" w:hAnsi="Arial" w:cs="Arial"/>
          <w:color w:val="000000" w:themeColor="text1"/>
          <w:sz w:val="22"/>
          <w:szCs w:val="22"/>
        </w:rPr>
      </w:pPr>
      <w:r w:rsidRPr="00DA76A7">
        <w:rPr>
          <w:rFonts w:ascii="Arial" w:hAnsi="Arial" w:cs="Arial"/>
          <w:color w:val="000000" w:themeColor="text1"/>
        </w:rPr>
        <w:t>а</w:t>
      </w:r>
      <w:r w:rsidRPr="00DA76A7">
        <w:rPr>
          <w:rFonts w:ascii="Arial" w:hAnsi="Arial" w:cs="Arial"/>
          <w:color w:val="000000" w:themeColor="text1"/>
          <w:sz w:val="22"/>
          <w:szCs w:val="22"/>
        </w:rPr>
        <w:t>спирант 3-го года обучения Белорусского государственного экономического университета,</w:t>
      </w:r>
      <w:r w:rsidRPr="00DA76A7">
        <w:rPr>
          <w:rFonts w:ascii="Arial" w:hAnsi="Arial" w:cs="Arial"/>
          <w:color w:val="000000" w:themeColor="text1"/>
        </w:rPr>
        <w:t xml:space="preserve"> м</w:t>
      </w:r>
      <w:r w:rsidRPr="00DA76A7">
        <w:rPr>
          <w:rFonts w:ascii="Arial" w:hAnsi="Arial" w:cs="Arial"/>
          <w:color w:val="000000" w:themeColor="text1"/>
          <w:sz w:val="22"/>
          <w:szCs w:val="22"/>
        </w:rPr>
        <w:t>ладший научный сотрудник Национального центра правовой информации Республики Беларусь</w:t>
      </w:r>
    </w:p>
    <w:p w:rsidR="00FB1C3D" w:rsidRPr="00DA76A7" w:rsidRDefault="00FB1C3D" w:rsidP="00FB1C3D">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220026, Республика Беларусь, г. Минск, пр-т Рокоссовского, д. 65</w:t>
      </w:r>
    </w:p>
    <w:p w:rsidR="00FB1C3D" w:rsidRPr="00DA76A7" w:rsidRDefault="00FB1C3D" w:rsidP="00FB1C3D">
      <w:pPr>
        <w:ind w:firstLine="567"/>
        <w:jc w:val="center"/>
        <w:rPr>
          <w:rFonts w:ascii="Arial" w:hAnsi="Arial" w:cs="Arial"/>
          <w:color w:val="000000" w:themeColor="text1"/>
          <w:sz w:val="22"/>
          <w:szCs w:val="22"/>
          <w:lang w:val="en-US"/>
        </w:rPr>
      </w:pPr>
      <w:r w:rsidRPr="00DA76A7">
        <w:rPr>
          <w:rFonts w:ascii="Arial" w:hAnsi="Arial" w:cs="Arial"/>
          <w:color w:val="000000" w:themeColor="text1"/>
        </w:rPr>
        <w:t>т</w:t>
      </w:r>
      <w:r w:rsidRPr="00DA76A7">
        <w:rPr>
          <w:rFonts w:ascii="Arial" w:hAnsi="Arial" w:cs="Arial"/>
          <w:color w:val="000000" w:themeColor="text1"/>
          <w:sz w:val="22"/>
          <w:szCs w:val="22"/>
        </w:rPr>
        <w:t>ел</w:t>
      </w:r>
      <w:r w:rsidRPr="00DA76A7">
        <w:rPr>
          <w:rFonts w:ascii="Arial" w:hAnsi="Arial" w:cs="Arial"/>
          <w:color w:val="000000" w:themeColor="text1"/>
          <w:sz w:val="22"/>
          <w:szCs w:val="22"/>
          <w:lang w:val="en-US"/>
        </w:rPr>
        <w:t xml:space="preserve">.: +375298507109, e-mail: </w:t>
      </w:r>
      <w:hyperlink r:id="rId58" w:history="1">
        <w:r w:rsidRPr="00DA76A7">
          <w:rPr>
            <w:rStyle w:val="af0"/>
            <w:rFonts w:ascii="Arial" w:hAnsi="Arial" w:cs="Arial"/>
            <w:color w:val="000000" w:themeColor="text1"/>
            <w:sz w:val="22"/>
            <w:szCs w:val="22"/>
            <w:u w:val="none"/>
            <w:lang w:val="en-US"/>
          </w:rPr>
          <w:t>olga-morozova@tut.by</w:t>
        </w:r>
      </w:hyperlink>
    </w:p>
    <w:p w:rsidR="00FB1C3D" w:rsidRPr="00DA76A7" w:rsidRDefault="00FB1C3D" w:rsidP="00FB1C3D">
      <w:pPr>
        <w:ind w:firstLine="567"/>
        <w:jc w:val="center"/>
        <w:rPr>
          <w:rFonts w:ascii="Arial" w:hAnsi="Arial" w:cs="Arial"/>
          <w:color w:val="000000" w:themeColor="text1"/>
          <w:sz w:val="22"/>
          <w:szCs w:val="22"/>
          <w:lang w:val="en-US"/>
        </w:rPr>
      </w:pPr>
    </w:p>
    <w:p w:rsidR="00FB1C3D" w:rsidRPr="00DA76A7" w:rsidRDefault="00FB1C3D" w:rsidP="00FB1C3D">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ROLE OF THE HEAD OF STATE AND THE PRESIDENTIAL APPARATUS IN NORM-SETTING: THE EXPERIENCE OF THE REPUBLIC OF BELARUS AND THE REPUBLIC OF TAJIKISTAN</w:t>
      </w:r>
    </w:p>
    <w:p w:rsidR="00FB1C3D" w:rsidRPr="00DA76A7" w:rsidRDefault="00FB1C3D" w:rsidP="00FB1C3D">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Poleshchuk Olga Olegovna</w:t>
      </w:r>
    </w:p>
    <w:p w:rsidR="00FB1C3D" w:rsidRPr="00DA76A7" w:rsidRDefault="00FB1C3D" w:rsidP="00FB1C3D">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Post-graduate student of the Belarusian state University of Economics,</w:t>
      </w:r>
    </w:p>
    <w:p w:rsidR="00FB1C3D" w:rsidRPr="00DA76A7" w:rsidRDefault="00FB1C3D" w:rsidP="00FB1C3D">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Junior researcher of the National center for legal information of the Republic of Belarus</w:t>
      </w:r>
    </w:p>
    <w:p w:rsidR="00FB1C3D" w:rsidRPr="00DA76A7" w:rsidRDefault="00FB1C3D" w:rsidP="00FB1C3D">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220026, Republic of Belarus, Minsk, PR-t Rokossovskogo, d. 65</w:t>
      </w:r>
    </w:p>
    <w:p w:rsidR="00FB1C3D" w:rsidRPr="00DA76A7" w:rsidRDefault="00FB1C3D" w:rsidP="00FB1C3D">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+ 375298507109, e-mail: </w:t>
      </w:r>
      <w:hyperlink r:id="rId59" w:history="1">
        <w:r w:rsidRPr="00DA76A7">
          <w:rPr>
            <w:rStyle w:val="af0"/>
            <w:rFonts w:ascii="Arial" w:hAnsi="Arial" w:cs="Arial"/>
            <w:color w:val="000000" w:themeColor="text1"/>
            <w:sz w:val="22"/>
            <w:szCs w:val="22"/>
            <w:u w:val="none"/>
            <w:lang w:val="en-US"/>
          </w:rPr>
          <w:t>olga-morozova@tut.by</w:t>
        </w:r>
      </w:hyperlink>
    </w:p>
    <w:p w:rsidR="00FB1C3D" w:rsidRPr="00DA76A7" w:rsidRDefault="00FB1C3D" w:rsidP="00FB1C3D">
      <w:pPr>
        <w:ind w:firstLine="567"/>
        <w:jc w:val="center"/>
        <w:rPr>
          <w:rFonts w:ascii="Arial" w:hAnsi="Arial" w:cs="Arial"/>
          <w:color w:val="000000" w:themeColor="text1"/>
          <w:sz w:val="22"/>
          <w:szCs w:val="22"/>
          <w:lang w:val="en-US"/>
        </w:rPr>
      </w:pPr>
    </w:p>
    <w:p w:rsidR="00FB1C3D" w:rsidRPr="00DA76A7" w:rsidRDefault="00FB1C3D" w:rsidP="00FB1C3D">
      <w:pPr>
        <w:ind w:firstLine="567"/>
        <w:jc w:val="center"/>
        <w:rPr>
          <w:rFonts w:ascii="Arial" w:hAnsi="Arial" w:cs="Arial"/>
          <w:color w:val="000000" w:themeColor="text1"/>
          <w:sz w:val="22"/>
          <w:szCs w:val="22"/>
        </w:rPr>
      </w:pPr>
      <w:r w:rsidRPr="00240D8D">
        <w:rPr>
          <w:rFonts w:ascii="Arial" w:hAnsi="Arial" w:cs="Arial"/>
          <w:color w:val="000000" w:themeColor="text1"/>
          <w:sz w:val="22"/>
          <w:szCs w:val="22"/>
          <w:lang w:val="en-US"/>
        </w:rPr>
        <w:t xml:space="preserve">                  </w:t>
      </w:r>
      <w:r w:rsidR="00BD392F" w:rsidRPr="00240D8D">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Научный руководитель: д.ю.н., профессор Демичев Д.М.</w:t>
      </w:r>
    </w:p>
    <w:p w:rsidR="00FB1C3D" w:rsidRPr="00DA76A7" w:rsidRDefault="00FB1C3D" w:rsidP="00FB1C3D">
      <w:pPr>
        <w:ind w:firstLine="567"/>
        <w:jc w:val="center"/>
        <w:rPr>
          <w:rFonts w:ascii="Arial" w:hAnsi="Arial" w:cs="Arial"/>
          <w:color w:val="000000" w:themeColor="text1"/>
          <w:sz w:val="22"/>
          <w:szCs w:val="22"/>
        </w:rPr>
      </w:pPr>
    </w:p>
    <w:p w:rsidR="00FB1C3D" w:rsidRPr="00DA76A7" w:rsidRDefault="00FB1C3D" w:rsidP="00FB1C3D">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eastAsia="TimesNewRomanPSMT" w:hAnsi="Arial" w:cs="Arial"/>
          <w:i/>
          <w:color w:val="000000" w:themeColor="text1"/>
          <w:sz w:val="22"/>
          <w:szCs w:val="22"/>
        </w:rPr>
        <w:t xml:space="preserve">В статье исследуются некоторые аспекты деятельности Главы государства и аппарата Президента в процессе нормотворчества (в Республике Таджикистан – правотворчества). Автором отмечено, что </w:t>
      </w:r>
      <w:r w:rsidRPr="00DA76A7">
        <w:rPr>
          <w:rFonts w:ascii="Arial" w:hAnsi="Arial" w:cs="Arial"/>
          <w:i/>
          <w:color w:val="000000" w:themeColor="text1"/>
          <w:sz w:val="22"/>
          <w:szCs w:val="22"/>
        </w:rPr>
        <w:t xml:space="preserve">Президентами Белорусского и Таджикского государств принят целый ряд значимых мер по совершенствованию организационного механизма подготовки и принятия нормативных правовых актов. </w:t>
      </w:r>
      <w:r w:rsidRPr="00DA76A7">
        <w:rPr>
          <w:rFonts w:ascii="Arial" w:eastAsia="TimesNewRomanPSMT" w:hAnsi="Arial" w:cs="Arial"/>
          <w:i/>
          <w:color w:val="000000" w:themeColor="text1"/>
          <w:sz w:val="22"/>
          <w:szCs w:val="22"/>
        </w:rPr>
        <w:t xml:space="preserve">Сделан вывод о </w:t>
      </w:r>
      <w:r w:rsidRPr="00DA76A7">
        <w:rPr>
          <w:rFonts w:ascii="Arial" w:hAnsi="Arial" w:cs="Arial"/>
          <w:i/>
          <w:color w:val="000000" w:themeColor="text1"/>
          <w:sz w:val="22"/>
          <w:szCs w:val="22"/>
        </w:rPr>
        <w:t>некоторых проблемных вопросах в данной сфере, которые требуют своего разрешения, внедрения новых подходов, обеспечивающих создание более качественного и эффективного законодательства.</w:t>
      </w:r>
    </w:p>
    <w:p w:rsidR="00FB1C3D" w:rsidRPr="00DA76A7" w:rsidRDefault="00FB1C3D" w:rsidP="00FB1C3D">
      <w:pPr>
        <w:ind w:firstLine="567"/>
        <w:jc w:val="both"/>
        <w:rPr>
          <w:rFonts w:ascii="Arial" w:hAnsi="Arial" w:cs="Arial"/>
          <w:i/>
          <w:color w:val="000000" w:themeColor="text1"/>
          <w:sz w:val="22"/>
          <w:szCs w:val="22"/>
          <w:lang w:val="en-US"/>
        </w:rPr>
      </w:pPr>
      <w:r w:rsidRPr="00DA76A7">
        <w:rPr>
          <w:rFonts w:ascii="Arial" w:hAnsi="Arial" w:cs="Arial"/>
          <w:b/>
          <w:i/>
          <w:color w:val="000000" w:themeColor="text1"/>
          <w:lang w:val="en-US"/>
        </w:rPr>
        <w:t>Annotation</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In article activity of the Head of state and the Office of the President in the course of rule-making is investigated (in the Republic of Tajikistan – law-makings). The author has noted that Presidents of the Belarusian and Tajik states have accepted a number of significant measures for improvement of the organizational mechanism of preparation and adoption of regulations. The conclusion is drawn on some problematic issues in this sphere which demand the permission, introduction of the new approaches providing creation of the better and effective legislation.</w:t>
      </w:r>
    </w:p>
    <w:p w:rsidR="00FB1C3D" w:rsidRPr="00DA76A7" w:rsidRDefault="00FB1C3D" w:rsidP="00FB1C3D">
      <w:pPr>
        <w:ind w:firstLine="567"/>
        <w:jc w:val="both"/>
        <w:rPr>
          <w:rFonts w:ascii="Arial" w:hAnsi="Arial" w:cs="Arial"/>
          <w:i/>
          <w:color w:val="000000" w:themeColor="text1"/>
          <w:sz w:val="22"/>
          <w:szCs w:val="22"/>
        </w:rPr>
      </w:pPr>
      <w:r w:rsidRPr="00DA76A7">
        <w:rPr>
          <w:rFonts w:ascii="Arial" w:hAnsi="Arial" w:cs="Arial"/>
          <w:b/>
          <w:i/>
          <w:color w:val="000000" w:themeColor="text1"/>
        </w:rPr>
        <w:t>Ключевые слова:</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Президент Республики Беларусь; Администрация Президента Республики Беларусь;</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Президент Республики Таджикистан; Исполнительный аппарат Президента Республики Таджикистан; Национальный центр законодательства и правовых исследований Республики Беларусь; Национальный центр правовой информации Республики Беларусь; Национальный центр законодательства при Президенте Республики Таджикистан; нормотворчество; нормотворческая деятельность; нормативный правовой акт; правотворчество.</w:t>
      </w:r>
    </w:p>
    <w:p w:rsidR="00FB1C3D" w:rsidRPr="00DA76A7" w:rsidRDefault="00FB1C3D" w:rsidP="00FB1C3D">
      <w:pPr>
        <w:ind w:firstLine="567"/>
        <w:jc w:val="both"/>
        <w:rPr>
          <w:rFonts w:ascii="Arial" w:hAnsi="Arial" w:cs="Arial"/>
          <w:b/>
          <w:color w:val="000000" w:themeColor="text1"/>
          <w:sz w:val="22"/>
          <w:szCs w:val="22"/>
          <w:lang w:val="en-US"/>
        </w:rPr>
      </w:pPr>
      <w:r w:rsidRPr="00DA76A7">
        <w:rPr>
          <w:rFonts w:ascii="Arial" w:hAnsi="Arial" w:cs="Arial"/>
          <w:b/>
          <w:i/>
          <w:color w:val="000000" w:themeColor="text1"/>
          <w:lang w:val="en-US"/>
        </w:rPr>
        <w:t>Key words:</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President of Republic of Belarus; Administration of the President of Republic of Belarus; President of the Republic of Tajikistan; Executive office of the President of the Republic of Tajikistan; National center of the legislation and legal researches of Republic of Belarus; National center of legal information of Republic of Belarus; The National center of the legislation at</w:t>
      </w:r>
      <w:r w:rsidRPr="00DA76A7">
        <w:rPr>
          <w:rFonts w:ascii="Arial" w:hAnsi="Arial" w:cs="Arial"/>
          <w:color w:val="000000" w:themeColor="text1"/>
          <w:sz w:val="22"/>
          <w:szCs w:val="22"/>
          <w:lang w:val="en-US"/>
        </w:rPr>
        <w:t xml:space="preserve"> the President of the Republic of Tajikistan; rule-making; rule-making activity; regulatory legal act; law-making.</w:t>
      </w:r>
    </w:p>
    <w:p w:rsidR="00FB1C3D" w:rsidRPr="00DA76A7" w:rsidRDefault="00FB1C3D" w:rsidP="00FB1C3D">
      <w:pPr>
        <w:ind w:firstLine="567"/>
        <w:jc w:val="both"/>
        <w:rPr>
          <w:rFonts w:ascii="Arial" w:hAnsi="Arial" w:cs="Arial"/>
          <w:color w:val="000000" w:themeColor="text1"/>
          <w:sz w:val="22"/>
          <w:szCs w:val="22"/>
          <w:lang w:val="en-US"/>
        </w:rPr>
      </w:pP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сегодняшний день в Республике Беларусь Главой государства принят целый ряд значимых мер по совершенствованию организационно-правового механизма подготовки и принятия нормативных правовых актов в республике. К ним относится создание оптимальной системы координации нормотворческой деятельности, образование национальных центров в сфере нормотворчества и правовой информации, принятие стратегической концепции совершенствования законодательства, издание законодательных актов, предусматривающих комплекс мер по упорядочению подготовки проектов правовых актов и взаимодействия нормотворческих органов, внедрение новых информационных технологий в сфере нормотворчества. Между тем в Республике Таджикистан также приняты и принимаются в настоящее время меры в целях дальнейшего развития</w:t>
      </w:r>
      <w:r w:rsidRPr="00DA76A7">
        <w:rPr>
          <w:rFonts w:ascii="Arial" w:hAnsi="Arial" w:cs="Arial"/>
          <w:color w:val="000000" w:themeColor="text1"/>
          <w:sz w:val="22"/>
          <w:szCs w:val="22"/>
          <w:lang w:val="tg-Cyrl-TJ"/>
        </w:rPr>
        <w:t xml:space="preserve"> </w:t>
      </w:r>
      <w:r w:rsidRPr="00DA76A7">
        <w:rPr>
          <w:rFonts w:ascii="Arial" w:hAnsi="Arial" w:cs="Arial"/>
          <w:color w:val="000000" w:themeColor="text1"/>
          <w:sz w:val="22"/>
          <w:szCs w:val="22"/>
        </w:rPr>
        <w:t>правотворческой деятельности в республике. Тому подтверждение – недавно утвержденная Указом Президента Республики Таджикистан от 6 февраля 2018 г. № 1005 Концепция правовой политики Республики Таджикистан на 2018–2028 годы [1].</w:t>
      </w:r>
    </w:p>
    <w:p w:rsidR="00FB1C3D" w:rsidRPr="00DA76A7" w:rsidRDefault="00FB1C3D" w:rsidP="00FB1C3D">
      <w:pPr>
        <w:pStyle w:val="articleintext"/>
        <w:rPr>
          <w:rFonts w:ascii="Arial" w:hAnsi="Arial" w:cs="Arial"/>
          <w:color w:val="000000" w:themeColor="text1"/>
          <w:sz w:val="22"/>
          <w:szCs w:val="22"/>
        </w:rPr>
      </w:pPr>
      <w:r w:rsidRPr="00DA76A7">
        <w:rPr>
          <w:rFonts w:ascii="Arial" w:hAnsi="Arial" w:cs="Arial"/>
          <w:color w:val="000000" w:themeColor="text1"/>
          <w:sz w:val="22"/>
          <w:szCs w:val="22"/>
        </w:rPr>
        <w:t xml:space="preserve">Что касается нормотворческой деятельности Главы Белорусского государства, то в соответствии с Конституцией Республики Беларусь [2], Законом Республики Беларусь «О Президенте Республики Беларусь» [3] Президент на основе и в соответствии с Конституцией издает </w:t>
      </w:r>
      <w:r w:rsidRPr="00DA76A7">
        <w:rPr>
          <w:rFonts w:ascii="Arial" w:hAnsi="Arial" w:cs="Arial"/>
          <w:color w:val="000000" w:themeColor="text1"/>
          <w:sz w:val="22"/>
          <w:szCs w:val="22"/>
          <w:lang w:val="be-BY"/>
        </w:rPr>
        <w:t xml:space="preserve">декреты, </w:t>
      </w:r>
      <w:r w:rsidRPr="00DA76A7">
        <w:rPr>
          <w:rFonts w:ascii="Arial" w:hAnsi="Arial" w:cs="Arial"/>
          <w:color w:val="000000" w:themeColor="text1"/>
          <w:sz w:val="22"/>
          <w:szCs w:val="22"/>
        </w:rPr>
        <w:t>указы и распоряжения, имеющие обязательную силу на всей территории Республики Беларусь. Президент непосредственно или через создаваемые им органы обеспечивает исполнение декретов, указов и распоряжений.</w:t>
      </w:r>
    </w:p>
    <w:p w:rsidR="00FB1C3D" w:rsidRPr="00DA76A7" w:rsidRDefault="00FB1C3D" w:rsidP="00FB1C3D">
      <w:pPr>
        <w:pStyle w:val="articleintext"/>
        <w:rPr>
          <w:rFonts w:ascii="Arial" w:hAnsi="Arial" w:cs="Arial"/>
          <w:color w:val="000000" w:themeColor="text1"/>
          <w:sz w:val="22"/>
          <w:szCs w:val="22"/>
        </w:rPr>
      </w:pPr>
      <w:r w:rsidRPr="00DA76A7">
        <w:rPr>
          <w:rFonts w:ascii="Arial" w:hAnsi="Arial" w:cs="Arial"/>
          <w:color w:val="000000" w:themeColor="text1"/>
          <w:sz w:val="22"/>
          <w:szCs w:val="22"/>
        </w:rPr>
        <w:t xml:space="preserve">Особый интерес здесь представляет издание Президентом Республики Беларусь декретов. В случаях, предусмотренных Конституцией, Глава Белорусского государства издает данный вид акта, имеющий силу законов. Декреты Президента могут быть двух видов – декреты, издаваемые на основании закона о делегировании Президенту законодательных полномочий, и временные декреты. Декреты и временные декреты имеют силу закона. </w:t>
      </w:r>
    </w:p>
    <w:p w:rsidR="00FB1C3D" w:rsidRPr="00DA76A7" w:rsidRDefault="00FB1C3D" w:rsidP="00FB1C3D">
      <w:pPr>
        <w:pStyle w:val="newncpi"/>
        <w:rPr>
          <w:rFonts w:ascii="Arial" w:hAnsi="Arial" w:cs="Arial"/>
          <w:color w:val="000000" w:themeColor="text1"/>
          <w:sz w:val="22"/>
          <w:szCs w:val="22"/>
        </w:rPr>
      </w:pPr>
      <w:r w:rsidRPr="00DA76A7">
        <w:rPr>
          <w:rFonts w:ascii="Arial" w:hAnsi="Arial" w:cs="Arial"/>
          <w:color w:val="000000" w:themeColor="text1"/>
          <w:sz w:val="22"/>
          <w:szCs w:val="22"/>
        </w:rPr>
        <w:t>Проект закона о делегировании Президенту законодательных полномочий может вноситься в Палату представителей Президентом. Проект закона должен определять круг отношений, регулируемых декретом, и срок полномочий Президента на издание декрета. При этом не допускается делегирование полномочий Президенту на издание декретов, предусматривающих изменение и дополнение Конституции, ее толкование; изменение и дополнение программных законов; утверждение республиканского бюджета и отчетов о его исполнении; изменение порядка выборов Президента и Парламента Республики Беларусь, ограничение конституционных прав и свобод граждан. Закон о делегировании законодательных полномочий Президенту не может разрешать ему изменение этого закона, а также предоставлять право принимать нормы, имеющие обратную силу.</w:t>
      </w:r>
    </w:p>
    <w:p w:rsidR="00FB1C3D" w:rsidRPr="00DA76A7" w:rsidRDefault="00FB1C3D" w:rsidP="00FB1C3D">
      <w:pPr>
        <w:pStyle w:val="articleintext"/>
        <w:rPr>
          <w:rFonts w:ascii="Arial" w:hAnsi="Arial" w:cs="Arial"/>
          <w:color w:val="000000" w:themeColor="text1"/>
          <w:sz w:val="22"/>
          <w:szCs w:val="22"/>
        </w:rPr>
      </w:pPr>
      <w:r w:rsidRPr="0088604F">
        <w:rPr>
          <w:rStyle w:val="articlec"/>
          <w:rFonts w:ascii="Arial" w:hAnsi="Arial" w:cs="Arial"/>
          <w:b w:val="0"/>
          <w:color w:val="000000" w:themeColor="text1"/>
          <w:sz w:val="22"/>
          <w:szCs w:val="22"/>
        </w:rPr>
        <w:t>Вместе с тем</w:t>
      </w:r>
      <w:r w:rsidRPr="00DA76A7">
        <w:rPr>
          <w:rStyle w:val="articlec"/>
          <w:rFonts w:ascii="Arial" w:hAnsi="Arial" w:cs="Arial"/>
          <w:color w:val="000000" w:themeColor="text1"/>
          <w:sz w:val="22"/>
          <w:szCs w:val="22"/>
        </w:rPr>
        <w:t xml:space="preserve"> </w:t>
      </w:r>
      <w:r w:rsidRPr="00DA76A7">
        <w:rPr>
          <w:rFonts w:ascii="Arial" w:hAnsi="Arial" w:cs="Arial"/>
          <w:color w:val="000000" w:themeColor="text1"/>
          <w:sz w:val="22"/>
          <w:szCs w:val="22"/>
        </w:rPr>
        <w:t>временные декреты издаются Президентом Республики Беларусь в силу особой необходимости без делегирования на то законодательных полномочий.</w:t>
      </w:r>
    </w:p>
    <w:p w:rsidR="00FB1C3D" w:rsidRPr="00DA76A7" w:rsidRDefault="00FB1C3D" w:rsidP="00FB1C3D">
      <w:pPr>
        <w:pStyle w:val="newncpi"/>
        <w:rPr>
          <w:rFonts w:ascii="Arial" w:hAnsi="Arial" w:cs="Arial"/>
          <w:color w:val="000000" w:themeColor="text1"/>
          <w:sz w:val="22"/>
          <w:szCs w:val="22"/>
        </w:rPr>
      </w:pPr>
      <w:r w:rsidRPr="00DA76A7">
        <w:rPr>
          <w:rFonts w:ascii="Arial" w:hAnsi="Arial" w:cs="Arial"/>
          <w:color w:val="000000" w:themeColor="text1"/>
          <w:sz w:val="22"/>
          <w:szCs w:val="22"/>
        </w:rPr>
        <w:t>Инициатором издания временных декретов может выступить Президент или Совет Министров Республики Беларусь. Если временный декрет издается по предложению Совета Министров Республики Беларусь, он должен быть скреплен подписью Премьер-министра Республики Беларусь.</w:t>
      </w:r>
    </w:p>
    <w:p w:rsidR="00FB1C3D" w:rsidRPr="00DA76A7" w:rsidRDefault="00FB1C3D" w:rsidP="00FB1C3D">
      <w:pPr>
        <w:pStyle w:val="newncpi"/>
        <w:rPr>
          <w:rFonts w:ascii="Arial" w:hAnsi="Arial" w:cs="Arial"/>
          <w:color w:val="000000" w:themeColor="text1"/>
          <w:sz w:val="22"/>
          <w:szCs w:val="22"/>
        </w:rPr>
      </w:pPr>
      <w:r w:rsidRPr="00DA76A7">
        <w:rPr>
          <w:rFonts w:ascii="Arial" w:hAnsi="Arial" w:cs="Arial"/>
          <w:color w:val="000000" w:themeColor="text1"/>
          <w:sz w:val="22"/>
          <w:szCs w:val="22"/>
        </w:rPr>
        <w:t>Президент не может издавать временные декреты по тем же вопросам, что и декреты, издаваемые на основе закона о делегировании Президенту законодательных полномочий, за исключением случаев принятия мер, предусмотренных ч. 2 с. 79 Конституции Республики Беларусь.</w:t>
      </w:r>
    </w:p>
    <w:p w:rsidR="00FB1C3D" w:rsidRPr="00DA76A7" w:rsidRDefault="00FB1C3D" w:rsidP="00FB1C3D">
      <w:pPr>
        <w:pStyle w:val="newncpi"/>
        <w:rPr>
          <w:rFonts w:ascii="Arial" w:hAnsi="Arial" w:cs="Arial"/>
          <w:color w:val="000000" w:themeColor="text1"/>
          <w:sz w:val="22"/>
          <w:szCs w:val="22"/>
        </w:rPr>
      </w:pPr>
      <w:r w:rsidRPr="00DA76A7">
        <w:rPr>
          <w:rFonts w:ascii="Arial" w:hAnsi="Arial" w:cs="Arial"/>
          <w:color w:val="000000" w:themeColor="text1"/>
          <w:sz w:val="22"/>
          <w:szCs w:val="22"/>
        </w:rPr>
        <w:t>Отношения, возникшие или приобретшие качественно новое состояние со вступлением в силу временного декрета, после отмены данного временного декрета могут регулироваться законом. При необходимости регулирования таких отношений палаты Национального собрания Республики Беларусь одновременно с принятием решений об отмене временного декрета обязаны принять соответствующий закон.</w:t>
      </w:r>
    </w:p>
    <w:p w:rsidR="00FB1C3D" w:rsidRPr="00DA76A7" w:rsidRDefault="00FB1C3D" w:rsidP="00FB1C3D">
      <w:pPr>
        <w:pStyle w:val="newncpi"/>
        <w:rPr>
          <w:rFonts w:ascii="Arial" w:hAnsi="Arial" w:cs="Arial"/>
          <w:color w:val="000000" w:themeColor="text1"/>
          <w:sz w:val="22"/>
          <w:szCs w:val="22"/>
        </w:rPr>
      </w:pPr>
      <w:r w:rsidRPr="00DA76A7">
        <w:rPr>
          <w:rFonts w:ascii="Arial" w:hAnsi="Arial" w:cs="Arial"/>
          <w:color w:val="000000" w:themeColor="text1"/>
          <w:sz w:val="22"/>
          <w:szCs w:val="22"/>
        </w:rPr>
        <w:t>Палаты Национального собрания Республики Беларусь могут принять закон, по содержанию совпадающий с соответствующим временным декретом. Со вступлением такого закона в силу временный декрет утрачивает свою силу. При принятии закона, частично совпадающего по содержанию с временным декретом, этот декрет сохраняет свою силу в части, не урегулированной таким законом, если временный декрет в данной части не отменен в установленном порядке палатами Национального собрания Республики Беларусь.</w:t>
      </w:r>
    </w:p>
    <w:p w:rsidR="00FB1C3D" w:rsidRPr="00DA76A7" w:rsidRDefault="00FB1C3D" w:rsidP="00FB1C3D">
      <w:pPr>
        <w:pStyle w:val="newncpi"/>
        <w:rPr>
          <w:rFonts w:ascii="Arial" w:hAnsi="Arial" w:cs="Arial"/>
          <w:color w:val="000000" w:themeColor="text1"/>
          <w:sz w:val="22"/>
          <w:szCs w:val="22"/>
        </w:rPr>
      </w:pPr>
      <w:r w:rsidRPr="00DA76A7">
        <w:rPr>
          <w:rFonts w:ascii="Arial" w:hAnsi="Arial" w:cs="Arial"/>
          <w:color w:val="000000" w:themeColor="text1"/>
          <w:sz w:val="22"/>
          <w:szCs w:val="22"/>
        </w:rPr>
        <w:t xml:space="preserve">В Республике Беларусь принята практика издания Главой государства только временных декретов, с помощью которых решено значительное количество проблем в сфере развития национальной экономики, социальной политики государства и реализации конституционных прав и свобод граждан. </w:t>
      </w:r>
    </w:p>
    <w:p w:rsidR="00FB1C3D" w:rsidRPr="00DA76A7" w:rsidRDefault="00FB1C3D" w:rsidP="00FB1C3D">
      <w:pPr>
        <w:pStyle w:val="newncpi"/>
        <w:rPr>
          <w:rFonts w:ascii="Arial" w:hAnsi="Arial" w:cs="Arial"/>
          <w:color w:val="000000" w:themeColor="text1"/>
          <w:sz w:val="22"/>
          <w:szCs w:val="22"/>
        </w:rPr>
      </w:pPr>
      <w:r w:rsidRPr="00DA76A7">
        <w:rPr>
          <w:rFonts w:ascii="Arial" w:hAnsi="Arial" w:cs="Arial"/>
          <w:color w:val="000000" w:themeColor="text1"/>
          <w:sz w:val="22"/>
          <w:szCs w:val="22"/>
        </w:rPr>
        <w:t>Указ Президента Республики Беларусь – нормативный правовой акт Главы государства, издаваемый в целях реализации его полномочий и устанавливающий (изменяющий, отменяющий) определенные правовые нормы [</w:t>
      </w:r>
      <w:r w:rsidRPr="00DA76A7">
        <w:rPr>
          <w:rFonts w:ascii="Arial" w:hAnsi="Arial" w:cs="Arial"/>
          <w:color w:val="000000" w:themeColor="text1"/>
          <w:sz w:val="22"/>
          <w:szCs w:val="22"/>
          <w:lang w:val="be-BY"/>
        </w:rPr>
        <w:t>4</w:t>
      </w:r>
      <w:r w:rsidRPr="00DA76A7">
        <w:rPr>
          <w:rFonts w:ascii="Arial" w:hAnsi="Arial" w:cs="Arial"/>
          <w:color w:val="000000" w:themeColor="text1"/>
          <w:sz w:val="22"/>
          <w:szCs w:val="22"/>
        </w:rPr>
        <w:t>]. Такой вид акта Президента является основным издаваемым Президентом Республики Беларусь нормативным правовым актом и направлен на реализацию Конституции и законов Республики Беларусь в интересах государства и белорусского народа.</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Распоряжение Президента Республики Беларусь – правовой акт, принимаемый (издаваемый) с целью осуществления конкретных (разовых) организационных, контрольных или распорядительных мероприятий либо рассчитанный на иное однократное применение, не являющийся нормативным (если иное не предусмотрено Президентом Республики Беларусь) [</w:t>
      </w:r>
      <w:r w:rsidRPr="00DA76A7">
        <w:rPr>
          <w:rFonts w:ascii="Arial" w:hAnsi="Arial" w:cs="Arial"/>
          <w:color w:val="000000" w:themeColor="text1"/>
          <w:sz w:val="22"/>
          <w:szCs w:val="22"/>
          <w:lang w:val="be-BY"/>
        </w:rPr>
        <w:t>4</w:t>
      </w:r>
      <w:r w:rsidRPr="00DA76A7">
        <w:rPr>
          <w:rFonts w:ascii="Arial" w:hAnsi="Arial" w:cs="Arial"/>
          <w:color w:val="000000" w:themeColor="text1"/>
          <w:sz w:val="22"/>
          <w:szCs w:val="22"/>
        </w:rPr>
        <w:t>].</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Глава Белорусского государства вправе издавать директивы – указы программного характера, издаваемые им в целях системного решения вопросов, имеющих приоритетное политическое, социальное и экономическое значение [</w:t>
      </w:r>
      <w:r w:rsidRPr="00DA76A7">
        <w:rPr>
          <w:rFonts w:ascii="Arial" w:hAnsi="Arial" w:cs="Arial"/>
          <w:color w:val="000000" w:themeColor="text1"/>
          <w:sz w:val="22"/>
          <w:szCs w:val="22"/>
          <w:lang w:val="be-BY"/>
        </w:rPr>
        <w:t>4</w:t>
      </w:r>
      <w:r w:rsidRPr="00DA76A7">
        <w:rPr>
          <w:rFonts w:ascii="Arial" w:hAnsi="Arial" w:cs="Arial"/>
          <w:color w:val="000000" w:themeColor="text1"/>
          <w:sz w:val="22"/>
          <w:szCs w:val="22"/>
        </w:rPr>
        <w:t xml:space="preserve">]. </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отличие от нормотворческой деятельности Главы Белорусского государства, главная особенность правотворческой деятельности Президента Республики Таджикистан – его участие в этой деятельности в двух качествах: как Главы государства и как Главы исполнительной власти. В соответствии со ст. 70 Конституции Таджикистана Президент в пределах своих полномочий издает указы и распоряжения [5]. Согласно ст. 20 Закона РТ «О нормативных правовых актах», указ Президента является нормативным правовым актом, однако этот же закон предусматривает принятие указов, не имеющих нормативного характера [6]. Распоряжения Президента Республики Таджикистан также являются ненормативными.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Другой формой правотворческой деятельности Президента Республики Таджикистан выступает руководство всей правотворческой деятельностью Правительства. Согласно ст. 29 Конституционного Закона Республики Таджикистан «О Правительстве Республики Таджикистан» </w:t>
      </w:r>
      <w:r w:rsidRPr="00DA76A7">
        <w:rPr>
          <w:rFonts w:ascii="Arial" w:hAnsi="Arial" w:cs="Arial"/>
          <w:bCs/>
          <w:color w:val="000000" w:themeColor="text1"/>
          <w:sz w:val="22"/>
          <w:szCs w:val="22"/>
        </w:rPr>
        <w:t>Правительство в соответствии с Конституцией, настоящим Конституционным законом и законами Республики Таджикистан принимает постановления и издает распоряжения, исполнение которых на территории Республики Таджикистан обязательно.</w:t>
      </w:r>
      <w:r w:rsidRPr="00DA76A7">
        <w:rPr>
          <w:rFonts w:ascii="Arial" w:hAnsi="Arial" w:cs="Arial"/>
          <w:color w:val="000000" w:themeColor="text1"/>
          <w:sz w:val="22"/>
          <w:szCs w:val="22"/>
        </w:rPr>
        <w:t xml:space="preserve"> Акты, имеющие нормативный характер, издаются в форме постановлений Правительства Республики Таджикистан. Акты по оперативным и другим текущим вопросам, не имеющие нормативного характера, издаются в форме распоряжений. Акты Правительства Республики Таджикистан подписываются его Председателем [7].</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Правительство Республики Таджикистан – координирующий орган во всей системе деятельности органов исполнительной власти, в том числе и в вопросе правотворчества. Организационным же органом в процессе правотворческой деятельности выступает Исполнительный аппарат Президента Республики Таджикистан. </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Республике Беларусь для надлежащего обеспечения реализации задач и функций Главы государства, в том числе нормотворческих, функционирует аппарат Президента, основное место в котором занимает Администрация Президента Республики Беларусь.</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соответствии с Положением об Администрации Президента Республики Беларусь, утвержденным Указом Президента Республики Беларусь от </w:t>
      </w:r>
      <w:r w:rsidRPr="00DA76A7">
        <w:rPr>
          <w:rStyle w:val="datepr"/>
          <w:rFonts w:ascii="Arial" w:hAnsi="Arial" w:cs="Arial"/>
          <w:color w:val="000000" w:themeColor="text1"/>
          <w:sz w:val="22"/>
          <w:szCs w:val="22"/>
        </w:rPr>
        <w:t>13 февраля 2017 г.</w:t>
      </w:r>
      <w:r w:rsidRPr="00DA76A7">
        <w:rPr>
          <w:rStyle w:val="number"/>
          <w:rFonts w:ascii="Arial" w:hAnsi="Arial" w:cs="Arial"/>
          <w:color w:val="000000" w:themeColor="text1"/>
          <w:sz w:val="22"/>
          <w:szCs w:val="22"/>
        </w:rPr>
        <w:t xml:space="preserve"> № 40 [8], </w:t>
      </w:r>
      <w:r w:rsidRPr="00DA76A7">
        <w:rPr>
          <w:rFonts w:ascii="Arial" w:hAnsi="Arial" w:cs="Arial"/>
          <w:color w:val="000000" w:themeColor="text1"/>
          <w:sz w:val="22"/>
          <w:szCs w:val="22"/>
        </w:rPr>
        <w:t>Администрация Президента Республики Беларусь является органом государственного управления, который обеспечивает деятельность Президента Республики Беларусь и осуществляет контроль за исполнением его решений.</w:t>
      </w:r>
    </w:p>
    <w:p w:rsidR="00FB1C3D" w:rsidRPr="00DA76A7" w:rsidRDefault="00FB1C3D" w:rsidP="00FB1C3D">
      <w:pPr>
        <w:pStyle w:val="underpoint"/>
        <w:rPr>
          <w:rFonts w:ascii="Arial" w:hAnsi="Arial" w:cs="Arial"/>
          <w:color w:val="000000" w:themeColor="text1"/>
          <w:sz w:val="22"/>
          <w:szCs w:val="22"/>
        </w:rPr>
      </w:pPr>
      <w:r w:rsidRPr="00DA76A7">
        <w:rPr>
          <w:rFonts w:ascii="Arial" w:hAnsi="Arial" w:cs="Arial"/>
          <w:color w:val="000000" w:themeColor="text1"/>
          <w:sz w:val="22"/>
          <w:szCs w:val="22"/>
        </w:rPr>
        <w:t>Наряду с выполнением других основных функций на Администрацию Президента Республики Беларусь в области нормотворчества возложены:</w:t>
      </w:r>
    </w:p>
    <w:p w:rsidR="00FB1C3D" w:rsidRPr="00DA76A7" w:rsidRDefault="00FB1C3D" w:rsidP="00FB1C3D">
      <w:pPr>
        <w:pStyle w:val="underpoint"/>
        <w:rPr>
          <w:rFonts w:ascii="Arial" w:hAnsi="Arial" w:cs="Arial"/>
          <w:color w:val="000000" w:themeColor="text1"/>
          <w:sz w:val="22"/>
          <w:szCs w:val="22"/>
        </w:rPr>
      </w:pPr>
      <w:r w:rsidRPr="00DA76A7">
        <w:rPr>
          <w:rFonts w:ascii="Arial" w:hAnsi="Arial" w:cs="Arial"/>
          <w:color w:val="000000" w:themeColor="text1"/>
          <w:sz w:val="22"/>
          <w:szCs w:val="22"/>
        </w:rPr>
        <w:t xml:space="preserve"> правовое обеспечение деятельности Президента Республики Беларусь, а также реализации им права законодательной инициативы;</w:t>
      </w:r>
    </w:p>
    <w:p w:rsidR="00FB1C3D" w:rsidRPr="00DA76A7" w:rsidRDefault="00FB1C3D" w:rsidP="00FB1C3D">
      <w:pPr>
        <w:pStyle w:val="underpoint"/>
        <w:rPr>
          <w:rFonts w:ascii="Arial" w:hAnsi="Arial" w:cs="Arial"/>
          <w:color w:val="000000" w:themeColor="text1"/>
          <w:sz w:val="22"/>
          <w:szCs w:val="22"/>
        </w:rPr>
      </w:pPr>
      <w:r w:rsidRPr="00DA76A7">
        <w:rPr>
          <w:rFonts w:ascii="Arial" w:hAnsi="Arial" w:cs="Arial"/>
          <w:color w:val="000000" w:themeColor="text1"/>
          <w:sz w:val="22"/>
          <w:szCs w:val="22"/>
        </w:rPr>
        <w:t>подготовка проектов правовых актов Президента Республики Беларусь, а также организация проведения (проведение) обязательной юридической экспертизы проектов правовых актов, вносимых на рассмотрение Президента Республики Беларусь иными государственными органами и организациями в порядке, определенном законодательными актами;</w:t>
      </w:r>
    </w:p>
    <w:p w:rsidR="00FB1C3D" w:rsidRPr="00DA76A7" w:rsidRDefault="00FB1C3D" w:rsidP="00FB1C3D">
      <w:pPr>
        <w:pStyle w:val="underpoint"/>
        <w:rPr>
          <w:rFonts w:ascii="Arial" w:hAnsi="Arial" w:cs="Arial"/>
          <w:color w:val="000000" w:themeColor="text1"/>
          <w:sz w:val="22"/>
          <w:szCs w:val="22"/>
        </w:rPr>
      </w:pPr>
      <w:r w:rsidRPr="00DA76A7">
        <w:rPr>
          <w:rFonts w:ascii="Arial" w:hAnsi="Arial" w:cs="Arial"/>
          <w:color w:val="000000" w:themeColor="text1"/>
          <w:sz w:val="22"/>
          <w:szCs w:val="22"/>
        </w:rPr>
        <w:t>согласование от имени Президента Республики Беларусь законопроектов в Палате представителей Национального собрания Республики Беларусь в порядке, установленном Президентом Республики Беларусь;</w:t>
      </w:r>
    </w:p>
    <w:p w:rsidR="00FB1C3D" w:rsidRPr="00DA76A7" w:rsidRDefault="00FB1C3D" w:rsidP="00FB1C3D">
      <w:pPr>
        <w:pStyle w:val="underpoint"/>
        <w:rPr>
          <w:rFonts w:ascii="Arial" w:hAnsi="Arial" w:cs="Arial"/>
          <w:color w:val="000000" w:themeColor="text1"/>
          <w:sz w:val="22"/>
          <w:szCs w:val="22"/>
        </w:rPr>
      </w:pPr>
      <w:r w:rsidRPr="00DA76A7">
        <w:rPr>
          <w:rFonts w:ascii="Arial" w:hAnsi="Arial" w:cs="Arial"/>
          <w:color w:val="000000" w:themeColor="text1"/>
          <w:sz w:val="22"/>
          <w:szCs w:val="22"/>
        </w:rPr>
        <w:t>внесение на рассмотрение Президента Республики Беларусь проектов правовых актов, законов Республики Беларусь, представленных Главе государства на подпись, аналитических и иных материалов;</w:t>
      </w:r>
    </w:p>
    <w:p w:rsidR="00FB1C3D" w:rsidRPr="00DA76A7" w:rsidRDefault="00FB1C3D" w:rsidP="00FB1C3D">
      <w:pPr>
        <w:pStyle w:val="underpoint"/>
        <w:rPr>
          <w:rFonts w:ascii="Arial" w:hAnsi="Arial" w:cs="Arial"/>
          <w:color w:val="000000" w:themeColor="text1"/>
          <w:sz w:val="22"/>
          <w:szCs w:val="22"/>
        </w:rPr>
      </w:pPr>
      <w:r w:rsidRPr="00DA76A7">
        <w:rPr>
          <w:rFonts w:ascii="Arial" w:hAnsi="Arial" w:cs="Arial"/>
          <w:color w:val="000000" w:themeColor="text1"/>
          <w:sz w:val="22"/>
          <w:szCs w:val="22"/>
        </w:rPr>
        <w:t>организация по поручению Президента Республики Беларусь либо по собственной инициативе мониторинга практики применения правовых актов Президента Республики Беларусь, выполнения иных решений Главы государства, подготовка и внесение на рассмотрение Президента Республики Беларусь, направление в государственные органы и иные организации предложений по устранению выявленных недостатков;</w:t>
      </w:r>
    </w:p>
    <w:p w:rsidR="00FB1C3D" w:rsidRPr="00DA76A7" w:rsidRDefault="00FB1C3D" w:rsidP="00FB1C3D">
      <w:pPr>
        <w:pStyle w:val="underpoint"/>
        <w:rPr>
          <w:rFonts w:ascii="Arial" w:hAnsi="Arial" w:cs="Arial"/>
          <w:color w:val="000000" w:themeColor="text1"/>
          <w:sz w:val="22"/>
          <w:szCs w:val="22"/>
        </w:rPr>
      </w:pPr>
      <w:r w:rsidRPr="00DA76A7">
        <w:rPr>
          <w:rFonts w:ascii="Arial" w:hAnsi="Arial" w:cs="Arial"/>
          <w:color w:val="000000" w:themeColor="text1"/>
          <w:sz w:val="22"/>
          <w:szCs w:val="22"/>
        </w:rPr>
        <w:t>координация деятельности государственных органов и иных организаций в области права, в том числе по вопросам нормотворческой деятельности, правоприменительной практики и распространения (предоставления) правовой информации.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значительная роль в повышении качества нормотворческой деятельности и правовой информатизации в Республике Беларусь отведена Национальному центру законодательства и правовых исследований и Национальному центру правовой информации, общее руководство которыми осуществляет Администрация Президента, в Республике Таджикистан – Национальному центру законодательства при Президенте Республики Таджикистан (далее – НЦЗПРТ), который подчинен непосредственно Президенту республики.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Беларуси в 2007 г. был создан Национальный центр законодательства и правовых исследований Республики Беларусь </w:t>
      </w:r>
      <w:r w:rsidRPr="00DA76A7">
        <w:rPr>
          <w:rFonts w:ascii="Arial" w:hAnsi="Arial" w:cs="Arial"/>
          <w:color w:val="000000" w:themeColor="text1"/>
          <w:sz w:val="22"/>
          <w:szCs w:val="22"/>
          <w:lang w:val="be-BY"/>
        </w:rPr>
        <w:t xml:space="preserve">(далее – НЦЗПИ) </w:t>
      </w:r>
      <w:r w:rsidRPr="00DA76A7">
        <w:rPr>
          <w:rFonts w:ascii="Arial" w:hAnsi="Arial" w:cs="Arial"/>
          <w:color w:val="000000" w:themeColor="text1"/>
          <w:sz w:val="22"/>
          <w:szCs w:val="22"/>
        </w:rPr>
        <w:t>на базе Национального центра законопроектной деятельности при Президенте Республики Беларусь [9</w:t>
      </w:r>
      <w:r w:rsidRPr="00DA76A7">
        <w:rPr>
          <w:rFonts w:ascii="Arial" w:hAnsi="Arial" w:cs="Arial"/>
          <w:bCs/>
          <w:color w:val="000000" w:themeColor="text1"/>
          <w:sz w:val="22"/>
          <w:szCs w:val="22"/>
        </w:rPr>
        <w:t>].</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Основными функциями НЦЗПИ являются:</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разработка ежегодных планов подготовки законопроектов, концепций проектов законов, внесение их в установленном порядке на утверждение (одобрение, согласование) Президента Республики Беларусь, осуществление контроля за реализацией планов подготовки законопроектов;</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осуществление организационно-методологического обеспечения подготовки проектов законодательных актов, а также разработка, обобщение и внедрение передовых технологий подготовки проектов правовых актов;</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непосредственная разработка проектов законов, за исключением проектов, подготовка которых возложена на другие государственные органы (организации);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непосредственная разработка проектов правовых актов Президента Республики Беларусь и Администрации Президента Республики Беларусь, международных договоров Республики Беларусь и иных международно-правовых актов, подготовка которых возложена на Центр;</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подготовка проектов правовых актов, международных договоров Республики Беларусь и иных международно-правовых актов на основе заключенных договоров;</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проведение обязательной юридической экспертизы проектов законов, вносимых в Палату представителей Национального собрания Республики Беларусь, изменений и (или) дополнений, внесенных в законопроекты в Палате представителей Национального собрания Республики Беларусь;</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разработка приоритетных направлений научно-правовых исследований, а также самостоятельное проведение в порядке, установленном законодательством, научных исследований и разработок в области права, включая фундаментальные и прикладные исследования, экспериментальные работы, направленные на увеличение объема знаний в области права и повышение эффективности использования этих знаний, в том числе с целью обеспечения нормотворческой деятельности;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проведение аналитических и научных исследований состояния, тенденций развития и практики применения законодательства, выработка предложений о направлениях его совершенствования в соответствии с утвержденными планами, по поручению Президента Республики Беларусь или Администрации Президента Республики Беларусь либо на основе заключенных договоров и др.</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Указом Президента Республики Беларусь от 30 июня 1997 г. № 338 в целях создания в Республике Беларусь единой системы правовой информации и совершенствования эталонной базы правовых актов на базе Республиканского центра правовой информации НИИ проблем криминологии, криминалистики и судебной экспертизы Минюста был образован Национальный центр правовой информации (далее – НЦПИ) [</w:t>
      </w:r>
      <w:r w:rsidRPr="00DA76A7">
        <w:rPr>
          <w:rFonts w:ascii="Arial" w:hAnsi="Arial" w:cs="Arial"/>
          <w:color w:val="000000" w:themeColor="text1"/>
          <w:sz w:val="22"/>
          <w:szCs w:val="22"/>
          <w:lang w:val="be-BY"/>
        </w:rPr>
        <w:t>10</w:t>
      </w:r>
      <w:r w:rsidRPr="00DA76A7">
        <w:rPr>
          <w:rFonts w:ascii="Arial" w:hAnsi="Arial" w:cs="Arial"/>
          <w:color w:val="000000" w:themeColor="text1"/>
          <w:sz w:val="22"/>
          <w:szCs w:val="22"/>
        </w:rPr>
        <w:t>].</w:t>
      </w:r>
    </w:p>
    <w:p w:rsidR="00FB1C3D" w:rsidRPr="00DA76A7" w:rsidRDefault="00FB1C3D" w:rsidP="00FB1C3D">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соответствии с Положением о НЦПИ, утвержденным Указом Президента Республики Беларусь от 30 октября 1998 г. № 524 «О мерах по совершенствованию государственной системы правовой информации» [11], НЦПИ является центральным государственным научно-практическим учреждением, осуществляющим сбор, учет, обработку, хранение, систематизацию и актуализацию эталонной правовой информации, ее распространение (предоставление), а также официальное опубликование правовых актов. НЦПИ находится в подчинении Администрации Президента Республики Беларусь. </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НЦПИ реализует следующие функции: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осуществляет организационно-методическое обеспечение функционирования и развития государственной системы правовой информации Республики Беларусь, деятельности по распространению (предоставлению) правовой информации в Республике Беларусь;</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осуществляет сбор правовой информации в порядке, установленном законодательством, ее учет, обработку, хранение, систематизацию и актуализацию;</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осуществляет анализ системы законодательства и динамики принятия (издания) правовых актов;</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обеспечивает ведение Национального реестра правовых актов Республики Беларусь, осуществляет официальное опубликование правовых актов на Национальном правовом Интернет-портале Республики Беларусь и издание официального периодического печатного издания – сборника правовых актов «Национальный реестр правовых актов Республики Беларусь»;</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формирует и ведет эталонный банк данных правовой информации, государственные информационно-правовые ресурсы, в том числе в их составе на возмездной договорной основе для государственных органов и иных организаций банки данных, содержащие принимаемые (издаваемые) этими государственными органами (должностными лицами), иными организациями локальные правовые акты и документы, связанные с использованием и применением на практике принимаемых ими правовых актов;</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выполняет работы по формированию, ведению и обеспечению функционирования Национального правового Интернет-портала Республики Беларусь и иных государственных информационно-правовых ресурсов, формируемых НЦПИ и размещаемых в глобальной компьютерной сети Интернет;</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выполняет работы по ведению и сопровождению Единого правового классификатора Республики Беларусь, разрабатывает терминологические и иные словари, информационно-поисковые языки правовой тематики;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формирует электронную библиотеку, содержащую информацию о международном праве и законодательстве иностранных государств, обеспечивает доступ к ней государственных органов и иных государственных организаций;</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осуществляет и обеспечивает распространение (предоставление) правовой информации, информации правоприменительного характера;</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осуществляет анализ распространяемой в Республике Беларусь правовой информации, в том числе на основании предоставляемых организациями и индивидуальными предпринимателями информационных ресурсов, печатных и электронных изданий, содержащих правовую информацию, а также доступа к информационным ресурсам, содержащим правовую информацию и размещаемым в глобальной компьютерной сети Интернет;</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согласованию с Администрацией Президента Республики Беларусь создает филиалы – региональные центры правовой информации (далее – РЦПИ) и утверждает положения о них;</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принимает участие в организации и осуществлении межгосударственного обмена правовой информацией;</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установленном порядке участвует в разработке проектов нормативных правовых актов по вопросам развития государственной системы правовой информации Республики Беларусь, правовой информатизации, иных актов по поручению Президента Республики Беларусь либо Администрации Президента Республики Беларусь;</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случаях и порядке, определенных Администрацией Президента Республики Беларусь, осуществляет ведение и сопровождение информационных ресурсов, сетей и систем, установленных в Администрации Президента Республики Беларусь, редактирование проектов правовых актов и иных документов, вносимых на рассмотрение Президента Республики Беларусь, а также их тиражирование;</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участвует в подготовке специалистов и научных работников высшей квалификации в области правовой информатизации в порядке, установленном законодательством;</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организует и проводит выставки, семинары, конференции и иные мероприятия, в том числе совместно с заинтересованными государственными органами и иными организациями;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взаимодействует с государственными органами и иными организациями в целях обеспечения:</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функционирования и развития государственной системы правовой информации Республики Беларусь;</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реализации государственной политики в сфере правовой информатизации;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эффективного использования эталонного банка данных правовой информации, государственных информационно-правовых ресурсов, создания условий для их развития и систематического информационного наполнения;</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развития информационных технологий в области правовой информатизации;</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реализации мероприятий, направленных на обеспечение доступа граждан и организаций к эталонной правовой информации, а также информации правоприменительного характера, формирование системы правового воспитания детей и молодежи, повышение уровня правовой информированности общества в рамках государственных, региональных и иных научно-технических программ;</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осуществляет иную деятельность в соответствии с законодательством, поручениями Президента Республики Беларусь или Администрации Президента Республики Беларусь.</w:t>
      </w:r>
    </w:p>
    <w:p w:rsidR="00FB1C3D" w:rsidRPr="00DA76A7" w:rsidRDefault="00FB1C3D" w:rsidP="00FB1C3D">
      <w:pPr>
        <w:pStyle w:val="newncpi0"/>
        <w:ind w:firstLine="567"/>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в соответствии с недавно изданным Главой Белорусского государства Указом от 12 апреля 2018 г. № 135 «</w:t>
      </w:r>
      <w:r w:rsidRPr="00DA76A7">
        <w:rPr>
          <w:rFonts w:ascii="Arial" w:hAnsi="Arial" w:cs="Arial"/>
          <w:bCs/>
          <w:color w:val="000000" w:themeColor="text1"/>
          <w:sz w:val="22"/>
          <w:szCs w:val="22"/>
        </w:rPr>
        <w:t xml:space="preserve">Об обязательной юридической экспертизе технических нормативных правовых актов» </w:t>
      </w:r>
      <w:r w:rsidRPr="00DA76A7">
        <w:rPr>
          <w:rFonts w:ascii="Arial" w:hAnsi="Arial" w:cs="Arial"/>
          <w:color w:val="000000" w:themeColor="text1"/>
          <w:sz w:val="22"/>
          <w:szCs w:val="22"/>
        </w:rPr>
        <w:t>Национальным центром правовой информации будет проводится экспертиза технических нормативных правовых актов в порядке, определяемом Советом Министров Республики Беларусь по согласованию с Администрацией Президента [</w:t>
      </w:r>
      <w:r w:rsidRPr="00DA76A7">
        <w:rPr>
          <w:rFonts w:ascii="Arial" w:hAnsi="Arial" w:cs="Arial"/>
          <w:color w:val="000000" w:themeColor="text1"/>
          <w:sz w:val="22"/>
          <w:szCs w:val="22"/>
          <w:lang w:val="be-BY"/>
        </w:rPr>
        <w:t>12</w:t>
      </w:r>
      <w:r w:rsidRPr="00DA76A7">
        <w:rPr>
          <w:rFonts w:ascii="Arial" w:hAnsi="Arial" w:cs="Arial"/>
          <w:color w:val="000000" w:themeColor="text1"/>
          <w:sz w:val="22"/>
          <w:szCs w:val="22"/>
        </w:rPr>
        <w:t>].</w:t>
      </w:r>
    </w:p>
    <w:p w:rsidR="00FB1C3D" w:rsidRPr="00DA76A7" w:rsidRDefault="00FB1C3D" w:rsidP="00FB1C3D">
      <w:pPr>
        <w:pStyle w:val="newncpi0"/>
        <w:ind w:firstLine="567"/>
        <w:rPr>
          <w:rFonts w:ascii="Arial" w:hAnsi="Arial" w:cs="Arial"/>
          <w:color w:val="000000" w:themeColor="text1"/>
          <w:sz w:val="22"/>
          <w:szCs w:val="22"/>
        </w:rPr>
      </w:pPr>
      <w:r w:rsidRPr="00DA76A7">
        <w:rPr>
          <w:rFonts w:ascii="Arial" w:hAnsi="Arial" w:cs="Arial"/>
          <w:color w:val="000000" w:themeColor="text1"/>
          <w:sz w:val="22"/>
          <w:szCs w:val="22"/>
        </w:rPr>
        <w:t>При этом стоит указать, что созданная в республике государственная система правовой информации, развитием и совершенствованием которой занимается НЦПИ, позволяет пользоваться официальной и актуальной правовой информацией всем государственным органам (организациям), подготавливать и принимать правовые акты в условиях доступности и открытости разнообразной правовой информации в различных сферах общественных отношений.</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Вместе с тем в Республике Таджикистан значительная роль в повышении качества правотворческой деятельности и правовой информатизации отведена Национальному центру законодательства при Президенте Республики Таджикистан (далее – НЦЗПРТ). НЦЗПРТ был создан в 2009 г. в соответствии с Указом Президента Республики Таджикистан «О создании Национального центра законодательства при Президенте Республики Таджикистан» [13]. НЦЗРПТ – научно-исследовательское, информационно-аналитическое государственное учреждение, подчиненное непосредственно Президенту Республики Таджикистан и осуществляющее ряд функций, которые в Республике Беларусь реализуются двумя Центрами – НЦЗПИ и НЦПИ. </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Основными функциями НЦЗПРТ являются:</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концепций совершенствования законодательства и концепций проектов законов, внесение их в установленном порядке на рассмотрение Президенту Республики Таджикистан и Правительство Республики Таджикистан;</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организационно-методологическое обеспечение подготовки проектов законодательных актов, а также разработка и внедрение передовых технологий подготовки проектов нормативных правовых актов;</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по поручению Президента Республики Таджикистан, Правительства Республики Таджикистан и по своей инициативе проектов законов, других нормативных правовых актов, а также международных правовых актов;</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предложений по приведению нормативных правовых актов в соответствие с Конституцией Республики Таджикистан, законами Республики Таджикистан, актами Президента Республики Таджикистан, международными правовыми актами, признанными Республикой Таджикистан;</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проведение по поручению Президента Республики Таджикистан и Правительства Республики Таджикистан правовой экспертизы проектов законов, вносимых на рассмотрение Маджлиси намояндагон Маджлиси Оли Республики Таджикистан;</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проведение анализа регуляторного воздействия;</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приоритетных направлений научно-правовых исследований в правотворческой деятельности;</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ведение единого реестра научных исследований в области права в Республике Таджикистан;</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проведение научно-аналитических исследований о состоянии, тенденций развития и практики применения законодательства, разработка предложений по его совершенствованию;</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содействие развитию юридической науки, представление соответствующим организациям предложений по тематикам исследования в области права;</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рекомендаций по использованию результатов научных исследований в области правотворческой деятельности и содействие их практическому внедрению;</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проектов планов научно-исследовательских тем и представление их в установленном порядке соответствующим органам;</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проведение сравнительно-правовых исследований законодательства Республики Таджикистан с законодательствами иностранных государств и международными правовыми актами, признанными Республикой Таджикистан;</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 целью систематизации законодательства, на основе проведения инвентаризации законодательства Республики Таджикистан, разработка предложений по его упорядочению;</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сотрудничество с государственными органами, научными организациями, учреждениями высшего образования относительно развития научных исследований и подготовки специалистов в области права, другими физическими и юридическими лицами Республики Таджикистан, иностранных государств и с международными организациями по вопросам, возложенным на Центр;</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участие в выполнении государственных и межгосударственных научных программ и проектов, осуществление международного сотрудничества по вопросам, возложенных на Центр;</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обеспечение деятельности, развитие государственной информационно-правовой системы Республики Таджикистан и беспрепятственного доступа к ней органов государственной власти, организаций и населения;</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разъяснение основных положений действующего законодательства Республики Таджикистан;</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подготовка и публикация комментариев к кодексам, другим нормативным правовым актам, а также иных правовых и информационно-аналитических материалов и их реализация;</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 соответствии с законодательством создание печатного органа и организация печатной деятельности;</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 целью повышения уровня специализированных научных навыков сотрудников Центра, осуществление их научно-практической переподготовки в других странах с использованием международных грантов и финансовой поддержки местных и международных организаций;</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осуществление организации и ведения веб – сайта в сети Интернет;</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организация правовой электронной библиотеки и базы данных правовой информации;</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участие в создании и деятельности межгосударственного обмена правовой информацией;</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осуществление иных полномочий в соответствии с законодательством Республики Таджикистан [14].</w:t>
      </w:r>
    </w:p>
    <w:p w:rsidR="00FB1C3D" w:rsidRPr="00DA76A7" w:rsidRDefault="00FB1C3D" w:rsidP="00FB1C3D">
      <w:pPr>
        <w:pStyle w:val="2b"/>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на официальном сайте НЦЗПРТ создана и успешно функционирует База Законодательства Республики Таджикистан на таджикском и русском языке, которая обеспечивает бесплатный доступ к нормативным правовым актам, принятым в республике [15].</w:t>
      </w:r>
    </w:p>
    <w:p w:rsidR="00FB1C3D" w:rsidRPr="00DA76A7" w:rsidRDefault="00FB1C3D" w:rsidP="00FB1C3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роль Главы государства и аппарата Президента (в Республике Беларусь – Администрации Президента, в Таджикистане – Исполнительного Аппарата Президента) в нормотворческой (в Республике Таджикистан – правотворческой) деятельности достаточно велика. Главы Белорусского и Таджикского государств являются основными субъектами, осуществляющим государственную координацию нормотворческой (правотворческой) деятельности. Сегодняшние успехи в данной сфере в двух вышеуказанных государствах обусловлены тем, что руководство преобразованиями в указанной области осуществлялось при наличии единого политического и социально-экономического курса развития стран. Однако это не исключает наличия некоторых проблемных вопросов в данной сфере, которые требуют своего разрешения, внедрения новых подходов, обеспечивающих создание более качественного и эффективного законодательства. В Республике Беларусь среди них можно указать на следующие: создание единой «площадки» для публичного обсуждения проектов нормативных правовых актов, внедрение системы оценки действий нормативных правовых актов, применение наряду с обязательной юридической и криминологической экспертизами обязательной лингвистической экспертизы нормативных правовых актов и т.д. При этом задаче совершенствования нормотворческого процесса должен послужить проект Закона «О нормативных правовых актах Республики Беларусь», который станет «стержнем» нормотворческой деятельности в республике [16]. В Республике Таджикистан – это возможный переход к системе электронного официального опубликования правовых актов.</w:t>
      </w:r>
    </w:p>
    <w:p w:rsidR="00C76687" w:rsidRDefault="00C76687">
      <w:pPr>
        <w:widowControl/>
        <w:autoSpaceDE/>
        <w:autoSpaceDN/>
        <w:adjustRightInd/>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FB1C3D" w:rsidRPr="00DA76A7" w:rsidRDefault="00FB1C3D" w:rsidP="00FB1C3D">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FB1C3D" w:rsidRPr="00DA76A7" w:rsidRDefault="00FB1C3D" w:rsidP="00FB1C3D">
      <w:pPr>
        <w:pStyle w:val="a6"/>
        <w:numPr>
          <w:ilvl w:val="0"/>
          <w:numId w:val="16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Концепция правовой политики Республики Таджикистан на 2018–2028 годы : [Электронный ресурс]: утв. Указом Президента Респ. Таджикистан, 6 февр. 2018 г.,  № 1005 </w:t>
      </w:r>
      <w:r w:rsidRPr="00DA76A7">
        <w:rPr>
          <w:rFonts w:ascii="Arial" w:hAnsi="Arial" w:cs="Arial"/>
          <w:color w:val="000000" w:themeColor="text1"/>
          <w:spacing w:val="-2"/>
        </w:rPr>
        <w:t xml:space="preserve">// </w:t>
      </w:r>
      <w:r w:rsidRPr="00DA76A7">
        <w:rPr>
          <w:rFonts w:ascii="Arial" w:hAnsi="Arial" w:cs="Arial"/>
          <w:color w:val="000000" w:themeColor="text1"/>
        </w:rPr>
        <w:t>Законодательство Республики Таджикистан / Нац. центр зак-ва при Президенте Респ. Таджикистан. – Душанбе, 2018.</w:t>
      </w:r>
    </w:p>
    <w:p w:rsidR="00FB1C3D" w:rsidRPr="00DA76A7" w:rsidRDefault="00FB1C3D" w:rsidP="00FB1C3D">
      <w:pPr>
        <w:pStyle w:val="18"/>
        <w:numPr>
          <w:ilvl w:val="0"/>
          <w:numId w:val="169"/>
        </w:numPr>
        <w:tabs>
          <w:tab w:val="left" w:pos="851"/>
        </w:tabs>
        <w:spacing w:after="0" w:line="240" w:lineRule="auto"/>
        <w:ind w:left="0" w:firstLine="567"/>
        <w:jc w:val="both"/>
        <w:rPr>
          <w:rFonts w:ascii="Arial" w:hAnsi="Arial" w:cs="Arial"/>
          <w:color w:val="000000" w:themeColor="text1"/>
        </w:rPr>
      </w:pPr>
      <w:bookmarkStart w:id="5" w:name="_Ref468557802"/>
      <w:r w:rsidRPr="00DA76A7">
        <w:rPr>
          <w:rFonts w:ascii="Arial" w:hAnsi="Arial" w:cs="Arial"/>
          <w:color w:val="000000" w:themeColor="text1"/>
        </w:rPr>
        <w:t>Конституция Республики Беларусь : с изм. и доп., принятыми на респ. референдумах 24 нояб. 1996 г. и 17 окт. 2004 г. [Электронный ресурс] : Закон Респ. Беларусь, 15 мар. 1994 г., № 2875-</w:t>
      </w:r>
      <w:bookmarkEnd w:id="5"/>
      <w:r w:rsidRPr="00DA76A7">
        <w:rPr>
          <w:rFonts w:ascii="Arial" w:hAnsi="Arial" w:cs="Arial"/>
          <w:color w:val="000000" w:themeColor="text1"/>
          <w:lang w:val="en-US"/>
        </w:rPr>
        <w:t>XII</w:t>
      </w:r>
      <w:r w:rsidRPr="00DA76A7">
        <w:rPr>
          <w:rFonts w:ascii="Arial" w:hAnsi="Arial" w:cs="Arial"/>
          <w:color w:val="000000" w:themeColor="text1"/>
        </w:rPr>
        <w:t xml:space="preserve"> // ЭТАЛОН. Законодательство Республики Беларусь / Нац. центр правовой информ. Респ. Беларусь. – Минск, 2018.</w:t>
      </w:r>
    </w:p>
    <w:p w:rsidR="00FB1C3D" w:rsidRPr="00DA76A7" w:rsidRDefault="00FB1C3D" w:rsidP="00FB1C3D">
      <w:pPr>
        <w:pStyle w:val="a6"/>
        <w:numPr>
          <w:ilvl w:val="0"/>
          <w:numId w:val="169"/>
        </w:numPr>
        <w:tabs>
          <w:tab w:val="left" w:pos="851"/>
        </w:tabs>
        <w:spacing w:after="0" w:line="240" w:lineRule="auto"/>
        <w:ind w:left="0" w:firstLine="567"/>
        <w:jc w:val="both"/>
        <w:rPr>
          <w:rFonts w:ascii="Arial" w:hAnsi="Arial" w:cs="Arial"/>
          <w:color w:val="000000" w:themeColor="text1"/>
          <w:lang w:val="be-BY"/>
        </w:rPr>
      </w:pPr>
      <w:r w:rsidRPr="00DA76A7">
        <w:rPr>
          <w:rFonts w:ascii="Arial" w:hAnsi="Arial" w:cs="Arial"/>
          <w:color w:val="000000" w:themeColor="text1"/>
          <w:lang w:val="be-BY"/>
        </w:rPr>
        <w:t>О Президенте Республики Беларусь : Закон Респ. Беларусь,</w:t>
      </w:r>
      <w:r w:rsidRPr="00DA76A7">
        <w:rPr>
          <w:rFonts w:ascii="Arial" w:hAnsi="Arial" w:cs="Arial"/>
          <w:color w:val="000000" w:themeColor="text1"/>
          <w:lang w:val="be-BY"/>
        </w:rPr>
        <w:br/>
        <w:t xml:space="preserve">21 февр. 1995 г., № 3602-XII (с изм. и доп.) // Ведомости Верхов. Совета </w:t>
      </w:r>
      <w:r w:rsidRPr="00DA76A7">
        <w:rPr>
          <w:rFonts w:ascii="Arial" w:hAnsi="Arial" w:cs="Arial"/>
          <w:color w:val="000000" w:themeColor="text1"/>
          <w:lang w:val="be-BY"/>
        </w:rPr>
        <w:br/>
        <w:t>Респ. Беларусь. – 1995. – № 17. – Ст. 179; Нац. реестр правовых актов</w:t>
      </w:r>
      <w:r w:rsidRPr="00DA76A7">
        <w:rPr>
          <w:rFonts w:ascii="Arial" w:hAnsi="Arial" w:cs="Arial"/>
          <w:color w:val="000000" w:themeColor="text1"/>
          <w:lang w:val="be-BY"/>
        </w:rPr>
        <w:br/>
        <w:t>Респ. Беларусь. – 2006. – № 166. – 2/1263.</w:t>
      </w:r>
    </w:p>
    <w:p w:rsidR="00FB1C3D" w:rsidRPr="00DA76A7" w:rsidRDefault="00FB1C3D" w:rsidP="00FB1C3D">
      <w:pPr>
        <w:pStyle w:val="a6"/>
        <w:numPr>
          <w:ilvl w:val="0"/>
          <w:numId w:val="169"/>
        </w:numPr>
        <w:tabs>
          <w:tab w:val="left" w:pos="851"/>
        </w:tabs>
        <w:spacing w:after="0" w:line="240" w:lineRule="auto"/>
        <w:ind w:left="0" w:firstLine="567"/>
        <w:jc w:val="both"/>
        <w:rPr>
          <w:rFonts w:ascii="Arial" w:hAnsi="Arial" w:cs="Arial"/>
          <w:color w:val="000000" w:themeColor="text1"/>
          <w:lang w:val="be-BY"/>
        </w:rPr>
      </w:pPr>
      <w:r w:rsidRPr="00DA76A7">
        <w:rPr>
          <w:rFonts w:ascii="Arial" w:hAnsi="Arial" w:cs="Arial"/>
          <w:color w:val="000000" w:themeColor="text1"/>
        </w:rPr>
        <w:t>О нормативных правовых актах [Электронный ресурс] : Закон Респ. Беларусь, 10 июня 2000 г., № 361-З (с изм. и доп.) // ЭТАЛОН. Законодательство Респ. Беларусь / Нац. центр правовой информ. Респ. Беларусь. – Минск, 2017.</w:t>
      </w:r>
    </w:p>
    <w:p w:rsidR="00FB1C3D" w:rsidRPr="00DA76A7" w:rsidRDefault="00FB1C3D" w:rsidP="00FB1C3D">
      <w:pPr>
        <w:pStyle w:val="a6"/>
        <w:numPr>
          <w:ilvl w:val="0"/>
          <w:numId w:val="169"/>
        </w:numPr>
        <w:tabs>
          <w:tab w:val="left" w:pos="851"/>
        </w:tabs>
        <w:spacing w:after="0" w:line="240" w:lineRule="auto"/>
        <w:ind w:left="0" w:firstLine="567"/>
        <w:jc w:val="both"/>
        <w:rPr>
          <w:rFonts w:ascii="Arial" w:eastAsia="Calibri" w:hAnsi="Arial" w:cs="Arial"/>
          <w:color w:val="000000" w:themeColor="text1"/>
        </w:rPr>
      </w:pPr>
      <w:r w:rsidRPr="00DA76A7">
        <w:rPr>
          <w:rFonts w:ascii="Arial" w:eastAsia="Calibri" w:hAnsi="Arial" w:cs="Arial"/>
          <w:color w:val="000000" w:themeColor="text1"/>
          <w:lang w:val="be-BY"/>
        </w:rPr>
        <w:t xml:space="preserve">Конституция Республики Таджикистан от 6 нояб. 1994 г. </w:t>
      </w:r>
      <w:r w:rsidRPr="00DA76A7">
        <w:rPr>
          <w:rFonts w:ascii="Arial" w:hAnsi="Arial" w:cs="Arial"/>
          <w:color w:val="000000" w:themeColor="text1"/>
        </w:rPr>
        <w:t>(с изм. и доп., внесенными на референдумах 26 сент. 1999 г. и 22 июн. 2003 г.)</w:t>
      </w:r>
      <w:r w:rsidRPr="00DA76A7">
        <w:rPr>
          <w:rFonts w:ascii="Arial" w:eastAsia="Calibri" w:hAnsi="Arial" w:cs="Arial"/>
          <w:color w:val="000000" w:themeColor="text1"/>
          <w:lang w:val="be-BY"/>
        </w:rPr>
        <w:t xml:space="preserve"> // Законодательство стран СНГ </w:t>
      </w:r>
      <w:r w:rsidRPr="00DA76A7">
        <w:rPr>
          <w:rFonts w:ascii="Arial" w:eastAsia="Calibri" w:hAnsi="Arial" w:cs="Arial"/>
          <w:color w:val="000000" w:themeColor="text1"/>
        </w:rPr>
        <w:t xml:space="preserve">[Электронный ресурс]. – Режим доступа:  </w:t>
      </w:r>
      <w:hyperlink r:id="rId60" w:history="1">
        <w:r w:rsidRPr="00DA76A7">
          <w:rPr>
            <w:rStyle w:val="af0"/>
            <w:rFonts w:ascii="Arial" w:eastAsia="Calibri" w:hAnsi="Arial" w:cs="Arial"/>
            <w:color w:val="000000" w:themeColor="text1"/>
          </w:rPr>
          <w:t>http://base.spinform.ru</w:t>
        </w:r>
      </w:hyperlink>
      <w:r w:rsidRPr="00DA76A7">
        <w:rPr>
          <w:rFonts w:ascii="Arial" w:eastAsia="Calibri" w:hAnsi="Arial" w:cs="Arial"/>
          <w:color w:val="000000" w:themeColor="text1"/>
        </w:rPr>
        <w:t>. – Дата доступа: 27.03.2018.</w:t>
      </w:r>
    </w:p>
    <w:p w:rsidR="00FB1C3D" w:rsidRPr="00DA76A7" w:rsidRDefault="00FB1C3D" w:rsidP="00FB1C3D">
      <w:pPr>
        <w:pStyle w:val="a6"/>
        <w:numPr>
          <w:ilvl w:val="0"/>
          <w:numId w:val="16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О нормативных правовых актах : Закон Респ. Таджикистан, 30 мая 2017 г.,  № 1414 </w:t>
      </w:r>
      <w:r w:rsidRPr="00DA76A7">
        <w:rPr>
          <w:rFonts w:ascii="Arial" w:hAnsi="Arial" w:cs="Arial"/>
          <w:color w:val="000000" w:themeColor="text1"/>
          <w:spacing w:val="-2"/>
        </w:rPr>
        <w:t xml:space="preserve">// </w:t>
      </w:r>
      <w:r w:rsidRPr="00DA76A7">
        <w:rPr>
          <w:rFonts w:ascii="Arial" w:hAnsi="Arial" w:cs="Arial"/>
          <w:color w:val="000000" w:themeColor="text1"/>
        </w:rPr>
        <w:t>Законодательство Республики Таджикистан / Нац. центр зак-ва при Президенте Респ. Таджикистан. – Душанбе, 2018.</w:t>
      </w:r>
    </w:p>
    <w:p w:rsidR="00FB1C3D" w:rsidRPr="00DA76A7" w:rsidRDefault="00FB1C3D" w:rsidP="00FB1C3D">
      <w:pPr>
        <w:pStyle w:val="a6"/>
        <w:numPr>
          <w:ilvl w:val="0"/>
          <w:numId w:val="16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О Правительстве Республики Таджикистан: Конституционный Закон Респ. Таджикистан, 12 мая 2001 г., № 28 </w:t>
      </w:r>
      <w:r w:rsidRPr="00DA76A7">
        <w:rPr>
          <w:rFonts w:ascii="Arial" w:hAnsi="Arial" w:cs="Arial"/>
          <w:color w:val="000000" w:themeColor="text1"/>
          <w:spacing w:val="-2"/>
        </w:rPr>
        <w:t xml:space="preserve">// </w:t>
      </w:r>
      <w:r w:rsidRPr="00DA76A7">
        <w:rPr>
          <w:rFonts w:ascii="Arial" w:hAnsi="Arial" w:cs="Arial"/>
          <w:color w:val="000000" w:themeColor="text1"/>
        </w:rPr>
        <w:t>Законодательство Республики Таджикистан / Нац. центр зак-ва при Президенте Респ. Таджикистан. – Душанбе, 2018.</w:t>
      </w:r>
    </w:p>
    <w:p w:rsidR="00FB1C3D" w:rsidRPr="00DA76A7" w:rsidRDefault="00FB1C3D" w:rsidP="00FB1C3D">
      <w:pPr>
        <w:pStyle w:val="a6"/>
        <w:numPr>
          <w:ilvl w:val="0"/>
          <w:numId w:val="169"/>
        </w:numPr>
        <w:tabs>
          <w:tab w:val="left" w:pos="851"/>
          <w:tab w:val="left" w:pos="1418"/>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Положение об Администрации Президента Республики Беларусь [Электронный ресурс]: утв. Указом Президента Респ. Беларусь, 13 февр. 2017 г., № 40 </w:t>
      </w:r>
      <w:r w:rsidRPr="00DA76A7">
        <w:rPr>
          <w:rFonts w:ascii="Arial" w:hAnsi="Arial" w:cs="Arial"/>
          <w:color w:val="000000" w:themeColor="text1"/>
          <w:spacing w:val="-2"/>
        </w:rPr>
        <w:t>//</w:t>
      </w:r>
      <w:r w:rsidRPr="00DA76A7">
        <w:rPr>
          <w:rFonts w:ascii="Arial" w:hAnsi="Arial" w:cs="Arial"/>
          <w:color w:val="000000" w:themeColor="text1"/>
        </w:rPr>
        <w:t xml:space="preserve"> ЭТАЛОН. Законодательство Республики Беларусь / Нац. центр правовой информ. Респ. Беларусь. – Минск, 2018.</w:t>
      </w:r>
    </w:p>
    <w:p w:rsidR="00FB1C3D" w:rsidRPr="00DA76A7" w:rsidRDefault="00FB1C3D" w:rsidP="00FB1C3D">
      <w:pPr>
        <w:pStyle w:val="a6"/>
        <w:numPr>
          <w:ilvl w:val="0"/>
          <w:numId w:val="169"/>
        </w:numPr>
        <w:tabs>
          <w:tab w:val="left" w:pos="851"/>
          <w:tab w:val="left" w:pos="1418"/>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Положение о Национальном центре законодательства и правовых исследований Республики Беларусь [Электронный ресурс] : утв. Указом Президента Респ. Беларусь, 13 дек. 2007 г., № 630 </w:t>
      </w:r>
      <w:r w:rsidRPr="00DA76A7">
        <w:rPr>
          <w:rFonts w:ascii="Arial" w:hAnsi="Arial" w:cs="Arial"/>
          <w:color w:val="000000" w:themeColor="text1"/>
          <w:spacing w:val="-2"/>
        </w:rPr>
        <w:t>//</w:t>
      </w:r>
      <w:r w:rsidRPr="00DA76A7">
        <w:rPr>
          <w:rFonts w:ascii="Arial" w:hAnsi="Arial" w:cs="Arial"/>
          <w:color w:val="000000" w:themeColor="text1"/>
        </w:rPr>
        <w:t xml:space="preserve"> ЭТАЛОН. Законодательство Республики Беларусь / Нац. центр правовой информ. Респ. Беларусь. – Минск, 2018.</w:t>
      </w:r>
    </w:p>
    <w:p w:rsidR="00FB1C3D" w:rsidRPr="00DA76A7" w:rsidRDefault="00FB1C3D" w:rsidP="00FB1C3D">
      <w:pPr>
        <w:pStyle w:val="a6"/>
        <w:numPr>
          <w:ilvl w:val="0"/>
          <w:numId w:val="169"/>
        </w:numPr>
        <w:tabs>
          <w:tab w:val="left" w:pos="993"/>
          <w:tab w:val="left" w:pos="1418"/>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О создании Национального центра правовой информации Республики Беларусь [Электронный ресурс] : Указ Президента Респ. Беларусь, 30 июн. 1997 г.,  № 338 </w:t>
      </w:r>
      <w:r w:rsidRPr="00DA76A7">
        <w:rPr>
          <w:rFonts w:ascii="Arial" w:hAnsi="Arial" w:cs="Arial"/>
          <w:color w:val="000000" w:themeColor="text1"/>
          <w:spacing w:val="-2"/>
        </w:rPr>
        <w:t>//</w:t>
      </w:r>
      <w:r w:rsidRPr="00DA76A7">
        <w:rPr>
          <w:rFonts w:ascii="Arial" w:hAnsi="Arial" w:cs="Arial"/>
          <w:color w:val="000000" w:themeColor="text1"/>
        </w:rPr>
        <w:t xml:space="preserve"> ЭТАЛОН. Законодательство Республики Беларусь / Нац. центр правовой информ. Респ. Беларусь. – Минск, 2018.</w:t>
      </w:r>
    </w:p>
    <w:p w:rsidR="00FB1C3D" w:rsidRPr="00DA76A7" w:rsidRDefault="00FB1C3D" w:rsidP="00FB1C3D">
      <w:pPr>
        <w:pStyle w:val="a6"/>
        <w:numPr>
          <w:ilvl w:val="0"/>
          <w:numId w:val="169"/>
        </w:numPr>
        <w:tabs>
          <w:tab w:val="left" w:pos="993"/>
          <w:tab w:val="left" w:pos="1418"/>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Положение о Национальном центре правовой информации Республики Беларусь [Электронный ресурс]: утв. Указом Президента Респ. Беларусь, 30 окт. 1998 г., № 524 </w:t>
      </w:r>
      <w:r w:rsidRPr="00DA76A7">
        <w:rPr>
          <w:rFonts w:ascii="Arial" w:hAnsi="Arial" w:cs="Arial"/>
          <w:color w:val="000000" w:themeColor="text1"/>
          <w:spacing w:val="-2"/>
        </w:rPr>
        <w:t>//</w:t>
      </w:r>
      <w:r w:rsidRPr="00DA76A7">
        <w:rPr>
          <w:rFonts w:ascii="Arial" w:hAnsi="Arial" w:cs="Arial"/>
          <w:color w:val="000000" w:themeColor="text1"/>
        </w:rPr>
        <w:t xml:space="preserve"> ЭТАЛОН. Законодательство Республики Беларусь / Нац. центр правовой информ. Респ. Беларусь. – Минск, 2018.</w:t>
      </w:r>
    </w:p>
    <w:p w:rsidR="00FB1C3D" w:rsidRPr="00DA76A7" w:rsidRDefault="00FB1C3D" w:rsidP="00FB1C3D">
      <w:pPr>
        <w:pStyle w:val="a6"/>
        <w:numPr>
          <w:ilvl w:val="0"/>
          <w:numId w:val="169"/>
        </w:numPr>
        <w:tabs>
          <w:tab w:val="left" w:pos="993"/>
          <w:tab w:val="left" w:pos="1418"/>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bCs/>
          <w:color w:val="000000" w:themeColor="text1"/>
        </w:rPr>
        <w:t xml:space="preserve">Об обязательной юридической экспертизе технических нормативных правовых актов </w:t>
      </w:r>
      <w:r w:rsidRPr="00DA76A7">
        <w:rPr>
          <w:rFonts w:ascii="Arial" w:hAnsi="Arial" w:cs="Arial"/>
          <w:color w:val="000000" w:themeColor="text1"/>
        </w:rPr>
        <w:t xml:space="preserve">[Электронный ресурс] : Указ Президента Респ. Беларусь, 12 апр. 2018 г.,  № 135 </w:t>
      </w:r>
      <w:r w:rsidRPr="00DA76A7">
        <w:rPr>
          <w:rFonts w:ascii="Arial" w:hAnsi="Arial" w:cs="Arial"/>
          <w:color w:val="000000" w:themeColor="text1"/>
          <w:spacing w:val="-2"/>
        </w:rPr>
        <w:t>//</w:t>
      </w:r>
      <w:r w:rsidRPr="00DA76A7">
        <w:rPr>
          <w:rFonts w:ascii="Arial" w:hAnsi="Arial" w:cs="Arial"/>
          <w:color w:val="000000" w:themeColor="text1"/>
        </w:rPr>
        <w:t xml:space="preserve"> ЭТАЛОН. Законодательство Республики Беларусь / Нац. центр правовой информ. Респ. Беларусь. – Минск, 2018.</w:t>
      </w:r>
    </w:p>
    <w:p w:rsidR="00FB1C3D" w:rsidRPr="00DA76A7" w:rsidRDefault="00FB1C3D" w:rsidP="00FB1C3D">
      <w:pPr>
        <w:pStyle w:val="a6"/>
        <w:numPr>
          <w:ilvl w:val="0"/>
          <w:numId w:val="169"/>
        </w:numPr>
        <w:tabs>
          <w:tab w:val="left" w:pos="993"/>
          <w:tab w:val="left" w:pos="1418"/>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 создании Национального центра законодательства при Президенте Республики Таджикистан: Указ Президента Респ. Таджикистан, 17 мар. 2009 г.,  № 637 (с изм. и доп.) // Законодательство Республики Таджикистан / Нац. центр зак-ва при Президенте Респ. Таджикистан. – Душанбе, 2018.</w:t>
      </w:r>
    </w:p>
    <w:p w:rsidR="00FB1C3D" w:rsidRPr="00DA76A7" w:rsidRDefault="00FB1C3D" w:rsidP="00FB1C3D">
      <w:pPr>
        <w:pStyle w:val="a6"/>
        <w:numPr>
          <w:ilvl w:val="0"/>
          <w:numId w:val="169"/>
        </w:numPr>
        <w:tabs>
          <w:tab w:val="left" w:pos="993"/>
          <w:tab w:val="left" w:pos="1418"/>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Положение о Национальном центре законодательства при Президенте Республики Таджикистан: утв. Указом Президента Респ. Таджикистан, 27 нояб. 2014 г.,  № 288 // Законодательство Республики Таджикистан / Нац. центр зак-ва при Президенте Респ. Таджикистан. – Душанбе, 2018.</w:t>
      </w:r>
    </w:p>
    <w:p w:rsidR="00FB1C3D" w:rsidRPr="00DA76A7" w:rsidRDefault="00FB1C3D" w:rsidP="00FB1C3D">
      <w:pPr>
        <w:pStyle w:val="a6"/>
        <w:numPr>
          <w:ilvl w:val="0"/>
          <w:numId w:val="169"/>
        </w:numPr>
        <w:tabs>
          <w:tab w:val="left" w:pos="993"/>
          <w:tab w:val="left" w:pos="1418"/>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База Законодательства Республики Таджикистан // Нац. центр зак-ва при Президенте Респ. Таджикистан. – Режим доступа: http://base.mmk.tj/. – Дата доступа : 03.03.2018.</w:t>
      </w:r>
    </w:p>
    <w:p w:rsidR="00FB1C3D" w:rsidRPr="00DA76A7" w:rsidRDefault="00FB1C3D" w:rsidP="00FB1C3D">
      <w:pPr>
        <w:pStyle w:val="a6"/>
        <w:numPr>
          <w:ilvl w:val="0"/>
          <w:numId w:val="169"/>
        </w:numPr>
        <w:tabs>
          <w:tab w:val="left" w:pos="993"/>
          <w:tab w:val="left" w:pos="1134"/>
          <w:tab w:val="left" w:pos="1418"/>
        </w:tabs>
        <w:spacing w:after="0" w:line="240" w:lineRule="auto"/>
        <w:ind w:left="0" w:firstLine="567"/>
        <w:jc w:val="both"/>
        <w:rPr>
          <w:rFonts w:ascii="Arial" w:hAnsi="Arial" w:cs="Arial"/>
          <w:color w:val="000000" w:themeColor="text1"/>
        </w:rPr>
      </w:pPr>
      <w:bookmarkStart w:id="6" w:name="_Hlk478985579"/>
      <w:r w:rsidRPr="00DA76A7">
        <w:rPr>
          <w:rFonts w:ascii="Arial" w:hAnsi="Arial" w:cs="Arial"/>
          <w:color w:val="000000" w:themeColor="text1"/>
        </w:rPr>
        <w:t xml:space="preserve">Проект Закона Республики Беларусь «О нормативных правовых актах Республики Беларусь» // Нац. центр правовой информ. Респ. Беларусь. – Режим доступа: </w:t>
      </w:r>
      <w:hyperlink r:id="rId61" w:history="1">
        <w:r w:rsidRPr="00DA76A7">
          <w:rPr>
            <w:rStyle w:val="af0"/>
            <w:rFonts w:ascii="Arial" w:hAnsi="Arial" w:cs="Arial"/>
            <w:color w:val="000000" w:themeColor="text1"/>
            <w:u w:val="none"/>
          </w:rPr>
          <w:t>http://pravo.by/document/?guid=3941&amp;p0=2016004024</w:t>
        </w:r>
      </w:hyperlink>
      <w:r w:rsidRPr="00DA76A7">
        <w:rPr>
          <w:rFonts w:ascii="Arial" w:hAnsi="Arial" w:cs="Arial"/>
          <w:color w:val="000000" w:themeColor="text1"/>
        </w:rPr>
        <w:t>. – Дата доступа: 03.03.2018.</w:t>
      </w:r>
      <w:bookmarkEnd w:id="6"/>
    </w:p>
    <w:p w:rsidR="00FB1C3D" w:rsidRPr="00DA76A7" w:rsidRDefault="00FB1C3D" w:rsidP="00FB1C3D">
      <w:pPr>
        <w:tabs>
          <w:tab w:val="left" w:pos="851"/>
        </w:tabs>
        <w:ind w:firstLine="567"/>
        <w:jc w:val="both"/>
        <w:rPr>
          <w:rFonts w:ascii="Arial" w:hAnsi="Arial" w:cs="Arial"/>
          <w:color w:val="000000" w:themeColor="text1"/>
          <w:sz w:val="22"/>
          <w:szCs w:val="22"/>
          <w:lang w:val="be-BY"/>
        </w:rPr>
      </w:pPr>
    </w:p>
    <w:p w:rsidR="00FB1C3D" w:rsidRPr="00DA76A7" w:rsidRDefault="00FB1C3D" w:rsidP="00FB1C3D">
      <w:pPr>
        <w:tabs>
          <w:tab w:val="left" w:pos="851"/>
        </w:tabs>
        <w:ind w:firstLine="567"/>
        <w:rPr>
          <w:rFonts w:ascii="Arial" w:hAnsi="Arial" w:cs="Arial"/>
          <w:color w:val="000000" w:themeColor="text1"/>
          <w:sz w:val="22"/>
          <w:szCs w:val="22"/>
          <w:lang w:val="be-BY"/>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shd w:val="clear" w:color="auto" w:fill="FFFFFF"/>
        </w:rPr>
        <w:t>К ВОПРОСУ О ЗАЩИТЕ ПРАВ МИГРАНТОВ В РЕШЕНИЯХ ВЫСШИХ СУДОВ Р</w:t>
      </w:r>
      <w:r w:rsidR="00EE13B8" w:rsidRPr="00DA76A7">
        <w:rPr>
          <w:rFonts w:ascii="Arial" w:hAnsi="Arial" w:cs="Arial"/>
          <w:b/>
          <w:color w:val="000000" w:themeColor="text1"/>
          <w:sz w:val="22"/>
          <w:szCs w:val="22"/>
          <w:shd w:val="clear" w:color="auto" w:fill="FFFFFF"/>
        </w:rPr>
        <w:t xml:space="preserve">ОССИЙСКОЙ </w:t>
      </w:r>
      <w:r w:rsidRPr="00DA76A7">
        <w:rPr>
          <w:rFonts w:ascii="Arial" w:hAnsi="Arial" w:cs="Arial"/>
          <w:b/>
          <w:color w:val="000000" w:themeColor="text1"/>
          <w:sz w:val="22"/>
          <w:szCs w:val="22"/>
          <w:shd w:val="clear" w:color="auto" w:fill="FFFFFF"/>
        </w:rPr>
        <w:t>Ф</w:t>
      </w:r>
      <w:r w:rsidR="00EE13B8" w:rsidRPr="00DA76A7">
        <w:rPr>
          <w:rFonts w:ascii="Arial" w:hAnsi="Arial" w:cs="Arial"/>
          <w:b/>
          <w:color w:val="000000" w:themeColor="text1"/>
          <w:sz w:val="22"/>
          <w:szCs w:val="22"/>
          <w:shd w:val="clear" w:color="auto" w:fill="FFFFFF"/>
        </w:rPr>
        <w:t>ЕДЕРАЦИИ</w:t>
      </w:r>
    </w:p>
    <w:p w:rsidR="00A969C6" w:rsidRPr="00DA76A7" w:rsidRDefault="00A969C6" w:rsidP="00A969C6">
      <w:pPr>
        <w:jc w:val="center"/>
        <w:rPr>
          <w:rFonts w:ascii="Arial" w:hAnsi="Arial" w:cs="Arial"/>
          <w:color w:val="000000" w:themeColor="text1"/>
          <w:sz w:val="22"/>
          <w:szCs w:val="22"/>
        </w:rPr>
      </w:pPr>
    </w:p>
    <w:p w:rsidR="00A969C6" w:rsidRPr="00DA76A7" w:rsidRDefault="00A969C6" w:rsidP="00A969C6">
      <w:pPr>
        <w:tabs>
          <w:tab w:val="left" w:pos="6540"/>
        </w:tabs>
        <w:jc w:val="center"/>
        <w:rPr>
          <w:rFonts w:ascii="Arial" w:hAnsi="Arial" w:cs="Arial"/>
          <w:b/>
          <w:color w:val="000000" w:themeColor="text1"/>
          <w:sz w:val="22"/>
          <w:szCs w:val="22"/>
        </w:rPr>
      </w:pPr>
      <w:r w:rsidRPr="00DA76A7">
        <w:rPr>
          <w:rFonts w:ascii="Arial" w:hAnsi="Arial" w:cs="Arial"/>
          <w:b/>
          <w:color w:val="000000" w:themeColor="text1"/>
          <w:sz w:val="22"/>
          <w:szCs w:val="22"/>
        </w:rPr>
        <w:t>Поляков Николай Владиславович</w:t>
      </w:r>
    </w:p>
    <w:p w:rsidR="00A969C6" w:rsidRPr="00DA76A7" w:rsidRDefault="00A969C6" w:rsidP="00A969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адъюнкт 1-го года обучения заочного отделения </w:t>
      </w:r>
    </w:p>
    <w:p w:rsidR="00A969C6" w:rsidRPr="00DA76A7" w:rsidRDefault="00A969C6" w:rsidP="00A969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Сибирский юридический институт МВД России</w:t>
      </w:r>
    </w:p>
    <w:p w:rsidR="00A969C6" w:rsidRPr="00DA76A7" w:rsidRDefault="00A969C6" w:rsidP="00A969C6">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660131, Российская Федерация, г. Красноярск, ул. Рокоссовского, 20 </w:t>
      </w:r>
    </w:p>
    <w:p w:rsidR="00A969C6" w:rsidRPr="00AC7230" w:rsidRDefault="00A969C6" w:rsidP="00A969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950-988-1001, </w:t>
      </w:r>
      <w:r w:rsidRPr="00DA76A7">
        <w:rPr>
          <w:rFonts w:ascii="Arial" w:hAnsi="Arial" w:cs="Arial"/>
          <w:color w:val="000000" w:themeColor="text1"/>
          <w:sz w:val="22"/>
          <w:szCs w:val="22"/>
        </w:rPr>
        <w:t>е</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polyakov</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nikolay</w:t>
      </w:r>
      <w:r w:rsidRPr="00AC7230">
        <w:rPr>
          <w:rFonts w:ascii="Arial" w:hAnsi="Arial" w:cs="Arial"/>
          <w:color w:val="000000" w:themeColor="text1"/>
          <w:sz w:val="22"/>
          <w:szCs w:val="22"/>
        </w:rPr>
        <w:t>.1987@</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A969C6" w:rsidRPr="00AC7230" w:rsidRDefault="00A969C6" w:rsidP="00A969C6">
      <w:pPr>
        <w:pStyle w:val="a4"/>
        <w:jc w:val="center"/>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shd w:val="clear" w:color="auto" w:fill="FFFFFF"/>
          <w:lang w:val="en-US"/>
        </w:rPr>
        <w:t>TO THE QUESTION OF PROTECTING THE RIGHTS OF MIGRANTS IN THE SOLUTIONS OF THE SUPREME COURTS OF THE RUSSIAN FEDERATION</w:t>
      </w:r>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tabs>
          <w:tab w:val="left" w:pos="6540"/>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Polyakov Nikolai Vladislavovich</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adjunct of the first year of correspondence education</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Siberian law institute</w:t>
      </w:r>
      <w:r w:rsidRPr="00DA76A7">
        <w:rPr>
          <w:rFonts w:ascii="Arial" w:hAnsi="Arial" w:cs="Arial"/>
          <w:color w:val="000000" w:themeColor="text1"/>
          <w:sz w:val="22"/>
          <w:szCs w:val="22"/>
          <w:lang w:val="en-US"/>
        </w:rPr>
        <w:t xml:space="preserve"> of the Ministry of  internal  affairs of  Russia</w:t>
      </w:r>
    </w:p>
    <w:p w:rsidR="00A969C6" w:rsidRPr="00DA76A7" w:rsidRDefault="00A969C6" w:rsidP="00A969C6">
      <w:pPr>
        <w:pStyle w:val="Default"/>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660131, Russian Federation, </w:t>
      </w:r>
      <w:r w:rsidRPr="00DA76A7">
        <w:rPr>
          <w:rFonts w:ascii="Arial" w:hAnsi="Arial" w:cs="Arial"/>
          <w:color w:val="000000" w:themeColor="text1"/>
          <w:sz w:val="22"/>
          <w:szCs w:val="22"/>
          <w:shd w:val="clear" w:color="auto" w:fill="FFFFFF"/>
          <w:lang w:val="en-US"/>
        </w:rPr>
        <w:t>Krasnoyarsk</w:t>
      </w:r>
      <w:r w:rsidRPr="00DA76A7">
        <w:rPr>
          <w:rFonts w:ascii="Arial" w:hAnsi="Arial" w:cs="Arial"/>
          <w:color w:val="000000" w:themeColor="text1"/>
          <w:sz w:val="22"/>
          <w:szCs w:val="22"/>
          <w:lang w:val="en-US"/>
        </w:rPr>
        <w:t xml:space="preserve">, st. </w:t>
      </w:r>
      <w:r w:rsidRPr="00DA76A7">
        <w:rPr>
          <w:rFonts w:ascii="Arial" w:hAnsi="Arial" w:cs="Arial"/>
          <w:color w:val="000000" w:themeColor="text1"/>
          <w:sz w:val="22"/>
          <w:szCs w:val="22"/>
          <w:shd w:val="clear" w:color="auto" w:fill="FFFFFF"/>
          <w:lang w:val="en-US"/>
        </w:rPr>
        <w:t>Rokossovskogo</w:t>
      </w:r>
      <w:r w:rsidRPr="00DA76A7">
        <w:rPr>
          <w:rFonts w:ascii="Arial" w:hAnsi="Arial" w:cs="Arial"/>
          <w:color w:val="000000" w:themeColor="text1"/>
          <w:sz w:val="22"/>
          <w:szCs w:val="22"/>
          <w:lang w:val="en-US"/>
        </w:rPr>
        <w:t xml:space="preserve">, 20 </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950-988-1001,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polyakov.nikolay.1987@mail.ru </w:t>
      </w:r>
    </w:p>
    <w:p w:rsidR="00A969C6" w:rsidRPr="00DA76A7" w:rsidRDefault="00A969C6" w:rsidP="00A969C6">
      <w:pPr>
        <w:tabs>
          <w:tab w:val="left" w:pos="5200"/>
        </w:tabs>
        <w:rPr>
          <w:rFonts w:ascii="Arial" w:hAnsi="Arial" w:cs="Arial"/>
          <w:color w:val="000000" w:themeColor="text1"/>
          <w:sz w:val="22"/>
          <w:szCs w:val="22"/>
          <w:lang w:val="en-US"/>
        </w:rPr>
      </w:pPr>
    </w:p>
    <w:p w:rsidR="00A969C6" w:rsidRPr="00DA76A7" w:rsidRDefault="00B46B9E" w:rsidP="00A969C6">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В статье рассматриваются вопросы правоприменительной деятельности высших судов РФ по защите прав мигрантов</w:t>
      </w:r>
    </w:p>
    <w:p w:rsidR="00A969C6" w:rsidRPr="00DA76A7" w:rsidRDefault="00081412" w:rsidP="00A969C6">
      <w:pPr>
        <w:pStyle w:val="a4"/>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In the article questions of law enforcement activity of the higher courts of the Russian Federation on protection of the rights of migrants</w:t>
      </w:r>
    </w:p>
    <w:p w:rsidR="00A969C6" w:rsidRPr="00DA76A7" w:rsidRDefault="00A969C6" w:rsidP="00A969C6">
      <w:pPr>
        <w:pStyle w:val="a4"/>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миграционная политика, иностранные граждане, Конституция РФ.</w:t>
      </w:r>
    </w:p>
    <w:p w:rsidR="00A969C6" w:rsidRPr="00DA76A7" w:rsidRDefault="00A969C6" w:rsidP="00A969C6">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migration policy, foreign citizens, Constitution of the Russian Federation.</w:t>
      </w:r>
    </w:p>
    <w:p w:rsidR="00A969C6" w:rsidRPr="00DA76A7" w:rsidRDefault="00A969C6" w:rsidP="00A969C6">
      <w:pPr>
        <w:tabs>
          <w:tab w:val="left" w:pos="5200"/>
        </w:tabs>
        <w:ind w:firstLine="709"/>
        <w:rPr>
          <w:rFonts w:ascii="Arial" w:hAnsi="Arial" w:cs="Arial"/>
          <w:i/>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Миграционная политика является одной изключевых частей политики Российской Федерации, на которуюактивное влияние оказывают как внешнеполитические, так и внутригосударственные процессы, например, такие как изменения в экономической и социальной сферах современного общества. </w:t>
      </w:r>
    </w:p>
    <w:p w:rsidR="00A969C6" w:rsidRPr="00DA76A7" w:rsidRDefault="00A969C6" w:rsidP="00A969C6">
      <w:pPr>
        <w:ind w:firstLine="567"/>
        <w:jc w:val="both"/>
        <w:rPr>
          <w:rFonts w:ascii="Arial" w:hAnsi="Arial" w:cs="Arial"/>
          <w:color w:val="000000" w:themeColor="text1"/>
          <w:spacing w:val="3"/>
          <w:sz w:val="22"/>
          <w:szCs w:val="22"/>
        </w:rPr>
      </w:pPr>
      <w:r w:rsidRPr="00DA76A7">
        <w:rPr>
          <w:rFonts w:ascii="Arial" w:hAnsi="Arial" w:cs="Arial"/>
          <w:color w:val="000000" w:themeColor="text1"/>
          <w:spacing w:val="3"/>
          <w:sz w:val="22"/>
          <w:szCs w:val="22"/>
        </w:rPr>
        <w:t>Несмотря на то, что на протяжении последних лет в Российской Федерации постоянно совершенствуется миграционная политика, но вопреки этому в законодательстве по прежнему имеется большое количество пробелов и коллизий. Все это приводит к тому, что в результате правоприменения допускаются серьезные нарушения миграционного законодательства, что обуславливает проведение дальнейших исследований по данной проблематике.</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Российской Федерации права мигрантов гарантируются и закрепляются в Конституции </w:t>
      </w:r>
      <w:r w:rsidRPr="00DA76A7">
        <w:rPr>
          <w:rFonts w:ascii="Arial" w:hAnsi="Arial" w:cs="Arial"/>
          <w:color w:val="000000" w:themeColor="text1"/>
          <w:spacing w:val="3"/>
          <w:sz w:val="22"/>
          <w:szCs w:val="22"/>
        </w:rPr>
        <w:t>Российской Федерации[1]</w:t>
      </w:r>
      <w:r w:rsidRPr="00DA76A7">
        <w:rPr>
          <w:rFonts w:ascii="Arial" w:hAnsi="Arial" w:cs="Arial"/>
          <w:color w:val="000000" w:themeColor="text1"/>
          <w:sz w:val="22"/>
          <w:szCs w:val="22"/>
        </w:rPr>
        <w:t xml:space="preserve">, в нормах Федерального закона от 25.07.2002 № 115-ФЗ «О правовом положении иностранных граждан в Российской Федерации»[2], Федерального закона от 19.02.1993 № 4528-1 «О беженцах» [3], Федерального закона от 15.08.1996 № 114-ФЗ «О порядке выезда из Российской Федерации и въезда в Российскую Федерацию» [4] и т.д.Также права мигрантов закреплены в различных подзаконных нормативных актах.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Так, согласно ст. 2 Конституции Российской Федерации человек, его права и свободы являются высшей ценностью. То есть государство гарантирует защиту прав и свобод человека вне зависимости от его национальной и гражданской принадлежности.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Статья 46 Конституции</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гарантирует право каждого человека на судебную защиту. Судебная защита – наиболее эффективное, и порой единственное, средство восстановления нарушенных прав. Всеобщая декларация прав человека прямо закрепляет в ст. 8, что каждый человек имеет право на эффективное восстановление в правах компетентными национальными судами в случаях нарушения его основных прав, предоставленных ему конституцией или законом [8, 92].</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В результате комплексного анализа судебной практики высших судов </w:t>
      </w:r>
      <w:r w:rsidRPr="00DA76A7">
        <w:rPr>
          <w:rFonts w:ascii="Arial" w:hAnsi="Arial" w:cs="Arial"/>
          <w:color w:val="000000" w:themeColor="text1"/>
          <w:spacing w:val="3"/>
          <w:sz w:val="22"/>
          <w:szCs w:val="22"/>
        </w:rPr>
        <w:t xml:space="preserve">Российской Федерации </w:t>
      </w:r>
      <w:r w:rsidRPr="00DA76A7">
        <w:rPr>
          <w:rFonts w:ascii="Arial" w:hAnsi="Arial" w:cs="Arial"/>
          <w:color w:val="000000" w:themeColor="text1"/>
          <w:sz w:val="22"/>
          <w:szCs w:val="22"/>
          <w:shd w:val="clear" w:color="auto" w:fill="FFFFFF"/>
        </w:rPr>
        <w:t xml:space="preserve">можно констатировать, что основными причинами обращения иностранных граждан и лиц без гражданства в суды для защиты своих прав выступают: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1) не предоставление им соответствующего статуса,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2) отказ в продлении данного статуса,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3) отказ в предоставлении им жилья, медицинской помощи, образования, социальных выплат и т.д. </w:t>
      </w:r>
    </w:p>
    <w:p w:rsidR="00A969C6" w:rsidRPr="00DA76A7" w:rsidRDefault="00A969C6" w:rsidP="00A969C6">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iCs/>
          <w:color w:val="000000" w:themeColor="text1"/>
          <w:sz w:val="22"/>
          <w:szCs w:val="22"/>
        </w:rPr>
        <w:t xml:space="preserve">Очень часто проблемы соблюдения прав мигрантов связаны с пересечением ими государственных границ. </w:t>
      </w:r>
      <w:r w:rsidRPr="00DA76A7">
        <w:rPr>
          <w:rFonts w:ascii="Arial" w:hAnsi="Arial" w:cs="Arial"/>
          <w:color w:val="000000" w:themeColor="text1"/>
          <w:sz w:val="22"/>
          <w:szCs w:val="22"/>
        </w:rPr>
        <w:t>В некоторых случаях эти нарушения связаны с градусом политического климата между странами. Они возникают на стадии транзитного пересечения границы соседних государств и продолжаются вплоть до въезда в РФ. Причиной этому является высокий уровень коррупции в пограничных, таможенных, правоохранительных и других службах на местах пересечения государственных границ [7, 104].</w:t>
      </w:r>
    </w:p>
    <w:p w:rsidR="00A969C6" w:rsidRPr="00DA76A7" w:rsidRDefault="00A969C6" w:rsidP="00A969C6">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Также проблемы возникают у мигрантов, которые были ранее принудительно депортированы или выдворены с территории Российской Федерации. Довольно часто указанным лицам запрещается въезд на территорию </w:t>
      </w:r>
      <w:r w:rsidRPr="00DA76A7">
        <w:rPr>
          <w:rFonts w:ascii="Arial" w:hAnsi="Arial" w:cs="Arial"/>
          <w:color w:val="000000" w:themeColor="text1"/>
          <w:spacing w:val="3"/>
          <w:sz w:val="22"/>
          <w:szCs w:val="22"/>
        </w:rPr>
        <w:t xml:space="preserve">Российской Федерации </w:t>
      </w:r>
      <w:r w:rsidRPr="00DA76A7">
        <w:rPr>
          <w:rFonts w:ascii="Arial" w:hAnsi="Arial" w:cs="Arial"/>
          <w:color w:val="000000" w:themeColor="text1"/>
          <w:sz w:val="22"/>
          <w:szCs w:val="22"/>
        </w:rPr>
        <w:t xml:space="preserve">уже после истечения отведенного законом срока на пересечение границы. Как показывает правоприменительная практика, указанные сложности возникают в результате несвоевременного внесения изменений в информационные системы государственных органов и служб, а также по причине технических ошибок, обусловленных сложными установочными данными иностранных граждан. Увеличение количества выдворений, приводит к возрастанию численности мигрантов, которые живут и работают в Российской Федерации без официально оформленных документов.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свете неуклонного роста миграции разнообразные меры, предпринимаемые государством по ограничению пребывания «нежелательных» и привлечению «желательных» мигрантов, были и остаются предметом внимания ученых, политиков и общественности. При этом конституционно-правовой аспект данного вопроса, а именно баланс между правами мигрантов и правом государства ограничивать их пребывание, занимал в первую очередь законодателя и Конституционный Суд РФ, рассматривающий жалобы на конституционность тех или иных мер по ограничению пребывания мигрантов. Является ли отсутствие единообразного подхода следствием неопределенности законодательства или же исключительно недостатком правоприменительной практики? С одной стороны, следует признать, что слабость аргументации в части оценки соразмерности ограничения прав и реальности угрозы конституционным ценностям - это общая проблема в практике российских судов по делам об ограничении прав не только мигрантов, но и граждан РФ. Возможны различные пути разрешения выявленной проблемы: как посредством уточнения законодательства, что и рекомендовал Конституционный Суд, так и путем совершенствования общего подхода к защите прав мигрантов и к оценке соразмерности ограничения прав человека [6, 21].</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в частности в постановлении Конституционного Суда Российской Федерации от 12.03.2015 № 4-П [5], говорится о том, что если в  судебной практике допускается придание законоположениям нормативно-правового смысла, влекущего нарушение реализуемых на их основе конституционных прав, может возникнуть вопрос о конституционности этих положений. При этом, если норма продолжает использоваться в  правоприменительной практике в  интерпретации, расходящейся с ее конституционно-правовым смыслом, Конституционный Суд Российской Федерации вправе признать ее не соответствующей Конституции.</w:t>
      </w:r>
    </w:p>
    <w:p w:rsidR="00C76687" w:rsidRDefault="00C76687">
      <w:pPr>
        <w:widowControl/>
        <w:autoSpaceDE/>
        <w:autoSpaceDN/>
        <w:adjustRightInd/>
        <w:spacing w:after="200" w:line="276" w:lineRule="auto"/>
        <w:rPr>
          <w:rFonts w:ascii="Arial" w:hAnsi="Arial" w:cs="Arial"/>
          <w:color w:val="000000" w:themeColor="text1"/>
          <w:sz w:val="22"/>
          <w:szCs w:val="22"/>
        </w:rPr>
      </w:pPr>
      <w:r>
        <w:rPr>
          <w:rFonts w:ascii="Arial" w:hAnsi="Arial" w:cs="Arial"/>
          <w:color w:val="000000" w:themeColor="text1"/>
          <w:sz w:val="22"/>
          <w:szCs w:val="22"/>
        </w:rPr>
        <w:br w:type="page"/>
      </w:r>
    </w:p>
    <w:p w:rsidR="00A969C6" w:rsidRPr="00DA76A7" w:rsidRDefault="00A969C6" w:rsidP="00A969C6">
      <w:pPr>
        <w:pStyle w:val="a4"/>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Конституция Российской Федерации от 25 декабря 1993 г. [Электронный ресурс] // Официальный интернет-портал правовой информации. – Режим доступа: http://www.pravo.gov.ru (дата обращения: 12.02.2018).</w:t>
      </w:r>
    </w:p>
    <w:p w:rsidR="00A969C6" w:rsidRPr="00DA76A7" w:rsidRDefault="00A969C6" w:rsidP="00A969C6">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О правовом положении иностранных граждан в Российской Федерации от 25 июля 2002 г. № 115-ФЗ [Электронный ресурс] // Официальный интернет-портал правовой информации. – Режим доступа: http://www.pravo.gov.ru (дата обращения: 12.02.2018).</w:t>
      </w:r>
    </w:p>
    <w:p w:rsidR="00A969C6" w:rsidRPr="00DA76A7" w:rsidRDefault="00A969C6" w:rsidP="00A969C6">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О беженцах от 19 февраля 1993 г. № 4528-1 [Электронный ресурс] // Официальный интернет-портал правовой информации. – Режим доступа: http://www.pravo.gov.ru (дата обращения: 12.02.2018).</w:t>
      </w:r>
    </w:p>
    <w:p w:rsidR="00A969C6" w:rsidRPr="00DA76A7" w:rsidRDefault="00A969C6" w:rsidP="00A969C6">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О порядке выезда из Российской Федерации и въезда в Российскую Федерацию от 15 августа 1996 г. № 114-ФЗ [Электронный ресурс] // Официальный интернет-портал правовой информации. – Режим доступа: http://www.pravo.gov.ru (дата обращения: 12.02.2018).</w:t>
      </w:r>
    </w:p>
    <w:p w:rsidR="00A969C6" w:rsidRPr="00DA76A7" w:rsidRDefault="00A969C6" w:rsidP="00A969C6">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5. Постановление Конституционного Суда Российской Федерации от 12 марта 2015 г. № 4-П. </w:t>
      </w:r>
      <w:r w:rsidRPr="00DA76A7">
        <w:rPr>
          <w:rFonts w:ascii="Arial" w:eastAsia="Times New Roman" w:hAnsi="Arial" w:cs="Arial"/>
          <w:bCs/>
          <w:color w:val="000000" w:themeColor="text1"/>
          <w:spacing w:val="3"/>
          <w:kern w:val="36"/>
          <w:sz w:val="22"/>
          <w:szCs w:val="22"/>
        </w:rPr>
        <w:t>«По делу о проверке конституционности положений части четвертой статьи 25 </w:t>
      </w:r>
      <w:r w:rsidRPr="00DA76A7">
        <w:rPr>
          <w:rFonts w:ascii="Arial" w:eastAsia="Times New Roman" w:hAnsi="Arial" w:cs="Arial"/>
          <w:bCs/>
          <w:color w:val="000000" w:themeColor="text1"/>
          <w:spacing w:val="3"/>
          <w:kern w:val="36"/>
          <w:sz w:val="22"/>
          <w:szCs w:val="22"/>
          <w:vertAlign w:val="superscript"/>
        </w:rPr>
        <w:t>10</w:t>
      </w:r>
      <w:r w:rsidRPr="00DA76A7">
        <w:rPr>
          <w:rFonts w:ascii="Arial" w:eastAsia="Times New Roman" w:hAnsi="Arial" w:cs="Arial"/>
          <w:bCs/>
          <w:color w:val="000000" w:themeColor="text1"/>
          <w:spacing w:val="3"/>
          <w:kern w:val="36"/>
          <w:sz w:val="22"/>
          <w:szCs w:val="22"/>
        </w:rPr>
        <w:t xml:space="preserve"> Федерального закона «О порядке выезда из Российской Федерации и въезда в Российскую Федерацию», подпункта 13 пункта 1 статьи 7 Федерального закона «О правовом положении иностранных граждан в Российской Федерации» и пункта 2 статьи 11 Федерального закона «О предупреждении распространения в Российской Федерации заболевания, вызываемого вирусом иммунодефицита человека (ВИЧ-инфекции)» в связи с жалобами ряда граждан» </w:t>
      </w:r>
      <w:r w:rsidRPr="00DA76A7">
        <w:rPr>
          <w:rFonts w:ascii="Arial" w:hAnsi="Arial" w:cs="Arial"/>
          <w:color w:val="000000" w:themeColor="text1"/>
          <w:sz w:val="22"/>
          <w:szCs w:val="22"/>
        </w:rPr>
        <w:t>[Электронный ресурс] // Официальный интернет-портал правовой информации. – Режим доступа: http://www.pravo.gov.ru (дата обращения: 12.02.2018).</w:t>
      </w:r>
    </w:p>
    <w:p w:rsidR="00A969C6" w:rsidRPr="00DA76A7" w:rsidRDefault="00A969C6" w:rsidP="00A969C6">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Кудряшова О.А. «Нежелательные» мигранты: практика российских судов в свете конституционных принципов ограничения прав человека. Петербургский юрист. 2016. №1. С. 20-36.</w:t>
      </w:r>
    </w:p>
    <w:p w:rsidR="00A969C6" w:rsidRPr="00DA76A7" w:rsidRDefault="00A969C6" w:rsidP="00A969C6">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7. </w:t>
      </w:r>
      <w:r w:rsidRPr="00DA76A7">
        <w:rPr>
          <w:rFonts w:ascii="Arial" w:hAnsi="Arial" w:cs="Arial"/>
          <w:iCs/>
          <w:color w:val="000000" w:themeColor="text1"/>
          <w:sz w:val="22"/>
          <w:szCs w:val="22"/>
        </w:rPr>
        <w:t>Шуршалова Е.С.</w:t>
      </w:r>
      <w:r w:rsidRPr="00DA76A7">
        <w:rPr>
          <w:rStyle w:val="apple-converted-space"/>
          <w:rFonts w:ascii="Arial" w:hAnsi="Arial" w:cs="Arial"/>
          <w:iCs/>
          <w:color w:val="000000" w:themeColor="text1"/>
          <w:sz w:val="22"/>
          <w:szCs w:val="22"/>
        </w:rPr>
        <w:t> </w:t>
      </w:r>
      <w:r w:rsidRPr="00DA76A7">
        <w:rPr>
          <w:rFonts w:ascii="Arial" w:hAnsi="Arial" w:cs="Arial"/>
          <w:color w:val="000000" w:themeColor="text1"/>
          <w:sz w:val="22"/>
          <w:szCs w:val="22"/>
        </w:rPr>
        <w:t>Проблемы разграничения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в сфере регулирования миграционных процессов // Вестник Саратовской государственной академии права. Саратов, 2010. №4. - С. 103-105.</w:t>
      </w:r>
    </w:p>
    <w:p w:rsidR="00A969C6" w:rsidRPr="00DA76A7" w:rsidRDefault="00A969C6" w:rsidP="00A969C6">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Эбзеев Б.С. Конституция. Правовое государство. Конституционный суд: учебное пособие для вузов. – М.: Закон и право, ЮНИТИ, 1997. - 349 с.</w:t>
      </w:r>
    </w:p>
    <w:p w:rsidR="00A969C6" w:rsidRPr="00DA76A7" w:rsidRDefault="00A969C6" w:rsidP="00A969C6">
      <w:pPr>
        <w:pStyle w:val="af8"/>
        <w:ind w:firstLine="567"/>
        <w:jc w:val="both"/>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ПРАВОВАЯ ХАРАКТЕРИСТИКА СМЕШАННЫХ ДОГОВОРОВ</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Раджабова Милана Бахридиновна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1-го года обучения заочного отделения юридического факультета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ул.М. Турсунзаде,30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985026876, e-mail: m.pravo@mail.ru</w:t>
      </w:r>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CHARACTERISTIC OF MIXED TREATIES</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Rajabova Milan</w:t>
      </w:r>
      <w:r w:rsidRPr="00DA76A7">
        <w:rPr>
          <w:rFonts w:ascii="Arial" w:hAnsi="Arial" w:cs="Arial"/>
          <w:b/>
          <w:color w:val="000000" w:themeColor="text1"/>
          <w:sz w:val="22"/>
          <w:szCs w:val="22"/>
        </w:rPr>
        <w:t>а</w:t>
      </w:r>
      <w:r w:rsidRPr="00DA76A7">
        <w:rPr>
          <w:rFonts w:ascii="Arial" w:hAnsi="Arial" w:cs="Arial"/>
          <w:b/>
          <w:color w:val="000000" w:themeColor="text1"/>
          <w:sz w:val="22"/>
          <w:szCs w:val="22"/>
          <w:lang w:val="en-US"/>
        </w:rPr>
        <w:t xml:space="preserve"> Bakhridinovna</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first year of correspondence department of the faculty of law</w:t>
      </w:r>
    </w:p>
    <w:p w:rsidR="00A969C6" w:rsidRPr="00DA76A7" w:rsidRDefault="00A969C6" w:rsidP="00A969C6">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  Russian-Tajik (Slavonic) university </w:t>
      </w:r>
    </w:p>
    <w:p w:rsidR="00A969C6" w:rsidRPr="00DA76A7" w:rsidRDefault="00A969C6" w:rsidP="00A969C6">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734025, Republic of Tajikistan, Dushanbe, M. Tursunzade str., 30</w:t>
      </w:r>
    </w:p>
    <w:p w:rsidR="00A969C6" w:rsidRPr="00DA76A7" w:rsidRDefault="00A969C6" w:rsidP="00A969C6">
      <w:pP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tel.: 985026876, e-mail: m.pravo@mail.ru</w:t>
      </w:r>
    </w:p>
    <w:p w:rsidR="00A969C6" w:rsidRPr="00DA76A7" w:rsidRDefault="00A969C6" w:rsidP="00A969C6">
      <w:pPr>
        <w:tabs>
          <w:tab w:val="left" w:pos="5145"/>
        </w:tabs>
        <w:rPr>
          <w:rFonts w:ascii="Arial" w:hAnsi="Arial" w:cs="Arial"/>
          <w:color w:val="000000" w:themeColor="text1"/>
          <w:sz w:val="22"/>
          <w:szCs w:val="22"/>
          <w:lang w:val="en-US"/>
        </w:rPr>
      </w:pPr>
      <w:r w:rsidRPr="00DA76A7">
        <w:rPr>
          <w:rFonts w:ascii="Arial" w:hAnsi="Arial" w:cs="Arial"/>
          <w:color w:val="000000" w:themeColor="text1"/>
          <w:sz w:val="22"/>
          <w:szCs w:val="22"/>
          <w:lang w:val="en-US"/>
        </w:rPr>
        <w:tab/>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        </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rPr>
        <w:t>Научный руководитель</w:t>
      </w:r>
      <w:r w:rsidRPr="00DA76A7">
        <w:rPr>
          <w:rFonts w:ascii="Arial" w:hAnsi="Arial" w:cs="Arial"/>
          <w:b/>
          <w:color w:val="000000" w:themeColor="text1"/>
          <w:sz w:val="22"/>
          <w:szCs w:val="22"/>
        </w:rPr>
        <w:t>:</w:t>
      </w:r>
      <w:r w:rsidRPr="00DA76A7">
        <w:rPr>
          <w:rFonts w:ascii="Arial" w:hAnsi="Arial" w:cs="Arial"/>
          <w:color w:val="000000" w:themeColor="text1"/>
          <w:sz w:val="22"/>
          <w:szCs w:val="22"/>
        </w:rPr>
        <w:t xml:space="preserve"> к.ю.н., доцент Химатов Х.Н.</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настоящей статье автором рассматривается правовая характеристика смешанного договора. Проводится</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отличительная</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грань</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между</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смешанным</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и</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межотраслевым</w:t>
      </w:r>
      <w:r w:rsidR="00A969C6" w:rsidRPr="00DA76A7">
        <w:rPr>
          <w:rFonts w:ascii="Arial" w:hAnsi="Arial" w:cs="Arial"/>
          <w:i/>
          <w:color w:val="000000" w:themeColor="text1"/>
          <w:sz w:val="22"/>
          <w:szCs w:val="22"/>
          <w:lang w:val="en-US"/>
        </w:rPr>
        <w:t xml:space="preserve"> </w:t>
      </w:r>
      <w:r w:rsidR="00A969C6" w:rsidRPr="00DA76A7">
        <w:rPr>
          <w:rFonts w:ascii="Arial" w:hAnsi="Arial" w:cs="Arial"/>
          <w:i/>
          <w:color w:val="000000" w:themeColor="text1"/>
          <w:sz w:val="22"/>
          <w:szCs w:val="22"/>
        </w:rPr>
        <w:t>договором</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In this article, the author examines the legal characteristics of a mixed contract. A distinction is made between a mixed and inter-branch agreement</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свобода договора, смешанный договор, межотраслевой договор, гражданское законодательство.</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freedom of contract, mixed agreement, inter-branch agreement, civil legislation.</w:t>
      </w:r>
    </w:p>
    <w:p w:rsidR="00A969C6" w:rsidRPr="00DA76A7" w:rsidRDefault="00A969C6" w:rsidP="00A969C6">
      <w:pPr>
        <w:ind w:firstLine="567"/>
        <w:jc w:val="both"/>
        <w:rPr>
          <w:rFonts w:ascii="Arial" w:hAnsi="Arial" w:cs="Arial"/>
          <w:i/>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со статьей 453 Гражданского кодекса Республики Таджикистан, предусматривающей  свободу договора стороны могут заключать договор, в котором содержатся элементы различных  договоров,  предусмотренных  законом или  иными  правовыми актами. Такого вида договор называется смешанным договором.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Ю.А. Тарасенко считает, что  «системное расположение нормы о смешанном договоре, помещенной в разделе об общих положениях о договоре, свидетельствует о том, что законодатель не придерживается принципа незыблемости правовой конструкции, характерной для того или иного типа договора. В отсутствие возможности заключать договоры, содержащие условия разных конструкций, свобода договора оказалась бы сильно усеченной»[6]. Таким утверждением он подчеркивает значимость  смешанных договоров в гражданском праве.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Смешанные договора отдельными учеными по-другому называются нетипичными. Причем, по их мнению, смешанные договоры с другими нетипичными договорными институтами располагаются  в одном ряду [3, 5; 4, 33]. Однако согласно мнению других ученых термин «нетипичный»  относительно смешанных договоров представляется некорректным, так как «..прилагательное «типичный» характеризует явление как ярко выраженное, несущее в себе характерные особенности какого-либо типа явлений, слово «нетипичный» имеет противоположное значение и означает явления, обычно не свойственные, не характерные для того, или иного типа явлений. Поскольку непоименованные и смешанные договоры получили не только широкое применение на практике, но и законодательное закрепление в действующем ГК, отпали какие бы то ни было основания для отнесения этих договорных конструкций к нетипичным для гражданского права явлениям» [5, 63; 7].</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Общепринятая дихотомичная классификация относится к отдельным договорам-компонентам, но не к гетерогенному смешанному договору в целом. Это снимает кажущуюся противоречивость классификации смешанных договоров по общепринятым основаниям.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Отмеченный фактор имеет прямое практическое значение, прежде всего в аспекте ограничений на конструирование смешанных договоров. Так, невозможно заключить договор, одновременно сочетающий условия продажи и дарения одной и той же вещи (невозможность одновременной квалификации отдельного договорного обязательства и как возмездного, и как безвозмездного).</w:t>
      </w:r>
    </w:p>
    <w:p w:rsidR="00A969C6" w:rsidRPr="00DA76A7" w:rsidRDefault="00A969C6" w:rsidP="00A969C6">
      <w:pPr>
        <w:tabs>
          <w:tab w:val="left" w:pos="1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качестве отдельной разновидности Д.В.Огородов, М.Ю.Челышев выделяют смешанные договоры, сочетающие элементы как поименованных в объективном праве, так и элементы непоименованных договоров [2, 54]. Исходя из договор, содержащий элементы поименованного в нормативных актах договора и элементы непоименованного договора, не будет считаться смешанным. Однако такая чрезмерно узкая трактовка не вполне обоснованна содержанием хотя бы принципа свободы договора. В связи с чем к смешанным следует причислять договоры, сочетающие элементы как уже известных закону договоров, так и элементы непоименованных договоров. В частности, это могут быть договоры, оформляющие институт суррогатного материнства (договоры о вынашивании детей), в которых наряду с самим предметом могут содержаться и условия о купле-продаже, оказании услуг и др. [2, 54]. Однако с этим мнение не все согласны. Так,  С.Н. Тагаева и Ф.М. Аминова полагают, что   данный договор нельзя признать смешанным, так как он не содержит в себе черты существующих гражданско-правовых договоров[1, 1466].</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их мнению договор суррогатного материнства носит межотраслевой характер и является специфическим частноправовым соглашением,  которое содержит в себе условия, определяемые несколькими отраслями права[1, 1467].  С подобным мнением вполне можно согласиться.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Рассматривая приведенное деление смешанных договоров, стоит указать, что по степени возрастания удельного веса автономии воли сторон в формировании условий договора и общей договорной конструкции (следовательно, и по степени пробельности в нормативном регламентировании) смешанный договор сам по себе занимает среднее место между поименованным и непоименованным договором.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Смешанный договор не участвует в дихотомическом ряде «поименованные/непоименованные договоры». Смешанный договор - это продукт иной классификации - «несмешанные (унитарные)/смешанные договоры».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позиции же любого участника гражданского оборота смешанный договор - это компромисс между удобством, гибкостью договорной конструкции, с одной стороны, и беспробельностью регулирования - с другой. Наиболее урегулированный законодателем договор, известный правоприменителю, отличается известной жесткостью конструкции. Но именно эта жесткость не всегда устраивает предпринимателей и иных участников гражданского оборота.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Непоименованный договор, напротив, гибок. Однако его практическое оформление и стабильность в контексте соответствующей судебно-арбитражной практики носят нередко мало предсказуемый характер. Заключение непоименованного договора - это своего рода «прыжок в неизвестность», поскольку всегда есть риск противоречивого разрешения спора. Категория смешанного договора имеет значение для всей подсистемы частного права в целом. Другим аргументом является то, что на практике в гражданско-правовые договоры нередко включаются условия относящиеся к одной отрасли права, такие договоры можно именовать межотраслевыми.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Поясним избранную терминологию. Вероятно, более благозвучным было бы использование термина «межотраслевые договоры». Однако когда говорят о межотраслевых правовых явлениях (понятиях), то обычно имеют в виду юридические категории, которые либо находятся на стыке разных отраслей (в области их совместного действия), либо имеют прямые связи, корреспондирующие другим явлениям в иных отраслях. Суть же договора смешанного характера, напротив, состоит в том, что это синтетическое явление, охватывающее и соединяющее в рамках единой формы несколько разных по отраслевому происхождению условий.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этим, мы считаем необходимым  разграничивать «многоотраслевые договора»,  объединяющие в единой форме условия нескольких отраслей и смешанные договора, которые содержат различные черты существующих гражданско-правовых договоров.</w:t>
      </w:r>
    </w:p>
    <w:p w:rsidR="00A969C6" w:rsidRPr="00DA76A7" w:rsidRDefault="00A969C6" w:rsidP="00A969C6">
      <w:pPr>
        <w:tabs>
          <w:tab w:val="left" w:pos="3210"/>
        </w:tabs>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f2"/>
        <w:numPr>
          <w:ilvl w:val="0"/>
          <w:numId w:val="29"/>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 Aminova F.M., Tagayeva S.N. Legal problems of a contract for surrogate motherhood in the Repablic of Tajikistan// The Social Sciences. </w:t>
      </w:r>
      <w:r w:rsidRPr="00DA76A7">
        <w:rPr>
          <w:rFonts w:ascii="Arial" w:hAnsi="Arial" w:cs="Arial"/>
          <w:color w:val="000000" w:themeColor="text1"/>
          <w:sz w:val="22"/>
          <w:szCs w:val="22"/>
        </w:rPr>
        <w:t xml:space="preserve">2016.Т.1 .№8. - С.1466-1469. </w:t>
      </w:r>
    </w:p>
    <w:p w:rsidR="00A969C6" w:rsidRPr="00DA76A7" w:rsidRDefault="00A969C6" w:rsidP="00D45D6B">
      <w:pPr>
        <w:pStyle w:val="a6"/>
        <w:numPr>
          <w:ilvl w:val="0"/>
          <w:numId w:val="29"/>
        </w:numPr>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Огородов, Д.В. Челышев М.Ю. К вопросу о видах смешанных договоров в частном праве // Законодательство и экономика. 2006. - № 2. - С. 53-59.</w:t>
      </w:r>
    </w:p>
    <w:p w:rsidR="00A969C6" w:rsidRPr="00DA76A7" w:rsidRDefault="00A969C6" w:rsidP="00D45D6B">
      <w:pPr>
        <w:pStyle w:val="a6"/>
        <w:numPr>
          <w:ilvl w:val="0"/>
          <w:numId w:val="29"/>
        </w:numPr>
        <w:spacing w:after="0" w:line="240" w:lineRule="auto"/>
        <w:ind w:left="0" w:firstLine="567"/>
        <w:jc w:val="both"/>
        <w:rPr>
          <w:rFonts w:ascii="Arial" w:eastAsiaTheme="minorHAnsi" w:hAnsi="Arial" w:cs="Arial"/>
          <w:color w:val="000000" w:themeColor="text1"/>
          <w:lang w:eastAsia="en-US"/>
        </w:rPr>
      </w:pPr>
      <w:r w:rsidRPr="00DA76A7">
        <w:rPr>
          <w:rFonts w:ascii="Arial" w:eastAsiaTheme="minorHAnsi" w:hAnsi="Arial" w:cs="Arial"/>
          <w:color w:val="000000" w:themeColor="text1"/>
          <w:lang w:eastAsia="en-US"/>
        </w:rPr>
        <w:t>. Ойгензихт В.А. Нетипичные договорные отношения в гражданском праве. Учеб. Пособие. Душанбе, 1984.- 128с.</w:t>
      </w:r>
    </w:p>
    <w:p w:rsidR="00A969C6" w:rsidRPr="00DA76A7" w:rsidRDefault="00A969C6" w:rsidP="00D45D6B">
      <w:pPr>
        <w:pStyle w:val="a6"/>
        <w:numPr>
          <w:ilvl w:val="0"/>
          <w:numId w:val="29"/>
        </w:numPr>
        <w:spacing w:after="0" w:line="240" w:lineRule="auto"/>
        <w:ind w:left="0" w:firstLine="567"/>
        <w:rPr>
          <w:rFonts w:ascii="Arial" w:eastAsiaTheme="minorHAnsi" w:hAnsi="Arial" w:cs="Arial"/>
          <w:color w:val="000000" w:themeColor="text1"/>
          <w:lang w:eastAsia="en-US"/>
        </w:rPr>
      </w:pPr>
      <w:r w:rsidRPr="00DA76A7">
        <w:rPr>
          <w:rFonts w:ascii="Arial" w:eastAsiaTheme="minorHAnsi" w:hAnsi="Arial" w:cs="Arial"/>
          <w:color w:val="000000" w:themeColor="text1"/>
          <w:lang w:eastAsia="en-US"/>
        </w:rPr>
        <w:t>. Садиков О.Н. Нетипичные институты в советском гражданском праве // Советское государство и право. 1979. N 2. - С. 33-42.</w:t>
      </w:r>
    </w:p>
    <w:p w:rsidR="00A969C6" w:rsidRPr="00DA76A7" w:rsidRDefault="00A969C6" w:rsidP="00D45D6B">
      <w:pPr>
        <w:pStyle w:val="a6"/>
        <w:numPr>
          <w:ilvl w:val="0"/>
          <w:numId w:val="29"/>
        </w:numPr>
        <w:autoSpaceDE w:val="0"/>
        <w:autoSpaceDN w:val="0"/>
        <w:adjustRightInd w:val="0"/>
        <w:spacing w:after="0" w:line="240" w:lineRule="auto"/>
        <w:ind w:left="0" w:firstLine="567"/>
        <w:jc w:val="both"/>
        <w:rPr>
          <w:rFonts w:ascii="Arial" w:eastAsiaTheme="minorHAnsi" w:hAnsi="Arial" w:cs="Arial"/>
          <w:color w:val="000000" w:themeColor="text1"/>
          <w:lang w:eastAsia="en-US"/>
        </w:rPr>
      </w:pPr>
      <w:r w:rsidRPr="00DA76A7">
        <w:rPr>
          <w:rFonts w:ascii="Arial" w:eastAsiaTheme="minorHAnsi" w:hAnsi="Arial" w:cs="Arial"/>
          <w:color w:val="000000" w:themeColor="text1"/>
          <w:lang w:eastAsia="en-US"/>
        </w:rPr>
        <w:t>. Собчак А.А. Смешанные и комплексные договоры в гражданском праве // Советское государство и право. 1989. N 11. - С. 63-68.</w:t>
      </w:r>
    </w:p>
    <w:p w:rsidR="00A969C6" w:rsidRPr="00DA76A7" w:rsidRDefault="00A969C6" w:rsidP="00D45D6B">
      <w:pPr>
        <w:pStyle w:val="1"/>
        <w:numPr>
          <w:ilvl w:val="0"/>
          <w:numId w:val="29"/>
        </w:numPr>
        <w:spacing w:before="0" w:after="0"/>
        <w:ind w:left="0" w:firstLine="567"/>
        <w:jc w:val="both"/>
        <w:rPr>
          <w:b w:val="0"/>
          <w:color w:val="000000" w:themeColor="text1"/>
          <w:sz w:val="22"/>
          <w:szCs w:val="22"/>
        </w:rPr>
      </w:pPr>
      <w:r w:rsidRPr="00DA76A7">
        <w:rPr>
          <w:b w:val="0"/>
          <w:color w:val="000000" w:themeColor="text1"/>
          <w:sz w:val="22"/>
          <w:szCs w:val="22"/>
        </w:rPr>
        <w:t>. Тарасенко Ю.А. Действителен ли смешанный договор, в котором отсутствует существенное условие, относящееся к какой-либо из его частей? Обзор судебной практики «Смешанный договор» [Электронный ресурс]. //Арбитражное правосудие в России», N 4, 2007.</w:t>
      </w:r>
      <w:r w:rsidRPr="00DA76A7">
        <w:rPr>
          <w:color w:val="000000" w:themeColor="text1"/>
          <w:sz w:val="22"/>
          <w:szCs w:val="22"/>
        </w:rPr>
        <w:t xml:space="preserve"> </w:t>
      </w:r>
      <w:r w:rsidRPr="00DA76A7">
        <w:rPr>
          <w:b w:val="0"/>
          <w:color w:val="000000" w:themeColor="text1"/>
          <w:sz w:val="22"/>
          <w:szCs w:val="22"/>
        </w:rPr>
        <w:t>Режим доступа СПС «Гарант».</w:t>
      </w:r>
    </w:p>
    <w:p w:rsidR="00A969C6" w:rsidRPr="00DA76A7" w:rsidRDefault="00A969C6" w:rsidP="00D45D6B">
      <w:pPr>
        <w:pStyle w:val="a6"/>
        <w:numPr>
          <w:ilvl w:val="0"/>
          <w:numId w:val="29"/>
        </w:numPr>
        <w:autoSpaceDE w:val="0"/>
        <w:autoSpaceDN w:val="0"/>
        <w:adjustRightInd w:val="0"/>
        <w:spacing w:after="0" w:line="240" w:lineRule="auto"/>
        <w:ind w:left="0" w:firstLine="567"/>
        <w:jc w:val="both"/>
        <w:rPr>
          <w:rFonts w:ascii="Arial" w:eastAsiaTheme="minorHAnsi" w:hAnsi="Arial" w:cs="Arial"/>
          <w:color w:val="000000" w:themeColor="text1"/>
          <w:lang w:eastAsia="en-US"/>
        </w:rPr>
      </w:pPr>
      <w:r w:rsidRPr="00DA76A7">
        <w:rPr>
          <w:rFonts w:ascii="Arial" w:hAnsi="Arial" w:cs="Arial"/>
          <w:color w:val="000000" w:themeColor="text1"/>
        </w:rPr>
        <w:t xml:space="preserve">. Татарская Е.В. Непоименованные и смешанные договора// </w:t>
      </w:r>
      <w:r w:rsidRPr="00DA76A7">
        <w:rPr>
          <w:rFonts w:ascii="Arial" w:eastAsiaTheme="minorHAnsi" w:hAnsi="Arial" w:cs="Arial"/>
          <w:color w:val="000000" w:themeColor="text1"/>
          <w:lang w:eastAsia="en-US"/>
        </w:rPr>
        <w:t>«Российская юстиция», N 4, 2007.Электронный ресурс. доступ СПС «Гарант»</w:t>
      </w: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СИСТЕМА  ИНДИВИДУАЛЬНЫХ ОБРАЩЕНИЙ В РАМКАХ ООН</w:t>
      </w:r>
    </w:p>
    <w:p w:rsidR="00A969C6" w:rsidRPr="00DA76A7" w:rsidRDefault="00A969C6" w:rsidP="00A969C6">
      <w:pPr>
        <w:tabs>
          <w:tab w:val="left" w:pos="3819"/>
          <w:tab w:val="center" w:pos="5031"/>
        </w:tabs>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 </w:t>
      </w:r>
    </w:p>
    <w:p w:rsidR="00A969C6" w:rsidRPr="00DA76A7" w:rsidRDefault="00A969C6" w:rsidP="00A969C6">
      <w:pPr>
        <w:tabs>
          <w:tab w:val="left" w:pos="3819"/>
          <w:tab w:val="center" w:pos="5031"/>
        </w:tabs>
        <w:jc w:val="center"/>
        <w:rPr>
          <w:rFonts w:ascii="Arial" w:hAnsi="Arial" w:cs="Arial"/>
          <w:b/>
          <w:color w:val="000000" w:themeColor="text1"/>
          <w:sz w:val="22"/>
          <w:szCs w:val="22"/>
        </w:rPr>
      </w:pPr>
      <w:r w:rsidRPr="00DA76A7">
        <w:rPr>
          <w:rFonts w:ascii="Arial" w:hAnsi="Arial" w:cs="Arial"/>
          <w:b/>
          <w:color w:val="000000" w:themeColor="text1"/>
          <w:sz w:val="22"/>
          <w:szCs w:val="22"/>
        </w:rPr>
        <w:t>Рахимов Азиз Кобилжонович</w:t>
      </w:r>
    </w:p>
    <w:p w:rsidR="00A969C6" w:rsidRPr="00DA76A7" w:rsidRDefault="00A969C6" w:rsidP="00A969C6">
      <w:pPr>
        <w:tabs>
          <w:tab w:val="left" w:pos="3819"/>
          <w:tab w:val="center" w:pos="5031"/>
        </w:tabs>
        <w:jc w:val="center"/>
        <w:rPr>
          <w:rFonts w:ascii="Arial" w:hAnsi="Arial" w:cs="Arial"/>
          <w:color w:val="000000" w:themeColor="text1"/>
          <w:sz w:val="22"/>
          <w:szCs w:val="22"/>
        </w:rPr>
      </w:pPr>
      <w:r w:rsidRPr="00DA76A7">
        <w:rPr>
          <w:rFonts w:ascii="Arial" w:hAnsi="Arial" w:cs="Arial"/>
          <w:color w:val="000000" w:themeColor="text1"/>
          <w:sz w:val="22"/>
          <w:szCs w:val="22"/>
        </w:rPr>
        <w:t>студент 3-го курса очного отделения юридического факультета</w:t>
      </w:r>
    </w:p>
    <w:p w:rsidR="00A969C6" w:rsidRPr="00DA76A7" w:rsidRDefault="00A969C6" w:rsidP="00A969C6">
      <w:pPr>
        <w:tabs>
          <w:tab w:val="left" w:pos="3819"/>
          <w:tab w:val="center" w:pos="5031"/>
        </w:tabs>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tabs>
          <w:tab w:val="left" w:pos="3819"/>
          <w:tab w:val="center" w:pos="5031"/>
        </w:tabs>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A969C6" w:rsidRPr="00AC7230" w:rsidRDefault="00A969C6" w:rsidP="00A969C6">
      <w:pPr>
        <w:tabs>
          <w:tab w:val="left" w:pos="3819"/>
          <w:tab w:val="center" w:pos="5031"/>
        </w:tabs>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93-81-51-007,  </w:t>
      </w:r>
      <w:r w:rsidRPr="00DA76A7">
        <w:rPr>
          <w:rFonts w:ascii="Arial" w:hAnsi="Arial" w:cs="Arial"/>
          <w:color w:val="000000" w:themeColor="text1"/>
          <w:sz w:val="22"/>
          <w:szCs w:val="22"/>
          <w:lang w:val="en-US"/>
        </w:rPr>
        <w:t>e</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hyperlink r:id="rId62" w:history="1">
        <w:r w:rsidRPr="00DA76A7">
          <w:rPr>
            <w:rStyle w:val="af0"/>
            <w:rFonts w:ascii="Arial" w:hAnsi="Arial" w:cs="Arial"/>
            <w:color w:val="000000" w:themeColor="text1"/>
            <w:sz w:val="22"/>
            <w:szCs w:val="22"/>
            <w:u w:val="none"/>
            <w:lang w:val="en-US"/>
          </w:rPr>
          <w:t>aziz</w:t>
        </w:r>
        <w:r w:rsidRPr="00AC7230">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rahimov</w:t>
        </w:r>
        <w:r w:rsidRPr="00AC7230">
          <w:rPr>
            <w:rStyle w:val="af0"/>
            <w:rFonts w:ascii="Arial" w:hAnsi="Arial" w:cs="Arial"/>
            <w:color w:val="000000" w:themeColor="text1"/>
            <w:sz w:val="22"/>
            <w:szCs w:val="22"/>
            <w:u w:val="none"/>
          </w:rPr>
          <w:t>0001@</w:t>
        </w:r>
        <w:r w:rsidRPr="00DA76A7">
          <w:rPr>
            <w:rStyle w:val="af0"/>
            <w:rFonts w:ascii="Arial" w:hAnsi="Arial" w:cs="Arial"/>
            <w:color w:val="000000" w:themeColor="text1"/>
            <w:sz w:val="22"/>
            <w:szCs w:val="22"/>
            <w:u w:val="none"/>
            <w:lang w:val="en-US"/>
          </w:rPr>
          <w:t>gmail</w:t>
        </w:r>
        <w:r w:rsidRPr="00AC7230">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com</w:t>
        </w:r>
      </w:hyperlink>
    </w:p>
    <w:p w:rsidR="00A969C6" w:rsidRPr="00AC7230" w:rsidRDefault="00A969C6" w:rsidP="00A969C6">
      <w:pPr>
        <w:tabs>
          <w:tab w:val="left" w:pos="3819"/>
          <w:tab w:val="center" w:pos="5031"/>
        </w:tabs>
        <w:jc w:val="center"/>
        <w:rPr>
          <w:rFonts w:ascii="Arial" w:hAnsi="Arial" w:cs="Arial"/>
          <w:color w:val="000000" w:themeColor="text1"/>
          <w:sz w:val="22"/>
          <w:szCs w:val="22"/>
        </w:rPr>
      </w:pPr>
    </w:p>
    <w:p w:rsidR="00A969C6" w:rsidRPr="00DA76A7" w:rsidRDefault="00A969C6" w:rsidP="00A969C6">
      <w:pPr>
        <w:tabs>
          <w:tab w:val="left" w:pos="3819"/>
          <w:tab w:val="center" w:pos="5031"/>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SYSTEM OF INDIVIDUAL APPEALS WITHIN THE UN</w:t>
      </w:r>
    </w:p>
    <w:p w:rsidR="00A969C6" w:rsidRPr="00DA76A7" w:rsidRDefault="00A969C6" w:rsidP="00A969C6">
      <w:pPr>
        <w:tabs>
          <w:tab w:val="left" w:pos="3819"/>
          <w:tab w:val="center" w:pos="5031"/>
        </w:tabs>
        <w:jc w:val="center"/>
        <w:rPr>
          <w:rFonts w:ascii="Arial" w:hAnsi="Arial" w:cs="Arial"/>
          <w:color w:val="000000" w:themeColor="text1"/>
          <w:sz w:val="22"/>
          <w:szCs w:val="22"/>
          <w:lang w:val="en-US"/>
        </w:rPr>
      </w:pPr>
    </w:p>
    <w:p w:rsidR="00A969C6" w:rsidRPr="00DA76A7" w:rsidRDefault="00A969C6" w:rsidP="00A969C6">
      <w:pPr>
        <w:tabs>
          <w:tab w:val="left" w:pos="3819"/>
          <w:tab w:val="center" w:pos="5031"/>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Rakhimov Aziz Kobiljonovich</w:t>
      </w:r>
    </w:p>
    <w:p w:rsidR="00A969C6" w:rsidRPr="00DA76A7" w:rsidRDefault="00A969C6" w:rsidP="00A969C6">
      <w:pPr>
        <w:tabs>
          <w:tab w:val="left" w:pos="3819"/>
          <w:tab w:val="center" w:pos="5031"/>
        </w:tabs>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student of the 3rd year full-time department of the law faculty</w:t>
      </w:r>
    </w:p>
    <w:p w:rsidR="00A969C6" w:rsidRPr="00DA76A7" w:rsidRDefault="00A969C6" w:rsidP="00A969C6">
      <w:pPr>
        <w:tabs>
          <w:tab w:val="left" w:pos="3819"/>
          <w:tab w:val="center" w:pos="5031"/>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tabs>
          <w:tab w:val="left" w:pos="3819"/>
          <w:tab w:val="center" w:pos="5031"/>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 30.</w:t>
      </w:r>
    </w:p>
    <w:p w:rsidR="00A969C6" w:rsidRPr="00DA76A7" w:rsidRDefault="00A969C6" w:rsidP="00A969C6">
      <w:pPr>
        <w:tabs>
          <w:tab w:val="left" w:pos="3819"/>
          <w:tab w:val="center" w:pos="5031"/>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93-81-51-007,  e-mail: </w:t>
      </w:r>
      <w:hyperlink r:id="rId63" w:history="1">
        <w:r w:rsidRPr="00DA76A7">
          <w:rPr>
            <w:rStyle w:val="af0"/>
            <w:rFonts w:ascii="Arial" w:hAnsi="Arial" w:cs="Arial"/>
            <w:color w:val="000000" w:themeColor="text1"/>
            <w:sz w:val="22"/>
            <w:szCs w:val="22"/>
            <w:u w:val="none"/>
            <w:lang w:val="en-US"/>
          </w:rPr>
          <w:t>aziz.rahimov0001@gmail.com</w:t>
        </w:r>
      </w:hyperlink>
      <w:r w:rsidRPr="00DA76A7">
        <w:rPr>
          <w:rFonts w:ascii="Arial" w:hAnsi="Arial" w:cs="Arial"/>
          <w:color w:val="000000" w:themeColor="text1"/>
          <w:sz w:val="22"/>
          <w:szCs w:val="22"/>
          <w:lang w:val="en-US"/>
        </w:rPr>
        <w:t xml:space="preserve"> </w:t>
      </w:r>
    </w:p>
    <w:p w:rsidR="00A969C6" w:rsidRPr="00DA76A7" w:rsidRDefault="00A969C6" w:rsidP="00A969C6">
      <w:pPr>
        <w:jc w:val="both"/>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
      </w:r>
      <w:r w:rsidRPr="00DA76A7">
        <w:rPr>
          <w:rFonts w:ascii="Arial" w:hAnsi="Arial" w:cs="Arial"/>
          <w:b/>
          <w:color w:val="000000" w:themeColor="text1"/>
          <w:sz w:val="22"/>
          <w:szCs w:val="22"/>
          <w:lang w:val="en-US"/>
        </w:rPr>
        <w:tab/>
      </w:r>
      <w:r w:rsidRPr="00DA76A7">
        <w:rPr>
          <w:rFonts w:ascii="Arial" w:hAnsi="Arial" w:cs="Arial"/>
          <w:b/>
          <w:color w:val="000000" w:themeColor="text1"/>
          <w:sz w:val="22"/>
          <w:szCs w:val="22"/>
          <w:lang w:val="en-US"/>
        </w:rPr>
        <w:tab/>
      </w:r>
      <w:r w:rsidRPr="00DA76A7">
        <w:rPr>
          <w:rFonts w:ascii="Arial" w:hAnsi="Arial" w:cs="Arial"/>
          <w:b/>
          <w:color w:val="000000" w:themeColor="text1"/>
          <w:sz w:val="22"/>
          <w:szCs w:val="22"/>
          <w:lang w:val="en-US"/>
        </w:rPr>
        <w:tab/>
      </w: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 xml:space="preserve">В данной статье рассматривается  общие положение о Системе индивидуальных обращений в рамках ООН. Также, принятие Декларации Прав Человека, о </w:t>
      </w:r>
      <w:r w:rsidR="00A969C6" w:rsidRPr="00DA76A7">
        <w:rPr>
          <w:rFonts w:ascii="Arial" w:hAnsi="Arial" w:cs="Arial"/>
          <w:i/>
          <w:color w:val="000000" w:themeColor="text1"/>
          <w:sz w:val="22"/>
          <w:szCs w:val="22"/>
          <w:shd w:val="clear" w:color="auto" w:fill="FFFFFF"/>
        </w:rPr>
        <w:t xml:space="preserve">Международном Пакте о гражданских и политических правах, о Факультативном договоре, </w:t>
      </w:r>
      <w:r w:rsidR="00A969C6" w:rsidRPr="00DA76A7">
        <w:rPr>
          <w:rFonts w:ascii="Arial" w:hAnsi="Arial" w:cs="Arial"/>
          <w:i/>
          <w:color w:val="000000" w:themeColor="text1"/>
          <w:sz w:val="22"/>
          <w:szCs w:val="22"/>
        </w:rPr>
        <w:t>про Комитет и сколько в нем участников, о требования и о сумме подачи жалобы.</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This article examines the general position of the System of Individual Appeals within the UN framework. Also, in what year was the Declaration of Human Rights adopted, the International Covenant on Civil and Political Rights, the Committee and how many participants therein, the requirements and the amount of the complaint.</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Международный Пакт, Факультативный  Протокол, Комитет по правам человека ООН, обращение в Комитет, Декларация о правах человека.</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shd w:val="clear" w:color="auto" w:fill="FFFFFF"/>
          <w:lang w:val="en-US"/>
        </w:rPr>
        <w:t>The International Covenant, the Optional Protocol, the UN Human Rights Committee, the appeal to the Committee, the Declaration on Human Rights.</w:t>
      </w:r>
    </w:p>
    <w:p w:rsidR="00A969C6" w:rsidRPr="00DA76A7" w:rsidRDefault="00A969C6" w:rsidP="00A969C6">
      <w:pPr>
        <w:ind w:firstLine="567"/>
        <w:jc w:val="both"/>
        <w:rPr>
          <w:rFonts w:ascii="Arial" w:hAnsi="Arial" w:cs="Arial"/>
          <w:color w:val="000000" w:themeColor="text1"/>
          <w:sz w:val="22"/>
          <w:szCs w:val="22"/>
          <w:shd w:val="clear" w:color="auto" w:fill="FFFFFF"/>
          <w:lang w:val="en-US"/>
        </w:rPr>
      </w:pP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Как мы знаем ООН, - международная организация - Организация Объединённых Наций, которая образовалась  после </w:t>
      </w:r>
      <w:r w:rsidRPr="00DA76A7">
        <w:rPr>
          <w:rFonts w:ascii="Arial" w:hAnsi="Arial" w:cs="Arial"/>
          <w:color w:val="000000" w:themeColor="text1"/>
          <w:sz w:val="22"/>
          <w:szCs w:val="22"/>
          <w:shd w:val="clear" w:color="auto" w:fill="FFFFFF"/>
          <w:lang w:val="en-US"/>
        </w:rPr>
        <w:t>ll</w:t>
      </w:r>
      <w:r w:rsidRPr="00DA76A7">
        <w:rPr>
          <w:rFonts w:ascii="Arial" w:hAnsi="Arial" w:cs="Arial"/>
          <w:color w:val="000000" w:themeColor="text1"/>
          <w:sz w:val="22"/>
          <w:szCs w:val="22"/>
          <w:shd w:val="clear" w:color="auto" w:fill="FFFFFF"/>
        </w:rPr>
        <w:t xml:space="preserve"> мировой войны. В 1948 году Генеральная Ассамблея ООН приняла Всеобщую Декларацию прав человека[1],  эта декларация  имела важную часть, как документ, который признавал другими государствами права человека в целях их защиты, но на тот момент   другие государства не принуждали их соблюдать эти  декларированные права.</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Генеральной Ассамблее ООН понадобилось 18 лет, чтобы, утвердить эту декларацию, которая имела  механизм защиты прав человека и  еще 10 лет для того чтобы, данный договор вступил в силу.  Таким образом,   Международный Пакт о гражданских и политических правах был принят Генеральной Ассамблеей ООН  16 декабря 1966 года, а вступил в силу 23 марта 1976 года, то есть данный договор является универсальным и действует в системе ООН. Международный Пакт о гражданских и политических правах содержит определенный список защищаемых прав, и, Тем самым можно обратиться только при нарушении этих прав за защитой.</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Международный Пакт о гражданских и политических правах[2] предусматривает создание Комитета по правам человека ООН. Который в соответствии с Факультативным Протоколом, дает возможность физическому лицу обратиться в Комитет по правам человека ООН с индивидуальной жалобой по поводу нарушения прав человека, какого либо из государств, подписавших и ратифицировавших Международный Пакт о гражданских и политических правах и Факультативный Протокол к Пакту. Право индивидуального обращения предусмотрено статьей 1 Факультативного Протокола [3], в которой говорится «Государство-участник Пакта, которое становится участником настоящего Протокола, признает компетенцию Комитета принимать и рассматривать сообщения от подлежащих его юрисдикции лиц, которые подтверждают, что они являются жертвами нарушения данным государством-участником какого-либо из прав, изложенных в Пакте».</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Российская Федерация подписала и ратифицировала Международный Пакт о гражданских и политических правах и Факультативный Протокол достаточно давно. Частные лица могут обращаться в Комитет по правам человека ООН, с жалобой на РФ по поводу тех нарушений, которые произошли после 1 января 1992 года, то есть именно с этой даты Российская Федерация приняла на себя обязательство соблюдать права человека, предусмотренные Международным Пактом о гражданских и политических правах.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Комитет состоит из 18 членов, избираемых государствами. Члены Комитета являются независимыми; они не могут получать никаких рекомендаций или указаний ни от государств, ни от ООН или других международных органов. Комитет не является судебным органом, тем не менее, процедуры подобны судопроизводству.[4, 315] Но государство не может быть представлено более чем одним членом Комитета по правам человека ООН. Члены Комитета по правам человека ООН избираются сроком на 4 года. Члены Комитета выступают в личном качестве, то есть не представляют то государство, гражданами которого они являются. Члены Комитета могут быть избраны повторно. Следует отметить, что в настоящее время в Комитете по правам человека ООН представителей РФ нет.</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Комитет по правам человека ООН это квази-судебным орган то есть  рассматривает не судебные дела (например претензии или жалобы и т.д.). В общем их целью является определение того что имеются ли злоупотребления правом или нет. И рассматривая поданные заявления, Комитет не совершает те операции, необходимые при судебном рассмотрении дела. Комитет по правам человека ООН рассматривает дела в закрытом порядке и применяет только представленные заявителем и государством письменные документации. Рассмотрение жалобы в Комитете по правам человека ООН проходит два этапа. В первом Комитет принимает решение об удовлетворённости, то есть, будет ли данная жалоба рассматриваться по существу дела или нет. Во втором  Комитет выносит свое заключение о том что, имело ли место нарушение прав того же заявителя, основываясь на те материалы, которые были предоставлены. Комитет применяет решение посредством кворума, то есть коллегией из  12 человек. В итоге после рассмотрения заявления Комитет по правам человека ООН осведомляет государство о своём заключении или же о своём мнении, а также советует устранить нарушение прав заявителя, если установится, что было нарушение.</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Во время обращения в Комитет по правам человека ООН нужно обратить внимание на то, что решения Комитета по правам человека ООН не являются обязательными для государств, а также жалоба рассматривается длительностью в 4-6 лет.</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Комитет по правам человека ООН в июле 2000 года вынес своё первое решение в отношении РФ по делу Гридин против РФ. К сожалению, до настоящего момента положение Гридина не изменилось, это связано порядком рассмотрения этих дел в  Комитете. И Комитет по правам человека ООН не имеет чёткий и определённый механизм для того чтобы обеспечить исполнение своего решения. Мягко говоря, это дает государствам не исполнять решения Комитета по правам человека, потому что нет механизма принудительного исполнения этих решений.</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Процедуры рассмотрения жалоб на предполагаемое нарушение прав человека[5,115] являются способом привлечения внимания Организации Объединенных Наций к случаям предполагаемых нарушений прав человека.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Существует три таких механизма: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индивидуальные жалобы в рамках международных договоров по правам человека (петиции);                                                                                                                                                                    • сообщения в рамках специальных процедур Совета по правам человека;                                        • процедура рассмотрения жалобы Совета по правам человека</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Стоимость обращения в международно-правовые инстанции:</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Хотелось бы подчеркнуть эту часть. Есть очень много распространенных слухов насчет стоимости обращение,  можно найти информацию, что стоимость составляет примерно  от 10-15 тысяч долларов США. Это информация ошибочно, так как обращения по правам человека совершенно бесплатны. Более того  если у данного лица нет средств для адвоката или на гостиницу, то ему это предоставить  абсолютно бесплатно.</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Основные формальные требования:</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1.Подающий жалобу обязан пройти все инстанции внутри своего государства, которые предусмотренные национальным законодательством.  Так как необходимо, следовать обжаловать решение в суде вышестоящей инстанции. В административных делах нужно обратиться в вышестоящий орган; если внутренним законодательством предусмотрено судебное разбирательство по административным делам, решение которое следует обжаловать в компетентный суд. Однако нет необходимости использования чрезвычайных или исключительных мер (таких, как, например, обращение к омбудсмену, заявление о возобновлении судебного производства).</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Принцип исчерпания средств обжалования означает, что предметом жалобы может быть только окончательное решение (вступившее в законную силу судебное решение). Причиной отклонения большинства жалоб было то, что заявители не исчерпали всех внутренних средств обжалования, В совершенно исключительных случаях Комитет рассматривает жалобу до исчерпания возможностей обжалования (например, когда производство необоснованно затягивается).</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Никаких сроков для подачи жалобы со дня принятия государственным органом окончательного решения не установлено.</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2. Нельзя злоупотреблять правом обжалования. Это означает, что, например, содержание жалобы не может быть оскорбительным для государства, не может содержать ложных фактов, заявитель не должен выступать с малой информацией обвинениям, ни использовать контрольный механизм без достаточных оснований. 3. Комитет по правам человека отклонит  жалобу, если  лицо ранее подавала повторно точно такой же запрос и он  уже рассматривался другим международным органом, например Европейским Судом по правам человека. Следовательно, нельзя обращаться с жалобами одного и того же содержания в различные международные органы.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Индивидуальные жалобы в рамках международных договоров по правам человека. Семь международных договоров по правам человека позволяют подавать индивидуальные жалобы в договорные органы по правам человека: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Международный пакт о гражданских и политических правах, в соответствии с Первым факультативным протоколом к нему;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Конвенция против пыток и других жестоких, бесчеловечных или унижающих достоинство видов обращения и наказания, в соответствии с ее статьей 22;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Конвенция о ликвидации всех форм дискриминации в отношении женщин, в соответствии с Факультативным протоколом к нему (этот договор также разрешает сообщения от групп и индивидов);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Международная конвенция о ликвидации всех форм расовой дискриминации, в соответствии с ее статьей 14 (этот договор также разрешает направлять сообщения от групп и индивидов);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Международная конвенция о защите прав всех трудящихся-мигрантов и членов их семей, в соответствии с ее статьей</w:t>
      </w:r>
      <w:r w:rsidR="00EE13B8" w:rsidRPr="00DA76A7">
        <w:rPr>
          <w:rFonts w:ascii="Arial" w:hAnsi="Arial" w:cs="Arial"/>
          <w:color w:val="000000" w:themeColor="text1"/>
          <w:sz w:val="22"/>
          <w:szCs w:val="22"/>
        </w:rPr>
        <w:t xml:space="preserve"> 77. Однако это положение всту</w:t>
      </w:r>
      <w:r w:rsidRPr="00DA76A7">
        <w:rPr>
          <w:rFonts w:ascii="Arial" w:hAnsi="Arial" w:cs="Arial"/>
          <w:color w:val="000000" w:themeColor="text1"/>
          <w:sz w:val="22"/>
          <w:szCs w:val="22"/>
        </w:rPr>
        <w:t>пит в силу только после того, как десять государств-участников сделают заявление об этом</w:t>
      </w:r>
    </w:p>
    <w:p w:rsidR="00A969C6" w:rsidRPr="00DA76A7" w:rsidRDefault="00A969C6" w:rsidP="00A969C6">
      <w:pPr>
        <w:ind w:firstLine="567"/>
        <w:jc w:val="both"/>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Всеобщая декларация прав человека от 10 декабря 1948 г. [Электронный ресурс]-Режим доступа </w:t>
      </w:r>
      <w:hyperlink r:id="rId64" w:history="1">
        <w:r w:rsidRPr="00DA76A7">
          <w:rPr>
            <w:rStyle w:val="af0"/>
            <w:rFonts w:ascii="Arial" w:hAnsi="Arial" w:cs="Arial"/>
            <w:color w:val="000000" w:themeColor="text1"/>
            <w:sz w:val="22"/>
            <w:szCs w:val="22"/>
            <w:u w:val="none"/>
          </w:rPr>
          <w:t>http://www.un.org/ru/documents/decl_conv/declarations/declhr.shtml</w:t>
        </w:r>
      </w:hyperlink>
      <w:r w:rsidRPr="00DA76A7">
        <w:rPr>
          <w:rFonts w:ascii="Arial" w:hAnsi="Arial" w:cs="Arial"/>
          <w:color w:val="000000" w:themeColor="text1"/>
          <w:sz w:val="22"/>
          <w:szCs w:val="22"/>
        </w:rPr>
        <w:t xml:space="preserve"> (дата обращения 27.03.2018).</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2. Международный пакт от 16 декабря 1966 «О гражданских и политических правах»[Электронный ресурс]. - Режим доступа </w:t>
      </w:r>
      <w:hyperlink r:id="rId65" w:history="1">
        <w:r w:rsidRPr="00DA76A7">
          <w:rPr>
            <w:rStyle w:val="af0"/>
            <w:rFonts w:ascii="Arial" w:hAnsi="Arial" w:cs="Arial"/>
            <w:color w:val="000000" w:themeColor="text1"/>
            <w:sz w:val="22"/>
            <w:szCs w:val="22"/>
            <w:u w:val="none"/>
          </w:rPr>
          <w:t>http://www.un.org/ru/documents/decl_ conv/conventions/pactpol.shtml</w:t>
        </w:r>
      </w:hyperlink>
      <w:r w:rsidRPr="00DA76A7">
        <w:rPr>
          <w:rFonts w:ascii="Arial" w:hAnsi="Arial" w:cs="Arial"/>
          <w:color w:val="000000" w:themeColor="text1"/>
          <w:sz w:val="22"/>
          <w:szCs w:val="22"/>
        </w:rPr>
        <w:t xml:space="preserve"> (дата обращения 27.03.2018).</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w:t>
      </w:r>
      <w:hyperlink r:id="rId66" w:tooltip="s:Первый факультативный протокол к Международному пакту о гражданских и политических правах" w:history="1">
        <w:r w:rsidRPr="00DA76A7">
          <w:rPr>
            <w:rStyle w:val="af0"/>
            <w:rFonts w:ascii="Arial" w:hAnsi="Arial" w:cs="Arial"/>
            <w:color w:val="000000" w:themeColor="text1"/>
            <w:sz w:val="22"/>
            <w:szCs w:val="22"/>
            <w:u w:val="none"/>
          </w:rPr>
          <w:t>Факультативный протокол</w:t>
        </w:r>
      </w:hyperlink>
      <w:r w:rsidRPr="00DA76A7">
        <w:rPr>
          <w:rFonts w:ascii="Arial" w:hAnsi="Arial" w:cs="Arial"/>
          <w:color w:val="000000" w:themeColor="text1"/>
          <w:sz w:val="22"/>
          <w:szCs w:val="22"/>
        </w:rPr>
        <w:t xml:space="preserve"> к Пакту о гражданских и политических правах от 16 декабря 1966 г. [Электронный ресурс] - Режим доступа </w:t>
      </w:r>
      <w:hyperlink r:id="rId67" w:history="1">
        <w:r w:rsidRPr="00DA76A7">
          <w:rPr>
            <w:rStyle w:val="af0"/>
            <w:rFonts w:ascii="Arial" w:hAnsi="Arial" w:cs="Arial"/>
            <w:color w:val="000000" w:themeColor="text1"/>
            <w:sz w:val="22"/>
            <w:szCs w:val="22"/>
            <w:u w:val="none"/>
          </w:rPr>
          <w:t>http://www.un.org/ru/documents/decl_ conv/conventions/pactpro1.shtml</w:t>
        </w:r>
      </w:hyperlink>
      <w:r w:rsidRPr="00DA76A7">
        <w:rPr>
          <w:rFonts w:ascii="Arial" w:hAnsi="Arial" w:cs="Arial"/>
          <w:color w:val="000000" w:themeColor="text1"/>
          <w:sz w:val="22"/>
          <w:szCs w:val="22"/>
        </w:rPr>
        <w:t xml:space="preserve"> (дата обращения 27.03.2018).</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4. </w:t>
      </w:r>
      <w:hyperlink r:id="rId68" w:history="1">
        <w:r w:rsidRPr="00DA76A7">
          <w:rPr>
            <w:rStyle w:val="af0"/>
            <w:rFonts w:ascii="Arial" w:hAnsi="Arial" w:cs="Arial"/>
            <w:color w:val="000000" w:themeColor="text1"/>
            <w:sz w:val="22"/>
            <w:szCs w:val="22"/>
            <w:u w:val="none"/>
          </w:rPr>
          <w:t>Международное право: учебник / отв. ред. С.А. Егоров. - М.: Статут -</w:t>
        </w:r>
      </w:hyperlink>
      <w:r w:rsidRPr="00DA76A7">
        <w:rPr>
          <w:rStyle w:val="af0"/>
          <w:rFonts w:ascii="Arial" w:hAnsi="Arial" w:cs="Arial"/>
          <w:color w:val="000000" w:themeColor="text1"/>
          <w:sz w:val="22"/>
          <w:szCs w:val="22"/>
          <w:u w:val="none"/>
        </w:rPr>
        <w:t xml:space="preserve"> 2014- 530 </w:t>
      </w:r>
      <w:r w:rsidRPr="00DA76A7">
        <w:rPr>
          <w:rStyle w:val="af0"/>
          <w:rFonts w:ascii="Arial" w:hAnsi="Arial" w:cs="Arial"/>
          <w:color w:val="000000" w:themeColor="text1"/>
          <w:sz w:val="22"/>
          <w:szCs w:val="22"/>
          <w:u w:val="none"/>
          <w:lang w:val="en-US"/>
        </w:rPr>
        <w:t>c</w:t>
      </w:r>
      <w:r w:rsidRPr="00DA76A7">
        <w:rPr>
          <w:rStyle w:val="af0"/>
          <w:rFonts w:ascii="Arial" w:hAnsi="Arial" w:cs="Arial"/>
          <w:color w:val="000000" w:themeColor="text1"/>
          <w:sz w:val="22"/>
          <w:szCs w:val="22"/>
          <w:u w:val="none"/>
        </w:rPr>
        <w:t>.</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5. </w:t>
      </w:r>
      <w:hyperlink r:id="rId69" w:history="1">
        <w:r w:rsidRPr="00DA76A7">
          <w:rPr>
            <w:rStyle w:val="af0"/>
            <w:rFonts w:ascii="Arial" w:hAnsi="Arial" w:cs="Arial"/>
            <w:color w:val="000000" w:themeColor="text1"/>
            <w:sz w:val="22"/>
            <w:szCs w:val="22"/>
            <w:u w:val="none"/>
          </w:rPr>
          <w:t>Международное право: учебник для бакалавров / отв. ред. Р.М. Валеев, Г.И. Курдюков. - М.: Статут, - 2017</w:t>
        </w:r>
      </w:hyperlink>
      <w:r w:rsidRPr="00DA76A7">
        <w:rPr>
          <w:rStyle w:val="af0"/>
          <w:rFonts w:ascii="Arial" w:hAnsi="Arial" w:cs="Arial"/>
          <w:color w:val="000000" w:themeColor="text1"/>
          <w:sz w:val="22"/>
          <w:szCs w:val="22"/>
          <w:u w:val="none"/>
        </w:rPr>
        <w:t xml:space="preserve">- 745 </w:t>
      </w:r>
      <w:r w:rsidRPr="00DA76A7">
        <w:rPr>
          <w:rStyle w:val="af0"/>
          <w:rFonts w:ascii="Arial" w:hAnsi="Arial" w:cs="Arial"/>
          <w:color w:val="000000" w:themeColor="text1"/>
          <w:sz w:val="22"/>
          <w:szCs w:val="22"/>
          <w:u w:val="none"/>
          <w:lang w:val="en-US"/>
        </w:rPr>
        <w:t>c</w:t>
      </w:r>
      <w:r w:rsidRPr="00DA76A7">
        <w:rPr>
          <w:rStyle w:val="af0"/>
          <w:rFonts w:ascii="Arial" w:hAnsi="Arial" w:cs="Arial"/>
          <w:color w:val="000000" w:themeColor="text1"/>
          <w:sz w:val="22"/>
          <w:szCs w:val="22"/>
          <w:u w:val="none"/>
        </w:rPr>
        <w:t>.</w:t>
      </w:r>
    </w:p>
    <w:p w:rsidR="00A969C6" w:rsidRPr="00DA76A7" w:rsidRDefault="00A969C6" w:rsidP="00A969C6">
      <w:pPr>
        <w:keepNext/>
        <w:suppressAutoHyphens/>
        <w:ind w:firstLine="567"/>
        <w:contextualSpacing/>
        <w:jc w:val="center"/>
        <w:outlineLvl w:val="0"/>
        <w:rPr>
          <w:rFonts w:ascii="Arial" w:hAnsi="Arial" w:cs="Arial"/>
          <w:b/>
          <w:bCs/>
          <w:color w:val="000000" w:themeColor="text1"/>
          <w:kern w:val="32"/>
          <w:sz w:val="22"/>
          <w:szCs w:val="22"/>
          <w:lang w:bidi="en-US"/>
        </w:rPr>
      </w:pPr>
      <w:r w:rsidRPr="00DA76A7">
        <w:rPr>
          <w:rFonts w:ascii="Arial" w:hAnsi="Arial" w:cs="Arial"/>
          <w:b/>
          <w:bCs/>
          <w:color w:val="000000" w:themeColor="text1"/>
          <w:kern w:val="32"/>
          <w:sz w:val="22"/>
          <w:szCs w:val="22"/>
          <w:lang w:bidi="en-US"/>
        </w:rPr>
        <w:t>ВЕКТОРЫ ДАЛЬНЕЙШЕГО РАЗВИТИЯ ШАНХАЙСКОЙ ОРГАНИЗАЦИИ СОТРУДНИЧЕСТВА (ШОС) ПО НЕЙТРАЛИЗАЦИИ СОВРЕМЕННЫХ ВЫЗОВОВ И УГРОЗ МЕЖДУНАРОДНОЙ БЕЗОПАСНОСТИ</w:t>
      </w:r>
    </w:p>
    <w:p w:rsidR="00A969C6" w:rsidRPr="00DA76A7" w:rsidRDefault="00A969C6" w:rsidP="00A969C6">
      <w:pPr>
        <w:keepNext/>
        <w:suppressAutoHyphens/>
        <w:ind w:firstLine="567"/>
        <w:contextualSpacing/>
        <w:jc w:val="center"/>
        <w:outlineLvl w:val="0"/>
        <w:rPr>
          <w:rFonts w:ascii="Arial" w:hAnsi="Arial" w:cs="Arial"/>
          <w:b/>
          <w:bCs/>
          <w:color w:val="000000" w:themeColor="text1"/>
          <w:kern w:val="32"/>
          <w:sz w:val="22"/>
          <w:szCs w:val="22"/>
          <w:lang w:bidi="en-US"/>
        </w:rPr>
      </w:pPr>
    </w:p>
    <w:p w:rsidR="00A969C6" w:rsidRPr="00DA76A7" w:rsidRDefault="00A969C6" w:rsidP="00A969C6">
      <w:pPr>
        <w:keepNext/>
        <w:suppressAutoHyphens/>
        <w:ind w:firstLine="567"/>
        <w:contextualSpacing/>
        <w:jc w:val="center"/>
        <w:outlineLvl w:val="0"/>
        <w:rPr>
          <w:rFonts w:ascii="Arial" w:hAnsi="Arial" w:cs="Arial"/>
          <w:b/>
          <w:bCs/>
          <w:color w:val="000000" w:themeColor="text1"/>
          <w:kern w:val="32"/>
          <w:sz w:val="22"/>
          <w:szCs w:val="22"/>
          <w:lang w:bidi="en-US"/>
        </w:rPr>
      </w:pPr>
      <w:r w:rsidRPr="00DA76A7">
        <w:rPr>
          <w:rFonts w:ascii="Arial" w:hAnsi="Arial" w:cs="Arial"/>
          <w:b/>
          <w:bCs/>
          <w:color w:val="000000" w:themeColor="text1"/>
          <w:kern w:val="32"/>
          <w:sz w:val="22"/>
          <w:szCs w:val="22"/>
          <w:lang w:bidi="en-US"/>
        </w:rPr>
        <w:t>Рахимов Комрон Хакимджонович</w:t>
      </w:r>
    </w:p>
    <w:p w:rsidR="00A969C6" w:rsidRPr="00DA76A7" w:rsidRDefault="00A969C6" w:rsidP="00A969C6">
      <w:pPr>
        <w:keepNext/>
        <w:suppressAutoHyphens/>
        <w:ind w:firstLine="567"/>
        <w:contextualSpacing/>
        <w:jc w:val="center"/>
        <w:outlineLvl w:val="0"/>
        <w:rPr>
          <w:rFonts w:ascii="Arial" w:hAnsi="Arial" w:cs="Arial"/>
          <w:b/>
          <w:bCs/>
          <w:color w:val="000000" w:themeColor="text1"/>
          <w:kern w:val="32"/>
          <w:sz w:val="22"/>
          <w:szCs w:val="22"/>
          <w:lang w:bidi="en-US"/>
        </w:rPr>
      </w:pPr>
      <w:r w:rsidRPr="00DA76A7">
        <w:rPr>
          <w:rFonts w:ascii="Arial" w:hAnsi="Arial" w:cs="Arial"/>
          <w:bCs/>
          <w:color w:val="000000" w:themeColor="text1"/>
          <w:kern w:val="32"/>
          <w:sz w:val="22"/>
          <w:szCs w:val="22"/>
          <w:lang w:bidi="en-US"/>
        </w:rPr>
        <w:t>аспирант юридического института</w:t>
      </w:r>
    </w:p>
    <w:p w:rsidR="00A969C6" w:rsidRPr="00DA76A7" w:rsidRDefault="00A969C6" w:rsidP="00A969C6">
      <w:pPr>
        <w:keepNext/>
        <w:suppressAutoHyphens/>
        <w:ind w:firstLine="567"/>
        <w:contextualSpacing/>
        <w:jc w:val="center"/>
        <w:outlineLvl w:val="0"/>
        <w:rPr>
          <w:rFonts w:ascii="Arial" w:hAnsi="Arial" w:cs="Arial"/>
          <w:bCs/>
          <w:color w:val="000000" w:themeColor="text1"/>
          <w:kern w:val="32"/>
          <w:sz w:val="22"/>
          <w:szCs w:val="22"/>
          <w:lang w:bidi="en-US"/>
        </w:rPr>
      </w:pPr>
      <w:r w:rsidRPr="00DA76A7">
        <w:rPr>
          <w:rFonts w:ascii="Arial" w:hAnsi="Arial" w:cs="Arial"/>
          <w:bCs/>
          <w:color w:val="000000" w:themeColor="text1"/>
          <w:kern w:val="32"/>
          <w:sz w:val="22"/>
          <w:szCs w:val="22"/>
          <w:lang w:bidi="en-US"/>
        </w:rPr>
        <w:t xml:space="preserve"> Российский университет дружбы народов </w:t>
      </w:r>
    </w:p>
    <w:p w:rsidR="00A969C6" w:rsidRPr="00DA76A7" w:rsidRDefault="00A969C6" w:rsidP="00A969C6">
      <w:pPr>
        <w:keepNext/>
        <w:suppressAutoHyphens/>
        <w:ind w:firstLine="567"/>
        <w:contextualSpacing/>
        <w:jc w:val="center"/>
        <w:outlineLvl w:val="0"/>
        <w:rPr>
          <w:rFonts w:ascii="Arial" w:hAnsi="Arial" w:cs="Arial"/>
          <w:bCs/>
          <w:color w:val="000000" w:themeColor="text1"/>
          <w:kern w:val="32"/>
          <w:sz w:val="22"/>
          <w:szCs w:val="22"/>
          <w:lang w:bidi="en-US"/>
        </w:rPr>
      </w:pPr>
      <w:r w:rsidRPr="00DA76A7">
        <w:rPr>
          <w:rFonts w:ascii="Arial" w:hAnsi="Arial" w:cs="Arial"/>
          <w:bCs/>
          <w:color w:val="000000" w:themeColor="text1"/>
          <w:kern w:val="32"/>
          <w:sz w:val="22"/>
          <w:szCs w:val="22"/>
          <w:lang w:bidi="en-US"/>
        </w:rPr>
        <w:t>117198, Российская Федерация, г. Москва, ул. Миклухо-Маклая, д.6</w:t>
      </w:r>
    </w:p>
    <w:p w:rsidR="00A969C6" w:rsidRPr="00AC7230" w:rsidRDefault="00A969C6" w:rsidP="00A969C6">
      <w:pPr>
        <w:shd w:val="clear" w:color="auto" w:fill="FFFFFF"/>
        <w:suppressAutoHyphens/>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8-925-635-31-84, </w:t>
      </w:r>
      <w:r w:rsidRPr="00DA76A7">
        <w:rPr>
          <w:rFonts w:ascii="Arial" w:hAnsi="Arial" w:cs="Arial"/>
          <w:color w:val="000000" w:themeColor="text1"/>
          <w:sz w:val="22"/>
          <w:szCs w:val="22"/>
          <w:lang w:val="en-US"/>
        </w:rPr>
        <w:t>e</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muhsin</w:t>
      </w:r>
      <w:r w:rsidRPr="00AC7230">
        <w:rPr>
          <w:rFonts w:ascii="Arial" w:hAnsi="Arial" w:cs="Arial"/>
          <w:color w:val="000000" w:themeColor="text1"/>
          <w:sz w:val="22"/>
          <w:szCs w:val="22"/>
        </w:rPr>
        <w:t>.19.05.93@</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A969C6" w:rsidRPr="00AC7230" w:rsidRDefault="00A969C6" w:rsidP="00A969C6">
      <w:pPr>
        <w:keepNext/>
        <w:ind w:firstLine="567"/>
        <w:contextualSpacing/>
        <w:outlineLvl w:val="0"/>
        <w:rPr>
          <w:rFonts w:ascii="Arial" w:hAnsi="Arial" w:cs="Arial"/>
          <w:b/>
          <w:color w:val="000000" w:themeColor="text1"/>
          <w:sz w:val="22"/>
          <w:szCs w:val="22"/>
          <w:lang w:bidi="en-US"/>
        </w:rPr>
      </w:pPr>
    </w:p>
    <w:p w:rsidR="00A969C6" w:rsidRPr="00DA76A7" w:rsidRDefault="00A969C6" w:rsidP="00A969C6">
      <w:pPr>
        <w:suppressAutoHyphens/>
        <w:ind w:firstLine="567"/>
        <w:contextualSpacing/>
        <w:jc w:val="center"/>
        <w:rPr>
          <w:rFonts w:ascii="Arial" w:hAnsi="Arial" w:cs="Arial"/>
          <w:b/>
          <w:color w:val="000000" w:themeColor="text1"/>
          <w:sz w:val="22"/>
          <w:szCs w:val="22"/>
          <w:lang w:val="en-US" w:bidi="en-US"/>
        </w:rPr>
      </w:pPr>
      <w:r w:rsidRPr="00DA76A7">
        <w:rPr>
          <w:rFonts w:ascii="Arial" w:hAnsi="Arial" w:cs="Arial"/>
          <w:b/>
          <w:color w:val="000000" w:themeColor="text1"/>
          <w:sz w:val="22"/>
          <w:szCs w:val="22"/>
          <w:lang w:val="en-US" w:bidi="en-US"/>
        </w:rPr>
        <w:t>THE FUTURE DEVELOPMENT OF THE SHANGHAI COOPERATION ORGANIZATION (SCO) IN NEUTRALIZING CONTEMPORARY CHALLENGES AND THREATS TO INTERNATIONAL SECURITY</w:t>
      </w:r>
    </w:p>
    <w:p w:rsidR="00A969C6" w:rsidRPr="00DA76A7" w:rsidRDefault="00A969C6" w:rsidP="00A969C6">
      <w:pPr>
        <w:suppressAutoHyphens/>
        <w:ind w:firstLine="567"/>
        <w:contextualSpacing/>
        <w:jc w:val="center"/>
        <w:rPr>
          <w:rFonts w:ascii="Arial" w:hAnsi="Arial" w:cs="Arial"/>
          <w:b/>
          <w:color w:val="000000" w:themeColor="text1"/>
          <w:sz w:val="22"/>
          <w:szCs w:val="22"/>
          <w:shd w:val="clear" w:color="auto" w:fill="FFFFFF"/>
          <w:lang w:val="en-US" w:bidi="en-US"/>
        </w:rPr>
      </w:pPr>
    </w:p>
    <w:p w:rsidR="00A969C6" w:rsidRPr="00DA76A7" w:rsidRDefault="00A969C6" w:rsidP="00A969C6">
      <w:pPr>
        <w:suppressAutoHyphens/>
        <w:ind w:firstLine="567"/>
        <w:contextualSpacing/>
        <w:jc w:val="center"/>
        <w:rPr>
          <w:rFonts w:ascii="Arial" w:hAnsi="Arial" w:cs="Arial"/>
          <w:b/>
          <w:color w:val="000000" w:themeColor="text1"/>
          <w:sz w:val="22"/>
          <w:szCs w:val="22"/>
          <w:shd w:val="clear" w:color="auto" w:fill="FFFFFF"/>
          <w:lang w:val="en-US" w:bidi="en-US"/>
        </w:rPr>
      </w:pPr>
      <w:r w:rsidRPr="00DA76A7">
        <w:rPr>
          <w:rFonts w:ascii="Arial" w:hAnsi="Arial" w:cs="Arial"/>
          <w:b/>
          <w:color w:val="000000" w:themeColor="text1"/>
          <w:sz w:val="22"/>
          <w:szCs w:val="22"/>
          <w:shd w:val="clear" w:color="auto" w:fill="FFFFFF"/>
          <w:lang w:val="en-US" w:bidi="en-US"/>
        </w:rPr>
        <w:t>Rahimov Komron Hakimjonovich</w:t>
      </w:r>
    </w:p>
    <w:p w:rsidR="00A969C6" w:rsidRPr="00DA76A7" w:rsidRDefault="00A969C6" w:rsidP="00A969C6">
      <w:pPr>
        <w:suppressAutoHyphens/>
        <w:ind w:firstLine="567"/>
        <w:contextualSpacing/>
        <w:jc w:val="center"/>
        <w:rPr>
          <w:rFonts w:ascii="Arial" w:hAnsi="Arial" w:cs="Arial"/>
          <w:color w:val="000000" w:themeColor="text1"/>
          <w:sz w:val="22"/>
          <w:szCs w:val="22"/>
          <w:shd w:val="clear" w:color="auto" w:fill="FFFFFF"/>
          <w:lang w:val="en-US" w:bidi="en-US"/>
        </w:rPr>
      </w:pPr>
      <w:r w:rsidRPr="00DA76A7">
        <w:rPr>
          <w:rFonts w:ascii="Arial" w:hAnsi="Arial" w:cs="Arial"/>
          <w:color w:val="000000" w:themeColor="text1"/>
          <w:sz w:val="22"/>
          <w:szCs w:val="22"/>
          <w:shd w:val="clear" w:color="auto" w:fill="FFFFFF"/>
          <w:lang w:val="en-US" w:bidi="en-US"/>
        </w:rPr>
        <w:t xml:space="preserve">postgraduate student of the law institute </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Peoples' friendship university of russia</w:t>
      </w:r>
    </w:p>
    <w:p w:rsidR="00A969C6" w:rsidRPr="00DA76A7" w:rsidRDefault="00A969C6" w:rsidP="00A969C6">
      <w:pPr>
        <w:suppressAutoHyphens/>
        <w:ind w:firstLine="567"/>
        <w:contextualSpacing/>
        <w:jc w:val="center"/>
        <w:rPr>
          <w:rFonts w:ascii="Arial" w:hAnsi="Arial" w:cs="Arial"/>
          <w:color w:val="000000" w:themeColor="text1"/>
          <w:sz w:val="22"/>
          <w:szCs w:val="22"/>
          <w:shd w:val="clear" w:color="auto" w:fill="FFFFFF"/>
          <w:lang w:val="en-US" w:bidi="en-US"/>
        </w:rPr>
      </w:pPr>
      <w:r w:rsidRPr="00DA76A7">
        <w:rPr>
          <w:rFonts w:ascii="Arial" w:hAnsi="Arial" w:cs="Arial"/>
          <w:color w:val="000000" w:themeColor="text1"/>
          <w:sz w:val="22"/>
          <w:szCs w:val="22"/>
          <w:shd w:val="clear" w:color="auto" w:fill="FFFFFF"/>
          <w:lang w:val="en-US" w:bidi="en-US"/>
        </w:rPr>
        <w:t>117198, Russian Federation, Moscow, Mikluho-Maklay str., 6</w:t>
      </w:r>
    </w:p>
    <w:p w:rsidR="00A969C6" w:rsidRPr="00DA76A7" w:rsidRDefault="00A969C6" w:rsidP="00A969C6">
      <w:pPr>
        <w:suppressAutoHyphens/>
        <w:ind w:firstLine="567"/>
        <w:contextualSpacing/>
        <w:jc w:val="center"/>
        <w:rPr>
          <w:rFonts w:ascii="Arial" w:hAnsi="Arial" w:cs="Arial"/>
          <w:color w:val="000000" w:themeColor="text1"/>
          <w:sz w:val="22"/>
          <w:szCs w:val="22"/>
          <w:shd w:val="clear" w:color="auto" w:fill="FFFFFF"/>
          <w:lang w:val="en-US" w:bidi="en-US"/>
        </w:rPr>
      </w:pPr>
      <w:r w:rsidRPr="00DA76A7">
        <w:rPr>
          <w:rFonts w:ascii="Arial" w:hAnsi="Arial" w:cs="Arial"/>
          <w:color w:val="000000" w:themeColor="text1"/>
          <w:sz w:val="22"/>
          <w:szCs w:val="22"/>
          <w:shd w:val="clear" w:color="auto" w:fill="FFFFFF"/>
          <w:lang w:val="en-US" w:bidi="en-US"/>
        </w:rPr>
        <w:t>tel:. 8-925-635-31-84, e-mail: muhsin.19.05.93@mail.ru</w:t>
      </w:r>
    </w:p>
    <w:p w:rsidR="00A969C6" w:rsidRPr="00DA76A7" w:rsidRDefault="00A969C6" w:rsidP="00A969C6">
      <w:pPr>
        <w:suppressAutoHyphens/>
        <w:ind w:firstLine="567"/>
        <w:contextualSpacing/>
        <w:jc w:val="both"/>
        <w:rPr>
          <w:rFonts w:ascii="Arial" w:hAnsi="Arial" w:cs="Arial"/>
          <w:color w:val="000000" w:themeColor="text1"/>
          <w:sz w:val="22"/>
          <w:szCs w:val="22"/>
          <w:lang w:val="en-US" w:bidi="en-US"/>
        </w:rPr>
      </w:pPr>
    </w:p>
    <w:p w:rsidR="00A969C6" w:rsidRPr="00DA76A7" w:rsidRDefault="00A969C6" w:rsidP="00A969C6">
      <w:pPr>
        <w:suppressAutoHyphens/>
        <w:ind w:firstLine="567"/>
        <w:contextualSpacing/>
        <w:jc w:val="both"/>
        <w:rPr>
          <w:rFonts w:ascii="Arial" w:hAnsi="Arial" w:cs="Arial"/>
          <w:i/>
          <w:color w:val="000000" w:themeColor="text1"/>
          <w:sz w:val="22"/>
          <w:szCs w:val="22"/>
          <w:lang w:bidi="en-US"/>
        </w:rPr>
      </w:pPr>
      <w:r w:rsidRPr="00DA76A7">
        <w:rPr>
          <w:rFonts w:ascii="Arial" w:hAnsi="Arial" w:cs="Arial"/>
          <w:b/>
          <w:i/>
          <w:color w:val="000000" w:themeColor="text1"/>
          <w:sz w:val="22"/>
          <w:szCs w:val="22"/>
          <w:lang w:bidi="en-US"/>
        </w:rPr>
        <w:t>Аннотация.</w:t>
      </w:r>
      <w:r w:rsidRPr="00DA76A7">
        <w:rPr>
          <w:rFonts w:ascii="Arial" w:hAnsi="Arial" w:cs="Arial"/>
          <w:i/>
          <w:color w:val="000000" w:themeColor="text1"/>
          <w:sz w:val="22"/>
          <w:szCs w:val="22"/>
          <w:lang w:bidi="en-US"/>
        </w:rPr>
        <w:t xml:space="preserve"> В условиях российского председательства на прошедшем саммите в г. Уфе (2015 г.) следует констатировать, что Шанхайская организация сотрудничества (ШОС) в плане стратегии и тактики становится более гибкой структурой, способной адекватно реагировать на требования времени, перестраиваться по ходу развития событий, при этом не утрачивая статуса многопрофильной международной организации.</w:t>
      </w:r>
    </w:p>
    <w:p w:rsidR="00A969C6" w:rsidRPr="00DA76A7" w:rsidRDefault="00A969C6" w:rsidP="00A969C6">
      <w:pPr>
        <w:suppressAutoHyphens/>
        <w:ind w:firstLine="567"/>
        <w:contextualSpacing/>
        <w:jc w:val="both"/>
        <w:rPr>
          <w:rFonts w:ascii="Arial" w:hAnsi="Arial" w:cs="Arial"/>
          <w:i/>
          <w:color w:val="000000" w:themeColor="text1"/>
          <w:sz w:val="22"/>
          <w:szCs w:val="22"/>
          <w:lang w:bidi="en-US"/>
        </w:rPr>
      </w:pPr>
      <w:r w:rsidRPr="00DA76A7">
        <w:rPr>
          <w:rFonts w:ascii="Arial" w:hAnsi="Arial" w:cs="Arial"/>
          <w:i/>
          <w:color w:val="000000" w:themeColor="text1"/>
          <w:sz w:val="22"/>
          <w:szCs w:val="22"/>
          <w:lang w:bidi="en-US"/>
        </w:rPr>
        <w:t xml:space="preserve"> В статье анализируются актуализация основных направлений сотрудничества стран-участников ШОС в связи с ростом экономических и политических рисков и международных современных вызовов, и угроз в мире.</w:t>
      </w:r>
    </w:p>
    <w:p w:rsidR="00A969C6" w:rsidRPr="00DA76A7" w:rsidRDefault="00A969C6" w:rsidP="00A969C6">
      <w:pPr>
        <w:suppressAutoHyphens/>
        <w:ind w:firstLine="567"/>
        <w:contextualSpacing/>
        <w:jc w:val="both"/>
        <w:rPr>
          <w:rFonts w:ascii="Arial" w:hAnsi="Arial" w:cs="Arial"/>
          <w:i/>
          <w:color w:val="000000" w:themeColor="text1"/>
          <w:sz w:val="22"/>
          <w:szCs w:val="22"/>
          <w:lang w:val="en-US" w:bidi="en-US"/>
        </w:rPr>
      </w:pPr>
      <w:r w:rsidRPr="00DA76A7">
        <w:rPr>
          <w:rFonts w:ascii="Arial" w:hAnsi="Arial" w:cs="Arial"/>
          <w:b/>
          <w:i/>
          <w:color w:val="000000" w:themeColor="text1"/>
          <w:sz w:val="22"/>
          <w:szCs w:val="22"/>
          <w:lang w:val="en-US" w:bidi="en-US"/>
        </w:rPr>
        <w:t>Annotation.</w:t>
      </w:r>
      <w:r w:rsidRPr="00DA76A7">
        <w:rPr>
          <w:rFonts w:ascii="Arial" w:hAnsi="Arial" w:cs="Arial"/>
          <w:i/>
          <w:color w:val="000000" w:themeColor="text1"/>
          <w:sz w:val="22"/>
          <w:szCs w:val="22"/>
          <w:lang w:val="en-US" w:bidi="en-US"/>
        </w:rPr>
        <w:t xml:space="preserve"> In the context of the Russian presidency at the last summit in Ufa (2015) it should be noted that the Shanghai cooperation organization (SCO) in terms of strategy and tactics becomes more flexible structure, able to respond adequately to the requirements of time, rebuilt in the course of development of events, while not losing the status of a multidisciplinary international organization.</w:t>
      </w:r>
    </w:p>
    <w:p w:rsidR="00A969C6" w:rsidRPr="00DA76A7" w:rsidRDefault="00A969C6" w:rsidP="00A969C6">
      <w:pPr>
        <w:suppressAutoHyphens/>
        <w:ind w:firstLine="567"/>
        <w:contextualSpacing/>
        <w:jc w:val="both"/>
        <w:rPr>
          <w:rFonts w:ascii="Arial" w:hAnsi="Arial" w:cs="Arial"/>
          <w:i/>
          <w:color w:val="000000" w:themeColor="text1"/>
          <w:sz w:val="22"/>
          <w:szCs w:val="22"/>
          <w:lang w:val="en-US" w:bidi="en-US"/>
        </w:rPr>
      </w:pPr>
      <w:r w:rsidRPr="00DA76A7">
        <w:rPr>
          <w:rFonts w:ascii="Arial" w:hAnsi="Arial" w:cs="Arial"/>
          <w:i/>
          <w:color w:val="000000" w:themeColor="text1"/>
          <w:sz w:val="22"/>
          <w:szCs w:val="22"/>
          <w:lang w:val="en-US" w:bidi="en-US"/>
        </w:rPr>
        <w:t>In this article, we are updating the main directions of cooperation of the countries-participants of the SCO in connection with the growing economic and political risks and international threats in the world.</w:t>
      </w:r>
    </w:p>
    <w:p w:rsidR="00A969C6" w:rsidRPr="00DA76A7" w:rsidRDefault="00A969C6" w:rsidP="00A969C6">
      <w:pPr>
        <w:suppressAutoHyphens/>
        <w:ind w:firstLine="567"/>
        <w:contextualSpacing/>
        <w:jc w:val="both"/>
        <w:rPr>
          <w:rFonts w:ascii="Arial" w:hAnsi="Arial" w:cs="Arial"/>
          <w:i/>
          <w:color w:val="000000" w:themeColor="text1"/>
          <w:sz w:val="22"/>
          <w:szCs w:val="22"/>
          <w:lang w:bidi="en-US"/>
        </w:rPr>
      </w:pPr>
      <w:r w:rsidRPr="00DA76A7">
        <w:rPr>
          <w:rFonts w:ascii="Arial" w:hAnsi="Arial" w:cs="Arial"/>
          <w:b/>
          <w:i/>
          <w:color w:val="000000" w:themeColor="text1"/>
          <w:sz w:val="22"/>
          <w:szCs w:val="22"/>
          <w:lang w:bidi="en-US"/>
        </w:rPr>
        <w:t>Ключевые слова:</w:t>
      </w:r>
      <w:r w:rsidRPr="00DA76A7">
        <w:rPr>
          <w:rFonts w:ascii="Arial" w:hAnsi="Arial" w:cs="Arial"/>
          <w:i/>
          <w:color w:val="000000" w:themeColor="text1"/>
          <w:sz w:val="22"/>
          <w:szCs w:val="22"/>
          <w:lang w:bidi="en-US"/>
        </w:rPr>
        <w:t xml:space="preserve"> Право международных организаций; региональное сотрудничество; международной безопасности; стратегии развития ШОС; борьба с терроризмом, экстремизмом и сепаратизмом; международное право; экономическое сотрудничество.</w:t>
      </w:r>
    </w:p>
    <w:p w:rsidR="00A969C6" w:rsidRPr="00DA76A7" w:rsidRDefault="00A969C6" w:rsidP="00A969C6">
      <w:pPr>
        <w:suppressAutoHyphens/>
        <w:ind w:firstLine="567"/>
        <w:contextualSpacing/>
        <w:jc w:val="both"/>
        <w:rPr>
          <w:rFonts w:ascii="Arial" w:hAnsi="Arial" w:cs="Arial"/>
          <w:i/>
          <w:color w:val="000000" w:themeColor="text1"/>
          <w:sz w:val="22"/>
          <w:szCs w:val="22"/>
          <w:lang w:val="en-US" w:bidi="en-US"/>
        </w:rPr>
      </w:pPr>
      <w:r w:rsidRPr="00DA76A7">
        <w:rPr>
          <w:rFonts w:ascii="Arial" w:hAnsi="Arial" w:cs="Arial"/>
          <w:b/>
          <w:i/>
          <w:color w:val="000000" w:themeColor="text1"/>
          <w:sz w:val="22"/>
          <w:szCs w:val="22"/>
          <w:lang w:val="en-US" w:bidi="en-US"/>
        </w:rPr>
        <w:t>Key words:</w:t>
      </w:r>
      <w:r w:rsidRPr="00DA76A7">
        <w:rPr>
          <w:rFonts w:ascii="Arial" w:hAnsi="Arial" w:cs="Arial"/>
          <w:i/>
          <w:color w:val="000000" w:themeColor="text1"/>
          <w:sz w:val="22"/>
          <w:szCs w:val="22"/>
          <w:lang w:val="en-US" w:bidi="en-US"/>
        </w:rPr>
        <w:t xml:space="preserve"> Law of international organizations; regional cooperation; international security; SCO development strategies; fight against terrorism, extremism and separatism; international law; economic cooperation.</w:t>
      </w:r>
    </w:p>
    <w:p w:rsidR="00A969C6" w:rsidRPr="00DA76A7" w:rsidRDefault="00A969C6" w:rsidP="00A969C6">
      <w:pPr>
        <w:suppressAutoHyphens/>
        <w:ind w:firstLine="567"/>
        <w:contextualSpacing/>
        <w:jc w:val="both"/>
        <w:rPr>
          <w:rFonts w:ascii="Arial" w:hAnsi="Arial" w:cs="Arial"/>
          <w:color w:val="000000" w:themeColor="text1"/>
          <w:sz w:val="22"/>
          <w:szCs w:val="22"/>
          <w:lang w:val="en-US" w:bidi="en-US"/>
        </w:rPr>
      </w:pPr>
    </w:p>
    <w:p w:rsidR="00A969C6" w:rsidRPr="00DA76A7" w:rsidRDefault="00A969C6" w:rsidP="00A969C6">
      <w:pPr>
        <w:suppressAutoHyphens/>
        <w:ind w:firstLine="567"/>
        <w:contextualSpacing/>
        <w:jc w:val="both"/>
        <w:textAlignment w:val="baseline"/>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Шанхайская Организация Сотрудничества – постоянно действующая региональная и международная организация, основанная в июне 2001 г. лидерами Казахстана, Китая, Киргизии, России, Таджикистана и Узбекистана. Это новый механизм международного сотрудничества в вопросах противостояния международный вызовам современности: терроризму, экстремизму и сепаратизму. Кроме того, она направлена на углубление политического, экономического и культурно-гуманитарного сотрудничества [13, 46]. Общая территория входящих в ШОС стран составляет 61 % территории Евразии. Её совокупный демографический потенциал – четвёртая часть населения планеты, а экономический потенциал включает самую мощную после США китайскую экономику. Официальные рабочие языки – русский и китайский. Штаб-квартира организации расположена в Пекине [12, 220].</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Сотрудничество государств ШОС по вопросам безопасности</w:t>
      </w:r>
      <w:r w:rsidRPr="00DA76A7">
        <w:rPr>
          <w:rFonts w:ascii="Arial" w:hAnsi="Arial" w:cs="Arial"/>
          <w:color w:val="000000" w:themeColor="text1"/>
          <w:sz w:val="22"/>
          <w:szCs w:val="22"/>
          <w:lang w:bidi="en-US"/>
        </w:rPr>
        <w:t xml:space="preserve"> опирается на наиболее разработанную международной нормативно-правовую базу по сравнению с другими направлениями в работе организации. </w:t>
      </w:r>
      <w:r w:rsidRPr="00DA76A7">
        <w:rPr>
          <w:rFonts w:ascii="Arial" w:hAnsi="Arial" w:cs="Arial"/>
          <w:i/>
          <w:color w:val="000000" w:themeColor="text1"/>
          <w:sz w:val="22"/>
          <w:szCs w:val="22"/>
          <w:lang w:bidi="en-US"/>
        </w:rPr>
        <w:t>С момента образования ШОС было принято более 35 документов,</w:t>
      </w:r>
      <w:r w:rsidRPr="00DA76A7">
        <w:rPr>
          <w:rFonts w:ascii="Arial" w:hAnsi="Arial" w:cs="Arial"/>
          <w:color w:val="000000" w:themeColor="text1"/>
          <w:sz w:val="22"/>
          <w:szCs w:val="22"/>
          <w:lang w:bidi="en-US"/>
        </w:rPr>
        <w:t xml:space="preserve"> регламентирующих сотрудничество стран-участниц ШОС в борьбе с терроризмом, экстремизмом и сепаратизмом. Среди них можно отметить Шанхайскую конвенцию о борьбе с экстремизмом, сепаратизмом и терроризмом от 15.06.2001 г., Конвенцию ШОС против терроризма от 19.06.2009 г. и заключенный в рамках Региональной антитеррористической структуры (РАТС) ряд следующих документов: Соглашение между странами-участницами ШОС о сотрудничестве в процессе борьбы с незаконным оборотом психотропных веществ, наркотических средств и их прекурсоров, заключенное 17.08.2004 г.; Концепция сотрудничества стран-участниц ШОС в борьбе с экстремизмом, сепаратизмом и терроризмом, заключенная 05.07.2005 г.; Соглашение об организации и проведении совместных антитеррористических мероприятий на территории стран-участниц ШОС, заключенное 15.06.2006 г.; Соглашение о сотрудничестве в сфере установления и перекрытия каналов проникновения на территории стран-участниц ШОС лиц, которые причастны к экстремистской, сепаратистской и террористической деятельности, заключенное 15.06.2006 г.; Соглашение о подготовке кадров для антитеррористических формирований стран-участниц ШОС, заключенное 16.06. 2009 г. и ряд других документов [13, 49-50].</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Следует с положительной стороны оценивать то, что выше перечисленные международные нормативно-правовые документы благоприятствуют если не стандартизации, то вполне ощутимому сплочению законодательств тех государств, которые задействованы в шанхайском процессе в юридическом сопровождении мер по борьбе с пропагандой и наказаний за любое проявление сепаратизма, экстремизма и терроризма, также они содействуют стремительному переходу от чистой декларативности к наполнению многостороннего профильного взаимодействия практическим содержанием, а также отработке эффективных механизмов сотрудничества в данной области. </w:t>
      </w:r>
      <w:r w:rsidRPr="00DA76A7">
        <w:rPr>
          <w:rFonts w:ascii="Arial" w:hAnsi="Arial" w:cs="Arial"/>
          <w:i/>
          <w:color w:val="000000" w:themeColor="text1"/>
          <w:sz w:val="22"/>
          <w:szCs w:val="22"/>
          <w:lang w:bidi="en-US"/>
        </w:rPr>
        <w:t>К примеру, проект Антинаркотической стратегии ШОС на период с 2011 по 2022 гг.</w:t>
      </w:r>
      <w:r w:rsidRPr="00DA76A7">
        <w:rPr>
          <w:rFonts w:ascii="Arial" w:hAnsi="Arial" w:cs="Arial"/>
          <w:color w:val="000000" w:themeColor="text1"/>
          <w:sz w:val="22"/>
          <w:szCs w:val="22"/>
          <w:lang w:bidi="en-US"/>
        </w:rPr>
        <w:t xml:space="preserve"> содержит четко скоординированный подход сторон в области противодействия наркотической угрозе, а также главные направления взаимосотрудничества между компетентными органами стран-участниц, задачи, принципы, приоритеты, форматы профильного взаимодействия и профилактические аспекты, что дает возможность дать оценку данному документу уже не как рамочному, а как вполне применимому в практической деятельности в целях усиления профильного сотрудничества.</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В результате всестороннего исследования и оценки перспектив развития стратегии Шанхайской Организации Сотрудничества автор приходить к следующим выводам</w:t>
      </w:r>
      <w:r w:rsidRPr="00DA76A7">
        <w:rPr>
          <w:rFonts w:ascii="Arial" w:hAnsi="Arial" w:cs="Arial"/>
          <w:color w:val="000000" w:themeColor="text1"/>
          <w:sz w:val="22"/>
          <w:szCs w:val="22"/>
          <w:lang w:bidi="en-US"/>
        </w:rPr>
        <w:t>:</w:t>
      </w:r>
    </w:p>
    <w:p w:rsidR="00A969C6" w:rsidRPr="00DA76A7" w:rsidRDefault="00A969C6" w:rsidP="00A969C6">
      <w:pPr>
        <w:suppressAutoHyphens/>
        <w:ind w:firstLine="567"/>
        <w:contextualSpacing/>
        <w:jc w:val="both"/>
        <w:rPr>
          <w:rFonts w:ascii="Arial" w:hAnsi="Arial" w:cs="Arial"/>
          <w:i/>
          <w:color w:val="000000" w:themeColor="text1"/>
          <w:sz w:val="22"/>
          <w:szCs w:val="22"/>
          <w:lang w:bidi="en-US"/>
        </w:rPr>
      </w:pPr>
      <w:r w:rsidRPr="00DA76A7">
        <w:rPr>
          <w:rFonts w:ascii="Arial" w:hAnsi="Arial" w:cs="Arial"/>
          <w:color w:val="000000" w:themeColor="text1"/>
          <w:sz w:val="22"/>
          <w:szCs w:val="22"/>
          <w:lang w:bidi="en-US"/>
        </w:rPr>
        <w:t xml:space="preserve"> </w:t>
      </w:r>
      <w:r w:rsidRPr="00DA76A7">
        <w:rPr>
          <w:rFonts w:ascii="Arial" w:hAnsi="Arial" w:cs="Arial"/>
          <w:i/>
          <w:color w:val="000000" w:themeColor="text1"/>
          <w:sz w:val="22"/>
          <w:szCs w:val="22"/>
          <w:lang w:bidi="en-US"/>
        </w:rPr>
        <w:t>Первое.</w:t>
      </w:r>
      <w:r w:rsidRPr="00DA76A7">
        <w:rPr>
          <w:rFonts w:ascii="Arial" w:hAnsi="Arial" w:cs="Arial"/>
          <w:color w:val="000000" w:themeColor="text1"/>
          <w:sz w:val="22"/>
          <w:szCs w:val="22"/>
          <w:lang w:bidi="en-US"/>
        </w:rPr>
        <w:t xml:space="preserve"> Организация самим своим существованием свидетельствует о формировании многополярной структуры международных отношений и некоего «антиамериканского сообщества» как форума международных сил, оппонирующего проявлениям мирового гегемонизма и диктата. С самого момента своего основания (2001 г.) ШОС позиционировалась как комплексная политико-экономическая международная организация, </w:t>
      </w:r>
      <w:r w:rsidRPr="00DA76A7">
        <w:rPr>
          <w:rFonts w:ascii="Arial" w:hAnsi="Arial" w:cs="Arial"/>
          <w:i/>
          <w:color w:val="000000" w:themeColor="text1"/>
          <w:sz w:val="22"/>
          <w:szCs w:val="22"/>
          <w:lang w:bidi="en-US"/>
        </w:rPr>
        <w:t xml:space="preserve">основными целями и задачами которой является: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 развитие сотрудничества во имя поддержания и укрепления мира, безопасности и стабильности в Центрально-Азиатском регионе (ЦАР);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 совместное противодействие «трем узлам»: экстремизму, сепаратизму и терроризму - в их любых проявлениях;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 борьба с незаконным оборотом оружия и наркотиков, прочими формами транснациональной преступности;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 поощрение эффективного регионального сотрудничества в торгово-экономической, политической, правоохранительной, оборонной, культурной, природоохранной, образовательной, кредитно-финансовой, научно-технической, транспортной, энергетической и прочих сферах, которые представляют общие интересы;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содействие сбалансированному и всестороннему экономическому росту, культурному и социальному развитию в регионе и т. п. [6, 105-110].</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И ныне задачи, изначально объявленные ШОС, ввиду их долгосрочного характера остаются прежними. Все они, несомненно, должны быть представлены в качестве базовых в новом документе - Стратегии развития ШОС до 2025 г.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Второе.</w:t>
      </w:r>
      <w:r w:rsidRPr="00DA76A7">
        <w:rPr>
          <w:rFonts w:ascii="Arial" w:hAnsi="Arial" w:cs="Arial"/>
          <w:color w:val="000000" w:themeColor="text1"/>
          <w:sz w:val="22"/>
          <w:szCs w:val="22"/>
          <w:lang w:bidi="en-US"/>
        </w:rPr>
        <w:t xml:space="preserve"> Достигнутая степень влиятельности ШОС сегодня свидетельствует о плодотворности 17-летних усилий государств - членов организации по строительству этой международной структуры и ее механизмов. Опыт, полученный ШОС, подтверждает то, что проблемы, связанные с обеспечением международной безопасности в регионе (с положением в Исламской Республике Афганистан (ИРА) и вокруг нее, волнениями «цветных революций», состоявшихся в Центрально-Азиатском регионе (ЦАР) за последние 10 лет, противодействием «трем злам» и другим угрозам), - это проблемы, не решаемые в одиночку. И если бы не хозяйственная, моральная и информационная поддержка со стороны ШОС, политико-экономическая ситуация в пострадавших странах была бы еще более тяжелой. Рост напряженности в Евразии диктует целесообразность корректировки курса ШОС в сторону укрепления ее оборонной составляющей. Однако организация не планирует создавать собственную военную структуру: действующая Хартия ШОС не предусматривает возможность формирования вооруженных сил под эгидой организации.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Сотрудничество по линии министерств обороны, одним из аспектов которого являются учения «Мирная миссия», имеет задачей отработку взаимодействия подразделений стран ШОС только в антитеррористическом ключе. И это представляется единственно правильным на настоящий момент решением, ибо по причинам, приведенным в разделах 2 и 3 Хартии ШОС, именно от международного терроризма сейчас исходит наибольшая угроза стабильности в ЦАР. Вряд ли для ШОС в текущих условиях было бы уместным внеэкономическое (силовое) противостояние этническому сепаратизму и религиозному экстремизму, поскольку оно обострило бы проблему соблюдения той грани, за которой началось бы «вмешательство во внутренние дела», полностью отвергаемое Хартией ШОС [3, 433-435]. </w:t>
      </w:r>
    </w:p>
    <w:p w:rsidR="00A969C6" w:rsidRPr="00DA76A7" w:rsidRDefault="00A969C6" w:rsidP="00A969C6">
      <w:pPr>
        <w:suppressAutoHyphens/>
        <w:ind w:firstLine="567"/>
        <w:contextualSpacing/>
        <w:jc w:val="both"/>
        <w:rPr>
          <w:rFonts w:ascii="Arial" w:hAnsi="Arial" w:cs="Arial"/>
          <w:i/>
          <w:color w:val="000000" w:themeColor="text1"/>
          <w:sz w:val="22"/>
          <w:szCs w:val="22"/>
          <w:lang w:bidi="en-US"/>
        </w:rPr>
      </w:pPr>
      <w:r w:rsidRPr="00DA76A7">
        <w:rPr>
          <w:rFonts w:ascii="Arial" w:hAnsi="Arial" w:cs="Arial"/>
          <w:i/>
          <w:color w:val="000000" w:themeColor="text1"/>
          <w:sz w:val="22"/>
          <w:szCs w:val="22"/>
          <w:lang w:bidi="en-US"/>
        </w:rPr>
        <w:t>Третье.</w:t>
      </w:r>
      <w:r w:rsidRPr="00DA76A7">
        <w:rPr>
          <w:rFonts w:ascii="Arial" w:hAnsi="Arial" w:cs="Arial"/>
          <w:color w:val="000000" w:themeColor="text1"/>
          <w:sz w:val="22"/>
          <w:szCs w:val="22"/>
          <w:lang w:bidi="en-US"/>
        </w:rPr>
        <w:t xml:space="preserve"> Шанхайский секстет должен оставаться многопрофильным не конфронтационным объединением (даже когда конфронтация ему навязывается не только НАТО, но и ЕС, задумывающимся о создании «общеевропейской армии»). Объединением, способным по мере своего развития самостоятельно решать проблемы региональной и международной безопасности без вмешательства извне путем ликвидации социально-экономических условий для существования «трех зол». К тому же придание ШОС блокового «военизированного» характера ныне представляется недостижимым по причине вариативности кооперационных предпочтений центрально-азиатских стран - членов ШОС. Вряд ли они согласятся отойти от принципа «многовекторности» их внешней политики и выступить единым с КНР и силовым или даже экономическим фронтом против Запада. Совместная работа стран ШОС по нейтрализации «трех зол», негативного влияния радикальных исламистских течений в регионе необходима, но не столько путем усиления оборонной составляющей организации (хотя и это целесообразно), сколько социально-экономическими и гуманитарными средствами, позволяющими сохранить статус ШОС как неблоковой, комплексной, невоенной структуры. </w:t>
      </w:r>
      <w:r w:rsidRPr="00DA76A7">
        <w:rPr>
          <w:rFonts w:ascii="Arial" w:hAnsi="Arial" w:cs="Arial"/>
          <w:i/>
          <w:color w:val="000000" w:themeColor="text1"/>
          <w:sz w:val="22"/>
          <w:szCs w:val="22"/>
          <w:lang w:bidi="en-US"/>
        </w:rPr>
        <w:t xml:space="preserve">РФ и Китай - ключевые участники ШОС - уделяют пристальное внимание факту дестабилизации обстановки на Ближнем Востоке: в Ливии, Сирии, Ираке - и проблемам, сопряженным с выводом войск западной коалиции из Афганистана. При этом организация сохраняет дистанцию от вооруженного противостояния внутри Украины [2, 18].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Четвертое.</w:t>
      </w:r>
      <w:r w:rsidRPr="00DA76A7">
        <w:rPr>
          <w:rFonts w:ascii="Arial" w:hAnsi="Arial" w:cs="Arial"/>
          <w:color w:val="000000" w:themeColor="text1"/>
          <w:sz w:val="22"/>
          <w:szCs w:val="22"/>
          <w:lang w:bidi="en-US"/>
        </w:rPr>
        <w:t xml:space="preserve"> Обстановка, складывающаяся на мировой и глобальной арене, порождает необходимость усиления коллективной хозяйственной активности, а также расширения числа государств - полноправных членов организации. Потребности социально-экономического развития стран ШОС «подстегивают» создание поливариантной модели безопасной и взаимовыгодной региональной кооперации. Двусторонние форматы сотрудничества КНР, РФ со странами региона вполне могут быть дополнены двух- и трехсторонними инициативами членов ШОС с государствами наблюдателями и партнерами по диалогу: Ираном, Афганистаном, Монголией, Турцией, Белоруссией, Шри-Ланкой. Внутрирегиональная кооперация в высшей степени полезна и необходима для обеспечения экономического роста в ШОС.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Как отмечает профессор кафедры международного права РУДН А.Х. Абашидзе, что экономическая интеграция представляет собой своеобразный фундамент, на котором, в свой черед, могут быть основаны конструкции региональной безопасности и осуществляться сотрудничество в прочих сферах международных отношений (охраны окружающей среды, культуры, науки) [11, 317].</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Россия, Китай, Индия и Пакистан в силу понятных причин (страны имеющие ядерные оружие и сильные экономики) остаются наиболее влиятельными силами в организации, и в целом в мире и на пространстве Центрально-Азиатского региона. Нынешнее российско-китайское стратегическое сотрудничество в регионе - это прочный фундамент для строительства общего евразийского мира, развития и безопасности. Другие страны - основатели ШОС: Казахстан, Узбекистан, Таджикистан и Киргизия - являются полноправными и активными субъектами деятельности этой организации. Поэтому важным для неё представляется поиск путей дальнейшего сбалансирования интересов шести государств - постоянных членов ШОС, начало которому было положено ее образованием в 2001 г.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Пятое.</w:t>
      </w:r>
      <w:r w:rsidRPr="00DA76A7">
        <w:rPr>
          <w:rFonts w:ascii="Arial" w:hAnsi="Arial" w:cs="Arial"/>
          <w:color w:val="000000" w:themeColor="text1"/>
          <w:sz w:val="22"/>
          <w:szCs w:val="22"/>
          <w:lang w:bidi="en-US"/>
        </w:rPr>
        <w:t xml:space="preserve"> Развитие организации по трем ключевым направлениям (экономическая сфера, безопасность и гуманитарное сотрудничество) объективно соответствует интересам российско-китайского стратегического партнерства и взаимодействия, а также национально-государственным устремлениям всех участников ШОС. Консенсус шести государств при принятии решений должен сохраняться как один из фундаментальных принципов, не требующих изменений</w:t>
      </w:r>
      <w:r w:rsidRPr="00DA76A7">
        <w:rPr>
          <w:rFonts w:ascii="Arial" w:hAnsi="Arial" w:cs="Arial"/>
          <w:color w:val="000000" w:themeColor="text1"/>
          <w:sz w:val="22"/>
          <w:szCs w:val="22"/>
          <w:vertAlign w:val="superscript"/>
          <w:lang w:bidi="en-US"/>
        </w:rPr>
        <w:t xml:space="preserve"> </w:t>
      </w:r>
      <w:r w:rsidRPr="00DA76A7">
        <w:rPr>
          <w:rFonts w:ascii="Arial" w:hAnsi="Arial" w:cs="Arial"/>
          <w:color w:val="000000" w:themeColor="text1"/>
          <w:sz w:val="22"/>
          <w:szCs w:val="22"/>
          <w:lang w:bidi="en-US"/>
        </w:rPr>
        <w:t xml:space="preserve">[13, 47].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Шестое.</w:t>
      </w:r>
      <w:r w:rsidRPr="00DA76A7">
        <w:rPr>
          <w:rFonts w:ascii="Arial" w:hAnsi="Arial" w:cs="Arial"/>
          <w:color w:val="000000" w:themeColor="text1"/>
          <w:sz w:val="22"/>
          <w:szCs w:val="22"/>
          <w:lang w:bidi="en-US"/>
        </w:rPr>
        <w:t xml:space="preserve"> Решение ШОС о включении Афганистана в ее ряды в качестве страны наблюдателя (на Пекинском 2012 г. саммите организации) было взвешенным и продуманным. Оно позволяет уже сейчас, без привлечения военной компоненты, активно взаимодействовать с кризисной ИРА в инвестиционной и торгово-экономической сфере [7]. </w:t>
      </w:r>
    </w:p>
    <w:p w:rsidR="00A969C6" w:rsidRPr="00DA76A7" w:rsidRDefault="00A969C6" w:rsidP="00A969C6">
      <w:pPr>
        <w:suppressAutoHyphens/>
        <w:ind w:firstLine="567"/>
        <w:contextualSpacing/>
        <w:jc w:val="both"/>
        <w:rPr>
          <w:rFonts w:ascii="Arial" w:hAnsi="Arial" w:cs="Arial"/>
          <w:i/>
          <w:color w:val="000000" w:themeColor="text1"/>
          <w:sz w:val="22"/>
          <w:szCs w:val="22"/>
          <w:lang w:bidi="en-US"/>
        </w:rPr>
      </w:pPr>
      <w:r w:rsidRPr="00DA76A7">
        <w:rPr>
          <w:rFonts w:ascii="Arial" w:hAnsi="Arial" w:cs="Arial"/>
          <w:i/>
          <w:color w:val="000000" w:themeColor="text1"/>
          <w:sz w:val="22"/>
          <w:szCs w:val="22"/>
          <w:lang w:bidi="en-US"/>
        </w:rPr>
        <w:t xml:space="preserve">На основании указанных выше основных выводов о перспективах ШОС в современном мире представляется возможным сформировать следующие рекомендации, касающиеся стратегии развития организации на период до 2025 г.: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1. При разработке Стратегии развития ШОС следует на экспертном уровне согласовать трактовки национальной (региональной) и международной безопасности каждого государства - члена ШОС в свете генеральных задач организации. Это должно быть осуществлено путем анализа таких вопросов, как место и возможности каждого участника в коллективной политической и экономической кооперации, в сфере поддержания международной безопасности и стабильности, включая афганскую проблему, а также роль института наблюдателей, его функций, перспектив расширения и др.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Необходима точная характеристика различий и «нестыковок» в интересах каждого из участников с целью разработки методики достижения компромиссов, обеспечивающих соблюдение консенсус-принципа.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2. Необходима выработка (как составной части общей Стратегии развития ШОС) поэтапной дорожной карты сотрудничества восьми государств организации в деле укрепления международной безопасности. Члены ШОС не должны поддаваться на попытки США дестабилизировать обстановку в Евразии, а также в государствах постсоветского пространства. Нам нужны другие методы: не следует поддаваться на провокации и первыми пытаться выбить клин клином. Для ШОС важно не просто адекватно реагировать на увеличение недружественных военных формирований в сопредельных государствах, но и создавать благоприятные условия для собственного экономического «наступления». Небесполезно и создание доступной инфраструктуры двойного назначения.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3. При разработке экономической части Стратегии развития ШОС следует первостепенное внимание уделить координации банковско-</w:t>
      </w:r>
      <w:r w:rsidRPr="00DA76A7">
        <w:rPr>
          <w:rFonts w:ascii="Arial" w:hAnsi="Arial" w:cs="Arial"/>
          <w:color w:val="000000" w:themeColor="text1"/>
          <w:sz w:val="22"/>
          <w:szCs w:val="22"/>
          <w:lang w:bidi="en-US"/>
        </w:rPr>
        <w:softHyphen/>
        <w:t xml:space="preserve">инвестиционной активности финансовых организаций РФ и КНР. В частности, в случае сохранения тактических российско-китайских «нестыковок» по вопросу создания Банка развития (БР) ШОС - механизма финансирования проектов организации - сосредоточить внимание на вопросе возведения «здания» БР ШОС на базе успешно действующего в регионе Евразийского банка развития. Данный вариант позволит совместить кредитно-инвестиционную деятельность ШОС и многих членов Евразийского экономического союза.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4. </w:t>
      </w:r>
      <w:r w:rsidRPr="00DA76A7">
        <w:rPr>
          <w:rFonts w:ascii="Arial" w:hAnsi="Arial" w:cs="Arial"/>
          <w:i/>
          <w:color w:val="000000" w:themeColor="text1"/>
          <w:sz w:val="22"/>
          <w:szCs w:val="22"/>
          <w:lang w:bidi="en-US"/>
        </w:rPr>
        <w:t>В экономической части Стратегии развития ШОС в качестве одного из ключевых тезисов целесообразно провести идею сопряжения/соразвития трех евразийских проектов:</w:t>
      </w:r>
      <w:r w:rsidRPr="00DA76A7">
        <w:rPr>
          <w:rFonts w:ascii="Arial" w:hAnsi="Arial" w:cs="Arial"/>
          <w:color w:val="000000" w:themeColor="text1"/>
          <w:sz w:val="22"/>
          <w:szCs w:val="22"/>
          <w:lang w:bidi="en-US"/>
        </w:rPr>
        <w:t xml:space="preserve">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1) Шанхайской организации сотрудничества;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2) Экономического пояса Великого шелкового пути;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3) Евразийского экономического союза. Наложение данных трех инициатив способно создать эффект синергии и вскрыть дополнительные возможности для социально-экономического развития Центральной Азии (ЦА). Также необходимо проработать политическую, финансово- экономическую, инфраструктурную и информационную логистику сочетания трех проектов.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5. Видимо, целесообразно учесть и то, что практическому наполнению идеи соразвития ШОС и Экономического пояса Великого шелкового пути может послужить реализация ряда проектов китайско-российского сотрудничества, в частности строительство нефте- и газопроводов, железной дороги Чунцин-Синьцзян-Европа, автомобильной дороги Западный Китай -Западная Европа и др.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6. В экономической части также целесообразно предложить пошаговый алгоритм поддержки восстановления Афганистана со стороны ШОС. Он должен способствовать не только экономическому возрождению ИРА, но и формированию новой долговременной экономической мотивации всех сторон. В этом случае коллективное сотрудничество государств ШОС на афганской почве приобретет устойчивый характер.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При разработке данного алгоритма не следует уповать только на внутренний потенциал организации, но продумать механизмы сотрудничества в афганской реконструкции с воз</w:t>
      </w:r>
      <w:r w:rsidRPr="00DA76A7">
        <w:rPr>
          <w:rFonts w:ascii="Arial" w:hAnsi="Arial" w:cs="Arial"/>
          <w:color w:val="000000" w:themeColor="text1"/>
          <w:sz w:val="22"/>
          <w:szCs w:val="22"/>
          <w:lang w:bidi="en-US"/>
        </w:rPr>
        <w:softHyphen/>
        <w:t xml:space="preserve">можно большим числом государств, в частности - с Японией и другими мировыми обладателями реального капитала. В случае успеха такой кооперации ИРА может получить значительно больший объем инвестиций и технического содействия, а Москва и Пекин - новых партнеров по реализации значимых региональных проектов с российским и китайским участием. Здесь небесполезными могут оказаться и связи с государствами Южной Азии как непосредственным окружением Афганистана.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7. В Стратегии развития ШОС следует особо подчеркнуть необходимость упорядочивания ситуации в области гидроресурсов ЦА, включая систему водопользования Аму-Дарьи и Сир-Дарьи. В долгосрочном плане небесполезно предусмотреть возможность инвестирования со стороны стран ШОС в развитие водной инфраструктуры ИРА, что в перспективе повысит потенциал Афганистана как внешнеэкономического партнера.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8. Видится целесообразным включение в Стратегию положения о развитии региональной логистики путем строительства общей дорожно</w:t>
      </w:r>
      <w:r w:rsidRPr="00DA76A7">
        <w:rPr>
          <w:rFonts w:ascii="Arial" w:hAnsi="Arial" w:cs="Arial"/>
          <w:color w:val="000000" w:themeColor="text1"/>
          <w:sz w:val="22"/>
          <w:szCs w:val="22"/>
          <w:lang w:bidi="en-US"/>
        </w:rPr>
        <w:softHyphen/>
        <w:t xml:space="preserve">транспортной сети Афганистана и постсоветской Центральной Азии, встраивание ее как в уже существующие транспортные коридоры, так и планируемые в рамках проекта Экономического пояса Великого шелкового пути. Все это даст дополнительные возможности для увеличения товарооборота в Евразии в системе отношений Восток-Запад.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9. В свете того что политико-экономическое сотрудничество внутри ШОС ныне осложняется в связи с особенностями современной мировой и региональной обстановки, видится целесообразным «воспользоваться моментом» и обратить внимание на усиление гуманитарной составляющей организации, которая менее подвластна воздействию внешних факторов. В определенной мере гуманитарное сотрудничество могло бы исполнить роль компенсаторного механизма в случае торможения коллективного взаимодействия ШОС по другим направлениям.</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Важная роль в создании единой евразийской транспортной инфраструктуры отводится одному из новых членов Шанхайской Организации Сотрудничества – Пакистану.</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Многостороннее взаимодействие государств-членов ШОС направлено на усиление совместной борьбы с угрозами региональной и глобальной безопасности, поддержание стабильности на евразийском пространстве, достижение устойчивого политического и экономического миропорядка. Одной из основных областей их взаимовыгодного регионального сотрудничества является создание современной транспортной инфраструктуры ШОС.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Выгодное геостратегическое положение Пакистана, расположенного в Южной Азии на стыке сухопутных и морских путей, предопределяет его востребованность не только в масштабах регионального, но и общемирового хозяйства. Он омывается водами Аравийского моря на юге, граничит с Афганистаном на северо-западе, с Ираном на юго-западе, с Китаем на севере и с Индией на востоке. Близость Пакистана к странам Персидского залива, Западной и Центральной Азии, его непосредственное соседство с динамично развивающимися Индией и Китаем, позволяют ему в новом статусе государства-члена ШОС трансформироваться в важнейший торговый, энергетический и транспортный коридор Евразии. Он становится активным актором в реализации двух глобальных проектов: Евразийский экономический союз и Экономический пояс Шелкового Пути, возрождающий исторические торговые связи и маршруты с учетом изменившихся геополитических реалий и экономических приоритетов</w:t>
      </w:r>
      <w:r w:rsidRPr="00DA76A7">
        <w:rPr>
          <w:rFonts w:ascii="Arial" w:hAnsi="Arial" w:cs="Arial"/>
          <w:color w:val="000000" w:themeColor="text1"/>
          <w:sz w:val="22"/>
          <w:szCs w:val="22"/>
          <w:vertAlign w:val="superscript"/>
          <w:lang w:bidi="en-US"/>
        </w:rPr>
        <w:t xml:space="preserve"> </w:t>
      </w:r>
      <w:r w:rsidRPr="00DA76A7">
        <w:rPr>
          <w:rFonts w:ascii="Arial" w:hAnsi="Arial" w:cs="Arial"/>
          <w:color w:val="000000" w:themeColor="text1"/>
          <w:sz w:val="22"/>
          <w:szCs w:val="22"/>
          <w:lang w:bidi="en-US"/>
        </w:rPr>
        <w:t xml:space="preserve">[9, 39-42].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Пакистан благодаря разветвленной сети наземного железнодорожного и шоссейного транспорта, а также увеличивающихся мощностей порта Гвадар способен стать транспортным и торговым транзитом для стран ШОС. Помощь Китая в строительстве современной транспортной инфраструктуры Пакистана, развитие Гвадара и китайского города Кашгар в качестве особых экономических зон, модернизация Каракорумского шоссе, с помощью которого планируется связать Гвадар, Кашгар и Центральную Азию (через Бишкек с городами Ош в Кыргызстане, а также Мургаб в Таджикистане с Карасу) вполне отвечают общим усилиями ШОС по налаживанию трансконтинентального сухопутного сообщения. В его транспортную структуру входит и дорожное сообщение Читрал – Ишкашим, которое свяжет Пакистан, Афганистан и Таджикистан через Ваханский транспортный коридор, расположенный в непосредственной близи от китайской границы. Создание перспективной общей транспортной системы ШОС позволит также подключить к ней российский потенциал Транссибирской и Байкало-Амурской магистралей.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Прогнозируемый дальнейший рост количества полноправных членов организации</w:t>
      </w:r>
      <w:r w:rsidRPr="00DA76A7">
        <w:rPr>
          <w:rFonts w:ascii="Arial" w:hAnsi="Arial" w:cs="Arial"/>
          <w:color w:val="000000" w:themeColor="text1"/>
          <w:sz w:val="22"/>
          <w:szCs w:val="22"/>
          <w:lang w:bidi="en-US"/>
        </w:rPr>
        <w:t xml:space="preserve"> за счет государств, имеющих статус наблюдателей (Афганистан, Белоруссия, Иран, Монголия) или только претендующих на его получение (Бангладеш, Сирия, Египет), а также партнеров по диалогу (Азербайджан, Армения, Камбоджа, Непал, Турция, Шри-Ланка), позволит ШОС решать в перспективе транспортные проблемы и более масштабного глобального уровня. Расширение рядов этой международной организации предусматривается в соответствии с разработанной </w:t>
      </w:r>
      <w:r w:rsidRPr="00DA76A7">
        <w:rPr>
          <w:rFonts w:ascii="Arial" w:hAnsi="Arial" w:cs="Arial"/>
          <w:i/>
          <w:color w:val="000000" w:themeColor="text1"/>
          <w:sz w:val="22"/>
          <w:szCs w:val="22"/>
          <w:lang w:bidi="en-US"/>
        </w:rPr>
        <w:t>Стратегией развития ШОС до 2025</w:t>
      </w:r>
      <w:r w:rsidRPr="00DA76A7">
        <w:rPr>
          <w:rFonts w:ascii="Arial" w:hAnsi="Arial" w:cs="Arial"/>
          <w:color w:val="000000" w:themeColor="text1"/>
          <w:sz w:val="22"/>
          <w:szCs w:val="22"/>
          <w:lang w:bidi="en-US"/>
        </w:rPr>
        <w:t xml:space="preserve"> года. Формирование региональных транспортных и транзитных коридоров с комплексом сопутствующих им логистических центров и индустриальных кластеров рассматривается в качестве основы экономической и энергетической безопасности стран-участниц ШОС, обладающих большим человеческим потенциалом (половина населения планеты) и обширными водными и территориальными пространствами (60% территории Евразии).</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Итак, на сегодняшний день ШОС превратилась в полноценную многопрофильную международную организацию, обладающую крупным военным и экономическим потенциалом. Ее деятельность строится на принципах взаимовыгодного сотрудничества и взаимного доверия. На сегодняшний день целью ШОС является не только борьба против международного терроризма, сепаратизма и политического экстремизма, но и дальнейший рост экономик стран-участниц и повышение уровня жизни граждан. В силу сложившейся международной обстановки, когда Запад направляет все свои усилия на экономическую и политическую изоляцию России, большое внимание мирового сообщества нацелено на нейтрализацию данного конфликта. В связи с этим особую роль играют международные организации, базирующиеся на принципах многополярности и дистанцирования от Запада, в частности ШОС [4, 53].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В современное время системообразующим элементом деятельности ШОС в военной сфере является противодействие международному терроризму, кибер-терроризму, сепаратизму и политическому экстремизму.</w:t>
      </w:r>
      <w:r w:rsidRPr="00DA76A7">
        <w:rPr>
          <w:rFonts w:ascii="Arial" w:hAnsi="Arial" w:cs="Arial"/>
          <w:color w:val="000000" w:themeColor="text1"/>
          <w:sz w:val="22"/>
          <w:szCs w:val="22"/>
          <w:lang w:bidi="en-US"/>
        </w:rPr>
        <w:t xml:space="preserve"> Для решения вопросов в данной сфере создана значительная международно-правовая база сотрудничества стран-участниц. Показательным являются совместные военные учения государств-членов ШОС. В большинстве своем, благодаря усилиям Российской Федерации военное сотрудничество стоит на повестке дня и является одним из приоритетных в сферах деятельности ШОС.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На сегодняшний день большой ажиотаж на международной арене вызывает независимая политика России и Китая, рост их экономической и военной мощи и складывающееся стратегическое партнерство Москвы и Пекина. В связи с этим, Вашингтон предпринял меры по дестабилизации внутриполитической обстановки не только стран-участниц ШОС, но и их ближайших соседей</w:t>
      </w:r>
      <w:r w:rsidRPr="00DA76A7">
        <w:rPr>
          <w:rFonts w:ascii="Arial" w:hAnsi="Arial" w:cs="Arial"/>
          <w:color w:val="000000" w:themeColor="text1"/>
          <w:sz w:val="22"/>
          <w:szCs w:val="22"/>
          <w:vertAlign w:val="superscript"/>
          <w:lang w:bidi="en-US"/>
        </w:rPr>
        <w:t xml:space="preserve"> </w:t>
      </w:r>
      <w:r w:rsidRPr="00DA76A7">
        <w:rPr>
          <w:rFonts w:ascii="Arial" w:hAnsi="Arial" w:cs="Arial"/>
          <w:color w:val="000000" w:themeColor="text1"/>
          <w:sz w:val="22"/>
          <w:szCs w:val="22"/>
          <w:lang w:bidi="en-US"/>
        </w:rPr>
        <w:t xml:space="preserve">[5, 69].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Для более быстрой дестабилизации внутриполитической обстановки США использовали национальный фактор, в частности, разжигание межнациональной розни. Ярким примером этому могут служить столкновения в Узбекистане (2005 г.), беспорядки в Киргизии (2010 г.), активными «наблюдателями» которых были сотрудники </w:t>
      </w:r>
      <w:r w:rsidRPr="00DA76A7">
        <w:rPr>
          <w:rFonts w:ascii="Arial" w:hAnsi="Arial" w:cs="Arial"/>
          <w:color w:val="000000" w:themeColor="text1"/>
          <w:sz w:val="22"/>
          <w:szCs w:val="22"/>
          <w:lang w:val="en-US" w:bidi="en-US"/>
        </w:rPr>
        <w:t>USAID</w:t>
      </w:r>
      <w:r w:rsidRPr="00DA76A7">
        <w:rPr>
          <w:rFonts w:ascii="Arial" w:hAnsi="Arial" w:cs="Arial"/>
          <w:color w:val="000000" w:themeColor="text1"/>
          <w:sz w:val="22"/>
          <w:szCs w:val="22"/>
          <w:lang w:bidi="en-US"/>
        </w:rPr>
        <w:t xml:space="preserve"> (Агентства США по международному развитию) и других, подконтрольных США, неправительственных организаций.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 xml:space="preserve">В настоящее время наблюдается весьма значительное воздействие </w:t>
      </w:r>
      <w:r w:rsidRPr="00DA76A7">
        <w:rPr>
          <w:rFonts w:ascii="Arial" w:hAnsi="Arial" w:cs="Arial"/>
          <w:i/>
          <w:color w:val="000000" w:themeColor="text1"/>
          <w:sz w:val="22"/>
          <w:szCs w:val="22"/>
          <w:lang w:val="en-US" w:bidi="en-US"/>
        </w:rPr>
        <w:t>USAID</w:t>
      </w:r>
      <w:r w:rsidRPr="00DA76A7">
        <w:rPr>
          <w:rFonts w:ascii="Arial" w:hAnsi="Arial" w:cs="Arial"/>
          <w:i/>
          <w:color w:val="000000" w:themeColor="text1"/>
          <w:sz w:val="22"/>
          <w:szCs w:val="22"/>
          <w:lang w:bidi="en-US"/>
        </w:rPr>
        <w:t xml:space="preserve"> на частные центрально-азиатские средства массовой информации</w:t>
      </w:r>
      <w:r w:rsidRPr="00DA76A7">
        <w:rPr>
          <w:rFonts w:ascii="Arial" w:hAnsi="Arial" w:cs="Arial"/>
          <w:color w:val="000000" w:themeColor="text1"/>
          <w:sz w:val="22"/>
          <w:szCs w:val="22"/>
          <w:lang w:bidi="en-US"/>
        </w:rPr>
        <w:t xml:space="preserve">. Как известно, </w:t>
      </w:r>
      <w:r w:rsidRPr="00DA76A7">
        <w:rPr>
          <w:rFonts w:ascii="Arial" w:hAnsi="Arial" w:cs="Arial"/>
          <w:color w:val="000000" w:themeColor="text1"/>
          <w:sz w:val="22"/>
          <w:szCs w:val="22"/>
          <w:lang w:val="en-US" w:bidi="en-US"/>
        </w:rPr>
        <w:t>USAID</w:t>
      </w:r>
      <w:r w:rsidRPr="00DA76A7">
        <w:rPr>
          <w:rFonts w:ascii="Arial" w:hAnsi="Arial" w:cs="Arial"/>
          <w:color w:val="000000" w:themeColor="text1"/>
          <w:sz w:val="22"/>
          <w:szCs w:val="22"/>
          <w:lang w:bidi="en-US"/>
        </w:rPr>
        <w:t xml:space="preserve"> в 2014 году запустило в Киргизии, Таджикистане и Казахстане новый проект под названием «Поддержка доступа к информации». Срок реализации данного проекта 3 года, а его общая сумма – 3,8 млн. дол. Целью является поддержка и оказание помощи частным региональным СМИ в процессе их перехода на цифровое вещание, совершенствование законодательной базы медийной сферы и активизация сотрудничества негосударственных СМИ.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Таким образом, данный проект является основой для возможного использования информационных технологий в корыстных целях. По мнению специалистов, в регионе Центральной Азии складываются достаточно благоприятные условия для применения современных схем информационного воздействия по типу сценариев, ранее отработанных в Северной Африке и на Ближнем Востоке</w:t>
      </w:r>
      <w:r w:rsidRPr="00DA76A7">
        <w:rPr>
          <w:rFonts w:ascii="Arial" w:hAnsi="Arial" w:cs="Arial"/>
          <w:color w:val="000000" w:themeColor="text1"/>
          <w:sz w:val="22"/>
          <w:szCs w:val="22"/>
          <w:vertAlign w:val="superscript"/>
          <w:lang w:bidi="en-US"/>
        </w:rPr>
        <w:t xml:space="preserve"> </w:t>
      </w:r>
      <w:r w:rsidRPr="00DA76A7">
        <w:rPr>
          <w:rFonts w:ascii="Arial" w:hAnsi="Arial" w:cs="Arial"/>
          <w:color w:val="000000" w:themeColor="text1"/>
          <w:sz w:val="22"/>
          <w:szCs w:val="22"/>
          <w:lang w:bidi="en-US"/>
        </w:rPr>
        <w:t xml:space="preserve">[10].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Новой угрозой для государств-участников ШОС стала гражданская война в Сирии,</w:t>
      </w:r>
      <w:r w:rsidRPr="00DA76A7">
        <w:rPr>
          <w:rFonts w:ascii="Arial" w:hAnsi="Arial" w:cs="Arial"/>
          <w:color w:val="000000" w:themeColor="text1"/>
          <w:sz w:val="22"/>
          <w:szCs w:val="22"/>
          <w:lang w:bidi="en-US"/>
        </w:rPr>
        <w:t xml:space="preserve"> которая является некой саморекламой идей джихада. Выходцы из Центральной Азии воюют в Сирии против законного правительства, поддерживая тем самым оппозицию. По оценкам экспертов Университета Дж. Вашингтона (США), на стороне запрещенной в России террористической группировке «Исламское государство» в боевых действиях предположительно участвуют около 250 граждан Казахстана, 150 – Киргизии, 200 – Таджикистана, 500 – Узбекистана, 360 – Туркмении [15].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Помимо этого, данные лица, воюющие в Сирии в рядах вооруженных группировок, проходят обучение и поднимаются вверх по карьерной лестнице «Исламского государства». Есть сведения, что несколько старших должностных членов в его структуре являются казахами. Ситуация с исламскими террористами гораздо серьезнее и опаснее, чем подобные конфликты в прошлом, так как их мобилизация происходит весьма активно, чему способствует массовая идеологическая обработка потенциальных участников террористических группировок. Помимо этого, установлен безвизовый режим между Турцией и Россией и странами Центральной Азии, что облегчает отправку боевиков в Сирию. Несомненно, страны-участницы ШОС пытаются предотвратить отъезд своих граждан в Сирию, по этому вопросу принимается достаточное количество нормативно-правовых актов. Но, еще одной угрозой является само возвращение граждан, воевавших в Сирии в рядах террористических группировок, на родину. Есть опасения, что это повлечет распространение идей джихада. И эти опасения не были беспочвенными. Так, была арестована группа боевиков, отправленная из Сирии террористической организацией «Союз исламского джихада» в Ош и Бишкек для совершения терактов во время сентябрьского саммита ШОС 2014 г.[16], также планировался подрыв стратегически важных дорожных туннелей в горах Таджикистана.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Участие граждан из Центральной Азии в военных действиях в Сирии на стороне радикальных террористических группировок свидетельствует о недостаточной работе местных спецслужб по профилактике и предотвращению выезда в «горячие точки». Из этого следует, что международный терроризм принимает такие масштабы, что парировать его угрозы бывает крайне сложно без подключения военного потенциала. В связи с этим остро встает вопрос о необходимости создания военной структуры ШОС. Все вышеперечисленные обстоятельства дают повод экспертам говорить о том, что сотрудничество стран-членов ШОС в сфере безопасности практически свелось к декларациям и политико- пропагандистской риторике.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Вполне возможно, что главной причиной данного положения стал один из основополагающих принципов деятельности ШОС – принцип о невмешательстве во внутренние дела и уважении суверенитета всех стран- участниц. Этот принцип в сочетании с хронической региональной разобщенностью серьезно ограничивает возможность коллективных действий Организации [8].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Таким образом, военное сотрудничество является весьма противоречивой сферой деятельности ШОС. С одной стороны, теоретически, данное сотрудничество не является основным приоритетом ШОС, а с другой стороны, оно представляет большой практический интерес для всех стран-участниц.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 xml:space="preserve">Дело в том, что военная составляющая не предусматривается базовыми документами ШОС, и Организация не обладает необходимой, в данном случае, совместной оборонной структурой. В результате до сих пор нет ясности, как странам-членам реагировать на широкомасштабные внутриполитические конфликты и как действовать в случае перетекания таких конфликтов в плоскость этнического или религиозно-этнического противостояния. О необходимости создания более совершенной системы сотрудничества в области международной безопасности на основе укрепления потенциала оперативного реагирования ШОС говорил ещё на саммите в Астане в 2011 г. председатель КНР Ху Цзиньтао [1, 14]. </w:t>
      </w:r>
    </w:p>
    <w:p w:rsidR="00A969C6" w:rsidRPr="00DA76A7" w:rsidRDefault="00A969C6" w:rsidP="00A969C6">
      <w:pPr>
        <w:suppressAutoHyphens/>
        <w:ind w:firstLine="567"/>
        <w:contextualSpacing/>
        <w:jc w:val="both"/>
        <w:rPr>
          <w:rFonts w:ascii="Arial" w:hAnsi="Arial" w:cs="Arial"/>
          <w:i/>
          <w:color w:val="000000" w:themeColor="text1"/>
          <w:sz w:val="22"/>
          <w:szCs w:val="22"/>
          <w:lang w:bidi="en-US"/>
        </w:rPr>
      </w:pPr>
      <w:r w:rsidRPr="00DA76A7">
        <w:rPr>
          <w:rFonts w:ascii="Arial" w:hAnsi="Arial" w:cs="Arial"/>
          <w:color w:val="000000" w:themeColor="text1"/>
          <w:sz w:val="22"/>
          <w:szCs w:val="22"/>
          <w:lang w:bidi="en-US"/>
        </w:rPr>
        <w:t xml:space="preserve">На сегодняшний день деятельность государств-членов ШОС в данной области осуществляется лишь путем проведения консультаций и совещаний представителей Министерств Обороны и Советов безопасности стран ШОС, а в практическом плане – проведением командно-штабных и оперативно- тактических учений, проводимых как минимум 1 раз в год под эгидой Региональной антитеррористической структуры (РАТС) ШОС. На совещании глав военных ведомств государств – членов ШОС в Петербурге в июле 2015 г. было принято решение о создании аппарата национальных военных советников под эгидой Организации [17]. </w:t>
      </w:r>
      <w:r w:rsidRPr="00DA76A7">
        <w:rPr>
          <w:rFonts w:ascii="Arial" w:hAnsi="Arial" w:cs="Arial"/>
          <w:i/>
          <w:color w:val="000000" w:themeColor="text1"/>
          <w:sz w:val="22"/>
          <w:szCs w:val="22"/>
          <w:lang w:bidi="en-US"/>
        </w:rPr>
        <w:t xml:space="preserve">На саммите Организации в Уфе в июле 2015 г. была утверждена программа по борьбе с терроризмом, сепаратизмом и экстремизмом на 2016–2018 гг. </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i/>
          <w:color w:val="000000" w:themeColor="text1"/>
          <w:sz w:val="22"/>
          <w:szCs w:val="22"/>
          <w:lang w:bidi="en-US"/>
        </w:rPr>
        <w:t>Подводя итог можно отметит,</w:t>
      </w:r>
      <w:r w:rsidRPr="00DA76A7">
        <w:rPr>
          <w:rFonts w:ascii="Arial" w:hAnsi="Arial" w:cs="Arial"/>
          <w:color w:val="000000" w:themeColor="text1"/>
          <w:sz w:val="22"/>
          <w:szCs w:val="22"/>
          <w:lang w:bidi="en-US"/>
        </w:rPr>
        <w:t xml:space="preserve"> что </w:t>
      </w:r>
      <w:r w:rsidRPr="00DA76A7">
        <w:rPr>
          <w:rFonts w:ascii="Arial" w:hAnsi="Arial" w:cs="Arial"/>
          <w:color w:val="000000" w:themeColor="text1"/>
          <w:sz w:val="22"/>
          <w:szCs w:val="22"/>
          <w:shd w:val="clear" w:color="auto" w:fill="FFFFFF"/>
          <w:lang w:bidi="en-US"/>
        </w:rPr>
        <w:t>в настоящий момент ШOC подошла к переломному моменту в своем развитии. Это развитие может пойти по двум направлениям: либо ШОС превращается в очередной клуб для обсуждения лидерами региональных проблем, либо эволюционирует в сторону реальной организации с работающими структурами, деятельность которой направлена на обеспечение и укрепление международной безопасности в регионе и экономическое развитие государств-членов. Для того, чтобы Организация пошла по первому пути, принимать каких-либо экстраординарных мер нет необходимости. Для того, чтобы продвинуть ШОС по второму пути, целесообразно действовать в следующих направлениях, стремясь достигнуть конкретных результатов по каждому из них [12, 242].</w:t>
      </w:r>
    </w:p>
    <w:p w:rsidR="00A969C6" w:rsidRPr="00DA76A7" w:rsidRDefault="00A969C6" w:rsidP="00A969C6">
      <w:pPr>
        <w:suppressAutoHyphens/>
        <w:ind w:firstLine="567"/>
        <w:contextualSpacing/>
        <w:jc w:val="both"/>
        <w:rPr>
          <w:rFonts w:ascii="Arial" w:hAnsi="Arial" w:cs="Arial"/>
          <w:color w:val="000000" w:themeColor="text1"/>
          <w:sz w:val="22"/>
          <w:szCs w:val="22"/>
          <w:lang w:bidi="en-US"/>
        </w:rPr>
      </w:pPr>
      <w:r w:rsidRPr="00DA76A7">
        <w:rPr>
          <w:rFonts w:ascii="Arial" w:hAnsi="Arial" w:cs="Arial"/>
          <w:color w:val="000000" w:themeColor="text1"/>
          <w:sz w:val="22"/>
          <w:szCs w:val="22"/>
          <w:lang w:bidi="en-US"/>
        </w:rPr>
        <w:t>В настоящее время в ШОС значительно усиливается антитеррористическая составляющая. На повестке дня стоит задача разработки Конвенции ШОС по борьбе с экстремизмом. Вместе с тем следует признать, что Организация ещё не овладела всеми интеграционными механизмами обеспечения международной безопасности государств-участников. Очевидно, что существующие в её рамках форматы взаимоотношений пока не могут в полной мере гарантировать достаточного противодействия растущим вызовам и угрозам. Формирование эффективной системы международной безопасности сталкивается с проблемой отсутствия реального механизма для адекватного, юридически оправданного реагирования на эти вызовы.</w:t>
      </w:r>
    </w:p>
    <w:p w:rsidR="00C76687" w:rsidRDefault="00C76687">
      <w:pPr>
        <w:widowControl/>
        <w:autoSpaceDE/>
        <w:autoSpaceDN/>
        <w:adjustRightInd/>
        <w:spacing w:after="200" w:line="276" w:lineRule="auto"/>
        <w:rPr>
          <w:rFonts w:ascii="Arial" w:eastAsia="Calibri" w:hAnsi="Arial" w:cs="Arial"/>
          <w:color w:val="000000" w:themeColor="text1"/>
          <w:sz w:val="22"/>
          <w:szCs w:val="22"/>
          <w:lang w:bidi="en-US"/>
        </w:rPr>
      </w:pPr>
      <w:r>
        <w:rPr>
          <w:rFonts w:ascii="Arial" w:eastAsia="Calibri" w:hAnsi="Arial" w:cs="Arial"/>
          <w:color w:val="000000" w:themeColor="text1"/>
          <w:sz w:val="22"/>
          <w:szCs w:val="22"/>
          <w:lang w:bidi="en-US"/>
        </w:rPr>
        <w:br w:type="page"/>
      </w:r>
    </w:p>
    <w:p w:rsidR="00A969C6" w:rsidRPr="00DA76A7" w:rsidRDefault="00A969C6" w:rsidP="00A969C6">
      <w:pPr>
        <w:ind w:firstLine="567"/>
        <w:jc w:val="center"/>
        <w:rPr>
          <w:rFonts w:ascii="Arial" w:eastAsia="Calibri" w:hAnsi="Arial" w:cs="Arial"/>
          <w:b/>
          <w:color w:val="000000" w:themeColor="text1"/>
          <w:sz w:val="22"/>
          <w:szCs w:val="22"/>
          <w:lang w:bidi="en-US"/>
        </w:rPr>
      </w:pPr>
      <w:r w:rsidRPr="00DA76A7">
        <w:rPr>
          <w:rFonts w:ascii="Arial" w:eastAsia="Calibri" w:hAnsi="Arial" w:cs="Arial"/>
          <w:b/>
          <w:color w:val="000000" w:themeColor="text1"/>
          <w:sz w:val="22"/>
          <w:szCs w:val="22"/>
          <w:lang w:bidi="en-US"/>
        </w:rPr>
        <w:t>Список литературы:</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eastAsia="Calibri" w:hAnsi="Arial" w:cs="Arial"/>
          <w:b/>
          <w:color w:val="000000" w:themeColor="text1"/>
          <w:lang w:bidi="en-US"/>
        </w:rPr>
      </w:pPr>
      <w:r w:rsidRPr="00DA76A7">
        <w:rPr>
          <w:rFonts w:ascii="Arial" w:hAnsi="Arial" w:cs="Arial"/>
          <w:color w:val="000000" w:themeColor="text1"/>
        </w:rPr>
        <w:t>Барский К. М. Шанхайская организация сотрудничества: новое слово в мировой политике // Стратегия России в Центральной Азии и Шанхайская организация сотрудничества: сб. ст. / под ред. А. В. Лукина. М.: МГИМО – Университет. - 2012. - С. 8-22.</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Ишмеева А. С., Ковтунова С. Ю. Экономическое сотрудничество, как одно из приоритетных направлений деятельности ШОС //Инновационная наука. - 2015. - №. 6–1. – С. 13-21.</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Курпаяниди К. И., Урмонов А. А. Современные тенденции дальнейшего развития Шанхайской организации сотрудничества (ШОС) в условиях глобализации // Молодой ученый. - 2016. - №17. - С. 433-435.</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Курский С. Н. Шанхайская организация сотрудничества – путь к интеграционному сближению России со странами Азиатско-Тихоокеанского региона // Национальные интересы: приоритеты и безопасность. – 2006. - № 4 (7). – С. 51-56.</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Комиссина И. Н. Размышления после саммита ШОС: новые реалии и новые перспективы // Проблемы национальной стратегии. – 2016. - № 1 (34). – С. 67-74.</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Лузянин С. Г., Фроленков В. С. «Возвышение» ШОС: успехи и препятствия //Вестник Томского государственного университета. - 2016. - №. 404. - С. 105–110.</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Margianti E. S., Ikramov M. A., Abdullaev A. M., Kurpayanidi K. I., Ashurov M. S. Systematical analysis of the position and further development of Uzbekistan national industry in the case of economic modernization. - Monograph. Indonesia, Jakarta, Gunadarma Publisher, 2014.</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Meena Singh Roy. The Shanghai Cooperation Organisation. India seeking new role in the Eurasian regional mechanism / Meena Singh Roy // Institute for Defence Studies and Analyses: URL: http://www.idsa.in/monograph/SCOIndiaandEurasia (</w:t>
      </w:r>
      <w:r w:rsidRPr="00DA76A7">
        <w:rPr>
          <w:rFonts w:ascii="Arial" w:hAnsi="Arial" w:cs="Arial"/>
          <w:color w:val="000000" w:themeColor="text1"/>
        </w:rPr>
        <w:t>дата</w:t>
      </w:r>
      <w:r w:rsidRPr="00DA76A7">
        <w:rPr>
          <w:rFonts w:ascii="Arial" w:hAnsi="Arial" w:cs="Arial"/>
          <w:color w:val="000000" w:themeColor="text1"/>
          <w:lang w:val="en-US"/>
        </w:rPr>
        <w:t xml:space="preserve"> </w:t>
      </w:r>
      <w:r w:rsidRPr="00DA76A7">
        <w:rPr>
          <w:rFonts w:ascii="Arial" w:hAnsi="Arial" w:cs="Arial"/>
          <w:color w:val="000000" w:themeColor="text1"/>
        </w:rPr>
        <w:t>обращения</w:t>
      </w:r>
      <w:r w:rsidRPr="00DA76A7">
        <w:rPr>
          <w:rFonts w:ascii="Arial" w:hAnsi="Arial" w:cs="Arial"/>
          <w:color w:val="000000" w:themeColor="text1"/>
          <w:lang w:val="en-US"/>
        </w:rPr>
        <w:t>: 10.03.2018).</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Подберезкина О.А. Эволюция значения международных транспортных коридоров в мировой политике на примере России/МГИМО (У) МИД. М.: 2015. – С. 39-42.</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Попов Д. М. Цифровая дипломатия США // Российский институт стратегических исследований [Электронный ресурс]. - Режим доступа: http://www.riss.ru/analitika/4122-5789#.VLi4V_bWhC8 (дата обращения: 12.04.2018).</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Право международных организаций: учебник / под ред. А. Х. Абашидзе. - М.: РУДН, 2016. – 505 с.</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Рахимов К.Х. Роль региональных объединений в обеспечении безопасности в Центральной Азии //Внешняя политика России на пространстве СНГ: материалы Межвузовской научной конференции. РУДН; /под ред. к.и.н., доц. К. П. Курылева. М.: 2016.- С. 220-242.</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Рахимов К.Х. Шанхайская Организация и Сотрудничество (ШОС) как международная межправительственная организация // Евразийский юридический журнал №1 (116) М.: 2018. - С.46-51.</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Филатова Ю. М. Роль Шанхайской организации сотрудничества в современных международных экономических отношениях // Проблемы современной науки и образования. - 2015. - №. 2 (32). – С. 44-49.</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This month’s special: ISIL and Central Asia: Potential risks and responses // The PULS of Central Asia URL: http://pulsofcentralasia.wordpress.com/2014/10/30/this-months-special-isil-and-central-asia-potential-risksand-responses/#_ednref5 (</w:t>
      </w:r>
      <w:r w:rsidRPr="00DA76A7">
        <w:rPr>
          <w:rFonts w:ascii="Arial" w:hAnsi="Arial" w:cs="Arial"/>
          <w:color w:val="000000" w:themeColor="text1"/>
        </w:rPr>
        <w:t>дата</w:t>
      </w:r>
      <w:r w:rsidRPr="00DA76A7">
        <w:rPr>
          <w:rFonts w:ascii="Arial" w:hAnsi="Arial" w:cs="Arial"/>
          <w:color w:val="000000" w:themeColor="text1"/>
          <w:lang w:val="en-US"/>
        </w:rPr>
        <w:t xml:space="preserve"> </w:t>
      </w:r>
      <w:r w:rsidRPr="00DA76A7">
        <w:rPr>
          <w:rFonts w:ascii="Arial" w:hAnsi="Arial" w:cs="Arial"/>
          <w:color w:val="000000" w:themeColor="text1"/>
        </w:rPr>
        <w:t>обращения</w:t>
      </w:r>
      <w:r w:rsidRPr="00DA76A7">
        <w:rPr>
          <w:rFonts w:ascii="Arial" w:hAnsi="Arial" w:cs="Arial"/>
          <w:color w:val="000000" w:themeColor="text1"/>
          <w:lang w:val="en-US"/>
        </w:rPr>
        <w:t>: 10.03.2018).</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 Киргизии задержана группа террористов из Сирии // Новости@</w:t>
      </w:r>
      <w:r w:rsidRPr="00DA76A7">
        <w:rPr>
          <w:rFonts w:ascii="Arial" w:hAnsi="Arial" w:cs="Arial"/>
          <w:color w:val="000000" w:themeColor="text1"/>
          <w:lang w:val="en-US"/>
        </w:rPr>
        <w:t>mail</w:t>
      </w:r>
      <w:r w:rsidRPr="00DA76A7">
        <w:rPr>
          <w:rFonts w:ascii="Arial" w:hAnsi="Arial" w:cs="Arial"/>
          <w:color w:val="000000" w:themeColor="text1"/>
        </w:rPr>
        <w:t>.</w:t>
      </w:r>
      <w:r w:rsidRPr="00DA76A7">
        <w:rPr>
          <w:rFonts w:ascii="Arial" w:hAnsi="Arial" w:cs="Arial"/>
          <w:color w:val="000000" w:themeColor="text1"/>
          <w:lang w:val="en-US"/>
        </w:rPr>
        <w:t>ru</w:t>
      </w:r>
      <w:r w:rsidRPr="00DA76A7">
        <w:rPr>
          <w:rFonts w:ascii="Arial" w:hAnsi="Arial" w:cs="Arial"/>
          <w:color w:val="000000" w:themeColor="text1"/>
        </w:rPr>
        <w:t xml:space="preserve">: [Электронный ресурс]. - Режим доступа: </w:t>
      </w:r>
      <w:r w:rsidRPr="00DA76A7">
        <w:rPr>
          <w:rFonts w:ascii="Arial" w:hAnsi="Arial" w:cs="Arial"/>
          <w:color w:val="000000" w:themeColor="text1"/>
          <w:lang w:val="en-US"/>
        </w:rPr>
        <w:t>http</w:t>
      </w:r>
      <w:r w:rsidRPr="00DA76A7">
        <w:rPr>
          <w:rFonts w:ascii="Arial" w:hAnsi="Arial" w:cs="Arial"/>
          <w:color w:val="000000" w:themeColor="text1"/>
        </w:rPr>
        <w:t>://</w:t>
      </w:r>
      <w:r w:rsidRPr="00DA76A7">
        <w:rPr>
          <w:rFonts w:ascii="Arial" w:hAnsi="Arial" w:cs="Arial"/>
          <w:color w:val="000000" w:themeColor="text1"/>
          <w:lang w:val="en-US"/>
        </w:rPr>
        <w:t>news</w:t>
      </w:r>
      <w:r w:rsidRPr="00DA76A7">
        <w:rPr>
          <w:rFonts w:ascii="Arial" w:hAnsi="Arial" w:cs="Arial"/>
          <w:color w:val="000000" w:themeColor="text1"/>
        </w:rPr>
        <w:t>.</w:t>
      </w:r>
      <w:r w:rsidRPr="00DA76A7">
        <w:rPr>
          <w:rFonts w:ascii="Arial" w:hAnsi="Arial" w:cs="Arial"/>
          <w:color w:val="000000" w:themeColor="text1"/>
          <w:lang w:val="en-US"/>
        </w:rPr>
        <w:t>mail</w:t>
      </w:r>
      <w:r w:rsidRPr="00DA76A7">
        <w:rPr>
          <w:rFonts w:ascii="Arial" w:hAnsi="Arial" w:cs="Arial"/>
          <w:color w:val="000000" w:themeColor="text1"/>
        </w:rPr>
        <w:t>.</w:t>
      </w:r>
      <w:r w:rsidRPr="00DA76A7">
        <w:rPr>
          <w:rFonts w:ascii="Arial" w:hAnsi="Arial" w:cs="Arial"/>
          <w:color w:val="000000" w:themeColor="text1"/>
          <w:lang w:val="en-US"/>
        </w:rPr>
        <w:t>ru</w:t>
      </w:r>
      <w:r w:rsidRPr="00DA76A7">
        <w:rPr>
          <w:rFonts w:ascii="Arial" w:hAnsi="Arial" w:cs="Arial"/>
          <w:color w:val="000000" w:themeColor="text1"/>
        </w:rPr>
        <w:t>/</w:t>
      </w:r>
      <w:r w:rsidRPr="00DA76A7">
        <w:rPr>
          <w:rFonts w:ascii="Arial" w:hAnsi="Arial" w:cs="Arial"/>
          <w:color w:val="000000" w:themeColor="text1"/>
          <w:lang w:val="en-US"/>
        </w:rPr>
        <w:t>incident</w:t>
      </w:r>
      <w:r w:rsidRPr="00DA76A7">
        <w:rPr>
          <w:rFonts w:ascii="Arial" w:hAnsi="Arial" w:cs="Arial"/>
          <w:color w:val="000000" w:themeColor="text1"/>
        </w:rPr>
        <w:t>/14781303/ (дата обращения: 15.02.2018)</w:t>
      </w:r>
    </w:p>
    <w:p w:rsidR="00A969C6" w:rsidRPr="00DA76A7" w:rsidRDefault="00A969C6" w:rsidP="00D45D6B">
      <w:pPr>
        <w:pStyle w:val="a6"/>
        <w:numPr>
          <w:ilvl w:val="0"/>
          <w:numId w:val="3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Под эгидой ШОС появится аппарат национальных военных советников // ИнфоШОС [Электронный ресурс]. - Режим доступа: URL: http://www.infoshos.ru/ru/?idn=14299 (дата обращения 20.03.2018).</w:t>
      </w:r>
    </w:p>
    <w:p w:rsidR="00A969C6" w:rsidRDefault="00A969C6" w:rsidP="00A969C6">
      <w:pPr>
        <w:pStyle w:val="a6"/>
        <w:tabs>
          <w:tab w:val="left" w:pos="993"/>
        </w:tabs>
        <w:spacing w:after="0" w:line="240" w:lineRule="auto"/>
        <w:ind w:left="0" w:firstLine="567"/>
        <w:jc w:val="both"/>
        <w:rPr>
          <w:rFonts w:ascii="Arial" w:hAnsi="Arial" w:cs="Arial"/>
          <w:color w:val="000000" w:themeColor="text1"/>
        </w:rPr>
      </w:pPr>
    </w:p>
    <w:p w:rsidR="00C76687" w:rsidRPr="00DA76A7" w:rsidRDefault="00C76687" w:rsidP="00A969C6">
      <w:pPr>
        <w:pStyle w:val="a6"/>
        <w:tabs>
          <w:tab w:val="left" w:pos="993"/>
        </w:tabs>
        <w:spacing w:after="0" w:line="240" w:lineRule="auto"/>
        <w:ind w:left="0" w:firstLine="567"/>
        <w:jc w:val="both"/>
        <w:rPr>
          <w:rFonts w:ascii="Arial" w:hAnsi="Arial" w:cs="Arial"/>
          <w:color w:val="000000" w:themeColor="text1"/>
        </w:rPr>
      </w:pPr>
    </w:p>
    <w:p w:rsidR="00A969C6" w:rsidRPr="00DA76A7" w:rsidRDefault="00A969C6" w:rsidP="00A969C6">
      <w:pPr>
        <w:ind w:firstLine="567"/>
        <w:jc w:val="center"/>
        <w:rPr>
          <w:rFonts w:ascii="Arial" w:hAnsi="Arial" w:cs="Arial"/>
          <w:b/>
          <w:color w:val="000000" w:themeColor="text1"/>
          <w:sz w:val="22"/>
          <w:szCs w:val="22"/>
          <w:shd w:val="clear" w:color="auto" w:fill="FFFFFF"/>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МЕЖДУНАРОДНО-ПРАВОВЫЕ ОСНОВЫ  ФОРМИРОВАНИЯ ВНУТРЕННЕГО РЫНКА ЕВРОПЕЙСКОГО СОЮЗА </w:t>
      </w:r>
    </w:p>
    <w:p w:rsidR="00A969C6" w:rsidRPr="00DA76A7" w:rsidRDefault="00A969C6" w:rsidP="00A969C6">
      <w:pPr>
        <w:jc w:val="center"/>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Ризоев Исмоил Иброхимович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A969C6" w:rsidRPr="00AC7230"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98-890-80-50, </w:t>
      </w:r>
      <w:r w:rsidRPr="00DA76A7">
        <w:rPr>
          <w:rFonts w:ascii="Arial" w:hAnsi="Arial" w:cs="Arial"/>
          <w:color w:val="000000" w:themeColor="text1"/>
          <w:sz w:val="22"/>
          <w:szCs w:val="22"/>
          <w:lang w:val="en-US"/>
        </w:rPr>
        <w:t>e</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ismoil</w:t>
      </w:r>
      <w:r w:rsidRPr="00AC7230">
        <w:rPr>
          <w:rFonts w:ascii="Arial" w:hAnsi="Arial" w:cs="Arial"/>
          <w:color w:val="000000" w:themeColor="text1"/>
          <w:sz w:val="22"/>
          <w:szCs w:val="22"/>
        </w:rPr>
        <w:t>_0007@</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INTERNATIONAL LEGAL BASIS FOR THE FORMATION OF THE EU INTERNAL MARKET</w:t>
      </w:r>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Rizoev Ismoil Ibrohimovich</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master of 2 nd year of full-time department of the faculty of law</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98-890-80-50, e-mail: ismoil_0007@mail.ru</w:t>
      </w:r>
    </w:p>
    <w:p w:rsidR="00A969C6" w:rsidRPr="00DA76A7" w:rsidRDefault="00A969C6" w:rsidP="00A969C6">
      <w:pPr>
        <w:ind w:firstLine="567"/>
        <w:jc w:val="right"/>
        <w:rPr>
          <w:rFonts w:ascii="Arial" w:hAnsi="Arial" w:cs="Arial"/>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Идиев Ф.Ф.</w:t>
      </w:r>
    </w:p>
    <w:p w:rsidR="00A969C6" w:rsidRPr="00DA76A7" w:rsidRDefault="00A969C6" w:rsidP="00A969C6">
      <w:pPr>
        <w:pStyle w:val="a9"/>
        <w:ind w:firstLine="567"/>
        <w:rPr>
          <w:rFonts w:ascii="Arial" w:hAnsi="Arial" w:cs="Arial"/>
          <w:b/>
          <w:bCs/>
          <w:i/>
          <w:iCs/>
          <w:color w:val="000000" w:themeColor="text1"/>
          <w:lang w:val="ru-RU"/>
        </w:rPr>
      </w:pP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рассматриваются вопросы международно-правовых основ формирования внутреннего рынка ЕС. Автор уделяет внимание первичным и вторичным нормам, регулирующим отношения, возникающие во внутреннем рынке ЕС. В частности, анализируются содержание международных договоров, выясняет их роль и степень важности в формирование внутреннего рынка. На основе проведенного анализа составляется периодизация развития внутреннего рынка ЕС.</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article examines the issues of international legal foundations for the formation of the EU internal market. The author pays attention to primary and secondary norms regulating relations arising in the internal market of the EU. In particular, the content of international treaties is analyzed, their role and degree of importance in the formation of the internal market is clarified. Based on the analysis carried out, the periodization of the development of the EU internal market is made.</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ЕС; Европейское право; внутренний рынок ЕС; договоры ЕС; свобода передвижения товаров; свобода передвижения лиц; свобода передвижения услуг; свобода передвижения капитала. </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EU; European law; the internal market of the EU; EU treaties; freedom of movement of goods; freedom of movement of persons; freedom of movement of services; freedom of movement of capital.</w:t>
      </w:r>
    </w:p>
    <w:p w:rsidR="00A969C6" w:rsidRPr="00DA76A7" w:rsidRDefault="00A969C6" w:rsidP="00A969C6">
      <w:pPr>
        <w:pStyle w:val="a6"/>
        <w:spacing w:after="0" w:line="240" w:lineRule="auto"/>
        <w:ind w:left="0" w:firstLine="567"/>
        <w:jc w:val="both"/>
        <w:rPr>
          <w:rFonts w:ascii="Arial" w:hAnsi="Arial" w:cs="Arial"/>
          <w:color w:val="000000" w:themeColor="text1"/>
          <w:lang w:val="en-US"/>
        </w:rPr>
      </w:pP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Интеграционные процессы и процессы глобализации, происходящие в мировой экономике, которые активно развернулись во второй половине XX в., потребовали создания, и установления международно-правовых правил, регулирующих сферу экономических взаимоотношений и облегчающих тем самым налаживание взаимовыгодных экономических связей между государствами. Прогрессирующее взаимозависимое положение и взаимопроникновение национальных экономик потребовали обеспечения свободы торговли и равноправия всех участников мирового рынка с тем, чтобы исключить дискриминацию между ними и устранить протекционистские действия государств. Еще более важным является процесс создания глобальных организаций в сфере торговли, призванных обеспечить разработку, принятие и соблюдение вышеуказанных международных правил, а также служить арбитром при рассмотрении разногласий и споров, возникающих между субъектами международного общения[13, 82].</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 мире на сегодняшний момент насчитывается огромное количество различного рода региональных соглашений, нацеленных на разные уровни экономической и политической интеграции: от обычного экономического сотрудничества или создания зоны свободной торговли до экономического и валютного союза. Одним из наиболее крупных современных экономически и индустриально развитых интеграционных объединений является Европейский Союз</w:t>
      </w:r>
      <w:r w:rsidR="008E7108">
        <w:rPr>
          <w:rFonts w:ascii="Arial" w:hAnsi="Arial" w:cs="Arial"/>
          <w:color w:val="000000" w:themeColor="text1"/>
        </w:rPr>
        <w:t xml:space="preserve"> </w:t>
      </w:r>
      <w:r w:rsidRPr="00DA76A7">
        <w:rPr>
          <w:rFonts w:ascii="Arial" w:hAnsi="Arial" w:cs="Arial"/>
          <w:color w:val="000000" w:themeColor="text1"/>
        </w:rPr>
        <w:t>[8, 4].</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Европейский союз начал развиваться в 1950-е гг. (с заключением Европейского Экономического Союза). В тот период европейские страны прибегали к протекционизму с целью восстановить разрушенное войной народное хозяйство и находились под сильным влиянием США как с точки зрения зависимости от получения материальных и финансовых ресурсов («план Маршалла»), так и с позиции основных теоретических идей, которыми следовало руководствоваться для стимулирования эффективного экономического развития</w:t>
      </w:r>
      <w:r w:rsidRPr="00DA76A7">
        <w:rPr>
          <w:rStyle w:val="af3"/>
          <w:rFonts w:ascii="Arial" w:hAnsi="Arial" w:cs="Arial"/>
          <w:color w:val="000000" w:themeColor="text1"/>
        </w:rPr>
        <w:footnoteReference w:id="3"/>
      </w:r>
      <w:r w:rsidRPr="00DA76A7">
        <w:rPr>
          <w:rFonts w:ascii="Arial" w:hAnsi="Arial" w:cs="Arial"/>
          <w:color w:val="000000" w:themeColor="text1"/>
        </w:rPr>
        <w:t>.</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этих целях, 18 апреля 1951 года был подписан Договор об учреждении европейского объединения угля и стали, которого с уверенностью можно считать первым документом, содержащим нормы, регламентирующие вопросы внутреннего рынка, на тот момент называемым «общим рынком». Этот первый договор установил успешный общий контроль над углем и рынком стали среди шести стран-основателей (Бельгия, Франция, Западная Германия, Италия, Люксембург и Нидерланды) и запретил таможенные пошлины и количественные ограничения на эти товары[11, 176].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частности, в ст. 2 данного договора предусматривается, что Европейское объединение угля и стали в полном соответствии с экономическими системами государств-членов имеет своей целью способствование экономическому развитию, росту занятости и повышению жизненного уровня в государствах-членах путем учреждения общего рынка.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Более того, согласно этому договору были убраны все дискриминационные меры, пособия или субсидии, которые были предоставлены этими государствами-членами для их внутреннего производства угля и стали.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Данным Договором (ст. 4) предусматривается, что признаются несовместимыми с общим рынком угля и стали и соответственно подлежат отмене и запрещению в рамках Объединения следующие действия: a) импортные и экспортные пошлины или сборы, имеющие эквивалентный эффект, а также количественные ограничения на движение товаров; b) меры и практика, дискриминационные по отношению к производителям, покупателям и потребителям, особенно в ценах, сроках поставки, тарифах и условиях транспортировки, а также меры и практика, являющиеся вмешательством в свободный выбор поставщика покупателем; c) субсидии или помощь, предоставляемые государствами, как и особые сборы, налагаемые государствами в какой бы то ни было форме; d) ограничительная практика, ведущая к разделу или эксплуатации рынка[1].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Предусматривая такие нормы, Договор 1951 года заложил фундамент для формирования внутреннего рынка ЕС, тогда еще называемым общим рынком.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1957 году те же государства-члены решили углубить свои экономические интеграции путем создания «общего рынка» в условиях и в порядке, установленном Договором об учреждении Европейского Экономического Сообщества (ЕЭС).</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Было предусмотрено, что общий рынок должен быть реализован поэтапно в течение переходного периода в двенадцать лет (продолжается до 31 декабря 1969 года).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Чтобы установить свободное перемещение продуктов, ст. 3 Договора ЕЭС предусматривал в первую очередь, создание таможенного союза в отношении перемещение товаров с полной отменой таможенных тарифов между государствами-членами, устранение количественных ограничений на импорт и экспорт товаров, а также принятие общих таможенных тарифов в отношении третьих стран [2].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Общий рынок оказался далеко за пределами зоны свободной торговли (т. е. зоны, в которой группа государств отменяет между собой тарифы и количественные ограничения на межгосударственную торговлю, но имеют различную внешнюю политику) или потребительский союз (т. е. область, объединяющая зону свободной торговли с общей таможенной политикой в отношении внешнего мира). Внутренний рынок должен был стать не только экономическим «блоком» в отношении третьих стран, но и без внутренних границ, позволяющих свободное перемещение товаров, лиц, услуг и капитала, устраняя националистический «протекционизм» среди членов. Материальной целью внутреннего рынка было и остается устранение всех препятствий для внутрисоюзной торговли, с тем, чтобы объединить национальные рынки в единый рынок, создающий условия как можно ближе к условиям подлинного внутреннего рынка [9, 118].</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полную реализацию таможенного союза в 1968 году, прогресс был намного медленнее, чем ожидалось. Промедления наблюдались в отношении устранения барьеров и тарифных ограничений на свободное перемещение товаров между государствами-членами. Присутствие таких препятствий и ограничений часто возникало из-за сохранения в правовых системах государств-членов различных технических стандартов (касающиеся, например, требований безопасности продуктов или упаковки того же продукта), дифференцированных правил, касающихся транспортному сектору, непрозрачным процедурам государственных закупок, административные и бюрократические препятствия, разрозненные налоговые процедуры. Ситуация не была лучше в отношении свободного передвижения людей, услуг и капитала, в отношении которых имелись также препятствия, ограничения и национальное сопротивление [8, 22].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Поэтому в восьмидесятые годы двадцатого века Европейская комиссия (во главе с ее президентом Жаком Делором) начала несколько исследований и инициатив, направленных на исследование причин и негативных экономических последствий замедления процесса создания Общего рынка.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июне 1985 года по случаю Миланского европейского совета была представлена Европейской комиссией «Белая публикация» о завершении внутреннего рынка к 1992 году, в которой содержится иллюстрация сотен мер (в «Белой книге» изложено расписание для принятия около 300 мер, которые считаются необходимыми для устранения физических барьеров (например, таможенных постов на границах и соответствующих формальностей), технических барьеров (т.е. различных нормативных стандартов продукта в государствах-членах) и фискальных барьеров (т.е. различий в косвенном налогообложении, таких как акцизы [5, 11].</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Достижение целей Белой книги 1985 года было облегчено на политическом уровне путем принятия Единого европейского акта 1986 года («ЕЕА»), в соответствии с которым для продвижения создания Общего рынка (в части под названием «Внутренний рынок»), был представлен Совету система голосования квалифицированного большинства для принятия решений на внутреннем рынке. С тех пор этот новый метод голосования (благодаря которому одно государство-член больше не может блокировать принятие решений на внутреннем рынке) способствовал принятию мер по гармонизации национального законодательства и устранению административных и нормативных препятствий для торговли между государствами-членами.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ЕЕА 1986 года предусмотрел для внутреннего рынка нынешнее определение, в котором четко указано, что «Внутренний рынок является областью без внутренних границ со свободным перемещением товаров, лиц, услуг и капитала» [3].</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Благодаря Единому Европейскому Акту 1986 года,  Европейское экономическое сообщество приняло к 31 декабря 1992 года почти триста мер регулирования, чтобы облегчить завершение открытия национальных рынков с учетом полного создания внутреннего рынка, следуя двум основным способам вмешательства: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 введение нескольких общих европейских стандартов, заменяющих различные (тогда двенадцать) существующие национальные правила (так называемый «приближение законов» или «гармонизация»);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 применение «принципа взаимного признания» в каждом государстве-члене законов и нормативных актов, действующих в других государствах-членах, с тем чтобы стандарты продукта не обязательно должны были согласовываться до того, как продукты могли быть проданы на территории государств-членов (то есть, если продукт законно изготовлен и продан в одном государстве-члене, нет причин, по которым он не должен свободно продаваться во всем Сообществе).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состоянию на 1 января 1993 года было ощутимо меньше торговых барьеров в отношении движения товаров.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Экономический кризис конца первого десятилетия XXI века также привел европейские институты к повторной проверке эффективности функционирования внутреннего рынка в связи с новыми закрывающимися националистическими попытками рынков государств-членов и секторами экономики, где принципы внутреннего рынка, похоже, не были полностью выполнены, что привело к набору ряда инициатив по его дальнейшему развитию.</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 Лиссабонского договора 13 декабря 2007 года [4], который переименовал Договор об учреждении Европейского Экономического Сообщества 1957 года на Договор о функционировании Европейского Союза, правовые основы создания внутреннего рынка можно найти в статьях 26 и 27 Договора о функционировании Европейского союза.</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Например, статья 26 данного договора предусматривает, что Союз принимает меры по созданию или обеспечению функционирования внутреннего рынка в соответствии с соответствующими положениями Договоров. В части 2 данной статьи говорится, что внутренний рынок охватывает пространство без внутренних границ, в котором согласно положениям Договоров обеспечивается свободное передвижение товаров, лиц, услуг и капиталов. В части третей предусматривается, что  Совет по предложению Комиссии определяет ориентиры и условия, необходимые для обеспечения сбалансированного прогресса во всех заинтересованных секторах [2].</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Все вышеупомянутые исторические шаги по созданию внутреннего рынка подтверждают, что создание подлинного интегрированного рынка - это не конечная задача, а скорее непрерывный процесс, требующий постоянных усилий, бдительности и обновления, поскольку бесконечные технологические разработки и неизменные политические установки в государствах-членах (всегда в ловушке между протекционистским отношением и эффективным европейским духом) приводит к новым барьерам, в результате которого функции единого рынка постоянно меняются.</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Многие препятствия на пути к «идеальному» (подлинно внутреннему) внутреннему рынку были устранены, но ежедневно появляются новые проблемы и их необходимо решать в повседневном процессе с участием государств-членов и европейских институтов, государственных учреждений и частных лиц и предприятий.</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Что касается вторичных норм, которые являются правовыми основами формирования внутреннего рынка ЕС, то необходимо отметить, что они тоже играют большую роль в регламентировании отношений субъектов во внутреннем рынке. Более того, наряду с учредительными документами – первичными актами, они составляют право внутреннего рынка ЕС.</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Основным методом права в данном случае, является метод гармонизации, который заключается в сближении норм права ЕС с нормами национального законодательств государств-участников. В качестве правового инструмента гармонизации выступает директива. Директива –это вид нормативно-правового акта, который не имеет прямого применения со стороны государств-членов, но требует имплементацию норм договоров в правовую систему и во внутреннее законодательства стран-участниц ЕС. Имплементация со стороны государств-участников может осуществляться путем принятия закона или подзаконного акта [6, 45].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Каждая директива имеет определенный срок имплементации, который прямо устанавливается в самой директиве. В случае, не соблюдения данного срока и его просрочки к государству-члену могут быть применены санкции. </w:t>
      </w:r>
      <w:r w:rsidRPr="00DA76A7">
        <w:rPr>
          <w:rFonts w:ascii="Arial" w:hAnsi="Arial" w:cs="Arial"/>
          <w:color w:val="000000" w:themeColor="text1"/>
          <w:sz w:val="22"/>
          <w:szCs w:val="22"/>
        </w:rPr>
        <w:t>Существует только один вариант, при котором правовые нормы директивы действуют без имплементации: при нарушении срока имплементации правовые нормы директивы наделяются прямым действием, если они создают права для частных субъектов (граждан, юридических лиц) и корреспондирующие им обязанности государственных органов и публичных институтов [10, 38].</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 проведения имплементации директивы, государство-член ЕС направляет текст правового акта, гармонизирующего правовые системы, в Европейскую Комиссию. Европейская Комиссия, как главный исполнительный орган ЕС строго следит за процессом гармонизации права внутреннего рынка ЕС и национального права государств-членов. Это связано с наличием частного интереса граждан и юридических лиц в наличии единообразных правил, касающихся свободы передвижения лиц, товаров, услуг и капиталов на территории ЕС [12].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внутренний рынок Европейского Союза не возник на пустом месте, а является результатом долгой и кропотливой законодательной и организаторской работы государств-членов.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Правовыми основами формирования внутреннего рынка являются не только акты первичного права ЕС, но в этом интеграционном процессе свою заметную роль играют и акты вторичного права.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Формирование основ внутреннего рынка преодолело несколько этапов развития:</w:t>
      </w:r>
    </w:p>
    <w:p w:rsidR="00A969C6" w:rsidRPr="00DA76A7" w:rsidRDefault="00A969C6" w:rsidP="00D45D6B">
      <w:pPr>
        <w:pStyle w:val="a6"/>
        <w:numPr>
          <w:ilvl w:val="0"/>
          <w:numId w:val="4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На первом этапе, с принятием Договор об учреждении европейского объединения угля и стали в 1951 году появлялись предпосылки создания внутреннего рынка. В частности, в данном договоре уже речь шла о создании «общего рынка» и о запрете импортных и экспортных пошлин или сборов, имеющих эквивалентный эффект, а также о количественных ограничениях на движение товаров между государствами-участниками данного договора.</w:t>
      </w:r>
    </w:p>
    <w:p w:rsidR="00A969C6" w:rsidRPr="00DA76A7" w:rsidRDefault="00A969C6" w:rsidP="00D45D6B">
      <w:pPr>
        <w:pStyle w:val="a6"/>
        <w:numPr>
          <w:ilvl w:val="0"/>
          <w:numId w:val="4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Второй этап связан с заключением Договора о создании Европейского Экономического Сообщества в 1957 году. Тогда было предусмотрено, что общий рынок должен быть реализован поэтапно в течение переходного периода в двенадцать лет (продолжается 31 декабря 1969 года).</w:t>
      </w:r>
    </w:p>
    <w:p w:rsidR="00A969C6" w:rsidRPr="00DA76A7" w:rsidRDefault="00A969C6" w:rsidP="00D45D6B">
      <w:pPr>
        <w:pStyle w:val="a6"/>
        <w:numPr>
          <w:ilvl w:val="0"/>
          <w:numId w:val="4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Третий этап связан с принятием Единого европейского акта 1986 года («ЕЕА»), в котором впервые было использовано словосочетание «внутренний рынок» и было дано определение этому феномену.</w:t>
      </w:r>
    </w:p>
    <w:p w:rsidR="00A969C6" w:rsidRPr="00DA76A7" w:rsidRDefault="00A969C6" w:rsidP="00D45D6B">
      <w:pPr>
        <w:pStyle w:val="a6"/>
        <w:numPr>
          <w:ilvl w:val="0"/>
          <w:numId w:val="4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Четвертый этап связан с принятием Лиссабонского договора 13 декабря 2007 года, который переименовал Договор об учреждении Европейского Экономического Сообщества 1957 года на Договор о функционировании Европейского Союза. В дальнейшем нормы, регулирующие внутренний рынок ЕС были установлены и развиты в рамках данного договора.</w:t>
      </w:r>
    </w:p>
    <w:p w:rsidR="00A969C6" w:rsidRPr="00DA76A7" w:rsidRDefault="00A969C6" w:rsidP="00A969C6">
      <w:pPr>
        <w:jc w:val="both"/>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7"/>
        <w:numPr>
          <w:ilvl w:val="0"/>
          <w:numId w:val="42"/>
        </w:numPr>
        <w:tabs>
          <w:tab w:val="left" w:pos="851"/>
        </w:tabs>
        <w:spacing w:before="0" w:beforeAutospacing="0" w:after="0" w:afterAutospacing="0"/>
        <w:ind w:left="0" w:firstLine="567"/>
        <w:jc w:val="both"/>
        <w:rPr>
          <w:rStyle w:val="ab"/>
          <w:rFonts w:ascii="Arial" w:hAnsi="Arial" w:cs="Arial"/>
          <w:b w:val="0"/>
          <w:bCs w:val="0"/>
          <w:color w:val="000000" w:themeColor="text1"/>
          <w:sz w:val="22"/>
          <w:szCs w:val="22"/>
        </w:rPr>
      </w:pPr>
      <w:r w:rsidRPr="00DA76A7">
        <w:rPr>
          <w:rFonts w:ascii="Arial" w:hAnsi="Arial" w:cs="Arial"/>
          <w:color w:val="000000" w:themeColor="text1"/>
          <w:sz w:val="22"/>
          <w:szCs w:val="22"/>
        </w:rPr>
        <w:t xml:space="preserve">Договор об учреждении Европейского Объединения угля и стали от 18 апреля 1951 г. </w:t>
      </w:r>
      <w:r w:rsidRPr="00DA76A7">
        <w:rPr>
          <w:rFonts w:ascii="Arial" w:hAnsi="Arial" w:cs="Arial"/>
          <w:color w:val="000000" w:themeColor="text1"/>
          <w:sz w:val="22"/>
          <w:szCs w:val="22"/>
          <w:shd w:val="clear" w:color="auto" w:fill="FFFFFF"/>
        </w:rPr>
        <w:t xml:space="preserve">[Электронный ресурс]. – Режим доступа: </w:t>
      </w:r>
      <w:hyperlink r:id="rId70" w:history="1">
        <w:r w:rsidRPr="00DA76A7">
          <w:rPr>
            <w:rStyle w:val="af0"/>
            <w:rFonts w:ascii="Arial" w:hAnsi="Arial" w:cs="Arial"/>
            <w:color w:val="000000" w:themeColor="text1"/>
            <w:sz w:val="22"/>
            <w:szCs w:val="22"/>
            <w:u w:val="none"/>
            <w:lang w:val="en-US"/>
          </w:rPr>
          <w:t>http</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law</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edu</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norm</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norm</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asp</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normID</w:t>
        </w:r>
        <w:r w:rsidRPr="00DA76A7">
          <w:rPr>
            <w:rStyle w:val="af0"/>
            <w:rFonts w:ascii="Arial" w:hAnsi="Arial" w:cs="Arial"/>
            <w:color w:val="000000" w:themeColor="text1"/>
            <w:sz w:val="22"/>
            <w:szCs w:val="22"/>
            <w:u w:val="none"/>
          </w:rPr>
          <w:t>=1375811</w:t>
        </w:r>
      </w:hyperlink>
      <w:r w:rsidRPr="00DA76A7">
        <w:rPr>
          <w:rStyle w:val="ab"/>
          <w:rFonts w:ascii="Arial" w:hAnsi="Arial" w:cs="Arial"/>
          <w:b w:val="0"/>
          <w:color w:val="000000" w:themeColor="text1"/>
          <w:sz w:val="22"/>
          <w:szCs w:val="22"/>
        </w:rPr>
        <w:t xml:space="preserve"> (дата обращения 23.12.2017 г.)</w:t>
      </w:r>
    </w:p>
    <w:p w:rsidR="00A969C6" w:rsidRPr="00DA76A7" w:rsidRDefault="00A969C6" w:rsidP="00D45D6B">
      <w:pPr>
        <w:pStyle w:val="a7"/>
        <w:numPr>
          <w:ilvl w:val="0"/>
          <w:numId w:val="42"/>
        </w:numPr>
        <w:tabs>
          <w:tab w:val="left" w:pos="851"/>
        </w:tabs>
        <w:spacing w:before="0" w:beforeAutospacing="0" w:after="0" w:afterAutospacing="0"/>
        <w:ind w:left="0"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 xml:space="preserve">Договором об учреждении Европейского Экономического Сообщества от 1957 г. </w:t>
      </w:r>
      <w:r w:rsidRPr="00DA76A7">
        <w:rPr>
          <w:rFonts w:ascii="Arial" w:hAnsi="Arial" w:cs="Arial"/>
          <w:color w:val="000000" w:themeColor="text1"/>
          <w:sz w:val="22"/>
          <w:szCs w:val="22"/>
          <w:shd w:val="clear" w:color="auto" w:fill="FFFFFF"/>
        </w:rPr>
        <w:t>[Электронный ресурс]. – Режим доступа</w:t>
      </w:r>
      <w:r w:rsidRPr="00DA76A7">
        <w:rPr>
          <w:rFonts w:ascii="Arial" w:hAnsi="Arial" w:cs="Arial"/>
          <w:color w:val="000000" w:themeColor="text1"/>
          <w:sz w:val="22"/>
          <w:szCs w:val="22"/>
        </w:rPr>
        <w:t xml:space="preserve">: </w:t>
      </w:r>
      <w:hyperlink r:id="rId71" w:history="1">
        <w:r w:rsidRPr="00DA76A7">
          <w:rPr>
            <w:rStyle w:val="af0"/>
            <w:rFonts w:ascii="Arial" w:hAnsi="Arial" w:cs="Arial"/>
            <w:color w:val="000000" w:themeColor="text1"/>
            <w:sz w:val="22"/>
            <w:szCs w:val="22"/>
            <w:u w:val="none"/>
          </w:rPr>
          <w:t>http://eulaw.ru/treaties/tfeu</w:t>
        </w:r>
      </w:hyperlink>
      <w:r w:rsidRPr="00DA76A7">
        <w:rPr>
          <w:rFonts w:ascii="Arial" w:hAnsi="Arial" w:cs="Arial"/>
          <w:color w:val="000000" w:themeColor="text1"/>
          <w:sz w:val="22"/>
          <w:szCs w:val="22"/>
        </w:rPr>
        <w:t xml:space="preserve"> (дата обращения 12.01.2018 г.)</w:t>
      </w:r>
    </w:p>
    <w:p w:rsidR="00A969C6" w:rsidRPr="00DA76A7" w:rsidRDefault="00A969C6" w:rsidP="00D45D6B">
      <w:pPr>
        <w:pStyle w:val="a7"/>
        <w:numPr>
          <w:ilvl w:val="0"/>
          <w:numId w:val="42"/>
        </w:numPr>
        <w:shd w:val="clear" w:color="auto" w:fill="FFFFFF"/>
        <w:tabs>
          <w:tab w:val="left" w:pos="851"/>
        </w:tabs>
        <w:spacing w:before="0" w:beforeAutospacing="0" w:after="0" w:afterAutospacing="0"/>
        <w:ind w:left="0" w:firstLine="567"/>
        <w:jc w:val="both"/>
        <w:rPr>
          <w:rStyle w:val="ab"/>
          <w:rFonts w:ascii="Arial" w:hAnsi="Arial" w:cs="Arial"/>
          <w:b w:val="0"/>
          <w:bCs w:val="0"/>
          <w:color w:val="000000" w:themeColor="text1"/>
          <w:sz w:val="22"/>
          <w:szCs w:val="22"/>
        </w:rPr>
      </w:pPr>
      <w:r w:rsidRPr="00DA76A7">
        <w:rPr>
          <w:rStyle w:val="ab"/>
          <w:rFonts w:ascii="Arial" w:hAnsi="Arial" w:cs="Arial"/>
          <w:b w:val="0"/>
          <w:color w:val="000000" w:themeColor="text1"/>
          <w:sz w:val="22"/>
          <w:szCs w:val="22"/>
        </w:rPr>
        <w:t xml:space="preserve">Единый Европейский Акт. </w:t>
      </w:r>
      <w:r w:rsidRPr="00DA76A7">
        <w:rPr>
          <w:rFonts w:ascii="Arial" w:hAnsi="Arial" w:cs="Arial"/>
          <w:color w:val="000000" w:themeColor="text1"/>
          <w:sz w:val="22"/>
          <w:szCs w:val="22"/>
        </w:rPr>
        <w:t>Люксембург, 17 февраля 1986 года</w:t>
      </w:r>
      <w:r w:rsidRPr="00DA76A7">
        <w:rPr>
          <w:rStyle w:val="ab"/>
          <w:rFonts w:ascii="Arial" w:hAnsi="Arial" w:cs="Arial"/>
          <w:b w:val="0"/>
          <w:color w:val="000000" w:themeColor="text1"/>
          <w:sz w:val="22"/>
          <w:szCs w:val="22"/>
        </w:rPr>
        <w:t xml:space="preserve">. </w:t>
      </w:r>
      <w:r w:rsidRPr="00DA76A7">
        <w:rPr>
          <w:rFonts w:ascii="Arial" w:hAnsi="Arial" w:cs="Arial"/>
          <w:color w:val="000000" w:themeColor="text1"/>
          <w:sz w:val="22"/>
          <w:szCs w:val="22"/>
          <w:shd w:val="clear" w:color="auto" w:fill="FFFFFF"/>
        </w:rPr>
        <w:t xml:space="preserve">[Электронный ресурс]. – Режим доступа: </w:t>
      </w:r>
      <w:hyperlink r:id="rId72" w:history="1">
        <w:r w:rsidRPr="00DA76A7">
          <w:rPr>
            <w:rStyle w:val="af0"/>
            <w:rFonts w:ascii="Arial" w:hAnsi="Arial" w:cs="Arial"/>
            <w:color w:val="000000" w:themeColor="text1"/>
            <w:sz w:val="22"/>
            <w:szCs w:val="22"/>
            <w:u w:val="none"/>
            <w:lang w:val="en-US"/>
          </w:rPr>
          <w:t>http</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law</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edu</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norm</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norm</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asp</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normID</w:t>
        </w:r>
        <w:r w:rsidRPr="00DA76A7">
          <w:rPr>
            <w:rStyle w:val="af0"/>
            <w:rFonts w:ascii="Arial" w:hAnsi="Arial" w:cs="Arial"/>
            <w:color w:val="000000" w:themeColor="text1"/>
            <w:sz w:val="22"/>
            <w:szCs w:val="22"/>
            <w:u w:val="none"/>
          </w:rPr>
          <w:t>=1375811</w:t>
        </w:r>
      </w:hyperlink>
      <w:r w:rsidRPr="00DA76A7">
        <w:rPr>
          <w:rStyle w:val="ab"/>
          <w:rFonts w:ascii="Arial" w:hAnsi="Arial" w:cs="Arial"/>
          <w:b w:val="0"/>
          <w:color w:val="000000" w:themeColor="text1"/>
          <w:sz w:val="22"/>
          <w:szCs w:val="22"/>
        </w:rPr>
        <w:t xml:space="preserve"> (дата обращения 23.12.2017 г.)</w:t>
      </w:r>
    </w:p>
    <w:p w:rsidR="00A969C6" w:rsidRPr="00DA76A7" w:rsidRDefault="00A969C6" w:rsidP="00D45D6B">
      <w:pPr>
        <w:pStyle w:val="a7"/>
        <w:numPr>
          <w:ilvl w:val="0"/>
          <w:numId w:val="42"/>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Лиссабонский договор от 13 декабря 2007. </w:t>
      </w:r>
      <w:r w:rsidRPr="00DA76A7">
        <w:rPr>
          <w:rFonts w:ascii="Arial" w:hAnsi="Arial" w:cs="Arial"/>
          <w:color w:val="000000" w:themeColor="text1"/>
          <w:sz w:val="22"/>
          <w:szCs w:val="22"/>
          <w:shd w:val="clear" w:color="auto" w:fill="FFFFFF"/>
        </w:rPr>
        <w:t xml:space="preserve">[Электронный ресурс]. – Режим доступа: </w:t>
      </w:r>
      <w:hyperlink r:id="rId73" w:history="1">
        <w:r w:rsidRPr="00DA76A7">
          <w:rPr>
            <w:rStyle w:val="af0"/>
            <w:rFonts w:ascii="Arial" w:hAnsi="Arial" w:cs="Arial"/>
            <w:color w:val="000000" w:themeColor="text1"/>
            <w:sz w:val="22"/>
            <w:szCs w:val="22"/>
            <w:u w:val="none"/>
            <w:lang w:val="en-US"/>
          </w:rPr>
          <w:t>http</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eulaw</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treaties</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lisbon</w:t>
        </w:r>
      </w:hyperlink>
      <w:r w:rsidRPr="00DA76A7">
        <w:rPr>
          <w:rFonts w:ascii="Arial" w:hAnsi="Arial" w:cs="Arial"/>
          <w:color w:val="000000" w:themeColor="text1"/>
          <w:sz w:val="22"/>
          <w:szCs w:val="22"/>
        </w:rPr>
        <w:t xml:space="preserve"> (дата обращения 01.04.2018 г.)</w:t>
      </w:r>
    </w:p>
    <w:p w:rsidR="00A969C6" w:rsidRPr="00DA76A7" w:rsidRDefault="00A969C6" w:rsidP="00D45D6B">
      <w:pPr>
        <w:pStyle w:val="a7"/>
        <w:numPr>
          <w:ilvl w:val="0"/>
          <w:numId w:val="42"/>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Борко Ю. А. Новый этап углубления и расширения европейской интеграции: социальные аспекты // Мировая экономика и междунар. отношения. - М., 2000. №9. С. 11-29.</w:t>
      </w:r>
    </w:p>
    <w:p w:rsidR="00A969C6" w:rsidRPr="00DA76A7" w:rsidRDefault="00A969C6" w:rsidP="00D45D6B">
      <w:pPr>
        <w:pStyle w:val="a7"/>
        <w:numPr>
          <w:ilvl w:val="0"/>
          <w:numId w:val="42"/>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Буторина О. В. Интеграция СНГ: применим ли опыт Европейского союза? // Свободная мысль. - 1999. - № 6. - С. 43-54</w:t>
      </w:r>
    </w:p>
    <w:p w:rsidR="00A969C6" w:rsidRPr="00DA76A7" w:rsidRDefault="00A969C6" w:rsidP="00D45D6B">
      <w:pPr>
        <w:pStyle w:val="a7"/>
        <w:numPr>
          <w:ilvl w:val="0"/>
          <w:numId w:val="42"/>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Иванов И. Расширение Евросоюза: сценарий, проблемы, последствия // Мировая экономика и междунар. отношения. - 1998. - № 9. - С. 22-33.</w:t>
      </w:r>
    </w:p>
    <w:p w:rsidR="00A969C6" w:rsidRPr="00DA76A7" w:rsidRDefault="00A969C6" w:rsidP="00D45D6B">
      <w:pPr>
        <w:pStyle w:val="a7"/>
        <w:numPr>
          <w:ilvl w:val="0"/>
          <w:numId w:val="42"/>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Иванов Алексей Сергеевич.</w:t>
      </w:r>
      <w:r w:rsidRPr="00DA76A7">
        <w:rPr>
          <w:rFonts w:ascii="Arial" w:hAnsi="Arial" w:cs="Arial"/>
          <w:color w:val="000000" w:themeColor="text1"/>
          <w:sz w:val="22"/>
          <w:szCs w:val="22"/>
          <w:shd w:val="clear" w:color="auto" w:fill="FFFFFF"/>
          <w:lang w:val="en-US"/>
        </w:rPr>
        <w:t> </w:t>
      </w:r>
      <w:r w:rsidRPr="00DA76A7">
        <w:rPr>
          <w:rStyle w:val="af6"/>
          <w:rFonts w:ascii="Arial" w:hAnsi="Arial" w:cs="Arial"/>
          <w:bCs/>
          <w:color w:val="000000" w:themeColor="text1"/>
          <w:sz w:val="22"/>
          <w:szCs w:val="22"/>
          <w:shd w:val="clear" w:color="auto" w:fill="FFFFFF"/>
        </w:rPr>
        <w:t>Правовые основы свободного перемещения товаров</w:t>
      </w:r>
      <w:r w:rsidRPr="00DA76A7">
        <w:rPr>
          <w:rFonts w:ascii="Arial" w:hAnsi="Arial" w:cs="Arial"/>
          <w:i/>
          <w:color w:val="000000" w:themeColor="text1"/>
          <w:sz w:val="22"/>
          <w:szCs w:val="22"/>
          <w:shd w:val="clear" w:color="auto" w:fill="FFFFFF"/>
        </w:rPr>
        <w:t xml:space="preserve"> в </w:t>
      </w:r>
      <w:r w:rsidRPr="00DA76A7">
        <w:rPr>
          <w:rStyle w:val="af6"/>
          <w:rFonts w:ascii="Arial" w:hAnsi="Arial" w:cs="Arial"/>
          <w:bCs/>
          <w:color w:val="000000" w:themeColor="text1"/>
          <w:sz w:val="22"/>
          <w:szCs w:val="22"/>
          <w:shd w:val="clear" w:color="auto" w:fill="FFFFFF"/>
        </w:rPr>
        <w:t>Европейском Союзе</w:t>
      </w:r>
      <w:r w:rsidRPr="00DA76A7">
        <w:rPr>
          <w:rFonts w:ascii="Arial" w:hAnsi="Arial" w:cs="Arial"/>
          <w:i/>
          <w:color w:val="000000" w:themeColor="text1"/>
          <w:sz w:val="22"/>
          <w:szCs w:val="22"/>
          <w:shd w:val="clear" w:color="auto" w:fill="FFFFFF"/>
        </w:rPr>
        <w:t xml:space="preserve">: </w:t>
      </w:r>
      <w:r w:rsidRPr="00DA76A7">
        <w:rPr>
          <w:rFonts w:ascii="Arial" w:hAnsi="Arial" w:cs="Arial"/>
          <w:color w:val="000000" w:themeColor="text1"/>
          <w:sz w:val="22"/>
          <w:szCs w:val="22"/>
          <w:shd w:val="clear" w:color="auto" w:fill="FFFFFF"/>
        </w:rPr>
        <w:t>дис. ... канд. юрид. наук. - М, 2004. - 198 c.</w:t>
      </w:r>
    </w:p>
    <w:p w:rsidR="00A969C6" w:rsidRPr="00DA76A7" w:rsidRDefault="00A969C6" w:rsidP="00D45D6B">
      <w:pPr>
        <w:pStyle w:val="a7"/>
        <w:numPr>
          <w:ilvl w:val="0"/>
          <w:numId w:val="42"/>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Капустин А. Я. Право Европейского союза: понятия и классификация норм // Вестник РУДН, сер. «Юрид. науки». -  2002. - № 2. – С.118-123</w:t>
      </w:r>
    </w:p>
    <w:p w:rsidR="00A969C6" w:rsidRPr="00DA76A7" w:rsidRDefault="00A969C6" w:rsidP="00D45D6B">
      <w:pPr>
        <w:pStyle w:val="a7"/>
        <w:numPr>
          <w:ilvl w:val="0"/>
          <w:numId w:val="42"/>
        </w:numPr>
        <w:shd w:val="clear" w:color="auto" w:fill="FFFFFF"/>
        <w:tabs>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Кашкин С. Ю., Четвериков А. О. На пути к европейской конституции: Европейский Конвент и перспективы разработки Конституционного договора (Конституции) Европейского союза // Конституционное право: восточноевропейское обозрение. - 2003. - № 1(42). - С. 38-41.</w:t>
      </w:r>
    </w:p>
    <w:p w:rsidR="00A969C6" w:rsidRPr="00DA76A7" w:rsidRDefault="00A969C6" w:rsidP="00D45D6B">
      <w:pPr>
        <w:pStyle w:val="a7"/>
        <w:numPr>
          <w:ilvl w:val="0"/>
          <w:numId w:val="42"/>
        </w:numPr>
        <w:shd w:val="clear" w:color="auto" w:fill="FFFFFF"/>
        <w:tabs>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Юмашев Ю. М. Внешнеэкономические связи ЕЭС и идея наднациональности в международном праве // Сов. государство и право. - 1981. - № 11.- С. 175-179. </w:t>
      </w:r>
    </w:p>
    <w:p w:rsidR="00A969C6" w:rsidRPr="00DA76A7" w:rsidRDefault="00A969C6" w:rsidP="00D45D6B">
      <w:pPr>
        <w:pStyle w:val="a7"/>
        <w:numPr>
          <w:ilvl w:val="0"/>
          <w:numId w:val="42"/>
        </w:numPr>
        <w:shd w:val="clear" w:color="auto" w:fill="FFFFFF"/>
        <w:tabs>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Энтин Л. М. Новое в развитии европейского права: Ниццкий договор // Доклад в рамках первого общенационального Конвента российской ассоциации международных исследований. – М., 20-21 апреля 2001 г.</w:t>
      </w:r>
    </w:p>
    <w:p w:rsidR="00A969C6" w:rsidRPr="00DA76A7" w:rsidRDefault="00A969C6" w:rsidP="00D45D6B">
      <w:pPr>
        <w:pStyle w:val="a7"/>
        <w:numPr>
          <w:ilvl w:val="0"/>
          <w:numId w:val="42"/>
        </w:numPr>
        <w:shd w:val="clear" w:color="auto" w:fill="FFFFFF"/>
        <w:tabs>
          <w:tab w:val="left" w:pos="851"/>
          <w:tab w:val="left" w:pos="993"/>
        </w:tabs>
        <w:spacing w:before="0" w:beforeAutospacing="0" w:after="0" w:afterAutospacing="0"/>
        <w:ind w:left="0" w:firstLine="567"/>
        <w:jc w:val="both"/>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 xml:space="preserve">Bernard N. Discrimination and Free Movement in EC Law // I.C.L.Q., 1996. </w:t>
      </w:r>
    </w:p>
    <w:p w:rsidR="00A969C6" w:rsidRPr="00DA76A7" w:rsidRDefault="00A969C6" w:rsidP="00A969C6">
      <w:pPr>
        <w:jc w:val="center"/>
        <w:rPr>
          <w:rFonts w:ascii="Arial" w:hAnsi="Arial" w:cs="Arial"/>
          <w:b/>
          <w:color w:val="000000" w:themeColor="text1"/>
          <w:sz w:val="22"/>
          <w:szCs w:val="22"/>
          <w:shd w:val="clear" w:color="auto" w:fill="FFFFFF"/>
          <w:lang w:val="en-US"/>
        </w:rPr>
      </w:pPr>
    </w:p>
    <w:p w:rsidR="00A969C6" w:rsidRPr="00DA76A7" w:rsidRDefault="00A969C6" w:rsidP="00A969C6">
      <w:pPr>
        <w:jc w:val="center"/>
        <w:rPr>
          <w:rFonts w:ascii="Arial" w:hAnsi="Arial" w:cs="Arial"/>
          <w:b/>
          <w:color w:val="000000" w:themeColor="text1"/>
          <w:sz w:val="22"/>
          <w:szCs w:val="22"/>
          <w:shd w:val="clear" w:color="auto" w:fill="FFFFFF"/>
          <w:lang w:val="en-US"/>
        </w:rPr>
      </w:pPr>
    </w:p>
    <w:p w:rsidR="00A969C6" w:rsidRPr="00DA76A7" w:rsidRDefault="00A969C6" w:rsidP="00A969C6">
      <w:pPr>
        <w:jc w:val="center"/>
        <w:rPr>
          <w:rFonts w:ascii="Arial" w:hAnsi="Arial" w:cs="Arial"/>
          <w:color w:val="000000" w:themeColor="text1"/>
          <w:sz w:val="22"/>
          <w:szCs w:val="22"/>
        </w:rPr>
      </w:pPr>
      <w:r w:rsidRPr="00DA76A7">
        <w:rPr>
          <w:rFonts w:ascii="Arial" w:hAnsi="Arial" w:cs="Arial"/>
          <w:b/>
          <w:color w:val="000000" w:themeColor="text1"/>
          <w:sz w:val="22"/>
          <w:szCs w:val="22"/>
          <w:shd w:val="clear" w:color="auto" w:fill="FFFFFF"/>
        </w:rPr>
        <w:t>ПОРЯДОК РЕАЛИЗАЦИИ ПРИНЦИПА СВОБОДНОГО ПЕРЕДВИЖЕНИЯ ТОВАРОВ ВО ВНУТРЕННЕМ РЫНКЕ ЕВРОПЕЙСКОГО СОЮЗА</w:t>
      </w:r>
    </w:p>
    <w:p w:rsidR="00A969C6" w:rsidRPr="00DA76A7" w:rsidRDefault="00A969C6" w:rsidP="00A969C6">
      <w:pPr>
        <w:jc w:val="center"/>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Ризоев Исмоил Иброхимович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магистрант 2-го года обучения 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A969C6" w:rsidRPr="00AC7230"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98-890-80-50, </w:t>
      </w:r>
      <w:r w:rsidRPr="00DA76A7">
        <w:rPr>
          <w:rFonts w:ascii="Arial" w:hAnsi="Arial" w:cs="Arial"/>
          <w:color w:val="000000" w:themeColor="text1"/>
          <w:sz w:val="22"/>
          <w:szCs w:val="22"/>
          <w:lang w:val="en-US"/>
        </w:rPr>
        <w:t>e</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ismoil</w:t>
      </w:r>
      <w:r w:rsidRPr="00AC7230">
        <w:rPr>
          <w:rFonts w:ascii="Arial" w:hAnsi="Arial" w:cs="Arial"/>
          <w:color w:val="000000" w:themeColor="text1"/>
          <w:sz w:val="22"/>
          <w:szCs w:val="22"/>
        </w:rPr>
        <w:t>_0007@</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A969C6" w:rsidRPr="00AC7230" w:rsidRDefault="00A969C6" w:rsidP="00A969C6">
      <w:pPr>
        <w:pStyle w:val="a6"/>
        <w:spacing w:after="0" w:line="240" w:lineRule="auto"/>
        <w:ind w:left="0"/>
        <w:jc w:val="center"/>
        <w:rPr>
          <w:rFonts w:ascii="Arial" w:hAnsi="Arial" w:cs="Arial"/>
          <w:b/>
          <w:color w:val="000000" w:themeColor="text1"/>
          <w:shd w:val="clear" w:color="auto" w:fill="FFFFFF"/>
        </w:rPr>
      </w:pPr>
    </w:p>
    <w:p w:rsidR="00A969C6" w:rsidRPr="00DA76A7" w:rsidRDefault="00A969C6" w:rsidP="00A969C6">
      <w:pPr>
        <w:pStyle w:val="a6"/>
        <w:spacing w:after="0" w:line="240" w:lineRule="auto"/>
        <w:ind w:left="0"/>
        <w:jc w:val="center"/>
        <w:rPr>
          <w:rFonts w:ascii="Arial" w:hAnsi="Arial" w:cs="Arial"/>
          <w:b/>
          <w:color w:val="000000" w:themeColor="text1"/>
          <w:shd w:val="clear" w:color="auto" w:fill="FFFFFF"/>
          <w:lang w:val="en-US"/>
        </w:rPr>
      </w:pPr>
      <w:r w:rsidRPr="00DA76A7">
        <w:rPr>
          <w:rFonts w:ascii="Arial" w:hAnsi="Arial" w:cs="Arial"/>
          <w:b/>
          <w:color w:val="000000" w:themeColor="text1"/>
          <w:shd w:val="clear" w:color="auto" w:fill="FFFFFF"/>
          <w:lang w:val="en-US"/>
        </w:rPr>
        <w:t>THE ORDER OF REALIZATION OF THE PRINCIPLE OF FREE MOVEMENT OF GOODS IN THE INTERNAL MARKET OF THE EUROPEAN UNION</w:t>
      </w:r>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Rizoev Ismoil Ibrohimovich</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master of 2 nd year of full-time department of the faculty of law</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98-890-80-50, e-mail: ismoil_0007@mail.ru</w:t>
      </w:r>
    </w:p>
    <w:p w:rsidR="00A969C6" w:rsidRPr="00DA76A7" w:rsidRDefault="00A969C6" w:rsidP="00A969C6">
      <w:pPr>
        <w:ind w:firstLine="567"/>
        <w:jc w:val="right"/>
        <w:rPr>
          <w:rFonts w:ascii="Arial" w:hAnsi="Arial" w:cs="Arial"/>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Идиев Ф.Ф.</w:t>
      </w:r>
    </w:p>
    <w:p w:rsidR="00A969C6" w:rsidRPr="00DA76A7" w:rsidRDefault="00A969C6" w:rsidP="00A969C6">
      <w:pPr>
        <w:pStyle w:val="a9"/>
        <w:ind w:firstLine="567"/>
        <w:rPr>
          <w:rFonts w:ascii="Arial" w:hAnsi="Arial" w:cs="Arial"/>
          <w:b/>
          <w:bCs/>
          <w:i/>
          <w:iCs/>
          <w:color w:val="000000" w:themeColor="text1"/>
          <w:lang w:val="ru-RU"/>
        </w:rPr>
      </w:pPr>
    </w:p>
    <w:p w:rsidR="00A969C6" w:rsidRPr="00DA76A7" w:rsidRDefault="00B46B9E" w:rsidP="00A969C6">
      <w:pPr>
        <w:pStyle w:val="a9"/>
        <w:ind w:firstLine="567"/>
        <w:rPr>
          <w:rFonts w:ascii="Arial" w:hAnsi="Arial" w:cs="Arial"/>
          <w:color w:val="000000" w:themeColor="text1"/>
          <w:lang w:val="ru-RU"/>
        </w:rPr>
      </w:pPr>
      <w:r w:rsidRPr="00DA76A7">
        <w:rPr>
          <w:rFonts w:ascii="Arial" w:hAnsi="Arial" w:cs="Arial"/>
          <w:b/>
          <w:bCs/>
          <w:i/>
          <w:iCs/>
          <w:color w:val="000000" w:themeColor="text1"/>
          <w:lang w:val="ru-RU"/>
        </w:rPr>
        <w:t>Аннотация.</w:t>
      </w:r>
      <w:r w:rsidR="00A969C6" w:rsidRPr="00DA76A7">
        <w:rPr>
          <w:rFonts w:ascii="Arial" w:hAnsi="Arial" w:cs="Arial"/>
          <w:b/>
          <w:bCs/>
          <w:i/>
          <w:iCs/>
          <w:color w:val="000000" w:themeColor="text1"/>
          <w:lang w:val="ru-RU"/>
        </w:rPr>
        <w:t xml:space="preserve"> </w:t>
      </w:r>
      <w:r w:rsidR="00A969C6" w:rsidRPr="00DA76A7">
        <w:rPr>
          <w:rFonts w:ascii="Arial" w:hAnsi="Arial" w:cs="Arial"/>
          <w:i/>
          <w:iCs/>
          <w:color w:val="000000" w:themeColor="text1"/>
          <w:lang w:val="ru-RU"/>
        </w:rPr>
        <w:t>В статье рассматриваются вопросы развития принципа свободного перемещения товаров и порядок его реализации во внутреннем рынке Европейского Союза. В рамках данной статьи рассматриваются все стороны этого феномена, в том числе понятие товара, которое не определено законодательством ЕС, но выявлено в результате изучения практики Суда Европейского Союза. Автором анализируется как законодательство Европейского Союза, регламентирующее свободу передвижения товаров, как и судебная практика, которая играет немаловажную роль в процессе реализации данного принципа.</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article deals with the development of the principle of free movement of goods and the procedure for its implementation in the internal market of the European Union. Within the framework of this article, all aspects of this phenomenon are considered, including the concept of a product that is not defined by EU legislation, but is revealed as a result of studying the practice of the Court of Justice of the European Union. The author is analyzed as the legislation of the European Union regulating the freedom of movement of goods, as well as judicial practice, which plays an important role in the implementation of this principle. </w:t>
      </w:r>
    </w:p>
    <w:p w:rsidR="00A969C6" w:rsidRPr="00DA76A7" w:rsidRDefault="00A969C6" w:rsidP="00A969C6">
      <w:pPr>
        <w:pStyle w:val="a9"/>
        <w:ind w:firstLine="567"/>
        <w:rPr>
          <w:rFonts w:ascii="Arial" w:hAnsi="Arial" w:cs="Arial"/>
          <w:i/>
          <w:iCs/>
          <w:color w:val="000000" w:themeColor="text1"/>
          <w:lang w:val="ru-RU"/>
        </w:rPr>
      </w:pPr>
      <w:r w:rsidRPr="00DA76A7">
        <w:rPr>
          <w:rFonts w:ascii="Arial" w:hAnsi="Arial" w:cs="Arial"/>
          <w:b/>
          <w:i/>
          <w:iCs/>
          <w:color w:val="000000" w:themeColor="text1"/>
          <w:lang w:val="ru-RU"/>
        </w:rPr>
        <w:t>Ключевые слова:</w:t>
      </w:r>
      <w:r w:rsidRPr="00DA76A7">
        <w:rPr>
          <w:rFonts w:ascii="Arial" w:hAnsi="Arial" w:cs="Arial"/>
          <w:i/>
          <w:iCs/>
          <w:color w:val="000000" w:themeColor="text1"/>
          <w:lang w:val="ru-RU"/>
        </w:rPr>
        <w:t xml:space="preserve"> свободное передвижение товаров; рынок ЕС; Европейский Союз; право ЕС; налоговые пошлины; сборы, имеющие эквивалентный характер.</w:t>
      </w:r>
    </w:p>
    <w:p w:rsidR="00A969C6" w:rsidRPr="00DA76A7" w:rsidRDefault="00A969C6" w:rsidP="00A969C6">
      <w:pPr>
        <w:pStyle w:val="a9"/>
        <w:ind w:firstLine="567"/>
        <w:rPr>
          <w:rFonts w:ascii="Arial" w:hAnsi="Arial" w:cs="Arial"/>
          <w:i/>
          <w:iCs/>
          <w:color w:val="000000" w:themeColor="text1"/>
        </w:rPr>
      </w:pPr>
      <w:r w:rsidRPr="00DA76A7">
        <w:rPr>
          <w:rFonts w:ascii="Arial" w:hAnsi="Arial" w:cs="Arial"/>
          <w:b/>
          <w:i/>
          <w:iCs/>
          <w:color w:val="000000" w:themeColor="text1"/>
        </w:rPr>
        <w:t>Key words:</w:t>
      </w:r>
      <w:r w:rsidRPr="00DA76A7">
        <w:rPr>
          <w:rFonts w:ascii="Arial" w:hAnsi="Arial" w:cs="Arial"/>
          <w:i/>
          <w:iCs/>
          <w:color w:val="000000" w:themeColor="text1"/>
        </w:rPr>
        <w:t xml:space="preserve"> free movement of goods; the EU market; European Union; EU law;</w:t>
      </w:r>
      <w:r w:rsidRPr="00DA76A7">
        <w:rPr>
          <w:rFonts w:ascii="Arial" w:hAnsi="Arial" w:cs="Arial"/>
          <w:color w:val="000000" w:themeColor="text1"/>
        </w:rPr>
        <w:t xml:space="preserve"> </w:t>
      </w:r>
      <w:r w:rsidRPr="00DA76A7">
        <w:rPr>
          <w:rFonts w:ascii="Arial" w:hAnsi="Arial" w:cs="Arial"/>
          <w:i/>
          <w:iCs/>
          <w:color w:val="000000" w:themeColor="text1"/>
        </w:rPr>
        <w:t>tax duties;</w:t>
      </w:r>
      <w:r w:rsidRPr="00DA76A7">
        <w:rPr>
          <w:rFonts w:ascii="Arial" w:hAnsi="Arial" w:cs="Arial"/>
          <w:color w:val="000000" w:themeColor="text1"/>
        </w:rPr>
        <w:t xml:space="preserve"> </w:t>
      </w:r>
      <w:r w:rsidRPr="00DA76A7">
        <w:rPr>
          <w:rFonts w:ascii="Arial" w:hAnsi="Arial" w:cs="Arial"/>
          <w:i/>
          <w:iCs/>
          <w:color w:val="000000" w:themeColor="text1"/>
        </w:rPr>
        <w:t>fees that have an equivalent nature.</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lang w:val="en-US"/>
        </w:rPr>
      </w:pP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Свободное перемещение товаров традиционно являлось самой важной фундаментальной свободой на внутреннем рынке. Тем не менее, во многих отношениях свободное передвижение товаров в течение длительного времени являлось своего рода моделью, которой должны были следовать другие три основных свободы.</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Нужно отметить, что Римский договор 1957 года и другие нормативные правовые акты Европейского Союза не дают определения понятию товара. Данный пробел в правовом регулировании восполняется практикой Суда ЕС. Одним из первых судебных решений, посвященных этой проблеме, было решение по делу «Комиссия против Италии» (1968 г.). Суд ЕС постановил, что «под товарами, по смыслу [статьи 23 Договора 1957 г.], следует понимать продукцию, которую можно оценить в деньгах и которая может быть предметом торговой сделки»[4].</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rPr>
        <w:t>Приведенное определение является классическим и неоднократно использовалось Судом ЕС при рассмотрении последующих дел. Тем не менее, его нельзя назвать исчерпывающим, поскольку на его основе не всегда можно провести различие между товарами и другими объектами свободного перемещения[8, 74]. Например, если говорить об услугах, то их оказание также предполагает совершение сделок коммерческого характера. И в этом смысле рассматриваемое определение не дает однозначного ответа на вопрос о том, в каких случаях объекта сделки следует считать товаром, а в каких — услугой [9, 173].</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Глядя на эту свободу диахронически, стоит отметить, что с самого начала Европейское Экономическое Сообщество (далее - ЕЭС) было создано в условиях либерализации торговли, как реакция на Вторую мировую войну и массивный протекционизм 1930-х годов в ответ на Великую депрессию. Таким образом, в 1950-х годах торговля товарами лежала в основе всех усилий по либерализации торговли, что нашло свое отражение в правовой структуре ЕЭС: ее основной элемент действительно был создан Таможенным союзом, который обеспечивал свободное перемещение товаров между государствами-членами без ограничений по тарифам, количественным ограничениям или мерам, имеющим эквивалентный эффект[10, 543].</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Однако ЕЭС было больше, чем просто таможенным союзом, поскольку оно направлено на постепенную интеграцию экономики государств-членов и, в конечном счете, на общий или единый рынок. Таким образом, запрет на налоги, дискриминирующие импорт, был в равной степени центральным элементом единого рыночного идеала. Фактически, таможенные пошлины применяются, когда товары пересекают границу; государство может, однако, дискриминировать импорт посредством дифференцированных налогов, когда товары находятся в его стране.</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По тому же пути, намерение достичь эффективной модели свободного передвижения товаров предписывало введение определенных положений, которые могли бы помешать государствам-членам устанавливать квоты на количество товаров, которые могли быть импортированы, или ограничивать их поток мерами, которые имеют эквивалентный эффект для таких квот.</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В результате вышесказанного положение Договора о товарах был разделен на две части в рамках части III Договора о функционировании ЕС. В частности, он находит свое основное место в разделе II, регулирующем свободное перемещение товаров, и дополняется главой о налоговых положениях в разделе VII. Действительно, в Договоре проводится различие между фискальными и нормативными ограничениями: первые являются, в основном, денежными обязанностями, специально налагаемыми на импорт; последние в основном являются мерами, которые ограничивают доступ к рынкам регулирующими средствами.</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В частности, Договор направлен на устранение всех ограничений на трансграничную торговлю товарами с тремя основными инструментами: (1) таможенный союз, в котором запрещены таможенные пошлины между государствами-членами и общий таможенный тариф в отношении третьих стран (статьи 28-32 Договора о функционировании ЕС 1957 г.); (2) запрет на дискриминационное налогообложение товаров других государств-членов (статья 110 Договора о функционировании ЕС 1957 г.); и (3) упразднение всех количественных ограничений и мер, имеющих эквивалентные последствия, в отношении импорта и экспорта между государствами-членами (статьи 34-36 Договора о функционировании ЕС 1957 г.)[1].</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Начиная с последней группы положений, можно напомнить, что товары, происходящие из одного государства-члена, имеют право на экспорт из этого государства в соответствии со статьей 35 Договора о функционировании ЕС и право на ввоз в другое государство-члена согласно статье 34 Договора о функционировании ЕС.  В этом контексте, такие права защищены посредством запретов, предусмотренных в нем, как количественные ограничения, так и мер, имеющие эквивалентные последствия. Однако обе статьи 34 и 35 входят в исчерпывающий перечень отступлений, содержащихся в статье 36 Договора о функционировании ЕС, на которых может ссылаться государство производитель или принимающее государство, чтобы оправдать отказ разрешить импорт или экспорт[1].</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В данной статье говорится, что положения статей 34 и 35 не служат препятствием для запрещений или ограничений импорта, экспорта или транзита, которые являются оправданными по соображениям общественной морали, общественного порядка, общественной безопасности, охраны здоровья и жизни людей и животных или сохранения растений, защиты национальных сокровищ, имеющих художественную, историческую или археологическую ценность, или защиты промышленной и коммерческой собственности. Однако такие запрещения или ограничения не должны выступать средством произвольной дискриминации или замаскированным ограничением в торговле между государствами-членами [7, 123].</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Прежде чем перейти к существу вышеупомянутых трех основных групп положений и соответствующей судебной практики Суда, которые внесли большой вклад в формирование таких статей Договора, стоит коротко проанализировать некоторые функции, которые, как представляется, в равной степени применимы в отношении всех упомянутых выше положений.</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Для положений Договора о товарах, которые должны быть задействованы, необходимо выполнить три условия: (а) продукт должен считаться «хорошим»; (б) хорошо должно быть использовано при трансграничной торговле между государствами-членами; (в) лицо, к которому применяется данное положение, должно быть адресатом Договора.</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Как было выше сказано, Суд определил «товары» как продукты, которые могут быть оценены в деньгах и которые способны как таковые создавать предмет коммерческих сделок, и обладают материальным и физическим свойством. Как правило, определение товаров представляет собой несколько смыслов. Некоторые продукты, однако, трудно классифицировать: например, Суд установил, что электричество относится к понятию товаров[3], но большинство других нематериальных продуктов не были судом определены как товары[5].</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Более того, нужно отметить, что  свободному перемещению товаров могут препятствовать таможенные пошлины (или сборы, имеющие эквивалентные последствия), которые делают иностранных товаров более дорогими, чем внутренних. Поэтому их отмена является ключевым вопросом в создании таможенного союза и единого рынка.</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Статья 28 (1) Договора о функционировании ЕС является основополагающим положением этой части Договора. В этой статье говорится, что Союз включает в себя таможенный союз, который распространяется на весь товарооборот и предполагает запрещение между государствами-членами таможенных пошлин на импорт и экспорт и любых равнозначных сборов, а также принятие общего таможенного тарифа в их отношениях с третьими странами[1].</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В статье 28 четко указано, что свободное перемещение товаров имеет как внутренний, так и внешний характер. С прежней точки зрения товары, которые имеют свое происхождение в рамках ЕС, пользуются правом свободного передвижения между государствами-членами. С последней точки зрения, продукция, выходящая за пределы ЕС, может иметь право на свободное перемещение, если они уплатили общий таможенный тариф. Другими словами, в то время как законодательство ЕС запрещает тарифы (т.е. таможенные пошлины) на товары, которые пересекают внутренние границы ЕС (то есть между государствами-членами), разрешаются тарифы на товары, пересекающие внешние границы ЕС (т. е. из стран, не являющихся членами). Только после уплаты единого таможенного тарифа, если таковые имеются, товары третьих стран могут законным образом въезжать в ЕС, поэтому находятся в «свободном обращении» и пользуются тем же правом свободного передвижения, что и товары, происходящие из ЕС.</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Отдельного внимания заслуживает вопрос о том, что происходит в случае мошенничества или ошибки в расчетах, следствием которых становится полная неуплата таможенных пошлин или их уплата в меньшем размере. Если товары не проходили таможенную очистку совсем, их не следует считать находящимися в свободном обращении в Европейском Союзе даже тогда, когда они ошибочно считаются таковыми. С другой стороны, если соответствующие таможенные формальности завершены, но размер пошлин определен неправильно, то в этом случае товары находятся в свободном обращении в Европейском Союзе, а неуплаченные суммы подлежат уплате. Они могут быть взысканы таможенными органами в порядке, предусмотренном ст. ст. 78, 220 и 222 Таможенного кодекса Европейского союза[2].</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При сравнении товаров, происходящих из государств-членов, и товаров из третьих стран, находящихся в свободном обращении в Европейском Союзе, необходимо отметить, что по общему правилу, товары из третьих стран, выпущенные в свободное обращение в Европейском Союзе ассимилируют с товарами, происходящими из государств-членов. Впервые это правило было сформулировано Судом ЕС при рассмотрении дела «Донкеволке против Прокурора Республики» (1976 г.). Суд ЕС постановил, что «применительно к свободному обращению товаров в пределах Сообщества, из статьи 23 следует, что продукция, названная «свободно обращающейся», окончательно и полностью ассимилирует с продукцией, происходящей из государств-членов.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Следствием этой ассимиляции является то, что положения статьи 28, касающиеся устранения количественных ограничений и всех мер эквивалентного воздействия, применимы без ограничений и к продукции, происходящей из Сообщества, и к продукции, которая была выпущена в свободное обращение в любом из государств-членов, независимо от фактического места происхождения товара».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Итак, как только завершены соответствующие таможенные формальности, товары из третьих стран ассимилируют с коммунитарными товарами. Это означает, что с этого момента к ним в полной мере применимы положения ст.ст. 28-30 Договора о функционировании ЕС 1957 г., и они могут свободно перемещаться по территории Европейского Союза.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касается субъектов, то по смыслу ст.ст. 31, 32, 33, 34(2), 35 Договора о функционировании ЕС 1957 г., субъектами, действия которых могут быть квалифицированы как количественное ограничение или как мера эквивалентного воздействия, являются государства-члены Европейского Союза. В принципе, вывод о том, что государства-члены обязаны соблюдать принцип свободного перемещения товаров, является наиболее очевидным. В то же время, менее очевидным представляется вопрос о том, действия каких органов и организаций следует приписывать государству для этих целей.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Государства-члены Европейского Союза обязаны соблюдать принцип свободного перемещения товаров. Понятие государственных мер следует толковать широко. Государственными признаются меры, которые исходят как от центральных органов власти, так и региональных, и местных. Государственные меры могут быть в равной степени приняты органами законодательной, исполнительной и судебной власти. В то же время, судебная ошибка, вызвана ли она неправильным представлением о фактах или праве, не является нарушением договора. Государство считается нарушившим свои обязательства по Договору о функционировании ЕС 1957 г. только в том случае, если суд государства-члена сознательно игнорирует или пренебрегает правом Европейского Союза.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касается таможенных сборов, то практика Суда ЕС показывает, что</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 xml:space="preserve">таможенная пошлина является денежным сбором, налагаемым на товары, из-за того, что они пересекли границу и уплатили импортером принимающего государства.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другом случае, когда таможенные пошлины на продукт с названием мочевиноформальдегид были увеличены с 5% до 8% голландским правительством - Суд также ясно указал, что такие увеличения таможенных пошлин сами по себе являются противозаконными в соответствии со статьей 30, какими бы незначительными они ни были.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Наконец, по мнению Суда, применение статьи 30 Договора о функционировании ЕС зависит от обязанности, а не от ее цели (и те же выводы применяются к сборам, имеющим эквивалентные последствия), даже если соответствующая мера не была разработана с протекционизмом.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Фактически, в деле «Комиссия против Италии», дело 7/68, при принятии решения об уплате Италии налога на экспорт художественных, исторических и археологических предметов Суд отклонил аргументы, выдвинутые Италией, согласно которым, эти предметы не должны рассматриваться как товары для целей таможенного союза, и целью налога является не сбор доходов, а защита художественного наследия страны[4].</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Более того, необходимо отметить, что</w:t>
      </w:r>
      <w:r w:rsidRPr="00DA76A7">
        <w:rPr>
          <w:rFonts w:ascii="Arial" w:hAnsi="Arial" w:cs="Arial"/>
          <w:b/>
          <w:color w:val="000000" w:themeColor="text1"/>
          <w:sz w:val="22"/>
          <w:szCs w:val="22"/>
          <w:shd w:val="clear" w:color="auto" w:fill="FFFFFF"/>
        </w:rPr>
        <w:t xml:space="preserve"> с</w:t>
      </w:r>
      <w:r w:rsidRPr="00DA76A7">
        <w:rPr>
          <w:rFonts w:ascii="Arial" w:hAnsi="Arial" w:cs="Arial"/>
          <w:color w:val="000000" w:themeColor="text1"/>
          <w:sz w:val="22"/>
          <w:szCs w:val="22"/>
          <w:shd w:val="clear" w:color="auto" w:fill="FFFFFF"/>
        </w:rPr>
        <w:t xml:space="preserve">татья 30 Договора о функционировании ЕС запрещает не только таможенные пошлины, но и сборы, имеющие эквивалентный эффект, с тем, чтобы запретить протекционистские меры, которые оказывают такое же действие, как и таможенная пошлина. </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Таким образом, понятие «сборы, имеющие эквивалентный эффект» обязательно шире, чем понятие «таможенной пошлины».</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Суд представил определение «сборы, имеющие эквивалентный эффект» в деле Комиссии против Люксембурга, случаи 2-3 / 62: именно, сбор, независимо от того, как называется, и каким бы ни был ее способ применения, может считаться сбором, имеющим эквивалентный эффект для таможенной пошлины при условии, что он отвечает следующим трем критериям: (а) он должен налагаться в одностороннем порядке во время ввоза или впоследствии; (б) он должен налагаться конкретно на продукт, импортированный из государства-члена, за исключением аналогичного национального продукта; а также в) он должен привести к изменению цены и, таким образом, иметь тот же эффект, что и таможенная пошлина на свободное перемещение товаров.</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Что касается внутреннего налогообложения, здесь основное внимание уделяется фискальным правилам, которые применяются внутри страны-члена. Статья 110 Договора о функционировании ЕС, являющаяся центральным положением, запрещает дискриминационные налоги и гласит: Ни одно из государств-членов не облагает прямо или косвенно продукцию других государств-членов более высокими внутренними налогами любого характера, чем те, которыми прямо или косвенно облагается  сходная  национальная продукция. Кроме того, ни одно из государств-членов не облагает продукцию других государств-членов внутренними налогами, которые по своему характеру способны косвенно защищать другие виды продукции.</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Цель данной статьи заключается в том, чтобы не допустить, чтобы цели статей 28-30 были подорваны дискриминационным внутренним налогообложением. Таким образом, статья 110 предназначена для предотвращения того, чтобы государство-член оказывало неблагоприятное воздействие на импортируемые товары (в конкуренции с отечественными товарами), применяя дискриминационные налоги на такие иностранные товары, когда они находятся на его территории.</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Таким образом, внутреннее налогообложение может отличаться от таможенных пошлин и сборов, имеющих эквивалентные последствия, в то время как начисление является налогом, если оно является частью системы внутреннего налогообложения, а также таможенные пошлины и сборы, имеющие эквивалентные последствия, являются сборами, взимаемыми с товаров в силу импорта.</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Наконец, стоит отметить, что национальное налогообложение как таковое не запрещено законом ЕС. Скорее, запрещается в той мере, в какой она дискриминирует импортируемые и переработанные в иностранном государстве товары.</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 xml:space="preserve">Исходя из вышеизложенного, можно сделать вывод, что наряду со свободным передвижением лиц, услуг и капитала, свободное передвижение товаров является принципом, на котором базируется единый рынок Европейского Союза. </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Уникальность данного принципа заключается в том, что в течение длительного времени он являлся своего рода моделью, которой должны следовать другие три вышеназванные принципы.</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 xml:space="preserve">Данный принцип обеспечивает свободное передвижение как товарам, произведенным в странах-членах ЕС, так и в третьих государствах в случаи уплаты общего таможенного тарифа.  </w:t>
      </w:r>
    </w:p>
    <w:p w:rsidR="00A969C6" w:rsidRPr="00DA76A7" w:rsidRDefault="00A969C6" w:rsidP="00A969C6">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Вместе с тем, запрещение взимания сборов, таможенных пошлин, дискриминационных внутренних налогов в государствах-членах ЕС и введение товаров, произведенных в третьих странах, обеспечивают конкуренцию, что с одной стороны,  положительно повлияет на качество товаров, с другой стороны, снижает их стоимость.</w:t>
      </w:r>
    </w:p>
    <w:p w:rsidR="003A625F" w:rsidRDefault="003A625F">
      <w:pPr>
        <w:widowControl/>
        <w:autoSpaceDE/>
        <w:autoSpaceDN/>
        <w:adjustRightInd/>
        <w:spacing w:after="200" w:line="276" w:lineRule="auto"/>
        <w:rPr>
          <w:rFonts w:ascii="Arial" w:hAnsi="Arial" w:cs="Arial"/>
          <w:b/>
          <w:color w:val="000000" w:themeColor="text1"/>
          <w:sz w:val="22"/>
          <w:szCs w:val="22"/>
          <w:shd w:val="clear" w:color="auto" w:fill="FFFFFF"/>
        </w:rPr>
      </w:pPr>
      <w:r>
        <w:rPr>
          <w:rFonts w:ascii="Arial" w:hAnsi="Arial" w:cs="Arial"/>
          <w:b/>
          <w:color w:val="000000" w:themeColor="text1"/>
          <w:shd w:val="clear" w:color="auto" w:fill="FFFFFF"/>
        </w:rPr>
        <w:br w:type="page"/>
      </w:r>
    </w:p>
    <w:p w:rsidR="00A969C6" w:rsidRPr="00DA76A7" w:rsidRDefault="00A969C6" w:rsidP="00A969C6">
      <w:pPr>
        <w:pStyle w:val="a6"/>
        <w:spacing w:after="0" w:line="240" w:lineRule="auto"/>
        <w:ind w:left="0" w:firstLine="567"/>
        <w:jc w:val="center"/>
        <w:rPr>
          <w:rFonts w:ascii="Arial" w:hAnsi="Arial" w:cs="Arial"/>
          <w:b/>
          <w:color w:val="000000" w:themeColor="text1"/>
          <w:shd w:val="clear" w:color="auto" w:fill="FFFFFF"/>
        </w:rPr>
      </w:pPr>
      <w:r w:rsidRPr="00DA76A7">
        <w:rPr>
          <w:rFonts w:ascii="Arial" w:hAnsi="Arial" w:cs="Arial"/>
          <w:b/>
          <w:color w:val="000000" w:themeColor="text1"/>
          <w:shd w:val="clear" w:color="auto" w:fill="FFFFFF"/>
        </w:rPr>
        <w:t>Список литературы:</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Договор о функционировании Европейского Союза 1957 года. [Электронный ресурс]. – Режим доступа:  </w:t>
      </w:r>
      <w:hyperlink r:id="rId74" w:history="1">
        <w:r w:rsidRPr="00DA76A7">
          <w:rPr>
            <w:rStyle w:val="af0"/>
            <w:rFonts w:ascii="Arial" w:hAnsi="Arial" w:cs="Arial"/>
            <w:color w:val="000000" w:themeColor="text1"/>
            <w:sz w:val="22"/>
            <w:szCs w:val="22"/>
            <w:u w:val="none"/>
            <w:lang w:val="en-US"/>
          </w:rPr>
          <w:t>http</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eulaw</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treaties</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tfeu</w:t>
        </w:r>
      </w:hyperlink>
      <w:r w:rsidRPr="00DA76A7">
        <w:rPr>
          <w:rFonts w:ascii="Arial" w:hAnsi="Arial" w:cs="Arial"/>
          <w:color w:val="000000" w:themeColor="text1"/>
          <w:sz w:val="22"/>
          <w:szCs w:val="22"/>
        </w:rPr>
        <w:t xml:space="preserve"> (дата обращения 12.11.2017 г.)</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Таможенный кодекс Европейского Сообщества // Регламент Совета  №450/2008// [Электронный ресурс]. – Режим доступа:  </w:t>
      </w:r>
      <w:hyperlink r:id="rId75" w:history="1">
        <w:r w:rsidRPr="00DA76A7">
          <w:rPr>
            <w:rStyle w:val="af0"/>
            <w:rFonts w:ascii="Arial" w:hAnsi="Arial" w:cs="Arial"/>
            <w:color w:val="000000" w:themeColor="text1"/>
            <w:sz w:val="22"/>
            <w:szCs w:val="22"/>
            <w:u w:val="none"/>
            <w:shd w:val="clear" w:color="auto" w:fill="FFFFFF"/>
          </w:rPr>
          <w:t>https://girinazw9.files.wordpress.com/2010/09/zkeu-russ1.doc</w:t>
        </w:r>
      </w:hyperlink>
      <w:r w:rsidRPr="00DA76A7">
        <w:rPr>
          <w:rFonts w:ascii="Arial" w:hAnsi="Arial" w:cs="Arial"/>
          <w:color w:val="000000" w:themeColor="text1"/>
          <w:sz w:val="22"/>
          <w:szCs w:val="22"/>
          <w:shd w:val="clear" w:color="auto" w:fill="FFFFFF"/>
        </w:rPr>
        <w:t xml:space="preserve"> (дата обращения 12.01.2018г.)</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Almelo v. Energi bedriff Ijsselmij, Case C-393/92. [</w:t>
      </w:r>
      <w:r w:rsidRPr="00DA76A7">
        <w:rPr>
          <w:rFonts w:ascii="Arial" w:hAnsi="Arial" w:cs="Arial"/>
          <w:color w:val="000000" w:themeColor="text1"/>
          <w:sz w:val="22"/>
          <w:szCs w:val="22"/>
          <w:shd w:val="clear" w:color="auto" w:fill="FFFFFF"/>
        </w:rPr>
        <w:t>Электронный</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shd w:val="clear" w:color="auto" w:fill="FFFFFF"/>
        </w:rPr>
        <w:t>ресурс</w:t>
      </w:r>
      <w:r w:rsidRPr="00DA76A7">
        <w:rPr>
          <w:rFonts w:ascii="Arial" w:hAnsi="Arial" w:cs="Arial"/>
          <w:color w:val="000000" w:themeColor="text1"/>
          <w:sz w:val="22"/>
          <w:szCs w:val="22"/>
          <w:shd w:val="clear" w:color="auto" w:fill="FFFFFF"/>
          <w:lang w:val="en-US"/>
        </w:rPr>
        <w:t xml:space="preserve">]. – </w:t>
      </w:r>
      <w:r w:rsidRPr="00DA76A7">
        <w:rPr>
          <w:rFonts w:ascii="Arial" w:hAnsi="Arial" w:cs="Arial"/>
          <w:color w:val="000000" w:themeColor="text1"/>
          <w:sz w:val="22"/>
          <w:szCs w:val="22"/>
          <w:shd w:val="clear" w:color="auto" w:fill="FFFFFF"/>
        </w:rPr>
        <w:t>Режим</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shd w:val="clear" w:color="auto" w:fill="FFFFFF"/>
        </w:rPr>
        <w:t>доступа</w:t>
      </w:r>
      <w:r w:rsidRPr="00DA76A7">
        <w:rPr>
          <w:rFonts w:ascii="Arial" w:hAnsi="Arial" w:cs="Arial"/>
          <w:color w:val="000000" w:themeColor="text1"/>
          <w:sz w:val="22"/>
          <w:szCs w:val="22"/>
          <w:shd w:val="clear" w:color="auto" w:fill="FFFFFF"/>
          <w:lang w:val="en-US"/>
        </w:rPr>
        <w:t xml:space="preserve">:   </w:t>
      </w:r>
      <w:hyperlink r:id="rId76" w:history="1">
        <w:r w:rsidRPr="00DA76A7">
          <w:rPr>
            <w:rStyle w:val="af0"/>
            <w:rFonts w:ascii="Arial" w:hAnsi="Arial" w:cs="Arial"/>
            <w:color w:val="000000" w:themeColor="text1"/>
            <w:sz w:val="22"/>
            <w:szCs w:val="22"/>
            <w:u w:val="none"/>
            <w:shd w:val="clear" w:color="auto" w:fill="FFFFFF"/>
            <w:lang w:val="en-US"/>
          </w:rPr>
          <w:t>http://curia.europa.eu/juris/showPdf.jsf;jsessionid=9ea7d2dc30db06d7b0293c2a44e482 f2b603adc866d6.e34KaxiLc3qMb40Rch0SaxuKbNz0?text=&amp;docid=98756&amp;pageIndex=0&amp;doclang=EN&amp;mode=lst&amp;dir=&amp;occ=first&amp;part=1&amp;cid=409136</w:t>
        </w:r>
      </w:hyperlink>
      <w:r w:rsidRPr="00DA76A7">
        <w:rPr>
          <w:rFonts w:ascii="Arial" w:hAnsi="Arial" w:cs="Arial"/>
          <w:color w:val="000000" w:themeColor="text1"/>
          <w:sz w:val="22"/>
          <w:szCs w:val="22"/>
          <w:shd w:val="clear" w:color="auto" w:fill="FFFFFF"/>
          <w:lang w:val="en-US"/>
        </w:rPr>
        <w:t>. (</w:t>
      </w:r>
      <w:r w:rsidRPr="00DA76A7">
        <w:rPr>
          <w:rFonts w:ascii="Arial" w:hAnsi="Arial" w:cs="Arial"/>
          <w:color w:val="000000" w:themeColor="text1"/>
          <w:sz w:val="22"/>
          <w:szCs w:val="22"/>
          <w:shd w:val="clear" w:color="auto" w:fill="FFFFFF"/>
        </w:rPr>
        <w:t>дата</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shd w:val="clear" w:color="auto" w:fill="FFFFFF"/>
        </w:rPr>
        <w:t>обращения</w:t>
      </w:r>
      <w:r w:rsidRPr="00DA76A7">
        <w:rPr>
          <w:rFonts w:ascii="Arial" w:hAnsi="Arial" w:cs="Arial"/>
          <w:color w:val="000000" w:themeColor="text1"/>
          <w:sz w:val="22"/>
          <w:szCs w:val="22"/>
          <w:shd w:val="clear" w:color="auto" w:fill="FFFFFF"/>
          <w:lang w:val="en-US"/>
        </w:rPr>
        <w:t xml:space="preserve"> 12.10.2017 </w:t>
      </w:r>
      <w:r w:rsidRPr="00DA76A7">
        <w:rPr>
          <w:rFonts w:ascii="Arial" w:hAnsi="Arial" w:cs="Arial"/>
          <w:color w:val="000000" w:themeColor="text1"/>
          <w:sz w:val="22"/>
          <w:szCs w:val="22"/>
          <w:shd w:val="clear" w:color="auto" w:fill="FFFFFF"/>
        </w:rPr>
        <w:t>г</w:t>
      </w:r>
      <w:r w:rsidRPr="00DA76A7">
        <w:rPr>
          <w:rFonts w:ascii="Arial" w:hAnsi="Arial" w:cs="Arial"/>
          <w:color w:val="000000" w:themeColor="text1"/>
          <w:sz w:val="22"/>
          <w:szCs w:val="22"/>
          <w:shd w:val="clear" w:color="auto" w:fill="FFFFFF"/>
          <w:lang w:val="en-US"/>
        </w:rPr>
        <w:t xml:space="preserve">.) </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eastAsia="ru-RU"/>
        </w:rPr>
        <w:t>Case 7-68 Commission v Italy (works of art) [1968] E.C.R. 423.</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lang w:eastAsia="ru-RU"/>
        </w:rPr>
      </w:pPr>
      <w:r w:rsidRPr="00DA76A7">
        <w:rPr>
          <w:rFonts w:ascii="Arial" w:hAnsi="Arial" w:cs="Arial"/>
          <w:color w:val="000000" w:themeColor="text1"/>
          <w:sz w:val="22"/>
          <w:szCs w:val="22"/>
          <w:lang w:val="en-US"/>
        </w:rPr>
        <w:t xml:space="preserve">Judgment of the Court of Justice, Sacchi, Case 155/73 (30 April 1974). </w:t>
      </w:r>
      <w:r w:rsidRPr="00DA76A7">
        <w:rPr>
          <w:rFonts w:ascii="Arial" w:hAnsi="Arial" w:cs="Arial"/>
          <w:color w:val="000000" w:themeColor="text1"/>
          <w:sz w:val="22"/>
          <w:szCs w:val="22"/>
        </w:rPr>
        <w:t xml:space="preserve">[Электронный ресурс]. – Режим доступа:  </w:t>
      </w:r>
      <w:hyperlink r:id="rId77" w:history="1">
        <w:r w:rsidRPr="00DA76A7">
          <w:rPr>
            <w:rStyle w:val="af0"/>
            <w:rFonts w:ascii="Arial" w:hAnsi="Arial" w:cs="Arial"/>
            <w:color w:val="000000" w:themeColor="text1"/>
            <w:sz w:val="22"/>
            <w:szCs w:val="22"/>
            <w:u w:val="none"/>
            <w:lang w:val="en-US"/>
          </w:rPr>
          <w:t>https</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www</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cvce</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eu</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content</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publication</w:t>
        </w:r>
        <w:r w:rsidRPr="00DA76A7">
          <w:rPr>
            <w:rStyle w:val="af0"/>
            <w:rFonts w:ascii="Arial" w:hAnsi="Arial" w:cs="Arial"/>
            <w:color w:val="000000" w:themeColor="text1"/>
            <w:sz w:val="22"/>
            <w:szCs w:val="22"/>
            <w:u w:val="none"/>
          </w:rPr>
          <w:t>/1999/1/1/3</w:t>
        </w:r>
        <w:r w:rsidRPr="00DA76A7">
          <w:rPr>
            <w:rStyle w:val="af0"/>
            <w:rFonts w:ascii="Arial" w:hAnsi="Arial" w:cs="Arial"/>
            <w:color w:val="000000" w:themeColor="text1"/>
            <w:sz w:val="22"/>
            <w:szCs w:val="22"/>
            <w:u w:val="none"/>
            <w:lang w:val="en-US"/>
          </w:rPr>
          <w:t>d</w:t>
        </w:r>
        <w:r w:rsidRPr="00DA76A7">
          <w:rPr>
            <w:rStyle w:val="af0"/>
            <w:rFonts w:ascii="Arial" w:hAnsi="Arial" w:cs="Arial"/>
            <w:color w:val="000000" w:themeColor="text1"/>
            <w:sz w:val="22"/>
            <w:szCs w:val="22"/>
            <w:u w:val="none"/>
          </w:rPr>
          <w:t>423</w:t>
        </w:r>
        <w:r w:rsidRPr="00DA76A7">
          <w:rPr>
            <w:rStyle w:val="af0"/>
            <w:rFonts w:ascii="Arial" w:hAnsi="Arial" w:cs="Arial"/>
            <w:color w:val="000000" w:themeColor="text1"/>
            <w:sz w:val="22"/>
            <w:szCs w:val="22"/>
            <w:u w:val="none"/>
            <w:lang w:val="en-US"/>
          </w:rPr>
          <w:t>d</w:t>
        </w:r>
        <w:r w:rsidRPr="00DA76A7">
          <w:rPr>
            <w:rStyle w:val="af0"/>
            <w:rFonts w:ascii="Arial" w:hAnsi="Arial" w:cs="Arial"/>
            <w:color w:val="000000" w:themeColor="text1"/>
            <w:sz w:val="22"/>
            <w:szCs w:val="22"/>
            <w:u w:val="none"/>
          </w:rPr>
          <w:t>60-6</w:t>
        </w:r>
        <w:r w:rsidRPr="00DA76A7">
          <w:rPr>
            <w:rStyle w:val="af0"/>
            <w:rFonts w:ascii="Arial" w:hAnsi="Arial" w:cs="Arial"/>
            <w:color w:val="000000" w:themeColor="text1"/>
            <w:sz w:val="22"/>
            <w:szCs w:val="22"/>
            <w:u w:val="none"/>
            <w:lang w:val="en-US"/>
          </w:rPr>
          <w:t>cdc</w:t>
        </w:r>
        <w:r w:rsidRPr="00DA76A7">
          <w:rPr>
            <w:rStyle w:val="af0"/>
            <w:rFonts w:ascii="Arial" w:hAnsi="Arial" w:cs="Arial"/>
            <w:color w:val="000000" w:themeColor="text1"/>
            <w:sz w:val="22"/>
            <w:szCs w:val="22"/>
            <w:u w:val="none"/>
          </w:rPr>
          <w:t>-4</w:t>
        </w:r>
        <w:r w:rsidRPr="00DA76A7">
          <w:rPr>
            <w:rStyle w:val="af0"/>
            <w:rFonts w:ascii="Arial" w:hAnsi="Arial" w:cs="Arial"/>
            <w:color w:val="000000" w:themeColor="text1"/>
            <w:sz w:val="22"/>
            <w:szCs w:val="22"/>
            <w:u w:val="none"/>
            <w:lang w:val="en-US"/>
          </w:rPr>
          <w:t>f</w:t>
        </w:r>
        <w:r w:rsidRPr="00DA76A7">
          <w:rPr>
            <w:rStyle w:val="af0"/>
            <w:rFonts w:ascii="Arial" w:hAnsi="Arial" w:cs="Arial"/>
            <w:color w:val="000000" w:themeColor="text1"/>
            <w:sz w:val="22"/>
            <w:szCs w:val="22"/>
            <w:u w:val="none"/>
          </w:rPr>
          <w:t>74-8</w:t>
        </w:r>
        <w:r w:rsidRPr="00DA76A7">
          <w:rPr>
            <w:rStyle w:val="af0"/>
            <w:rFonts w:ascii="Arial" w:hAnsi="Arial" w:cs="Arial"/>
            <w:color w:val="000000" w:themeColor="text1"/>
            <w:sz w:val="22"/>
            <w:szCs w:val="22"/>
            <w:u w:val="none"/>
            <w:lang w:val="en-US"/>
          </w:rPr>
          <w:t>a</w:t>
        </w:r>
        <w:r w:rsidRPr="00DA76A7">
          <w:rPr>
            <w:rStyle w:val="af0"/>
            <w:rFonts w:ascii="Arial" w:hAnsi="Arial" w:cs="Arial"/>
            <w:color w:val="000000" w:themeColor="text1"/>
            <w:sz w:val="22"/>
            <w:szCs w:val="22"/>
            <w:u w:val="none"/>
          </w:rPr>
          <w:t>1</w:t>
        </w:r>
        <w:r w:rsidRPr="00DA76A7">
          <w:rPr>
            <w:rStyle w:val="af0"/>
            <w:rFonts w:ascii="Arial" w:hAnsi="Arial" w:cs="Arial"/>
            <w:color w:val="000000" w:themeColor="text1"/>
            <w:sz w:val="22"/>
            <w:szCs w:val="22"/>
            <w:u w:val="none"/>
            <w:lang w:val="en-US"/>
          </w:rPr>
          <w:t>b</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b</w:t>
        </w:r>
        <w:r w:rsidRPr="00DA76A7">
          <w:rPr>
            <w:rStyle w:val="af0"/>
            <w:rFonts w:ascii="Arial" w:hAnsi="Arial" w:cs="Arial"/>
            <w:color w:val="000000" w:themeColor="text1"/>
            <w:sz w:val="22"/>
            <w:szCs w:val="22"/>
            <w:u w:val="none"/>
          </w:rPr>
          <w:t>2877</w:t>
        </w:r>
        <w:r w:rsidRPr="00DA76A7">
          <w:rPr>
            <w:rStyle w:val="af0"/>
            <w:rFonts w:ascii="Arial" w:hAnsi="Arial" w:cs="Arial"/>
            <w:color w:val="000000" w:themeColor="text1"/>
            <w:sz w:val="22"/>
            <w:szCs w:val="22"/>
            <w:u w:val="none"/>
            <w:lang w:val="en-US"/>
          </w:rPr>
          <w:t>ddbf</w:t>
        </w:r>
        <w:r w:rsidRPr="00DA76A7">
          <w:rPr>
            <w:rStyle w:val="af0"/>
            <w:rFonts w:ascii="Arial" w:hAnsi="Arial" w:cs="Arial"/>
            <w:color w:val="000000" w:themeColor="text1"/>
            <w:sz w:val="22"/>
            <w:szCs w:val="22"/>
            <w:u w:val="none"/>
          </w:rPr>
          <w:t>618/</w:t>
        </w:r>
        <w:r w:rsidRPr="00DA76A7">
          <w:rPr>
            <w:rStyle w:val="af0"/>
            <w:rFonts w:ascii="Arial" w:hAnsi="Arial" w:cs="Arial"/>
            <w:color w:val="000000" w:themeColor="text1"/>
            <w:sz w:val="22"/>
            <w:szCs w:val="22"/>
            <w:u w:val="none"/>
            <w:lang w:val="en-US"/>
          </w:rPr>
          <w:t>publishable</w:t>
        </w:r>
        <w:r w:rsidRPr="00DA76A7">
          <w:rPr>
            <w:rStyle w:val="af0"/>
            <w:rFonts w:ascii="Arial" w:hAnsi="Arial" w:cs="Arial"/>
            <w:color w:val="000000" w:themeColor="text1"/>
            <w:sz w:val="22"/>
            <w:szCs w:val="22"/>
            <w:u w:val="none"/>
          </w:rPr>
          <w:t>_</w:t>
        </w:r>
        <w:r w:rsidRPr="00DA76A7">
          <w:rPr>
            <w:rStyle w:val="af0"/>
            <w:rFonts w:ascii="Arial" w:hAnsi="Arial" w:cs="Arial"/>
            <w:color w:val="000000" w:themeColor="text1"/>
            <w:sz w:val="22"/>
            <w:szCs w:val="22"/>
            <w:u w:val="none"/>
            <w:lang w:val="en-US"/>
          </w:rPr>
          <w:t>en</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pdf</w:t>
        </w:r>
      </w:hyperlink>
      <w:r w:rsidRPr="00DA76A7">
        <w:rPr>
          <w:rFonts w:ascii="Arial" w:hAnsi="Arial" w:cs="Arial"/>
          <w:color w:val="000000" w:themeColor="text1"/>
          <w:sz w:val="22"/>
          <w:szCs w:val="22"/>
        </w:rPr>
        <w:t xml:space="preserve"> (дата обращения 12.10.2017 г.)</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lang w:val="en-US" w:eastAsia="ru-RU"/>
        </w:rPr>
      </w:pPr>
      <w:r w:rsidRPr="00DA76A7">
        <w:rPr>
          <w:rFonts w:ascii="Arial" w:hAnsi="Arial" w:cs="Arial"/>
          <w:color w:val="000000" w:themeColor="text1"/>
          <w:sz w:val="22"/>
          <w:szCs w:val="22"/>
          <w:lang w:val="en-US" w:eastAsia="ru-RU"/>
        </w:rPr>
        <w:t>7/68 Export Tax on Art Treasures, Re; sub. nom. Commission v Italy (Works of Art) [1968] E.C.R. 617; [1969] C.M.L.R. 1, ECJ.</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Идиев Ф.Ф. Право Европейского Союза: учебное пособие. - Душанбе, 2014 (на тадж. языке). – 178 с. </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Иванов А.С. </w:t>
      </w:r>
      <w:r w:rsidRPr="00DA76A7">
        <w:rPr>
          <w:rFonts w:ascii="Arial" w:hAnsi="Arial" w:cs="Arial"/>
          <w:color w:val="000000" w:themeColor="text1"/>
          <w:sz w:val="22"/>
          <w:szCs w:val="22"/>
          <w:shd w:val="clear" w:color="auto" w:fill="FFFFFF"/>
        </w:rPr>
        <w:t>Правовые основы свободного перемещения товаров в Европейском Союзе</w:t>
      </w:r>
      <w:r w:rsidRPr="00DA76A7">
        <w:rPr>
          <w:rFonts w:ascii="Arial" w:hAnsi="Arial" w:cs="Arial"/>
          <w:color w:val="000000" w:themeColor="text1"/>
          <w:sz w:val="22"/>
          <w:szCs w:val="22"/>
        </w:rPr>
        <w:t xml:space="preserve">: дис. … канд. юрид. наук: – М., 2004. – 178 с. </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Кашкин С.Ю., Четвериков А.О. Право Европейского Союза: учебное пособие. – 3-е изд. Перераб. И доп. – М.: Проспект, 2011. – 274 с.</w:t>
      </w:r>
    </w:p>
    <w:p w:rsidR="00A969C6" w:rsidRPr="00DA76A7" w:rsidRDefault="00A969C6" w:rsidP="00D45D6B">
      <w:pPr>
        <w:pStyle w:val="af2"/>
        <w:numPr>
          <w:ilvl w:val="0"/>
          <w:numId w:val="3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Энтин Л.М. Европейское право. Право Европейского Союза и правовое обеспечение защиты прав человека. - М.: Норма, 2007. – 960 с. </w:t>
      </w:r>
    </w:p>
    <w:p w:rsidR="00A969C6" w:rsidRPr="00DA76A7" w:rsidRDefault="00A969C6" w:rsidP="00A969C6">
      <w:pPr>
        <w:tabs>
          <w:tab w:val="left" w:pos="851"/>
        </w:tabs>
        <w:ind w:firstLine="567"/>
        <w:rPr>
          <w:rFonts w:ascii="Arial" w:hAnsi="Arial" w:cs="Arial"/>
          <w:color w:val="000000" w:themeColor="text1"/>
          <w:sz w:val="22"/>
          <w:szCs w:val="22"/>
        </w:rPr>
      </w:pPr>
    </w:p>
    <w:p w:rsidR="00EE13B8" w:rsidRPr="00DA76A7" w:rsidRDefault="00EE13B8" w:rsidP="00A969C6">
      <w:pPr>
        <w:tabs>
          <w:tab w:val="left" w:pos="851"/>
        </w:tabs>
        <w:ind w:firstLine="567"/>
        <w:jc w:val="both"/>
        <w:rPr>
          <w:rFonts w:ascii="Arial" w:hAnsi="Arial" w:cs="Arial"/>
          <w:i/>
          <w:color w:val="000000" w:themeColor="text1"/>
          <w:sz w:val="22"/>
          <w:szCs w:val="22"/>
        </w:rPr>
      </w:pPr>
    </w:p>
    <w:p w:rsidR="00EE13B8" w:rsidRPr="00DA76A7" w:rsidRDefault="00EE13B8" w:rsidP="00EE13B8">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shd w:val="clear" w:color="auto" w:fill="FFFFFF"/>
        </w:rPr>
        <w:t>РОЛЬ МЕЖДУНАРОДНЫХ ОРГАНИЗАЦИЙ В ФОРМИРОВАНИИ МЕЖДУНАРОДНО-ПРАВОВЫХ ОСНОВ ДЕЯТЕЛЬНОСТИ ОФФШОРНЫХ ФИНАНСОВЫХ ЦЕНТРОВ</w:t>
      </w:r>
      <w:r w:rsidRPr="00DA76A7">
        <w:rPr>
          <w:rFonts w:ascii="Arial" w:hAnsi="Arial" w:cs="Arial"/>
          <w:b/>
          <w:color w:val="000000" w:themeColor="text1"/>
          <w:sz w:val="22"/>
          <w:szCs w:val="22"/>
        </w:rPr>
        <w:br/>
      </w:r>
    </w:p>
    <w:p w:rsidR="00EE13B8" w:rsidRPr="00DA76A7" w:rsidRDefault="00EE13B8" w:rsidP="00EE13B8">
      <w:pPr>
        <w:ind w:firstLine="567"/>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rPr>
        <w:t>Рустамова Нигина Дилшодовна</w:t>
      </w:r>
    </w:p>
    <w:p w:rsidR="00EE13B8" w:rsidRPr="00DA76A7" w:rsidRDefault="00EE13B8" w:rsidP="00EE13B8">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EE13B8" w:rsidRPr="00DA76A7" w:rsidRDefault="00EE13B8" w:rsidP="00EE13B8">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Российско-Таджикский (Славянский) университет</w:t>
      </w:r>
    </w:p>
    <w:p w:rsidR="00EE13B8" w:rsidRPr="00DA76A7" w:rsidRDefault="00EE13B8" w:rsidP="00EE13B8">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rPr>
        <w:t>734025, Республика Таджикистан, г. Душанбе, ул. М</w:t>
      </w:r>
      <w:r w:rsidRPr="00DA76A7">
        <w:rPr>
          <w:rFonts w:ascii="Arial" w:eastAsia="Calibri" w:hAnsi="Arial" w:cs="Arial"/>
          <w:color w:val="000000" w:themeColor="text1"/>
          <w:sz w:val="22"/>
          <w:szCs w:val="22"/>
          <w:lang w:val="en-US"/>
        </w:rPr>
        <w:t xml:space="preserve">. </w:t>
      </w:r>
      <w:r w:rsidRPr="00DA76A7">
        <w:rPr>
          <w:rFonts w:ascii="Arial" w:eastAsia="Calibri" w:hAnsi="Arial" w:cs="Arial"/>
          <w:color w:val="000000" w:themeColor="text1"/>
          <w:sz w:val="22"/>
          <w:szCs w:val="22"/>
        </w:rPr>
        <w:t>Турсунзаде</w:t>
      </w:r>
      <w:r w:rsidRPr="00DA76A7">
        <w:rPr>
          <w:rFonts w:ascii="Arial" w:eastAsia="Calibri" w:hAnsi="Arial" w:cs="Arial"/>
          <w:color w:val="000000" w:themeColor="text1"/>
          <w:sz w:val="22"/>
          <w:szCs w:val="22"/>
          <w:lang w:val="en-US"/>
        </w:rPr>
        <w:t>, 30</w:t>
      </w:r>
    </w:p>
    <w:p w:rsidR="00EE13B8" w:rsidRPr="00DA76A7" w:rsidRDefault="00EE13B8" w:rsidP="00EE13B8">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e-mail: rustamova-nigina@mail.ru</w:t>
      </w:r>
    </w:p>
    <w:p w:rsidR="00EE13B8" w:rsidRPr="00DA76A7" w:rsidRDefault="00EE13B8" w:rsidP="00EE13B8">
      <w:pPr>
        <w:jc w:val="center"/>
        <w:rPr>
          <w:rFonts w:ascii="Arial" w:eastAsia="Calibri" w:hAnsi="Arial" w:cs="Arial"/>
          <w:b/>
          <w:color w:val="000000" w:themeColor="text1"/>
          <w:sz w:val="22"/>
          <w:szCs w:val="22"/>
          <w:lang w:val="en-US"/>
        </w:rPr>
      </w:pPr>
    </w:p>
    <w:p w:rsidR="00EE13B8" w:rsidRPr="00DA76A7" w:rsidRDefault="00EE13B8" w:rsidP="00EE13B8">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ROLE OF INTERNATIONAL ORGANIZATIONS IN FORMATION OF INTERNATIONAL LEGAL FRAMEWORK FOR ACTIVITIES OF OFFSHORE FINANCIAL CENTERS</w:t>
      </w:r>
    </w:p>
    <w:p w:rsidR="00EE13B8" w:rsidRPr="00DA76A7" w:rsidRDefault="00EE13B8" w:rsidP="00EE13B8">
      <w:pPr>
        <w:jc w:val="center"/>
        <w:rPr>
          <w:rFonts w:ascii="Arial" w:eastAsia="Calibri" w:hAnsi="Arial" w:cs="Arial"/>
          <w:b/>
          <w:color w:val="000000" w:themeColor="text1"/>
          <w:sz w:val="22"/>
          <w:szCs w:val="22"/>
          <w:lang w:val="en-US"/>
        </w:rPr>
      </w:pPr>
    </w:p>
    <w:p w:rsidR="00EE13B8" w:rsidRPr="00DA76A7" w:rsidRDefault="00EE13B8" w:rsidP="00EE13B8">
      <w:pPr>
        <w:jc w:val="center"/>
        <w:rPr>
          <w:rFonts w:ascii="Arial" w:eastAsia="Calibri" w:hAnsi="Arial" w:cs="Arial"/>
          <w:b/>
          <w:color w:val="000000" w:themeColor="text1"/>
          <w:sz w:val="22"/>
          <w:szCs w:val="22"/>
          <w:lang w:val="en-US"/>
        </w:rPr>
      </w:pPr>
      <w:r w:rsidRPr="00DA76A7">
        <w:rPr>
          <w:rFonts w:ascii="Arial" w:eastAsia="Calibri" w:hAnsi="Arial" w:cs="Arial"/>
          <w:b/>
          <w:color w:val="000000" w:themeColor="text1"/>
          <w:sz w:val="22"/>
          <w:szCs w:val="22"/>
          <w:lang w:val="en-US"/>
        </w:rPr>
        <w:t>Rustamova Nigina Dilshodovna</w:t>
      </w:r>
    </w:p>
    <w:p w:rsidR="00EE13B8" w:rsidRPr="00DA76A7" w:rsidRDefault="00EE13B8" w:rsidP="00EE13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EE13B8" w:rsidRPr="00DA76A7" w:rsidRDefault="00EE13B8" w:rsidP="00EE13B8">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Russian-Tajik (Slavonic) university</w:t>
      </w:r>
    </w:p>
    <w:p w:rsidR="00EE13B8" w:rsidRPr="00DA76A7" w:rsidRDefault="00EE13B8" w:rsidP="00EE13B8">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 xml:space="preserve"> 734025, Republic of Tajikistan, Dushanbe, M. Tursunzade str., 30</w:t>
      </w:r>
    </w:p>
    <w:p w:rsidR="00EE13B8" w:rsidRPr="00DA76A7" w:rsidRDefault="00EE13B8" w:rsidP="00EE13B8">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e-mail: rustamova-nigina@mail.ru</w:t>
      </w:r>
    </w:p>
    <w:p w:rsidR="00EE13B8" w:rsidRPr="00DA76A7" w:rsidRDefault="00EE13B8" w:rsidP="00EE13B8">
      <w:pPr>
        <w:ind w:firstLine="567"/>
        <w:jc w:val="both"/>
        <w:rPr>
          <w:rFonts w:ascii="Arial" w:eastAsia="Calibri" w:hAnsi="Arial" w:cs="Arial"/>
          <w:b/>
          <w:color w:val="000000" w:themeColor="text1"/>
          <w:sz w:val="22"/>
          <w:szCs w:val="22"/>
          <w:lang w:val="en-US"/>
        </w:rPr>
      </w:pPr>
    </w:p>
    <w:p w:rsidR="00EE13B8" w:rsidRPr="00DA76A7" w:rsidRDefault="00EE13B8" w:rsidP="00EE13B8">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к.ю.н., доцент Пулатов А.С. </w:t>
      </w:r>
    </w:p>
    <w:p w:rsidR="00EE13B8" w:rsidRPr="00DA76A7" w:rsidRDefault="00EE13B8" w:rsidP="00EE13B8">
      <w:pPr>
        <w:ind w:firstLine="567"/>
        <w:jc w:val="both"/>
        <w:rPr>
          <w:rFonts w:ascii="Arial" w:eastAsia="Calibri" w:hAnsi="Arial" w:cs="Arial"/>
          <w:b/>
          <w:color w:val="000000" w:themeColor="text1"/>
          <w:sz w:val="22"/>
          <w:szCs w:val="22"/>
        </w:rPr>
      </w:pPr>
    </w:p>
    <w:p w:rsidR="00EE13B8" w:rsidRPr="00DA76A7" w:rsidRDefault="00EE13B8" w:rsidP="00EE13B8">
      <w:pPr>
        <w:ind w:firstLine="567"/>
        <w:jc w:val="both"/>
        <w:rPr>
          <w:rFonts w:ascii="Arial" w:hAnsi="Arial" w:cs="Arial"/>
          <w:i/>
          <w:color w:val="000000" w:themeColor="text1"/>
          <w:sz w:val="22"/>
          <w:szCs w:val="22"/>
        </w:rPr>
      </w:pPr>
      <w:r w:rsidRPr="00DA76A7">
        <w:rPr>
          <w:rFonts w:ascii="Arial" w:eastAsia="Calibri"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статье рассматривается роль международных организаций в формировании международно-правовых основ деятельности офшорных финансовых центров, исследуются проблемы, которые могут порождать оффшорные финансовые центры, и мероприятия, направленные на регулирование их деятельности. </w:t>
      </w:r>
    </w:p>
    <w:p w:rsidR="00EE13B8" w:rsidRPr="00DA76A7" w:rsidRDefault="00EE13B8" w:rsidP="00EE13B8">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examines the role of international organizations in the formation of international legal foundations of offshore financial centers, examines the problems that offshore financial centers can generate, and measures aimed at regulating their activities.</w:t>
      </w:r>
    </w:p>
    <w:p w:rsidR="00EE13B8" w:rsidRPr="00DA76A7" w:rsidRDefault="00EE13B8" w:rsidP="00EE13B8">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оффшор, оффшорный финансовый центр, финансовые операции.</w:t>
      </w:r>
    </w:p>
    <w:p w:rsidR="00EE13B8" w:rsidRPr="00DA76A7" w:rsidRDefault="00EE13B8" w:rsidP="00EE13B8">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offshore, offshore financial center, financial operations.</w:t>
      </w:r>
    </w:p>
    <w:p w:rsidR="00EE13B8" w:rsidRPr="00DA76A7" w:rsidRDefault="00EE13B8" w:rsidP="00EE13B8">
      <w:pPr>
        <w:ind w:firstLine="567"/>
        <w:jc w:val="both"/>
        <w:rPr>
          <w:rFonts w:ascii="Arial" w:hAnsi="Arial" w:cs="Arial"/>
          <w:i/>
          <w:color w:val="000000" w:themeColor="text1"/>
          <w:sz w:val="22"/>
          <w:szCs w:val="22"/>
          <w:shd w:val="clear" w:color="auto" w:fill="FFFFFF"/>
          <w:lang w:val="en-US"/>
        </w:rPr>
      </w:pP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В настоящее время востребовано исследование деятельности государств и международных организаций, направленной на регулирование отношений, связанных с функционированием оффшорных финансовых центров, в части соответствия международным стандартам в области банковской, страховой деятельности, трастов, </w:t>
      </w:r>
      <w:r w:rsidRPr="00DA76A7">
        <w:rPr>
          <w:rStyle w:val="hl"/>
          <w:rFonts w:ascii="Arial" w:hAnsi="Arial" w:cs="Arial"/>
          <w:color w:val="000000" w:themeColor="text1"/>
          <w:sz w:val="22"/>
          <w:szCs w:val="22"/>
        </w:rPr>
        <w:t xml:space="preserve">противодействия </w:t>
      </w:r>
      <w:r w:rsidRPr="00DA76A7">
        <w:rPr>
          <w:rFonts w:ascii="Arial" w:hAnsi="Arial" w:cs="Arial"/>
          <w:color w:val="000000" w:themeColor="text1"/>
          <w:sz w:val="22"/>
          <w:szCs w:val="22"/>
          <w:shd w:val="clear" w:color="auto" w:fill="FFFFFF"/>
        </w:rPr>
        <w:t>легализации (отмыванию) доходов, полученных </w:t>
      </w:r>
      <w:r w:rsidRPr="00DA76A7">
        <w:rPr>
          <w:rStyle w:val="hl"/>
          <w:rFonts w:ascii="Arial" w:hAnsi="Arial" w:cs="Arial"/>
          <w:color w:val="000000" w:themeColor="text1"/>
          <w:sz w:val="22"/>
          <w:szCs w:val="22"/>
        </w:rPr>
        <w:t>преступным</w:t>
      </w:r>
      <w:r w:rsidRPr="00DA76A7">
        <w:rPr>
          <w:rFonts w:ascii="Arial" w:hAnsi="Arial" w:cs="Arial"/>
          <w:color w:val="000000" w:themeColor="text1"/>
          <w:sz w:val="22"/>
          <w:szCs w:val="22"/>
          <w:shd w:val="clear" w:color="auto" w:fill="FFFFFF"/>
        </w:rPr>
        <w:t> путем и финансированию терроризма, обмена информацией.</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Вопрос о соотношении международного и внутригосударственного права постоянно находится в поле зрения ученых юристов-международников и практиков. Действительно, международное и внутригосударственное право тесно переплетаются в регулировании тех или иных отношений. В отдельных случаях может даже создаваться впечатление, что между данными отраслями отсутствует какая-либо граница, а они представляют собой одну совокупность норм, в связи с чем сам вопрос об их соотношении является устаревшим .</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как справедливо указывает В.М. Шумилов, системный подход к изучению межгосударственных связей является непременной составляющей современного миропонимания, научной методологии, а тенденции развития международного экономического права в XXI веке могут быть поняты, раскрыты и спрогнозированы только на основе анализа взаимодействия систем МРТ - МО/МЭО - МП/МЭП - ВП (международного разделения труда - международных отношений/международных экономических отношений - международного права/международного экономического права — внутригосударственного права) [2, с.212] .</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последние годы к известному спору между монистами и дуалистами добавились новые разногласия по вопросам, непосредственно связанным с соотношением международного и внутригосударственного права. Эти разногласия часто связаны с выделением отдельными учеными т.н. наднационального и транснационального законодательства . При этом, формирование такого законодательства зачастую связывают с деятельностью межгосударственных организаций.</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о транснациональном либо наднациональном законодательстве говорить пока рано (единственным исключением, причем весьма спорным, является Европейский союз) . Однако заметными центрами силы в международном экономическом праве действительно становятся межгосударственные экономические организации.</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правило, в международной торговой системе субъекты международного права применяют два основных метода международно-правового регулирования:</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-метод двустороннего регулирования;</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-метод многостороннего регулирования.</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международной торговой системе, как нигде больше, заметен акцент на метод многостороннего регулирования, в связи с чем происходит усиление роли международных экономических организаций в качестве регулирующих инструментов. Многочисленные межправительственные многосторонние, региональные организации, международные экономические  организации межведомственного характера становятся опорой международного экономического порядка .</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МЭО практически осуществлено переключение с метода двустороннего регулирования на метод многостороннего регулирования. ВТО и другие многосторонние экономические организации стали главными инструментами правового регулирования международной торговой, финансовой, инвестиционной системы. Произошло и происходит укрепление международно-правового режима МЭО. Из максимально совместимого с внутренним законодательством (в ГАТТ) он превращается в режим, в соответствии с которым все государства должны привести свое, внутреннее право (в ВТО).</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Например, в настоящее время МВФ обладает компетенцией принимать обязательные для государств-членов решения более чем по 40 вопросам10. Действительно, в соответствии с п. ш абз. 1 ст. IV Соглашения об МВФ, государства не имеют права самостоятельно манипулировать ставками валют в международной финансовой системе. Согласно п. «а» абз. 2 ст. VIII государства-члены не вправе по общему правилу без согласия фонда налагать какие-либо ограничения на осуществление платежей и переводов по текущим международным валютным операциям. В соответствии с ч. 3 ст. VIII государства-члены не вправе осуществлять или разрешать своим финансовым органам осуществлять какие-либо дискриминационные действия или вести неоднообразную валютную практику внутри или вне своих границ, если только это не разрешено Соглашением или не одобрено Фондом. Даже в отношении государственных резервов обязательным является взаимодействие с Фондом по вопросу соответствия проводимой резервной политики задачам улучшения международного надзора за ликвидностью на международном валютном рынке (абз. 7 ст. VIII Соглашения).</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отмечает В.Н. Мяснянкин, «акты международных организаций могут иметь нормотворческий характер в том случае и в том объеме, как это предусмотрено учредительными документами этих структур. В основном отмечается три способа формирования международных обязательств для государств-членов в деятельности международных организаций:</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w:t>
      </w:r>
      <w:r w:rsidRPr="00DA76A7">
        <w:rPr>
          <w:rFonts w:ascii="Arial" w:hAnsi="Arial" w:cs="Arial"/>
          <w:color w:val="000000" w:themeColor="text1"/>
          <w:sz w:val="22"/>
          <w:szCs w:val="22"/>
        </w:rPr>
        <w:tab/>
        <w:t>решения тех или иных органов международной организации; юридическая обязательность которых для государств-членов зафиксирована в учредительных документах;</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w:t>
      </w:r>
      <w:r w:rsidRPr="00DA76A7">
        <w:rPr>
          <w:rFonts w:ascii="Arial" w:hAnsi="Arial" w:cs="Arial"/>
          <w:color w:val="000000" w:themeColor="text1"/>
          <w:sz w:val="22"/>
          <w:szCs w:val="22"/>
        </w:rPr>
        <w:tab/>
        <w:t>конвенции, разрабатываемые в рамках международной организации; обязательства по ним. признаются- государствами так же, как по любым другим договорам; применение норм таких конвенций в российской правовой системе не имеет отличий от применения норм других международных договоров;</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w:t>
      </w:r>
      <w:r w:rsidRPr="00DA76A7">
        <w:rPr>
          <w:rFonts w:ascii="Arial" w:hAnsi="Arial" w:cs="Arial"/>
          <w:color w:val="000000" w:themeColor="text1"/>
          <w:sz w:val="22"/>
          <w:szCs w:val="22"/>
        </w:rPr>
        <w:tab/>
        <w:t>рекомендации, которые обычно не имеют юридически обязательного характера (в данном случае нельзя говорить о международно-правовых обязательствах, а лишь о политических, если только таковые принимаются- государствами); но могут быть случаи, когда государства-члены договорились придать рекомендациям обязательную силу» [1, с.173].</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Акты, принимаемые отдельными органами международной организации, носят разные названия, и в процессе их разработки наблюдается большая специфика в каждой- организации. Эти акты могут быть различными по своим функциям: они могут быть источником права, правоприменительным актом (актом толкования права) либо вообще не иметь правового характера. В разработке правовых и правоприменительных актов большое значение имеет не только международное право, которое применимо, конечно, к отношениям между государствами - членами организации, но и внутреннее право каждой отдельно взятой организации</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Отдельными авторами международные организации рассматриваются в качестве олицетворяющих определенные нормы и «преподающих» их национальным государствам . Последние исследования, вдохновленные как моделью Принципал-Агент, так и социологией организации, содержат информацию о том, что международные организации не обязательно делают то, что им говорят делать их принципалы, и достаточно активны в инициации новой политики в каких-либо сферах.</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отмечает Б.Л. Зимненко, «в ходе реализации в сфере внутригосударственных отношений норм национального права и/или положений, содержащихся в источниках международного права, государственные органы вправе принимать во внимание, в том числе учитывать при толковании, решения международных организаций, ставшие источником международного права для государства, решения международных организаций, не являющихся источником международного права, однако, которые могут быть использованы правореализующим органом, к примеру, в качестве одного из доказательств существования обычной нормы, а также в качестве доказательства содержания соответствующей правовой нормы. Но решение международной организации может учитываться также при толковании положений, закрепленных в источнике международного права, в случае, когда такое решение, не представляя собой источника международного права, является результатом толкования международной организацией соответствующих норм международного права. При этом, следуя В. Моравецкому, который подчеркивал, что международную организацию можно рассматривать как форму отношений сотрудничества государств-членов, Б.Л. Зимненко справедливо приходит к выводу, что правоприменительную деятельность международных межправительственных организаций можно рассматривать в качестве одной из форм «последующей практики применения договора, которая устанавливает соглашение участников относительно его толкования»[1, с.164].</w:t>
      </w:r>
    </w:p>
    <w:p w:rsidR="00EE13B8" w:rsidRPr="00DA76A7" w:rsidRDefault="00EE13B8" w:rsidP="00EE13B8">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можно провести классификацию решений межгосударственных организаций:</w:t>
      </w:r>
    </w:p>
    <w:p w:rsidR="00EE13B8" w:rsidRPr="00DA76A7" w:rsidRDefault="00EE13B8" w:rsidP="00EE13B8">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w:t>
      </w:r>
      <w:r w:rsidRPr="00DA76A7">
        <w:rPr>
          <w:rFonts w:ascii="Arial" w:hAnsi="Arial" w:cs="Arial"/>
          <w:color w:val="000000" w:themeColor="text1"/>
          <w:sz w:val="22"/>
          <w:szCs w:val="22"/>
        </w:rPr>
        <w:tab/>
        <w:t>порождающие напрямую международно-правовые обязательства участвующих в них государств, в том числе решения правоприменительного характера.</w:t>
      </w:r>
    </w:p>
    <w:p w:rsidR="00EE13B8" w:rsidRPr="00DA76A7" w:rsidRDefault="00EE13B8" w:rsidP="00EE13B8">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w:t>
      </w:r>
      <w:r w:rsidRPr="00DA76A7">
        <w:rPr>
          <w:rFonts w:ascii="Arial" w:hAnsi="Arial" w:cs="Arial"/>
          <w:color w:val="000000" w:themeColor="text1"/>
          <w:sz w:val="22"/>
          <w:szCs w:val="22"/>
        </w:rPr>
        <w:tab/>
        <w:t>рекомендательного характера, не являющиеся международно¬правовыми актами или актами применения международного права, относящиеся к толкованию договоров и принципов международного права (в том числе посредством органов по разрешению споров), когда такое толкование не обязательно для государств (например в необязательных резолюциях). Но если другое государство через своего представителя выразило определенную позицию относительно спора между -другими государствами, и таким образом, истолковало международный договор (например, посредством толкования Советом управляющих или исполнительным советом МБРР, МВФ), то следует говорить о том, что государство должно быть связано таким своим толкованием, в том числе если аналогичный спор возникнет в отношении него (эстоппель). В этом случае такое государство должно принять меры для того, чтобы его внутригосударственные органы учитывали толкование международного договора, сделанное государством.</w:t>
      </w:r>
    </w:p>
    <w:p w:rsidR="00EE13B8" w:rsidRPr="00DA76A7" w:rsidRDefault="00EE13B8" w:rsidP="00EE13B8">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w:t>
      </w:r>
      <w:r w:rsidRPr="00DA76A7">
        <w:rPr>
          <w:rFonts w:ascii="Arial" w:hAnsi="Arial" w:cs="Arial"/>
          <w:color w:val="000000" w:themeColor="text1"/>
          <w:sz w:val="22"/>
          <w:szCs w:val="22"/>
        </w:rPr>
        <w:tab/>
        <w:t>рекомендательного характера, не связанные с толкованием международно-правовых актов или с их применением, но рекомендующие определенное поведение государствам.</w:t>
      </w:r>
    </w:p>
    <w:p w:rsidR="00EE13B8" w:rsidRDefault="00EE13B8" w:rsidP="00EE13B8">
      <w:pPr>
        <w:ind w:firstLine="567"/>
        <w:jc w:val="both"/>
        <w:rPr>
          <w:rFonts w:ascii="Arial" w:hAnsi="Arial" w:cs="Arial"/>
          <w:color w:val="000000" w:themeColor="text1"/>
          <w:sz w:val="22"/>
          <w:szCs w:val="22"/>
        </w:rPr>
      </w:pPr>
    </w:p>
    <w:p w:rsidR="003A625F" w:rsidRPr="00DA76A7" w:rsidRDefault="003A625F" w:rsidP="00EE13B8">
      <w:pPr>
        <w:ind w:firstLine="567"/>
        <w:jc w:val="both"/>
        <w:rPr>
          <w:rFonts w:ascii="Arial" w:hAnsi="Arial" w:cs="Arial"/>
          <w:color w:val="000000" w:themeColor="text1"/>
          <w:sz w:val="22"/>
          <w:szCs w:val="22"/>
        </w:rPr>
      </w:pPr>
    </w:p>
    <w:p w:rsidR="00EE13B8" w:rsidRPr="00DA76A7" w:rsidRDefault="00EE13B8" w:rsidP="00EE13B8">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EE13B8" w:rsidRPr="00DA76A7" w:rsidRDefault="00EE13B8" w:rsidP="00EE13B8">
      <w:pPr>
        <w:tabs>
          <w:tab w:val="left" w:pos="344"/>
          <w:tab w:val="left" w:pos="864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w:t>
      </w:r>
      <w:r w:rsidRPr="00DA76A7">
        <w:rPr>
          <w:rFonts w:ascii="Arial" w:hAnsi="Arial" w:cs="Arial"/>
          <w:b/>
          <w:bCs/>
          <w:color w:val="000000" w:themeColor="text1"/>
          <w:sz w:val="22"/>
          <w:szCs w:val="22"/>
          <w:lang w:bidi="ru-RU"/>
        </w:rPr>
        <w:t xml:space="preserve"> </w:t>
      </w:r>
      <w:r w:rsidRPr="00DA76A7">
        <w:rPr>
          <w:rFonts w:ascii="Arial" w:hAnsi="Arial" w:cs="Arial"/>
          <w:color w:val="000000" w:themeColor="text1"/>
          <w:sz w:val="22"/>
          <w:szCs w:val="22"/>
        </w:rPr>
        <w:t>Зимненко Б.Л. Международное право и правовая система Российской Федерации. - М.: Статут, 2006. – 367 с.</w:t>
      </w:r>
    </w:p>
    <w:p w:rsidR="00EE13B8" w:rsidRPr="00DA76A7" w:rsidRDefault="00EE13B8" w:rsidP="00EE13B8">
      <w:pPr>
        <w:tabs>
          <w:tab w:val="left" w:pos="344"/>
          <w:tab w:val="left" w:pos="8647"/>
        </w:tabs>
        <w:ind w:firstLine="567"/>
        <w:jc w:val="both"/>
        <w:rPr>
          <w:rFonts w:ascii="Arial" w:hAnsi="Arial" w:cs="Arial"/>
          <w:bCs/>
          <w:color w:val="000000" w:themeColor="text1"/>
          <w:sz w:val="22"/>
          <w:szCs w:val="22"/>
          <w:lang w:bidi="ru-RU"/>
        </w:rPr>
      </w:pPr>
      <w:r w:rsidRPr="00DA76A7">
        <w:rPr>
          <w:rFonts w:ascii="Arial" w:hAnsi="Arial" w:cs="Arial"/>
          <w:color w:val="000000" w:themeColor="text1"/>
          <w:sz w:val="22"/>
          <w:szCs w:val="22"/>
        </w:rPr>
        <w:t xml:space="preserve">2. </w:t>
      </w:r>
      <w:r w:rsidRPr="00DA76A7">
        <w:rPr>
          <w:rFonts w:ascii="Arial" w:hAnsi="Arial" w:cs="Arial"/>
          <w:bCs/>
          <w:color w:val="000000" w:themeColor="text1"/>
          <w:sz w:val="22"/>
          <w:szCs w:val="22"/>
          <w:lang w:bidi="ru-RU"/>
        </w:rPr>
        <w:t xml:space="preserve">Мяснянкин В.Н. Применение в российской правовой системе актов международных организаций /Юридический мир. -  2006. - </w:t>
      </w:r>
      <w:r w:rsidRPr="00DA76A7">
        <w:rPr>
          <w:rFonts w:ascii="Arial" w:hAnsi="Arial" w:cs="Arial"/>
          <w:bCs/>
          <w:color w:val="000000" w:themeColor="text1"/>
          <w:sz w:val="22"/>
          <w:szCs w:val="22"/>
          <w:lang w:val="en-US" w:bidi="en-US"/>
        </w:rPr>
        <w:t>N</w:t>
      </w:r>
      <w:r w:rsidRPr="00DA76A7">
        <w:rPr>
          <w:rFonts w:ascii="Arial" w:hAnsi="Arial" w:cs="Arial"/>
          <w:bCs/>
          <w:color w:val="000000" w:themeColor="text1"/>
          <w:sz w:val="22"/>
          <w:szCs w:val="22"/>
          <w:lang w:bidi="en-US"/>
        </w:rPr>
        <w:t xml:space="preserve"> </w:t>
      </w:r>
      <w:r w:rsidRPr="00DA76A7">
        <w:rPr>
          <w:rFonts w:ascii="Arial" w:hAnsi="Arial" w:cs="Arial"/>
          <w:bCs/>
          <w:color w:val="000000" w:themeColor="text1"/>
          <w:sz w:val="22"/>
          <w:szCs w:val="22"/>
          <w:lang w:bidi="ru-RU"/>
        </w:rPr>
        <w:t>3. - С. 72.- 76.</w:t>
      </w:r>
    </w:p>
    <w:p w:rsidR="00EE13B8" w:rsidRDefault="00EE13B8" w:rsidP="00EE13B8">
      <w:pPr>
        <w:tabs>
          <w:tab w:val="left" w:pos="8647"/>
        </w:tabs>
        <w:ind w:firstLine="567"/>
        <w:jc w:val="both"/>
        <w:rPr>
          <w:rFonts w:ascii="Arial" w:eastAsia="Microsoft Sans Serif" w:hAnsi="Arial" w:cs="Arial"/>
          <w:color w:val="000000" w:themeColor="text1"/>
          <w:sz w:val="22"/>
          <w:szCs w:val="22"/>
          <w:lang w:bidi="ru-RU"/>
        </w:rPr>
      </w:pPr>
      <w:r w:rsidRPr="00DA76A7">
        <w:rPr>
          <w:rFonts w:ascii="Arial" w:hAnsi="Arial" w:cs="Arial"/>
          <w:color w:val="000000" w:themeColor="text1"/>
          <w:sz w:val="22"/>
          <w:szCs w:val="22"/>
        </w:rPr>
        <w:t>3.</w:t>
      </w:r>
      <w:r w:rsidRPr="00DA76A7">
        <w:rPr>
          <w:rFonts w:ascii="Arial" w:eastAsia="Microsoft Sans Serif" w:hAnsi="Arial" w:cs="Arial"/>
          <w:color w:val="000000" w:themeColor="text1"/>
          <w:sz w:val="22"/>
          <w:szCs w:val="22"/>
          <w:lang w:bidi="ru-RU"/>
        </w:rPr>
        <w:t xml:space="preserve"> Шумилов В.М. Международное экономическое право в эпоху глобализации. - М.: Междунар. отношения, 2003. – 450 с.</w:t>
      </w:r>
    </w:p>
    <w:p w:rsidR="003A625F" w:rsidRPr="00DA76A7" w:rsidRDefault="003A625F" w:rsidP="00EE13B8">
      <w:pPr>
        <w:tabs>
          <w:tab w:val="left" w:pos="8647"/>
        </w:tabs>
        <w:ind w:firstLine="567"/>
        <w:jc w:val="both"/>
        <w:rPr>
          <w:rFonts w:ascii="Arial" w:hAnsi="Arial" w:cs="Arial"/>
          <w:color w:val="000000" w:themeColor="text1"/>
          <w:sz w:val="22"/>
          <w:szCs w:val="22"/>
        </w:rPr>
      </w:pPr>
    </w:p>
    <w:p w:rsidR="008E7108" w:rsidRDefault="008E7108" w:rsidP="00A969C6">
      <w:pPr>
        <w:jc w:val="center"/>
        <w:rPr>
          <w:rFonts w:ascii="Arial" w:hAnsi="Arial" w:cs="Arial"/>
          <w:b/>
          <w:color w:val="000000" w:themeColor="text1"/>
          <w:sz w:val="22"/>
          <w:szCs w:val="22"/>
          <w:lang w:bidi="ru-RU"/>
        </w:rPr>
      </w:pPr>
    </w:p>
    <w:p w:rsidR="003A625F" w:rsidRDefault="003A625F" w:rsidP="00A969C6">
      <w:pPr>
        <w:jc w:val="center"/>
        <w:rPr>
          <w:rFonts w:ascii="Arial" w:hAnsi="Arial" w:cs="Arial"/>
          <w:b/>
          <w:color w:val="000000" w:themeColor="text1"/>
          <w:sz w:val="22"/>
          <w:szCs w:val="22"/>
          <w:lang w:bidi="ru-RU"/>
        </w:rPr>
      </w:pPr>
    </w:p>
    <w:p w:rsidR="00A969C6" w:rsidRPr="00DA76A7" w:rsidRDefault="00A969C6" w:rsidP="00A969C6">
      <w:pPr>
        <w:jc w:val="center"/>
        <w:rPr>
          <w:rFonts w:ascii="Arial" w:hAnsi="Arial" w:cs="Arial"/>
          <w:b/>
          <w:color w:val="000000" w:themeColor="text1"/>
          <w:sz w:val="22"/>
          <w:szCs w:val="22"/>
          <w:lang w:bidi="ru-RU"/>
        </w:rPr>
      </w:pPr>
      <w:r w:rsidRPr="00DA76A7">
        <w:rPr>
          <w:rFonts w:ascii="Arial" w:hAnsi="Arial" w:cs="Arial"/>
          <w:b/>
          <w:color w:val="000000" w:themeColor="text1"/>
          <w:sz w:val="22"/>
          <w:szCs w:val="22"/>
          <w:lang w:bidi="ru-RU"/>
        </w:rPr>
        <w:t>ТЕОРЕТИКО-МЕТОДОЛОГИЧЕСКИЕ АСПЕКТЫ ОЦЕНКИ РОЛИ ОФФШОРНОГО БИЗНЕСА И ГЕНЕЗИС ПРАВОВЫХ МЕХАНИЗМОВ УПРАВЛЕНИЯ МИРОВОЙ ЭКОНОМИКОЙ</w:t>
      </w:r>
    </w:p>
    <w:p w:rsidR="00A969C6" w:rsidRPr="00DA76A7" w:rsidRDefault="00A969C6" w:rsidP="00A969C6">
      <w:pPr>
        <w:jc w:val="center"/>
        <w:rPr>
          <w:rFonts w:ascii="Arial" w:eastAsia="Calibri" w:hAnsi="Arial" w:cs="Arial"/>
          <w:color w:val="000000" w:themeColor="text1"/>
          <w:sz w:val="22"/>
          <w:szCs w:val="22"/>
        </w:rPr>
      </w:pPr>
    </w:p>
    <w:p w:rsidR="00A969C6" w:rsidRPr="00DA76A7" w:rsidRDefault="00A969C6" w:rsidP="00A969C6">
      <w:pPr>
        <w:jc w:val="center"/>
        <w:rPr>
          <w:rFonts w:ascii="Arial" w:eastAsia="Calibri" w:hAnsi="Arial" w:cs="Arial"/>
          <w:b/>
          <w:color w:val="000000" w:themeColor="text1"/>
          <w:sz w:val="22"/>
          <w:szCs w:val="22"/>
          <w:shd w:val="clear" w:color="auto" w:fill="FFFFFF"/>
        </w:rPr>
      </w:pPr>
      <w:r w:rsidRPr="00DA76A7">
        <w:rPr>
          <w:rFonts w:ascii="Arial" w:eastAsia="Calibri" w:hAnsi="Arial" w:cs="Arial"/>
          <w:b/>
          <w:color w:val="000000" w:themeColor="text1"/>
          <w:sz w:val="22"/>
          <w:szCs w:val="22"/>
        </w:rPr>
        <w:t>Рустамова Нигина Дилшодовна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A969C6" w:rsidRPr="00DA76A7" w:rsidRDefault="00A969C6" w:rsidP="00A969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rPr>
        <w:t>734025, Республика Таджикистан, г. Душанбе, ул. М</w:t>
      </w:r>
      <w:r w:rsidRPr="00DA76A7">
        <w:rPr>
          <w:rFonts w:ascii="Arial" w:eastAsia="Calibri" w:hAnsi="Arial" w:cs="Arial"/>
          <w:color w:val="000000" w:themeColor="text1"/>
          <w:sz w:val="22"/>
          <w:szCs w:val="22"/>
          <w:lang w:val="en-US"/>
        </w:rPr>
        <w:t xml:space="preserve">. </w:t>
      </w:r>
      <w:r w:rsidRPr="00DA76A7">
        <w:rPr>
          <w:rFonts w:ascii="Arial" w:eastAsia="Calibri" w:hAnsi="Arial" w:cs="Arial"/>
          <w:color w:val="000000" w:themeColor="text1"/>
          <w:sz w:val="22"/>
          <w:szCs w:val="22"/>
        </w:rPr>
        <w:t>Турсунзаде</w:t>
      </w:r>
      <w:r w:rsidRPr="00DA76A7">
        <w:rPr>
          <w:rFonts w:ascii="Arial" w:eastAsia="Calibri" w:hAnsi="Arial" w:cs="Arial"/>
          <w:color w:val="000000" w:themeColor="text1"/>
          <w:sz w:val="22"/>
          <w:szCs w:val="22"/>
          <w:lang w:val="en-US"/>
        </w:rPr>
        <w:t>, 30</w:t>
      </w:r>
    </w:p>
    <w:p w:rsidR="00A969C6" w:rsidRPr="00DA76A7" w:rsidRDefault="00A969C6" w:rsidP="00A969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e-mail: rustamova-nigina@mail.ru</w:t>
      </w:r>
    </w:p>
    <w:p w:rsidR="00A969C6" w:rsidRDefault="00A969C6" w:rsidP="00A969C6">
      <w:pPr>
        <w:jc w:val="center"/>
        <w:rPr>
          <w:rFonts w:ascii="Arial" w:eastAsia="Calibri" w:hAnsi="Arial" w:cs="Arial"/>
          <w:b/>
          <w:color w:val="000000" w:themeColor="text1"/>
          <w:sz w:val="22"/>
          <w:szCs w:val="22"/>
          <w:lang w:val="en-US"/>
        </w:rPr>
      </w:pPr>
    </w:p>
    <w:p w:rsidR="003A625F" w:rsidRDefault="003A625F" w:rsidP="00A969C6">
      <w:pPr>
        <w:jc w:val="center"/>
        <w:rPr>
          <w:rFonts w:ascii="Arial" w:eastAsia="Calibri" w:hAnsi="Arial" w:cs="Arial"/>
          <w:b/>
          <w:color w:val="000000" w:themeColor="text1"/>
          <w:sz w:val="22"/>
          <w:szCs w:val="22"/>
          <w:lang w:val="en-US"/>
        </w:rPr>
      </w:pPr>
    </w:p>
    <w:p w:rsidR="003A625F" w:rsidRDefault="003A625F" w:rsidP="00A969C6">
      <w:pPr>
        <w:jc w:val="center"/>
        <w:rPr>
          <w:rFonts w:ascii="Arial" w:eastAsia="Calibri" w:hAnsi="Arial" w:cs="Arial"/>
          <w:b/>
          <w:color w:val="000000" w:themeColor="text1"/>
          <w:sz w:val="22"/>
          <w:szCs w:val="22"/>
          <w:lang w:val="en-US"/>
        </w:rPr>
      </w:pPr>
    </w:p>
    <w:p w:rsidR="003A625F" w:rsidRDefault="003A625F" w:rsidP="00A969C6">
      <w:pPr>
        <w:jc w:val="center"/>
        <w:rPr>
          <w:rFonts w:ascii="Arial" w:eastAsia="Calibri" w:hAnsi="Arial" w:cs="Arial"/>
          <w:b/>
          <w:color w:val="000000" w:themeColor="text1"/>
          <w:sz w:val="22"/>
          <w:szCs w:val="22"/>
          <w:lang w:val="en-US"/>
        </w:rPr>
      </w:pPr>
    </w:p>
    <w:p w:rsidR="003A625F" w:rsidRDefault="003A625F" w:rsidP="00A969C6">
      <w:pPr>
        <w:jc w:val="center"/>
        <w:rPr>
          <w:rFonts w:ascii="Arial" w:eastAsia="Calibri" w:hAnsi="Arial" w:cs="Arial"/>
          <w:b/>
          <w:color w:val="000000" w:themeColor="text1"/>
          <w:sz w:val="22"/>
          <w:szCs w:val="22"/>
          <w:lang w:val="en-US"/>
        </w:rPr>
      </w:pPr>
    </w:p>
    <w:p w:rsidR="003A625F" w:rsidRDefault="003A625F" w:rsidP="00A969C6">
      <w:pPr>
        <w:jc w:val="center"/>
        <w:rPr>
          <w:rFonts w:ascii="Arial" w:eastAsia="Calibri" w:hAnsi="Arial" w:cs="Arial"/>
          <w:b/>
          <w:color w:val="000000" w:themeColor="text1"/>
          <w:sz w:val="22"/>
          <w:szCs w:val="22"/>
          <w:lang w:val="en-US"/>
        </w:rPr>
      </w:pPr>
    </w:p>
    <w:p w:rsidR="003A625F" w:rsidRDefault="003A625F" w:rsidP="00A969C6">
      <w:pPr>
        <w:jc w:val="center"/>
        <w:rPr>
          <w:rFonts w:ascii="Arial" w:eastAsia="Calibri" w:hAnsi="Arial" w:cs="Arial"/>
          <w:b/>
          <w:color w:val="000000" w:themeColor="text1"/>
          <w:sz w:val="22"/>
          <w:szCs w:val="22"/>
          <w:lang w:val="en-US"/>
        </w:rPr>
      </w:pPr>
    </w:p>
    <w:p w:rsidR="003A625F" w:rsidRPr="00DA76A7" w:rsidRDefault="003A625F" w:rsidP="00A969C6">
      <w:pPr>
        <w:jc w:val="center"/>
        <w:rPr>
          <w:rFonts w:ascii="Arial" w:eastAsia="Calibri" w:hAnsi="Arial" w:cs="Arial"/>
          <w:b/>
          <w:color w:val="000000" w:themeColor="text1"/>
          <w:sz w:val="22"/>
          <w:szCs w:val="22"/>
          <w:lang w:val="en-US"/>
        </w:rPr>
      </w:pPr>
    </w:p>
    <w:p w:rsidR="00A969C6" w:rsidRPr="00DA76A7" w:rsidRDefault="00A969C6" w:rsidP="00A969C6">
      <w:pPr>
        <w:jc w:val="center"/>
        <w:rPr>
          <w:rFonts w:ascii="Arial" w:eastAsia="Calibri" w:hAnsi="Arial" w:cs="Arial"/>
          <w:b/>
          <w:color w:val="000000" w:themeColor="text1"/>
          <w:sz w:val="22"/>
          <w:szCs w:val="22"/>
          <w:lang w:val="en-US"/>
        </w:rPr>
      </w:pPr>
      <w:r w:rsidRPr="00DA76A7">
        <w:rPr>
          <w:rFonts w:ascii="Arial" w:eastAsia="Calibri" w:hAnsi="Arial" w:cs="Arial"/>
          <w:b/>
          <w:color w:val="000000" w:themeColor="text1"/>
          <w:sz w:val="22"/>
          <w:szCs w:val="22"/>
          <w:lang w:val="en-US"/>
        </w:rPr>
        <w:t>THEORETIC-METHODOLOGICAL ASPECTS OF EVALUATION OF THE ROLE OF OFFSHORE BUSINESS AND THE GENESIS OF LEGAL MECHANISMS OF MANAGING THE WORLD ECONOMY</w:t>
      </w:r>
    </w:p>
    <w:p w:rsidR="00A969C6" w:rsidRPr="00DA76A7" w:rsidRDefault="00A969C6" w:rsidP="00A969C6">
      <w:pPr>
        <w:jc w:val="center"/>
        <w:rPr>
          <w:rFonts w:ascii="Arial" w:eastAsia="Calibri" w:hAnsi="Arial" w:cs="Arial"/>
          <w:color w:val="000000" w:themeColor="text1"/>
          <w:sz w:val="22"/>
          <w:szCs w:val="22"/>
          <w:lang w:val="en-US"/>
        </w:rPr>
      </w:pPr>
    </w:p>
    <w:p w:rsidR="00A969C6" w:rsidRPr="00DA76A7" w:rsidRDefault="00A969C6" w:rsidP="00A969C6">
      <w:pPr>
        <w:jc w:val="center"/>
        <w:rPr>
          <w:rFonts w:ascii="Arial" w:eastAsia="Calibri" w:hAnsi="Arial" w:cs="Arial"/>
          <w:b/>
          <w:color w:val="000000" w:themeColor="text1"/>
          <w:sz w:val="22"/>
          <w:szCs w:val="22"/>
          <w:lang w:val="en-US"/>
        </w:rPr>
      </w:pPr>
      <w:r w:rsidRPr="00DA76A7">
        <w:rPr>
          <w:rFonts w:ascii="Arial" w:eastAsia="Calibri" w:hAnsi="Arial" w:cs="Arial"/>
          <w:b/>
          <w:color w:val="000000" w:themeColor="text1"/>
          <w:sz w:val="22"/>
          <w:szCs w:val="22"/>
          <w:lang w:val="en-US"/>
        </w:rPr>
        <w:t>Rustamova Nigina Dilshodovna</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A969C6" w:rsidRPr="00DA76A7" w:rsidRDefault="00A969C6" w:rsidP="00A969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Russian-Tajik (Slavonic) university</w:t>
      </w:r>
    </w:p>
    <w:p w:rsidR="00A969C6" w:rsidRPr="00DA76A7" w:rsidRDefault="00A969C6" w:rsidP="00A969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 xml:space="preserve"> 734025, Republic of Tajikistan, Dushanbe, M. Tursunzade str., 30</w:t>
      </w:r>
    </w:p>
    <w:p w:rsidR="00A969C6" w:rsidRPr="00DA76A7" w:rsidRDefault="00A969C6" w:rsidP="00A969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e-mail: rustamova-nigina@mail.ru</w:t>
      </w:r>
    </w:p>
    <w:p w:rsidR="00A969C6" w:rsidRPr="00DA76A7" w:rsidRDefault="00A969C6" w:rsidP="00A969C6">
      <w:pPr>
        <w:ind w:firstLine="567"/>
        <w:jc w:val="both"/>
        <w:rPr>
          <w:rFonts w:ascii="Arial" w:eastAsia="Calibri" w:hAnsi="Arial" w:cs="Arial"/>
          <w:b/>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к.ю.н., доцент Пулатов А.С. </w:t>
      </w:r>
    </w:p>
    <w:p w:rsidR="00A969C6" w:rsidRPr="00DA76A7" w:rsidRDefault="00A969C6" w:rsidP="00A969C6">
      <w:pPr>
        <w:ind w:firstLine="567"/>
        <w:jc w:val="right"/>
        <w:rPr>
          <w:rFonts w:ascii="Arial" w:eastAsia="Calibri" w:hAnsi="Arial" w:cs="Arial"/>
          <w:b/>
          <w:color w:val="000000" w:themeColor="text1"/>
          <w:sz w:val="22"/>
          <w:szCs w:val="22"/>
        </w:rPr>
      </w:pPr>
    </w:p>
    <w:p w:rsidR="00A969C6" w:rsidRPr="00DA76A7" w:rsidRDefault="00B46B9E" w:rsidP="00A969C6">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Аннотация.</w:t>
      </w:r>
      <w:r w:rsidR="00A969C6" w:rsidRPr="00DA76A7">
        <w:rPr>
          <w:rFonts w:ascii="Arial" w:eastAsia="Calibri" w:hAnsi="Arial" w:cs="Arial"/>
          <w:i/>
          <w:color w:val="000000" w:themeColor="text1"/>
          <w:sz w:val="22"/>
          <w:szCs w:val="22"/>
        </w:rPr>
        <w:t xml:space="preserve"> в статье рассматриваются теоретико-методологические аспекты оценки роли оффшорного бизнеса и генезис правовых механизмов управления мировой экономикой. В настоящее время с ужесточением бюджетной политики государств, борьбы с налоговым мошенничеством, усилением контроля за финансовыми потоками и введением мер по раскрытию налоговой информации, будущее оффшорных зон ставится под сомнение.</w:t>
      </w:r>
    </w:p>
    <w:p w:rsidR="00A969C6" w:rsidRPr="00DA76A7" w:rsidRDefault="00081412" w:rsidP="00A969C6">
      <w:pPr>
        <w:ind w:firstLine="567"/>
        <w:jc w:val="both"/>
        <w:rPr>
          <w:rFonts w:ascii="Arial" w:eastAsia="Calibri" w:hAnsi="Arial" w:cs="Arial"/>
          <w:i/>
          <w:color w:val="000000" w:themeColor="text1"/>
          <w:sz w:val="22"/>
          <w:szCs w:val="22"/>
          <w:lang w:val="en-US"/>
        </w:rPr>
      </w:pPr>
      <w:r w:rsidRPr="00DA76A7">
        <w:rPr>
          <w:rFonts w:ascii="Arial" w:eastAsia="Calibri" w:hAnsi="Arial" w:cs="Arial"/>
          <w:b/>
          <w:i/>
          <w:color w:val="000000" w:themeColor="text1"/>
          <w:sz w:val="22"/>
          <w:szCs w:val="22"/>
          <w:lang w:val="en-US"/>
        </w:rPr>
        <w:t>Annotation.</w:t>
      </w:r>
      <w:r w:rsidR="00A969C6" w:rsidRPr="00DA76A7">
        <w:rPr>
          <w:rFonts w:ascii="Arial" w:eastAsia="Calibri" w:hAnsi="Arial" w:cs="Arial"/>
          <w:i/>
          <w:color w:val="000000" w:themeColor="text1"/>
          <w:sz w:val="22"/>
          <w:szCs w:val="22"/>
          <w:lang w:val="en-US"/>
        </w:rPr>
        <w:t xml:space="preserve"> The article considers theoretical and methodological aspects of the assessment of the role of offshore business and the genesis of legal mechanisms for managing the global economy. At present, with the tightening of the budgetary policy of states, combating tax fraud, strengthening control over financial flows and introducing measures to disclose tax information, the future of offshore zones is being questioned.</w:t>
      </w:r>
    </w:p>
    <w:p w:rsidR="00A969C6" w:rsidRPr="00DA76A7" w:rsidRDefault="00A969C6" w:rsidP="00A969C6">
      <w:pPr>
        <w:ind w:firstLine="567"/>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офшорный бизнес, генезис, мировая экономика.</w:t>
      </w:r>
    </w:p>
    <w:p w:rsidR="00A969C6" w:rsidRPr="00DA76A7" w:rsidRDefault="00A969C6" w:rsidP="00A969C6">
      <w:pPr>
        <w:ind w:firstLine="567"/>
        <w:rPr>
          <w:rFonts w:ascii="Arial" w:eastAsia="Calibri" w:hAnsi="Arial" w:cs="Arial"/>
          <w:i/>
          <w:color w:val="000000" w:themeColor="text1"/>
          <w:sz w:val="22"/>
          <w:szCs w:val="22"/>
          <w:lang w:val="en-US"/>
        </w:rPr>
      </w:pPr>
      <w:r w:rsidRPr="00DA76A7">
        <w:rPr>
          <w:rFonts w:ascii="Arial" w:eastAsia="Calibri" w:hAnsi="Arial" w:cs="Arial"/>
          <w:b/>
          <w:i/>
          <w:color w:val="000000" w:themeColor="text1"/>
          <w:sz w:val="22"/>
          <w:szCs w:val="22"/>
          <w:lang w:val="en-US"/>
        </w:rPr>
        <w:t>Key words:</w:t>
      </w:r>
      <w:r w:rsidRPr="00DA76A7">
        <w:rPr>
          <w:rFonts w:ascii="Arial" w:eastAsia="Calibri" w:hAnsi="Arial" w:cs="Arial"/>
          <w:i/>
          <w:color w:val="000000" w:themeColor="text1"/>
          <w:sz w:val="22"/>
          <w:szCs w:val="22"/>
          <w:lang w:val="en-US"/>
        </w:rPr>
        <w:t xml:space="preserve"> offshore business, genesis, world economy.</w:t>
      </w:r>
    </w:p>
    <w:p w:rsidR="00A969C6" w:rsidRPr="00DA76A7" w:rsidRDefault="00A969C6" w:rsidP="00A969C6">
      <w:pPr>
        <w:ind w:firstLine="567"/>
        <w:jc w:val="both"/>
        <w:rPr>
          <w:rFonts w:ascii="Arial" w:hAnsi="Arial" w:cs="Arial"/>
          <w:i/>
          <w:color w:val="000000" w:themeColor="text1"/>
          <w:sz w:val="22"/>
          <w:szCs w:val="22"/>
          <w:lang w:val="en-US" w:bidi="ru-RU"/>
        </w:rPr>
      </w:pP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Именно 40-е годы XX столетия стали периодом начала формирования современной глобальной экономической системы. Её основные черты фактически были намечены Соединёнными Штатами Америки и    Великобританией ещё до окончания второй мировой войны. Заключённые между ними Атлантическая хартия 1941 года, Договор о взаимопомощи 1942 года, Договор по финансовым вопросам 1945 года, уже содержали основные принципы будущего международного экономического порядка.</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Самое существенное в уставах нарождавшихся в тот период международных экономических организаций — Международного валютного фонда (МВФ), Международного банка реконструкции и развития (МБРР) и международной торговой организации (МТО) - было взято из англо- американских проектов, в которые другие государства смогли внести лишь незначительные поправки.</w:t>
      </w:r>
      <w:r w:rsidRPr="00DA76A7">
        <w:rPr>
          <w:rFonts w:ascii="Arial" w:eastAsia="Calibri" w:hAnsi="Arial" w:cs="Arial"/>
          <w:color w:val="000000" w:themeColor="text1"/>
          <w:sz w:val="22"/>
          <w:szCs w:val="22"/>
        </w:rPr>
        <w:t xml:space="preserve"> [1, с.106] .</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Послевоенная организация мира планировалась следующим образом: ООН отводилось место политической его организации, а экономическая часть должна была состоять из трех главных элементов, которые должны были войти в состав специализированных учреждений ООН — МВФ, МБРР и МТО.</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Еще во время второй мировой войны в результате работы Конференции по кредитно-денежным проблемам в Бреттон-Вудсе в июле 1944 года возникли МВФ и МБРР, предназначавшиеся для организации совместных усилий по финансированию восстановления разрушенной войной Европы, а также по предохранению мира от экономических депрессий в будущем. Официальное название Всемирного банка - «Международный банк реконструкции и развития» - отражает его первоначальную миссию. В то время большинство стран в развивающемся мире все еще оставались колониями, а ответственность за их развитие возлагалась на их метрополии.</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Представители от СССР так же принимали участие в работе данной конференции, однако уставные документы МВФ и МБРР, несмотря на выделенное в них для него место, СССР подписывать не стал по причинам особенностей своей политико-экономической системы.</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На первой сессии Экономического и Социального совета Организации Объединенных Наций (ООН) (февраль 1946 г.) была принята резолюция о созыве Конференции по торговле и занятости с целью расширения производства, международной торговли и потребления товаров   . Эта резолюция предусматривала создание Подготовительного комитета из представителей 19 стран, которому поручалась разработка программы конференции, а также проекта конвенции.</w:t>
      </w:r>
      <w:r w:rsidRPr="00DA76A7">
        <w:rPr>
          <w:rFonts w:ascii="Arial" w:eastAsia="Calibri" w:hAnsi="Arial" w:cs="Arial"/>
          <w:color w:val="000000" w:themeColor="text1"/>
          <w:sz w:val="22"/>
          <w:szCs w:val="22"/>
        </w:rPr>
        <w:t xml:space="preserve"> [2, с.18] .</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На первой сессии Подготовительного комитета, проходившей в Лондоне (октябрь 1946 г.), за основу был взят предложенный США и опубликованный в сентябре 1946 г. проект устава международной торговой организации. В разработке проекта участвовали наблюдатели от СССР.</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Идея создания международной торговой организации заключалась в обеспечении единства правил мировой торговли, но не только. Предусматривалось решение революционных для того времени задач: распространение регулирования в целях либерализации на такие, связанные с мировой торговлей (тогда ещё являвшейся почти исключительно торговлей товарами) сферы, как предоставление услуг, международные инвестиции, ограничительная практика и занятость.</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По первоначальному замыслу МТО должна была функционировать в качестве специализированного учреждения ООН, точно так же, как МВФ и МБРР. Членство в МТО предполагало членство в МВФ. Задачи, которые ставились перед МТО по управлению международными торговыми отношениями, были аналогичны задачам МВФ и МБРР с той лишь разницей, что последние отвечали за международные финансовые отношения.</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Устав Международной торговой организации согласовали более 50 стран. Однако в силу того, что вопросы, предполагавшиеся к регулированию этой организацией, были чрезвычайно сложны и масштабны, ряд стран начал ускоренные предварительные переговоры по значительно меньшему кругу наиболее острых проблем, непосредственно касавшихся либерализации мировой торговли. Совокупность указанных тарифных уступок и правил мировой торговли, окончательно одобренная в Женеве (30 октября 1947 г.), получила название Генерального соглашения по тарифам и торговле (ГАТТ- 47), которое вступило в силу с 1 января 1948 года. Текст данного Соглашения включил в себя ряд положений из проекта устава МТО, а именно положения, касающиеся торговой политики (глава IV проекта устава МТО).</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Генеральное соглашение по тарифам и торговле было подписано 30 октября 1947 г. только 23 государствами: Австралией, Бельгией, Бразилией, Бирмой, Канадой, Цейлоном, Чили, Китаем, Кубой, США, Францией, Индией, Ливаном, Люксембургом, Норвегией, Новой Зеландией, Пакистаном, Нидерландами, Южной Родезией, Великобританией, Сирией, Чехословакией и Южно-Африканским Союзом.</w:t>
      </w:r>
      <w:r w:rsidRPr="00DA76A7">
        <w:rPr>
          <w:rFonts w:ascii="Arial" w:eastAsia="Calibri" w:hAnsi="Arial" w:cs="Arial"/>
          <w:color w:val="000000" w:themeColor="text1"/>
          <w:sz w:val="22"/>
          <w:szCs w:val="22"/>
        </w:rPr>
        <w:t xml:space="preserve"> [3, с.37] .</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Процесс согласования проекта устава МТО был завершен в марте 1948 года на Гаванской конференции ООН по торговле и занятости. Однако при ратификации устава МТО национальными парламентами начали возникать различного рода проблемы, и он принят не был.</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Государства-участники ГАТТ-47 приняли решение применять положения Соглашения в качестве временных с 1 января 1948 года. В Протоколе о временном применении ГАТТ-47, подписанном в Женеве 30 октября 1947 г., государства предусмотрели, что Часть II ГАТТ-47 (т.е. основные положения, содержащиеся в ст. П-ХХШ) будут применяться в «степени, максимально совместимой с действующим законодательством» государств-членов. Эта оговорка позволяла договаривающимся сторонам ГАТТ-47 не менять законодательство, действовавшее на момент подписания Соглашения.  Американские представители назвали эту оговорку «дедушкиной оговоркой», поскольку она позволяла сохранять любой ранее принятый внутригосударственный закон, противоречащий Части II ГАТТ-47 (в том числе по коренному вопросу - о национальном режиме).</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Единственным постоянным органом в соответствии с Соглашением, являлся исполнительный секретариат. Что касается урегулирования торговых споров, то этот вопрос оставался неясным и открытым для дальнейшего обсуждения.</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Со временем, обретая новых членов и расширяя свою деятельность, ГАТТ-47 начала выполнять функции неформальной международной торговой организации. В рамках Соглашения стали действовать многочисленные многосторонние межгосударственные органы (комитеты, рабочие группы, Совет ГАТТ и др.). Многие стороны деятельности (наличие постоянного секретариата, способность заключать договоры с иностранными государствами, статус решений договаривающихся сторон, квази- дипломатические представительства, образованные рядом государств при штаб-квартире ГАТТ), довольно ясно свидетельствовали о том, что ГАТТ-47 фактически обладает многими характеристиками, присущими международным организациям. Примерно с середины 60-х годов XX в. в международном праве появилось понимание ГАТТ как международной организации де-факто .</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Развитие исторических процессов в мире, а также опыт, накапливаемый в ходе практической работы, естественным образом находил отражение как в тематике многосторонних торговых переговоров (МТП) в рамках ГАТТ-47, так и в иных правовых положениях, касающихся мировой торговой системы.</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В 1960-1961 гг. прошел «раунд Диллона» МТП. В большей степени тематика раунда была обусловлена возникновением проблем, связанных с созданием Европейского экономического сообщества. В то время многие страны, и в первую очередь США, не были согласны с некоторыми чертами только что созданного ЕЭС. Это касалось вопросов, связанных с установлением единого таможенного тарифа, с главными принципами общей сельскохозяйственной политики ЕЭС, с преференциями, предоставлявшимися в рамках Сообщества.</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В 1964-1967 гг. прошел «раунд Кеннеди» МТП. Начавшаяся после второй мировой войны всеобщая деколонизация и появление в результате этого процесса нескольких десятков новых суверенных государств с ещё не окрепшими экономиками, явились причиной появления в 1965 году ещё одной части ГАТТ-47 под заглавием «Торговля и развитие», которая вступила в силу 27 июня 1966 года. В этой части были зафиксированы обязательства развитых государств по способствованию развитию внешней торговли развивающихся стран.</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Однако положения новой части ГАТТ-47, ввиду некой кретности и широты использованных формулировок, так и не начали должным образом функционировать. Зато, в большей степени для защиты экономик развитых стран, в 1967 году в рамках ГАТТ-47 был принят антидемпинговый кодекс, касающийся применения специальных пошлин против демпинга того или иного вида товара.</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Параллельно с ГАТТ-47 вопросы гармонизация норм и правил мировой экономической системы активно обсуждались и в рамках ООН.</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Генеральная Ассамблея ООН в 1965 г. приняла по этому вопросу резолюцию в которой отмечалось, что расхождения между законодательствами различных государств по вопросу международной торговли препятствуют ее развитию. Для решения этой проблемы Ассамблея в 1966 г. учредила Комиссию ООН по праву международной торговли (ЮНСИТРАЛ).</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После нефтяного кризиса 1973 г., ввергшего экономики промышленно развитых стран в полосу затяжной «стагфляции» - сочетания экономической стагнации с инфляцией, ООН и другие международные организации активно приступили к изучению проблем мировой экономики. В этот период впервые ощутимо проявилось влияние развивающихся стран, особенно экспортеров нефти, и одновременно обнаружилась уязвимость благополучия индустриальных держав. Сложившиеся мирохозяйственные связи нуждались в перестройке.</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В мае 1974 г. на VI специальной сессии ООН были приняты «Декларация об установлении нового международного экономического порядка» и «Программа действий» по установлению нового международного экономического порядка 3201 (S-VI) и 3202 (S-VI), а также резолюция 3281 29- й регулярной сессии Генеральной Ассамблеи ООН (12 декабря 1974 г.) под названием «Хартия экономических прав и обязанностей государств»1.</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Суть программы по установлению нового международного экономического порядка, выдвинутая развивающимися странами и отраженная в документах ООН, сводилась к следующим основным требованиям:</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w:t>
      </w:r>
      <w:r w:rsidRPr="00DA76A7">
        <w:rPr>
          <w:rFonts w:ascii="Arial" w:hAnsi="Arial" w:cs="Arial"/>
          <w:color w:val="000000" w:themeColor="text1"/>
          <w:sz w:val="22"/>
          <w:szCs w:val="22"/>
          <w:lang w:bidi="ru-RU"/>
        </w:rPr>
        <w:tab/>
        <w:t>обеспечение полного и постоянного суверенитета каждого государства над его природными ресурсами и всей экономической деятельностью, включая безусловное право на национализацию;</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w:t>
      </w:r>
      <w:r w:rsidRPr="00DA76A7">
        <w:rPr>
          <w:rFonts w:ascii="Arial" w:hAnsi="Arial" w:cs="Arial"/>
          <w:color w:val="000000" w:themeColor="text1"/>
          <w:sz w:val="22"/>
          <w:szCs w:val="22"/>
          <w:lang w:bidi="ru-RU"/>
        </w:rPr>
        <w:tab/>
        <w:t>разработка механизмов международного обмена и сотрудничества, способных противодействовать неблагоприятным для развивающихся стран изменениям цен на мировом рынке и обеспечивать стабильность условий обмена («условий торговли»), а также содействовать передаче новой техники и технологии, необходимой для модернизации производства в этих странах;</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w:t>
      </w:r>
      <w:r w:rsidRPr="00DA76A7">
        <w:rPr>
          <w:rFonts w:ascii="Arial" w:hAnsi="Arial" w:cs="Arial"/>
          <w:color w:val="000000" w:themeColor="text1"/>
          <w:sz w:val="22"/>
          <w:szCs w:val="22"/>
          <w:lang w:bidi="ru-RU"/>
        </w:rPr>
        <w:tab/>
        <w:t>оказание экономической помощи в целях уменьшения существующих в мире диспропорций и содействия ускорению экономического развития освободившихся от колониальной зависимости стран;</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w:t>
      </w:r>
      <w:r w:rsidRPr="00DA76A7">
        <w:rPr>
          <w:rFonts w:ascii="Arial" w:hAnsi="Arial" w:cs="Arial"/>
          <w:color w:val="000000" w:themeColor="text1"/>
          <w:sz w:val="22"/>
          <w:szCs w:val="22"/>
          <w:lang w:bidi="ru-RU"/>
        </w:rPr>
        <w:tab/>
        <w:t>установление эффективного контроля над деятельностью транс-национальных корпораций.</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Эти требования отражали стремление бывших колоний подвести под завоеванный политический суверенитет базу экономической самостоятельности, без которой подлинный суверенитет немыслим.</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В формирование идей перестройки международного экономического порядка включился и Римский клуб, который в 1976 г. опубликовал доклад «Преобразование мирового порядка» (Reshaping the International Order -RIO) . Проект Римского клуба выходил за рамки чисто экономической тематики и включал предложения по переделу мировой политической архитектуры, ибо     устранение опасных диспропорций в мировой экономике часто упиралось в отсутствие политической воли и международных механизмов их воплощения в жизнь. Идеи доклада оставили заметный след в истории общественной и правовой мысли.</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В 1976 году доклад обсуждался на конференции, организованной Римским клубом совместно с алжирским правительством. Доклад был переведен на многие языки и издан в разных странах.</w:t>
      </w:r>
    </w:p>
    <w:p w:rsidR="00A969C6" w:rsidRPr="00DA76A7" w:rsidRDefault="00A969C6" w:rsidP="00A969C6">
      <w:pPr>
        <w:ind w:firstLine="567"/>
        <w:jc w:val="both"/>
        <w:rPr>
          <w:rFonts w:ascii="Arial" w:hAnsi="Arial" w:cs="Arial"/>
          <w:color w:val="000000" w:themeColor="text1"/>
          <w:sz w:val="22"/>
          <w:szCs w:val="22"/>
          <w:lang w:bidi="ru-RU"/>
        </w:rPr>
      </w:pPr>
      <w:r w:rsidRPr="00DA76A7">
        <w:rPr>
          <w:rFonts w:ascii="Arial" w:hAnsi="Arial" w:cs="Arial"/>
          <w:color w:val="000000" w:themeColor="text1"/>
          <w:sz w:val="22"/>
          <w:szCs w:val="22"/>
          <w:lang w:bidi="ru-RU"/>
        </w:rPr>
        <w:t>Данный доклад предвосхитил активно обсуждаемые ныне предложения по реформе ООН, расширению функций Международного валютного фонда и Всемирного банка, а также проекты создания ряда новых международных экономических организаций. В нем, например, предлагалось учредить организацию по мировой торговле и развитию на базе ЮНКТАД (Конференции ООН по торговле и развитию), мировое агентство по минеральным ресурсам, международное ведомство по транснациональным корпорациям и принять кодекс поведения ТНК; ставился вопрос о совместном управлении «общим достоянием человечества» (Common Heritage of Mankind) — эксплуатацией мирового океана, космического пространства, атмосферы, а в дальнейшем, возможно, и новейших открытий в области науки и техники.</w:t>
      </w:r>
    </w:p>
    <w:p w:rsidR="00A969C6" w:rsidRPr="00DA76A7" w:rsidRDefault="00A969C6" w:rsidP="00A969C6">
      <w:pPr>
        <w:ind w:firstLine="567"/>
        <w:jc w:val="both"/>
        <w:rPr>
          <w:rFonts w:ascii="Arial" w:hAnsi="Arial" w:cs="Arial"/>
          <w:color w:val="000000" w:themeColor="text1"/>
          <w:sz w:val="22"/>
          <w:szCs w:val="22"/>
          <w:lang w:bidi="ru-RU"/>
        </w:rPr>
      </w:pPr>
    </w:p>
    <w:p w:rsidR="00A969C6" w:rsidRPr="00DA76A7" w:rsidRDefault="00A969C6" w:rsidP="00A969C6">
      <w:pPr>
        <w:ind w:firstLine="567"/>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Список литературы: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Николаев А.В. Оффшорные финансовые центры и морская деятельность // Право и политика. - 2006. - №9. -С.105-112.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Петрова Г.В. Основные подходы к формированию международного финансового права как правовой системы // Законодательство и экономика. 2005. - №8. -С.16-21.</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Петченко М.А. Международно-правовое регулирование деятельности оффшорных финансовых центров // Юрист-международник. - 2006. - №2. – С. 35-43.</w:t>
      </w:r>
    </w:p>
    <w:p w:rsidR="00D971C1" w:rsidRDefault="00A969C6" w:rsidP="00EE13B8">
      <w:pPr>
        <w:ind w:firstLine="567"/>
        <w:jc w:val="center"/>
        <w:rPr>
          <w:rFonts w:ascii="Arial" w:hAnsi="Arial" w:cs="Arial"/>
          <w:b/>
          <w:color w:val="000000" w:themeColor="text1"/>
          <w:sz w:val="22"/>
          <w:szCs w:val="22"/>
        </w:rPr>
      </w:pPr>
      <w:r w:rsidRPr="00DA76A7">
        <w:rPr>
          <w:rFonts w:ascii="Arial" w:hAnsi="Arial" w:cs="Arial"/>
          <w:color w:val="000000" w:themeColor="text1"/>
          <w:sz w:val="22"/>
          <w:szCs w:val="22"/>
        </w:rPr>
        <w:br/>
      </w:r>
    </w:p>
    <w:p w:rsidR="003A625F" w:rsidRDefault="003A625F" w:rsidP="00EE13B8">
      <w:pPr>
        <w:ind w:firstLine="567"/>
        <w:jc w:val="center"/>
        <w:rPr>
          <w:rFonts w:ascii="Arial" w:hAnsi="Arial" w:cs="Arial"/>
          <w:b/>
          <w:color w:val="000000" w:themeColor="text1"/>
          <w:sz w:val="22"/>
          <w:szCs w:val="22"/>
        </w:rPr>
      </w:pPr>
    </w:p>
    <w:p w:rsidR="00A969C6" w:rsidRPr="00DA76A7" w:rsidRDefault="00A969C6" w:rsidP="00EE13B8">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ОСНОВНЫЕ НАПРАВЛЕНИЯ ВНЕШНЕЙ ПОЛИТИКИ ЕВРОПЕЙСКОГО СОЮЗА</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Сайфуллоев Салимджон Рустамович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 3-го курса, 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Таджикский национальный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проспект Рудаки 17</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917578488,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78" w:history="1">
        <w:r w:rsidRPr="00DA76A7">
          <w:rPr>
            <w:rStyle w:val="af0"/>
            <w:rFonts w:ascii="Arial" w:hAnsi="Arial" w:cs="Arial"/>
            <w:color w:val="000000" w:themeColor="text1"/>
            <w:sz w:val="22"/>
            <w:szCs w:val="22"/>
            <w:u w:val="none"/>
            <w:lang w:val="en-US"/>
          </w:rPr>
          <w:t>Sayfullozodasr@mail.ru</w:t>
        </w:r>
      </w:hyperlink>
    </w:p>
    <w:p w:rsidR="00A969C6" w:rsidRDefault="00A969C6" w:rsidP="00A969C6">
      <w:pPr>
        <w:jc w:val="center"/>
        <w:rPr>
          <w:rFonts w:ascii="Arial" w:hAnsi="Arial" w:cs="Arial"/>
          <w:b/>
          <w:color w:val="000000" w:themeColor="text1"/>
          <w:sz w:val="22"/>
          <w:szCs w:val="22"/>
          <w:lang w:val="en-US"/>
        </w:rPr>
      </w:pPr>
    </w:p>
    <w:p w:rsidR="003A625F" w:rsidRDefault="003A625F" w:rsidP="00A969C6">
      <w:pPr>
        <w:jc w:val="center"/>
        <w:rPr>
          <w:rFonts w:ascii="Arial" w:hAnsi="Arial" w:cs="Arial"/>
          <w:b/>
          <w:color w:val="000000" w:themeColor="text1"/>
          <w:sz w:val="22"/>
          <w:szCs w:val="22"/>
          <w:lang w:val="en-US"/>
        </w:rPr>
      </w:pPr>
    </w:p>
    <w:p w:rsidR="003A625F" w:rsidRDefault="003A625F" w:rsidP="00A969C6">
      <w:pPr>
        <w:jc w:val="center"/>
        <w:rPr>
          <w:rFonts w:ascii="Arial" w:hAnsi="Arial" w:cs="Arial"/>
          <w:b/>
          <w:color w:val="000000" w:themeColor="text1"/>
          <w:sz w:val="22"/>
          <w:szCs w:val="22"/>
          <w:lang w:val="en-US"/>
        </w:rPr>
      </w:pPr>
    </w:p>
    <w:p w:rsidR="003A625F" w:rsidRDefault="003A625F" w:rsidP="00A969C6">
      <w:pPr>
        <w:jc w:val="center"/>
        <w:rPr>
          <w:rFonts w:ascii="Arial" w:hAnsi="Arial" w:cs="Arial"/>
          <w:b/>
          <w:color w:val="000000" w:themeColor="text1"/>
          <w:sz w:val="22"/>
          <w:szCs w:val="22"/>
          <w:lang w:val="en-US"/>
        </w:rPr>
      </w:pPr>
    </w:p>
    <w:p w:rsidR="003A625F" w:rsidRPr="00DA76A7" w:rsidRDefault="003A625F"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Т</w:t>
      </w:r>
      <w:r w:rsidRPr="00DA76A7">
        <w:rPr>
          <w:rFonts w:ascii="Arial" w:hAnsi="Arial" w:cs="Arial"/>
          <w:b/>
          <w:color w:val="000000" w:themeColor="text1"/>
          <w:sz w:val="22"/>
          <w:szCs w:val="22"/>
          <w:lang w:val="en-US"/>
        </w:rPr>
        <w:t>HE MAIN DIRECTIONS OF FOREIGN POLICY OF THE EUROPEAN UNION</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Sayfulloev Salimjon Rustamovich</w:t>
      </w:r>
    </w:p>
    <w:p w:rsidR="00A969C6" w:rsidRPr="00DA76A7" w:rsidRDefault="00A969C6" w:rsidP="00A96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of 3</w:t>
      </w:r>
      <w:r w:rsidRPr="00DA76A7">
        <w:rPr>
          <w:rFonts w:ascii="Arial" w:hAnsi="Arial" w:cs="Arial"/>
          <w:color w:val="000000" w:themeColor="text1"/>
          <w:sz w:val="22"/>
          <w:szCs w:val="22"/>
          <w:vertAlign w:val="superscript"/>
          <w:lang w:val="en-US"/>
        </w:rPr>
        <w:t>rd</w:t>
      </w:r>
      <w:r w:rsidRPr="00DA76A7">
        <w:rPr>
          <w:rFonts w:ascii="Arial" w:hAnsi="Arial" w:cs="Arial"/>
          <w:color w:val="000000" w:themeColor="text1"/>
          <w:sz w:val="22"/>
          <w:szCs w:val="22"/>
          <w:lang w:val="en-US"/>
        </w:rPr>
        <w:t xml:space="preserve"> yеar full-time of law faculty </w:t>
      </w:r>
    </w:p>
    <w:p w:rsidR="00A969C6" w:rsidRPr="00DA76A7" w:rsidRDefault="00A969C6" w:rsidP="00A96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Tajik national university</w:t>
      </w:r>
    </w:p>
    <w:p w:rsidR="00A969C6" w:rsidRPr="00DA76A7" w:rsidRDefault="00A969C6" w:rsidP="00A96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734025, Republic of Tajikistan, Dushanbe, Rudaki avenue, 17  </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917578488,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79" w:history="1">
        <w:r w:rsidRPr="00DA76A7">
          <w:rPr>
            <w:rStyle w:val="af0"/>
            <w:rFonts w:ascii="Arial" w:hAnsi="Arial" w:cs="Arial"/>
            <w:color w:val="000000" w:themeColor="text1"/>
            <w:sz w:val="22"/>
            <w:szCs w:val="22"/>
            <w:u w:val="none"/>
            <w:lang w:val="en-US"/>
          </w:rPr>
          <w:t>Sayfullozodasr@mail.ru</w:t>
        </w:r>
      </w:hyperlink>
    </w:p>
    <w:p w:rsidR="00A969C6" w:rsidRPr="00DA76A7" w:rsidRDefault="00A969C6" w:rsidP="00A969C6">
      <w:pPr>
        <w:ind w:firstLine="567"/>
        <w:jc w:val="right"/>
        <w:rPr>
          <w:rFonts w:ascii="Arial" w:hAnsi="Arial" w:cs="Arial"/>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к.ю.н., доцент Идиев Ф.Ф </w:t>
      </w:r>
    </w:p>
    <w:p w:rsidR="00A969C6" w:rsidRPr="00DA76A7" w:rsidRDefault="00A969C6" w:rsidP="00A969C6">
      <w:pPr>
        <w:ind w:firstLine="567"/>
        <w:jc w:val="both"/>
        <w:rPr>
          <w:rFonts w:ascii="Arial" w:hAnsi="Arial" w:cs="Arial"/>
          <w:i/>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В данной статье рассматриваются общие положения Внешней политики Европейского Союза, Основы деятельности Европейского Союза по внешней политике политика Европейского Союза по отношению к развивающимся странам и самостоятельные направления внешней политики Европейского Союза. </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 xml:space="preserve">In this article  considering the general position of the the foreign policy of the European Union, the European Union`s fundamentals of  foreign policy, the  policy of the European Union towards developing countries and the independent directions  of the the foreign policy of the European Union.       </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European Union, the foreign policy, the foundations of the European Union`s foreign, human rights, the third countries. </w:t>
      </w:r>
    </w:p>
    <w:p w:rsidR="00A969C6" w:rsidRPr="00DA76A7" w:rsidRDefault="00A969C6" w:rsidP="00A969C6">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Европейский Союз, внешняя политика, Внешнеполитическая деятельность Европейского Союза, права человека, третья страна</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Внешней политики Европейского Союза признается политика Европейского Союза по отношению к третьим странам, которая проводиться по нескольким направлениям. Внешнюю политику Европейского Союза осуществляют его институты,  которые в свою очередь наделены особыми полномочиями, различающихся по объему.</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Основу деятельности Европейского Союза по внешней политике составляют  ценности, которыми являются подержание мира на основе прав человека достоинство, свобода, равенства, справедливости и солидарности.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Внешнеполитическая деятельность Европейского Союза основывается на определенных целях, предусмотренных в Маастрихтском договоре от 1992 года. Согласно статье 11 данного договора цели внешнеполитической  деятельности Европейского Союза таковы:</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защита общих ценностей, основных интересов, независимости и целостности Союза в соответствии с принципами Устава Организации Объединенных Наций;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всемерное укрепление безопасности Союза;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сохранение мира и укрепление международной безопасности в соответствии с принципами Устава Объединенных Наций, равно как и принципами Хельсинкского Заключительного акта и целями Парижской хартии, включая те, что относятся к внешним границам;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содействие международному сотрудничеству;</w:t>
      </w:r>
    </w:p>
    <w:p w:rsidR="00A969C6" w:rsidRPr="00DA76A7" w:rsidRDefault="00A969C6" w:rsidP="00A969C6">
      <w:pPr>
        <w:ind w:firstLine="567"/>
        <w:jc w:val="both"/>
        <w:rPr>
          <w:rFonts w:ascii="Arial" w:hAnsi="Arial" w:cs="Arial"/>
          <w:color w:val="000000" w:themeColor="text1"/>
          <w:sz w:val="22"/>
          <w:szCs w:val="22"/>
          <w:vertAlign w:val="superscript"/>
        </w:rPr>
      </w:pPr>
      <w:r w:rsidRPr="00DA76A7">
        <w:rPr>
          <w:rFonts w:ascii="Arial" w:hAnsi="Arial" w:cs="Arial"/>
          <w:color w:val="000000" w:themeColor="text1"/>
          <w:sz w:val="22"/>
          <w:szCs w:val="22"/>
        </w:rPr>
        <w:t>– развитие и консолидация демократии и законности, уважение прав человека и основных свобод.</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Путями, которыми  Европейский Союз следует для выполнение целей предусмотренной статье 11 Маастрихтского договора, предназначены в статье 12 данного договора, которыми являются: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определения принципов и основных ориентиров общей внешней политики и политики безопасности;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принятия решений по общей стратегии;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одобрения совместных действий;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одобрения общих позиций;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усиления систематического сотрудничества между государствами-членами в проведении их политики.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Принципы, по которым Европейский Союз осуществляет свои цели определяется Европейским Советом.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Одним из эффективных направлений внешней политики ЕС является «общая торговая политика», которой посвящены ст. 206-207 договора о функционирование ЕС. Согласно статье 207 данного договора «Общая торговая политика основана на единообразных принципах, особенно в том, что касается: изменения тарифных ставок; заключения тарифных и торговых соглашений, относящихся к торговле товарами и услугами; торговых аспектов интеллектуальной собственности; прямых иностранных инвестиций; придания единообразного характера мерам по либерализации; экспортной политики и мер торговой защиты, включая те, которые должны приниматься в случае демпинга и субсидий. Общая торговая политика проводится в рамках принципов и целей внешне</w:t>
      </w:r>
      <w:r w:rsidR="00D971C1">
        <w:rPr>
          <w:rFonts w:ascii="Arial" w:hAnsi="Arial" w:cs="Arial"/>
          <w:color w:val="000000" w:themeColor="text1"/>
          <w:sz w:val="22"/>
          <w:szCs w:val="22"/>
        </w:rPr>
        <w:t>политической деятельности Союза</w:t>
      </w:r>
      <w:r w:rsidRPr="00DA76A7">
        <w:rPr>
          <w:rFonts w:ascii="Arial" w:hAnsi="Arial" w:cs="Arial"/>
          <w:color w:val="000000" w:themeColor="text1"/>
          <w:sz w:val="22"/>
          <w:szCs w:val="22"/>
        </w:rPr>
        <w:t>»</w:t>
      </w:r>
      <w:r w:rsidRPr="00DA76A7">
        <w:rPr>
          <w:rFonts w:ascii="Arial" w:hAnsi="Arial" w:cs="Arial"/>
          <w:color w:val="000000" w:themeColor="text1"/>
          <w:sz w:val="22"/>
          <w:szCs w:val="22"/>
          <w:vertAlign w:val="superscript"/>
        </w:rPr>
        <w:t>.</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Торговая политика является важным направлением внешней политики ЕС. На сегодняшний  день ЕС имеет большую экономику. На 2014 году ВВП ЕС составляло 13 920541 млн. евро, которая превышает ВВП США. Интересы Союза по отношении с третьими государствами по направлении торговой политики представляет Комиссия. Двухсторонние соглашения   подписываются со специальным разрешением.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Развивающимся  странам  ЕС  предлагает  невзаимный  рыночный  доступ  в  форме сниженных тарифов на их товары при попадании на европейский рынок. Речь идѐт об общей системе преференций (Generalized System of Preferences), действовавшей с 1971 г., которая c 2014  г.  регулируется  регламентом  №  978/2012 120 .  Согласно  этому  регламенту, предоставление соответствующих преференций может быть приостановлено Евросоюзом по следующим  обстоятельствам:  серьѐзное  и  систематическое  нарушение  прав  человека  и трудовых  прав;  экспорт  товаров,  произведѐнных  заключѐнными;  торговые  практики, подрывающие  справедливые  условия  торговли;  региональных  рыболовных организаций и иных международных договорѐнностей[2, с.48].Система GSP предусматривает три режима: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стандартный преференциальный режим (GSP);</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режим дополнительных тарифных преференций для стимулирования устойчивого развития (GSP+);</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режим доступа на рынок ЕС без пошлин и квот для всех товаров, кроме оружия, происходящих из 49 наименее развитых стран (EBA).</w:t>
      </w:r>
    </w:p>
    <w:p w:rsidR="00A969C6" w:rsidRPr="00DA76A7" w:rsidRDefault="00A969C6" w:rsidP="00A969C6">
      <w:pPr>
        <w:ind w:firstLine="567"/>
        <w:jc w:val="both"/>
        <w:rPr>
          <w:rFonts w:ascii="Arial" w:hAnsi="Arial" w:cs="Arial"/>
          <w:color w:val="000000" w:themeColor="text1"/>
          <w:sz w:val="22"/>
          <w:szCs w:val="22"/>
          <w:vertAlign w:val="superscript"/>
        </w:rPr>
      </w:pPr>
      <w:r w:rsidRPr="00DA76A7">
        <w:rPr>
          <w:rFonts w:ascii="Arial" w:hAnsi="Arial" w:cs="Arial"/>
          <w:color w:val="000000" w:themeColor="text1"/>
          <w:sz w:val="22"/>
          <w:szCs w:val="22"/>
        </w:rPr>
        <w:t>Кроме этого, существуют самостоятельные направления внешней политики: [3, с.242]</w:t>
      </w:r>
    </w:p>
    <w:p w:rsidR="00A969C6" w:rsidRPr="00DA76A7" w:rsidRDefault="00A969C6" w:rsidP="00A969C6">
      <w:pPr>
        <w:ind w:firstLine="567"/>
        <w:jc w:val="both"/>
        <w:rPr>
          <w:rFonts w:ascii="Arial" w:hAnsi="Arial" w:cs="Arial"/>
          <w:color w:val="000000" w:themeColor="text1"/>
          <w:sz w:val="22"/>
          <w:szCs w:val="22"/>
          <w:vertAlign w:val="superscript"/>
        </w:rPr>
      </w:pPr>
      <w:r w:rsidRPr="00DA76A7">
        <w:rPr>
          <w:rFonts w:ascii="Arial" w:hAnsi="Arial" w:cs="Arial"/>
          <w:color w:val="000000" w:themeColor="text1"/>
          <w:sz w:val="22"/>
          <w:szCs w:val="22"/>
        </w:rPr>
        <w:t>- сотрудничество в поддержку развития: сотрудничество с развивающимися странами планеты, в рамках которого ЕС оказывает им помощь и предоставляет экономические льготы и преференции;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экономическое, финансовое и техническое сотрудничество с третьими странами, которое охватывает те аспекты социально-экономических взаимосвязей, которые находятся за рамками общей торговой политики и сотрудничества в поддержку развития.</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Сотрудничество в поддержку развития осуществляется согласно статьями 208-211  договора о функционирование ЕС, согласно которой политика сотрудничества в целях содействия развитию, главной целью, которой в этой сфере является сокращение и, в конечном счете, искоренение бедности. Союз учитывает цели сотрудничества в поддержку развития при осуществлении тех направлений политики, которые способны воздействовать на развивающиеся страны. Внешняя политика ЕС по направлению экономическое, финансовое и техническое сотрудничество осуществляется согласно статьями 212-213, договора о функционирование ЕС. Кроме того, политика Сообщества в этой области способствует достижению общей цели развития и укрепления демократии и правового государства, а равно утверждения прав человека и основных свобод.</w:t>
      </w:r>
      <w:r w:rsidRPr="00DA76A7">
        <w:rPr>
          <w:rFonts w:ascii="Arial" w:hAnsi="Arial" w:cs="Arial"/>
          <w:color w:val="000000" w:themeColor="text1"/>
          <w:sz w:val="22"/>
          <w:szCs w:val="22"/>
        </w:rPr>
        <w:br/>
        <w:t xml:space="preserve">Вышеуказанные направления внешней политики ЕС осуществляется согласно Договору функционирование ЕС. Остальные аспекты внешнеполитической деятельности Союза, в том числе вопросы обороны и поддержания международной безопасности, подчиняются Договору о Европейском Союзе 1992 г.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После </w:t>
      </w:r>
      <w:hyperlink r:id="rId80" w:history="1">
        <w:r w:rsidRPr="00DA76A7">
          <w:rPr>
            <w:rStyle w:val="af5"/>
            <w:rFonts w:ascii="Arial" w:hAnsi="Arial" w:cs="Arial"/>
            <w:b w:val="0"/>
            <w:color w:val="000000" w:themeColor="text1"/>
            <w:sz w:val="22"/>
            <w:szCs w:val="22"/>
          </w:rPr>
          <w:t>вступления в силу</w:t>
        </w:r>
      </w:hyperlink>
      <w:r w:rsidRPr="00DA76A7">
        <w:rPr>
          <w:rFonts w:ascii="Arial" w:hAnsi="Arial" w:cs="Arial"/>
          <w:color w:val="000000" w:themeColor="text1"/>
          <w:sz w:val="22"/>
          <w:szCs w:val="22"/>
        </w:rPr>
        <w:t xml:space="preserve"> Лиссабонского договора 2007 г. о реформе Европейского Союза направления внешнеполитической деятельности, которые ранее осуществлялись в рамках Европейского сообщества, будут регулироваться </w:t>
      </w:r>
      <w:hyperlink r:id="rId81" w:history="1">
        <w:r w:rsidRPr="00DA76A7">
          <w:rPr>
            <w:rStyle w:val="af5"/>
            <w:rFonts w:ascii="Arial" w:hAnsi="Arial" w:cs="Arial"/>
            <w:b w:val="0"/>
            <w:color w:val="000000" w:themeColor="text1"/>
            <w:sz w:val="22"/>
            <w:szCs w:val="22"/>
          </w:rPr>
          <w:t>частью пятой</w:t>
        </w:r>
      </w:hyperlink>
      <w:r w:rsidRPr="00DA76A7">
        <w:rPr>
          <w:rFonts w:ascii="Arial" w:hAnsi="Arial" w:cs="Arial"/>
          <w:color w:val="000000" w:themeColor="text1"/>
          <w:sz w:val="22"/>
          <w:szCs w:val="22"/>
        </w:rPr>
        <w:t xml:space="preserve"> Договора о функционировании Европейского Союза «Внешнеполитическая деятельность Союза». В этой части также урегулирован порядок заключения международных соглашений Союза и введения им санкций против третьих стран.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Европейский Союз осуществляет свои внешние отношения с Республики Таджикистан на основе Договор о Европейском Союзе и Соглашение о сотрудничество и партнерстве между РТ и ЕС от 2004 года.</w:t>
      </w:r>
    </w:p>
    <w:p w:rsidR="00A969C6" w:rsidRPr="00DA76A7" w:rsidRDefault="00A969C6" w:rsidP="00A969C6">
      <w:pPr>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A969C6" w:rsidRPr="00DA76A7" w:rsidRDefault="00A969C6" w:rsidP="00EE13B8">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971C1">
      <w:pPr>
        <w:ind w:firstLine="567"/>
        <w:jc w:val="both"/>
        <w:rPr>
          <w:rFonts w:ascii="Arial" w:hAnsi="Arial" w:cs="Arial"/>
          <w:bCs/>
          <w:color w:val="000000" w:themeColor="text1"/>
          <w:sz w:val="22"/>
          <w:szCs w:val="22"/>
          <w:shd w:val="clear" w:color="auto" w:fill="FFFFFF"/>
        </w:rPr>
      </w:pPr>
      <w:r w:rsidRPr="00DA76A7">
        <w:rPr>
          <w:rFonts w:ascii="Arial" w:hAnsi="Arial" w:cs="Arial"/>
          <w:color w:val="000000" w:themeColor="text1"/>
          <w:sz w:val="22"/>
          <w:szCs w:val="22"/>
        </w:rPr>
        <w:t>1. Договора о функционирование Европейского союза. Статья 131. [Электрон. ресурс]: - Режим доступа</w:t>
      </w:r>
      <w:r w:rsidRPr="00DA76A7">
        <w:rPr>
          <w:rFonts w:ascii="Arial" w:hAnsi="Arial" w:cs="Arial"/>
          <w:bCs/>
          <w:color w:val="000000" w:themeColor="text1"/>
          <w:sz w:val="22"/>
          <w:szCs w:val="22"/>
          <w:shd w:val="clear" w:color="auto" w:fill="FFFFFF"/>
        </w:rPr>
        <w:t>:</w:t>
      </w:r>
      <w:r w:rsidRPr="00DA76A7">
        <w:rPr>
          <w:rFonts w:ascii="Arial" w:hAnsi="Arial" w:cs="Arial"/>
          <w:color w:val="000000" w:themeColor="text1"/>
          <w:sz w:val="22"/>
          <w:szCs w:val="22"/>
        </w:rPr>
        <w:t xml:space="preserve"> http://eulaw.ru/treaties/tfeu</w:t>
      </w:r>
      <w:r w:rsidRPr="00DA76A7">
        <w:rPr>
          <w:rFonts w:ascii="Arial" w:hAnsi="Arial" w:cs="Arial"/>
          <w:bCs/>
          <w:color w:val="000000" w:themeColor="text1"/>
          <w:sz w:val="22"/>
          <w:szCs w:val="22"/>
          <w:shd w:val="clear" w:color="auto" w:fill="FFFFFF"/>
        </w:rPr>
        <w:t xml:space="preserve"> (дата обращения: 18.03.2018) </w:t>
      </w:r>
    </w:p>
    <w:p w:rsidR="00A969C6" w:rsidRPr="00DA76A7" w:rsidRDefault="00A969C6" w:rsidP="00D971C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Стрежнева М.В., Руденкова Д.Э. Европейский союз: архитектура внешней политики.– М.: ИМЭМО РАН, 2016. – 135с.</w:t>
      </w:r>
    </w:p>
    <w:p w:rsidR="00A969C6" w:rsidRPr="00DA76A7" w:rsidRDefault="00A969C6" w:rsidP="00D971C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 Кашкин С.Ю., Четвериков А.О., Калиниченко П.А. и др. Право Европейского Союза: учебное пособие (отв. ред. С.Ю. Кашкин). - 3-е изд., перераб. и доп. – М.: Проспект, 2011 г. – 274 с.</w:t>
      </w:r>
    </w:p>
    <w:p w:rsidR="00A969C6" w:rsidRPr="00DA76A7" w:rsidRDefault="00A969C6" w:rsidP="00A969C6">
      <w:pPr>
        <w:tabs>
          <w:tab w:val="left" w:pos="1134"/>
        </w:tabs>
        <w:ind w:firstLine="567"/>
        <w:jc w:val="center"/>
        <w:rPr>
          <w:rFonts w:ascii="Arial" w:hAnsi="Arial" w:cs="Arial"/>
          <w:b/>
          <w:color w:val="000000" w:themeColor="text1"/>
          <w:sz w:val="22"/>
          <w:szCs w:val="22"/>
        </w:rPr>
      </w:pPr>
      <w:bookmarkStart w:id="7" w:name="sub_510"/>
    </w:p>
    <w:p w:rsidR="00EE13B8" w:rsidRPr="00DA76A7" w:rsidRDefault="00EE13B8" w:rsidP="00A969C6">
      <w:pPr>
        <w:tabs>
          <w:tab w:val="left" w:pos="1134"/>
        </w:tabs>
        <w:jc w:val="center"/>
        <w:rPr>
          <w:rFonts w:ascii="Arial" w:hAnsi="Arial" w:cs="Arial"/>
          <w:b/>
          <w:color w:val="000000" w:themeColor="text1"/>
          <w:sz w:val="22"/>
          <w:szCs w:val="22"/>
        </w:rPr>
      </w:pPr>
    </w:p>
    <w:p w:rsidR="00A969C6" w:rsidRPr="00DA76A7" w:rsidRDefault="00A969C6" w:rsidP="00A969C6">
      <w:pPr>
        <w:tabs>
          <w:tab w:val="left" w:pos="1134"/>
        </w:tabs>
        <w:jc w:val="center"/>
        <w:rPr>
          <w:rFonts w:ascii="Arial" w:hAnsi="Arial" w:cs="Arial"/>
          <w:b/>
          <w:color w:val="000000" w:themeColor="text1"/>
          <w:sz w:val="22"/>
          <w:szCs w:val="22"/>
        </w:rPr>
      </w:pPr>
      <w:r w:rsidRPr="00DA76A7">
        <w:rPr>
          <w:rFonts w:ascii="Arial" w:hAnsi="Arial" w:cs="Arial"/>
          <w:b/>
          <w:color w:val="000000" w:themeColor="text1"/>
          <w:sz w:val="22"/>
          <w:szCs w:val="22"/>
        </w:rPr>
        <w:t>ВЛИЯНИЕ МЕЖДУНАРОДНЫХ НОРМ О ТРУДЕ НЕСОВЕРШЕННОЛЕТНИХ НА НАЦИОНАЛЬНОЕ ЗАКОНОДАТЕЛЬСТВО</w:t>
      </w:r>
    </w:p>
    <w:p w:rsidR="00A969C6" w:rsidRPr="00DA76A7" w:rsidRDefault="00A969C6" w:rsidP="00A969C6">
      <w:pPr>
        <w:jc w:val="both"/>
        <w:rPr>
          <w:rFonts w:ascii="Arial" w:hAnsi="Arial" w:cs="Arial"/>
          <w:b/>
          <w:color w:val="000000" w:themeColor="text1"/>
          <w:sz w:val="22"/>
          <w:szCs w:val="22"/>
        </w:rPr>
      </w:pPr>
      <w:r w:rsidRPr="00DA76A7">
        <w:rPr>
          <w:rFonts w:ascii="Arial" w:hAnsi="Arial" w:cs="Arial"/>
          <w:b/>
          <w:color w:val="000000" w:themeColor="text1"/>
          <w:sz w:val="22"/>
          <w:szCs w:val="22"/>
        </w:rPr>
        <w:t xml:space="preserve">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b/>
          <w:color w:val="000000" w:themeColor="text1"/>
          <w:sz w:val="22"/>
          <w:szCs w:val="22"/>
          <w:lang w:val="en-US"/>
        </w:rPr>
        <w:t>C</w:t>
      </w:r>
      <w:r w:rsidRPr="00DA76A7">
        <w:rPr>
          <w:rFonts w:ascii="Arial" w:hAnsi="Arial" w:cs="Arial"/>
          <w:b/>
          <w:color w:val="000000" w:themeColor="text1"/>
          <w:sz w:val="22"/>
          <w:szCs w:val="22"/>
        </w:rPr>
        <w:t>аломов Бахтовар Исмайилович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ул.М. Турсунзаде,30.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935887820, e-mail: bacha.salomov@ bk.ru</w:t>
      </w:r>
    </w:p>
    <w:p w:rsidR="00A969C6" w:rsidRPr="00DA76A7" w:rsidRDefault="00A969C6" w:rsidP="00A969C6">
      <w:pPr>
        <w:shd w:val="clear" w:color="auto" w:fill="FFFFFF"/>
        <w:tabs>
          <w:tab w:val="left" w:pos="916"/>
          <w:tab w:val="left" w:pos="1832"/>
          <w:tab w:val="left" w:pos="2748"/>
          <w:tab w:val="left" w:pos="297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p>
    <w:p w:rsidR="00A969C6" w:rsidRPr="00DA76A7" w:rsidRDefault="00A969C6" w:rsidP="00A969C6">
      <w:pPr>
        <w:shd w:val="clear" w:color="auto" w:fill="FFFFFF"/>
        <w:tabs>
          <w:tab w:val="left" w:pos="916"/>
          <w:tab w:val="left" w:pos="1832"/>
          <w:tab w:val="left" w:pos="2748"/>
          <w:tab w:val="left" w:pos="297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INFLUENCE OF THE INTERNATIONAL STANDARDS ON THE LABOR OF JUVENILE ON NATIONAL LEGISLATION</w:t>
      </w:r>
    </w:p>
    <w:p w:rsidR="00A969C6" w:rsidRPr="00DA76A7" w:rsidRDefault="00A969C6" w:rsidP="00A969C6">
      <w:pPr>
        <w:rPr>
          <w:rFonts w:ascii="Arial" w:hAnsi="Arial" w:cs="Arial"/>
          <w:color w:val="000000" w:themeColor="text1"/>
          <w:sz w:val="22"/>
          <w:szCs w:val="22"/>
          <w:lang w:val="tg-Cyrl-TJ"/>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tg-Cyrl-TJ"/>
        </w:rPr>
        <w:t xml:space="preserve">                                  </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tg-Cyrl-TJ"/>
        </w:rPr>
        <w:t xml:space="preserve"> </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Salomov Bahtovar Ismayilovich</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A969C6" w:rsidRPr="00DA76A7" w:rsidRDefault="00A969C6" w:rsidP="00A969C6">
      <w:pPr>
        <w:shd w:val="clear" w:color="auto" w:fill="FFFFFF"/>
        <w:tabs>
          <w:tab w:val="left" w:pos="916"/>
          <w:tab w:val="left" w:pos="1832"/>
          <w:tab w:val="left" w:pos="2748"/>
          <w:tab w:val="left" w:pos="297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shd w:val="clear" w:color="auto" w:fill="FFFFFF"/>
        <w:tabs>
          <w:tab w:val="left" w:pos="916"/>
          <w:tab w:val="left" w:pos="1832"/>
          <w:tab w:val="left" w:pos="2748"/>
          <w:tab w:val="left" w:pos="297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shd w:val="clear" w:color="auto" w:fill="FFFFFF"/>
        <w:tabs>
          <w:tab w:val="left" w:pos="916"/>
          <w:tab w:val="left" w:pos="1832"/>
          <w:tab w:val="left" w:pos="2748"/>
          <w:tab w:val="left" w:pos="297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935887820, e-mail: bacha.salomov @ bk.ru</w:t>
      </w:r>
    </w:p>
    <w:p w:rsidR="00A969C6" w:rsidRPr="00DA76A7" w:rsidRDefault="00A969C6" w:rsidP="00A969C6">
      <w:pPr>
        <w:jc w:val="both"/>
        <w:rPr>
          <w:rFonts w:ascii="Arial" w:hAnsi="Arial" w:cs="Arial"/>
          <w:color w:val="000000" w:themeColor="text1"/>
          <w:sz w:val="22"/>
          <w:szCs w:val="22"/>
          <w:lang w:val="en-US"/>
        </w:rPr>
      </w:pP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Научный руководитель: к.ю.н., доцент Аминова Ф.М.</w:t>
      </w:r>
    </w:p>
    <w:p w:rsidR="00A969C6" w:rsidRPr="00DA76A7" w:rsidRDefault="00A969C6" w:rsidP="00A969C6">
      <w:pPr>
        <w:ind w:firstLine="567"/>
        <w:jc w:val="both"/>
        <w:rPr>
          <w:rFonts w:ascii="Arial" w:hAnsi="Arial" w:cs="Arial"/>
          <w:b/>
          <w:i/>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данная статья  рассматривает регулирование трудовых прав</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несовершеннолетних нормами международного права и их воздействие на нормы национального законодательства.</w:t>
      </w:r>
    </w:p>
    <w:p w:rsidR="00A969C6" w:rsidRPr="00DA76A7" w:rsidRDefault="00081412" w:rsidP="00A969C6">
      <w:pPr>
        <w:shd w:val="clear" w:color="auto" w:fill="FFFFFF"/>
        <w:tabs>
          <w:tab w:val="left" w:pos="916"/>
          <w:tab w:val="left" w:pos="1832"/>
          <w:tab w:val="left" w:pos="2748"/>
          <w:tab w:val="left" w:pos="297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b/>
          <w:i/>
          <w:color w:val="000000" w:themeColor="text1"/>
          <w:sz w:val="22"/>
          <w:szCs w:val="22"/>
          <w:lang w:val="en-US"/>
        </w:rPr>
        <w:t xml:space="preserve"> </w:t>
      </w:r>
      <w:r w:rsidR="00A969C6" w:rsidRPr="00DA76A7">
        <w:rPr>
          <w:rFonts w:ascii="Arial" w:hAnsi="Arial" w:cs="Arial"/>
          <w:i/>
          <w:color w:val="000000" w:themeColor="text1"/>
          <w:sz w:val="22"/>
          <w:szCs w:val="22"/>
          <w:lang w:val="en-US"/>
        </w:rPr>
        <w:t>This article considers the regulation of labor rights of minors by the norms of international law and their impact on the norms of national legislation.</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международные акты,</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труд, несовершеннолетние, международное право, трудовые права, национальное законодательство</w:t>
      </w:r>
    </w:p>
    <w:p w:rsidR="00A969C6" w:rsidRPr="00DA76A7" w:rsidRDefault="00A969C6" w:rsidP="00A969C6">
      <w:pPr>
        <w:shd w:val="clear" w:color="auto" w:fill="FFFFFF"/>
        <w:tabs>
          <w:tab w:val="left" w:pos="916"/>
          <w:tab w:val="left" w:pos="1832"/>
          <w:tab w:val="left" w:pos="2748"/>
          <w:tab w:val="left" w:pos="297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international acts, labor, minors, international law, labor rights, national legislation</w:t>
      </w:r>
    </w:p>
    <w:bookmarkEnd w:id="7"/>
    <w:p w:rsidR="00A969C6" w:rsidRPr="00DA76A7" w:rsidRDefault="00A969C6" w:rsidP="00A969C6">
      <w:pPr>
        <w:tabs>
          <w:tab w:val="left" w:pos="1134"/>
        </w:tabs>
        <w:ind w:firstLine="567"/>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 xml:space="preserve">    </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Основополагающим международным актом, определяющим права ребенка, которым должны следовать страны, входящие в ООН, является Конвенция о правах ребенка [2, 160], принятая ООН 20.11.1989. Для Таджикистана положения данной Конвенции обязательны в силу ее ратификации. Кроме этого Таджикистан ратифицировал следующие конвенции, затрагивающие сферу труда:</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Конвенция о борьбе с торговлей людьми и с эксплуатацией проституции третьими лица от 21.03.1950</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Конвенция 97 конвенция о работниках-мигрантах от 08.06.1949 (пересмотренная в 1949 году)</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Ключевые  положения Конвенции о правах ребенка отражены в Конституции РТ, а также в  законах РТ, устанавливающих основные гарантии прав и законных интересов ребенка:</w:t>
      </w:r>
    </w:p>
    <w:p w:rsidR="00A969C6" w:rsidRPr="00DA76A7" w:rsidRDefault="00A969C6" w:rsidP="00A969C6">
      <w:pPr>
        <w:tabs>
          <w:tab w:val="left" w:pos="1134"/>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Закон РТ «О защите прав ребенка» от 2015г</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Закона  РТ «Об ответственности родителей за воспитание и обучение детей» от 2011г.</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пункту 1 статьи 32 Конвенции о правах ребенка государства-участники признают право ребенка на защиту от экономической эксплуатации и от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 При этом для целей Конвенции ребенком является каждое человеческое существо до достижения им 18-летнего возраста, если по закону, применимому к данному ребенку, он не достигает совершеннолетия ранее. Аналогичная характеристика содержится и в Законе  РТ «Об ответственности родителей за воспитание и обучение детей» от 2011г. «ребенок - лицо до достижения им возраста 18 лет (совершеннолетия)».</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Государства-участники принимают законодательные, административные и социальные меры, а также меры в области образования, с тем чтобы обеспечить осуществление настоящей статьи. В этих целях, руководствуясь соответствующими положениями других международных документов, государства-участники, в частности:</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 устанавливают минимальный возраст или минимальные возрасты для приема на работу;</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b) определяют необходимые требования о продолжительности рабочего дня и условиях труда;</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c) предусматривают соответствующие виды наказания или другие санкции для обеспечения эффективного осуществления настоящей статьи»</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уже отмечалось, в соответствии со статьей 32 Конвенции о правах ребенка государства в целях защиты прав детей на нормальное развитие принимают законодательные, административные и социальные меры, в частности, устанавливают минимальный возраст или минимальные возрасты для приема на работу. В ней фактически воспроизводятся положения Конвенции МОТ № 138 о минимальном возрасте для приема на работу 1973 года, ратифицированной Указом Президиума Верховного Совета СССР от 05.03.1979 N 8955-IX, а, следовательно, обязательной для Российской Федерации. Ее положения, как следует из статьи 5, применяются «как минимум к работе в: шахтах и карьерах, обрабатывающей промышленности; строительстве; службах электро-, газо- и водоснабжения; санитарно-технической службе; транспорте, складах и службах связи; а также на плантациях и других сельскохозяйственных предприятиях, производящих продукцию главным образом для коммерческих целей, но исключая семейные или мелкие хозяйства, производящие продукцию для местного потребления и не использующие регулярно наемных трудящихся».</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статье 1 Конвенции № 138 каждый член Организации, для которого настоящая Конвенция находится в силе, обязуется осуществлять национальную политику, имеющую цель обеспечить эффективное упразднение детского труда и постепенное повышение минимального возраста для приема на работу до уровня, соответствующего наиболее полному физическому и умственному развитию подростков[1].</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статье 3 (пункт 1) Конвенции установлено, что минимальный возраст для приема на любой вид работы по найму или другой работы, которая по своему характеру или в силу обстоятельств, в которых она осуществляется, может нанести ущерб здоровью, безопасности или нравственности подростка, не должен быть ниже 18 лет. Вместе с тем, несмотря на эти положения, национальное законодательство или правила или компетентные органы власти могут после консультации с заинтересованными организациями предпринимателей и трудящихся, где таковые существуют, разрешать работу по найму или другой вид работы лиц в возрасте не моложе 16 лет при условии, что здоровье, безопасность и нравственность этих подростков полностью защищены и что эти подростки получили достаточное специальное обучение или профессиональную подготовку по соответствующей отрасли деятельности.</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данным Международной организации труда, большинство работающих детей трудится в сельском хозяйстве (75 - 80%), около 10% работают в обрабатывающей промышленности, остальные - в сфере обслуживания (ресторанах, магазинах, кафе и т.п.). По общим оценкам МОТ в 1996 году во всем мире работало (полный или неполный рабочий день) примерно 250 миллионов детей.</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отмечено выше, одним из направлений социальной защиты подростков является законодательное ограничение минимального возраста, с которого возможен их допуск к определенной работе.</w:t>
      </w:r>
    </w:p>
    <w:p w:rsidR="00A969C6" w:rsidRPr="00DA76A7" w:rsidRDefault="00A969C6" w:rsidP="00A969C6">
      <w:pPr>
        <w:tabs>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международном уровне этот вопрос решен в Конвенции МОТ № 138 о минимальном возрасте для приема на работу 1973 года, которая заменила собой целый ряд конвенций МОТ, устанавливавших минимальный возраст в определенной сфере производства (Конвенцию МОТ № 7 об определении минимального возраста для допуска детей на работу в море (от 15.06.1920), Конвенцию МОТ № 10 о минимальном возрасте допуска детей на работу в сельском хозяйстве (от 25.10.1921), Конвенцию МОТ № 33 о возрасте приема детей на непромышленные работы (от 30.04.1932), Конвенцию МОТ N 60 о возрасте приема детей на непромышленные работы (от 22.06.1937), Конвенцию МОТ N 123 о минимальном возрасте допуска на подземные работы в шахтах и рудниках (от 22.06.1965).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13 декабря 2000 года № 196 было принято Постановление Маджлиси Намояндагон Маджлиси Оли Республики Таджикистан «О ратификации Конвенции № 182 Международной Организации Труда «О запрещении и немедленных мерах по искоренению наихудших форм детского труда»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Маджлиси Намояндагон  Маджлиси  Оли Республики Таджикистан постановило ратифицировать Конвенцию № 182 Международной Организации Труда «О запрещении и немедленных мерах по искоренению наихудших форм  детского труда»,  принятую 1 июня 1999 года на 87 сессии Международной Организации Труда.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Каждое государство-член, ратифицирующее настоящую Конвенцию, немедленно принимает эффективные меры, обеспечивающие в срочном порядке запрещение и искоренение наихудших форм детского труда.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Для целей настоящей Конвенции термин </w:t>
      </w:r>
      <w:r w:rsidRPr="00DA76A7">
        <w:rPr>
          <w:rFonts w:ascii="Arial" w:hAnsi="Arial" w:cs="Arial"/>
          <w:bCs/>
          <w:color w:val="000000" w:themeColor="text1"/>
          <w:sz w:val="22"/>
          <w:szCs w:val="22"/>
        </w:rPr>
        <w:t>«ребенок»</w:t>
      </w:r>
      <w:r w:rsidRPr="00DA76A7">
        <w:rPr>
          <w:rFonts w:ascii="Arial" w:hAnsi="Arial" w:cs="Arial"/>
          <w:color w:val="000000" w:themeColor="text1"/>
          <w:sz w:val="22"/>
          <w:szCs w:val="22"/>
        </w:rPr>
        <w:t xml:space="preserve"> применяется ко всем лицам в возрасте до 18 лет.</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Для целей настоящей Конвенции термин </w:t>
      </w:r>
      <w:r w:rsidRPr="00DA76A7">
        <w:rPr>
          <w:rFonts w:ascii="Arial" w:hAnsi="Arial" w:cs="Arial"/>
          <w:bCs/>
          <w:color w:val="000000" w:themeColor="text1"/>
          <w:sz w:val="22"/>
          <w:szCs w:val="22"/>
        </w:rPr>
        <w:t>«наихудшие формы детского труда»</w:t>
      </w:r>
      <w:r w:rsidRPr="00DA76A7">
        <w:rPr>
          <w:rFonts w:ascii="Arial" w:hAnsi="Arial" w:cs="Arial"/>
          <w:color w:val="000000" w:themeColor="text1"/>
          <w:sz w:val="22"/>
          <w:szCs w:val="22"/>
        </w:rPr>
        <w:t xml:space="preserve"> включает:</w:t>
      </w:r>
    </w:p>
    <w:p w:rsidR="00A969C6" w:rsidRPr="00DA76A7" w:rsidRDefault="00A969C6" w:rsidP="00A969C6">
      <w:pPr>
        <w:ind w:firstLine="567"/>
        <w:jc w:val="both"/>
        <w:rPr>
          <w:rFonts w:ascii="Arial" w:hAnsi="Arial" w:cs="Arial"/>
          <w:color w:val="000000" w:themeColor="text1"/>
          <w:sz w:val="22"/>
          <w:szCs w:val="22"/>
        </w:rPr>
      </w:pPr>
      <w:bookmarkStart w:id="8" w:name="sub_301"/>
      <w:r w:rsidRPr="00DA76A7">
        <w:rPr>
          <w:rFonts w:ascii="Arial" w:hAnsi="Arial" w:cs="Arial"/>
          <w:color w:val="000000" w:themeColor="text1"/>
          <w:sz w:val="22"/>
          <w:szCs w:val="22"/>
        </w:rPr>
        <w:t>а) все формы рабства или практику, сходную с рабством, как, например, продажа детей и торговля ими, долговая кабала и крепостная зависимость, а также принудительный или обязательный труд, в том числе принудительную или обязательную вербовку детей для использования их в вооруженных конфликтах;</w:t>
      </w:r>
    </w:p>
    <w:p w:rsidR="00A969C6" w:rsidRPr="00DA76A7" w:rsidRDefault="00A969C6" w:rsidP="00A969C6">
      <w:pPr>
        <w:ind w:firstLine="567"/>
        <w:jc w:val="both"/>
        <w:rPr>
          <w:rFonts w:ascii="Arial" w:hAnsi="Arial" w:cs="Arial"/>
          <w:color w:val="000000" w:themeColor="text1"/>
          <w:sz w:val="22"/>
          <w:szCs w:val="22"/>
        </w:rPr>
      </w:pPr>
      <w:bookmarkStart w:id="9" w:name="sub_32"/>
      <w:bookmarkEnd w:id="8"/>
      <w:r w:rsidRPr="00DA76A7">
        <w:rPr>
          <w:rFonts w:ascii="Arial" w:hAnsi="Arial" w:cs="Arial"/>
          <w:color w:val="000000" w:themeColor="text1"/>
          <w:sz w:val="22"/>
          <w:szCs w:val="22"/>
        </w:rPr>
        <w:t>b) использование, вербовку или предложение ребенка для занятия проституцией, для производства порнографической продукции или для порнографических представлений;</w:t>
      </w:r>
    </w:p>
    <w:p w:rsidR="00A969C6" w:rsidRPr="00DA76A7" w:rsidRDefault="00A969C6" w:rsidP="00A969C6">
      <w:pPr>
        <w:ind w:firstLine="567"/>
        <w:jc w:val="both"/>
        <w:rPr>
          <w:rFonts w:ascii="Arial" w:hAnsi="Arial" w:cs="Arial"/>
          <w:color w:val="000000" w:themeColor="text1"/>
          <w:sz w:val="22"/>
          <w:szCs w:val="22"/>
        </w:rPr>
      </w:pPr>
      <w:bookmarkStart w:id="10" w:name="sub_33"/>
      <w:bookmarkEnd w:id="9"/>
      <w:r w:rsidRPr="00DA76A7">
        <w:rPr>
          <w:rFonts w:ascii="Arial" w:hAnsi="Arial" w:cs="Arial"/>
          <w:color w:val="000000" w:themeColor="text1"/>
          <w:sz w:val="22"/>
          <w:szCs w:val="22"/>
        </w:rPr>
        <w:t>с) использование, вербовку или предложение ребенка для занятия противоправной деятельностью, в частности для производства и продажи наркотиков, как они определены в соответствующих международных договорах;</w:t>
      </w:r>
    </w:p>
    <w:p w:rsidR="00A969C6" w:rsidRPr="00DA76A7" w:rsidRDefault="00A969C6" w:rsidP="00A969C6">
      <w:pPr>
        <w:ind w:firstLine="567"/>
        <w:jc w:val="both"/>
        <w:rPr>
          <w:rFonts w:ascii="Arial" w:hAnsi="Arial" w:cs="Arial"/>
          <w:color w:val="000000" w:themeColor="text1"/>
          <w:sz w:val="22"/>
          <w:szCs w:val="22"/>
        </w:rPr>
      </w:pPr>
      <w:bookmarkStart w:id="11" w:name="sub_34"/>
      <w:bookmarkEnd w:id="10"/>
      <w:r w:rsidRPr="00DA76A7">
        <w:rPr>
          <w:rFonts w:ascii="Arial" w:hAnsi="Arial" w:cs="Arial"/>
          <w:color w:val="000000" w:themeColor="text1"/>
          <w:sz w:val="22"/>
          <w:szCs w:val="22"/>
        </w:rPr>
        <w:t>d) работу, которая по своему характеру или условиям, в которых она выполняется, может нанести вред здоровью, безопасности или нравственности детей.</w:t>
      </w:r>
    </w:p>
    <w:p w:rsidR="00A969C6" w:rsidRPr="00DA76A7" w:rsidRDefault="00A969C6" w:rsidP="00A969C6">
      <w:pPr>
        <w:ind w:firstLine="567"/>
        <w:jc w:val="both"/>
        <w:rPr>
          <w:rFonts w:ascii="Arial" w:hAnsi="Arial" w:cs="Arial"/>
          <w:color w:val="000000" w:themeColor="text1"/>
          <w:sz w:val="22"/>
          <w:szCs w:val="22"/>
        </w:rPr>
      </w:pPr>
      <w:bookmarkStart w:id="12" w:name="sub_41"/>
      <w:bookmarkEnd w:id="11"/>
      <w:r w:rsidRPr="00DA76A7">
        <w:rPr>
          <w:rFonts w:ascii="Arial" w:hAnsi="Arial" w:cs="Arial"/>
          <w:color w:val="000000" w:themeColor="text1"/>
          <w:sz w:val="22"/>
          <w:szCs w:val="22"/>
        </w:rPr>
        <w:t xml:space="preserve">Национальное законодательство или компетентный орган определяют после консультаций с заинтересованными организациями работодателей и трудящихся виды работ, указанные в </w:t>
      </w:r>
      <w:hyperlink w:anchor="sub_0" w:history="1">
        <w:r w:rsidRPr="00DA76A7">
          <w:rPr>
            <w:rFonts w:ascii="Arial" w:hAnsi="Arial" w:cs="Arial"/>
            <w:color w:val="000000" w:themeColor="text1"/>
            <w:sz w:val="22"/>
            <w:szCs w:val="22"/>
          </w:rPr>
          <w:t>пункте d) статьи 3</w:t>
        </w:r>
      </w:hyperlink>
      <w:r w:rsidRPr="00DA76A7">
        <w:rPr>
          <w:rFonts w:ascii="Arial" w:hAnsi="Arial" w:cs="Arial"/>
          <w:color w:val="000000" w:themeColor="text1"/>
          <w:sz w:val="22"/>
          <w:szCs w:val="22"/>
        </w:rPr>
        <w:t>, принимая во внимание соответствующие международные нормы, в частности положения пунктов 3 и 4 Рекомендации 1999 года о наихудших формах детского труда.</w:t>
      </w:r>
    </w:p>
    <w:p w:rsidR="00A969C6" w:rsidRPr="00DA76A7" w:rsidRDefault="00A969C6" w:rsidP="00A969C6">
      <w:pPr>
        <w:ind w:firstLine="567"/>
        <w:jc w:val="both"/>
        <w:rPr>
          <w:rFonts w:ascii="Arial" w:hAnsi="Arial" w:cs="Arial"/>
          <w:color w:val="000000" w:themeColor="text1"/>
          <w:sz w:val="22"/>
          <w:szCs w:val="22"/>
        </w:rPr>
      </w:pPr>
      <w:bookmarkStart w:id="13" w:name="sub_42"/>
      <w:bookmarkEnd w:id="12"/>
      <w:r w:rsidRPr="00DA76A7">
        <w:rPr>
          <w:rFonts w:ascii="Arial" w:hAnsi="Arial" w:cs="Arial"/>
          <w:color w:val="000000" w:themeColor="text1"/>
          <w:sz w:val="22"/>
          <w:szCs w:val="22"/>
        </w:rPr>
        <w:t>Компетентный орган после консультаций с заинтересованными организациями работодателей и трудящихся выявляет места осуществления определенных таким образом видов работ.</w:t>
      </w:r>
    </w:p>
    <w:p w:rsidR="00A969C6" w:rsidRPr="00DA76A7" w:rsidRDefault="00A969C6" w:rsidP="00A969C6">
      <w:pPr>
        <w:ind w:firstLine="567"/>
        <w:jc w:val="both"/>
        <w:rPr>
          <w:rFonts w:ascii="Arial" w:hAnsi="Arial" w:cs="Arial"/>
          <w:color w:val="000000" w:themeColor="text1"/>
          <w:sz w:val="22"/>
          <w:szCs w:val="22"/>
        </w:rPr>
      </w:pPr>
      <w:bookmarkStart w:id="14" w:name="sub_43"/>
      <w:bookmarkEnd w:id="13"/>
      <w:r w:rsidRPr="00DA76A7">
        <w:rPr>
          <w:rFonts w:ascii="Arial" w:hAnsi="Arial" w:cs="Arial"/>
          <w:color w:val="000000" w:themeColor="text1"/>
          <w:sz w:val="22"/>
          <w:szCs w:val="22"/>
        </w:rPr>
        <w:t>Перечень определенных видов работ периодически анализируется и, по мере необходимости, пересматривается после консультаций с заинтересованными организациями работодателей и трудящихся.</w:t>
      </w:r>
    </w:p>
    <w:bookmarkEnd w:id="14"/>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Каждое государство-член после консультаций с организациями работодателей и трудящихся создает или указывает соответствующие механизмы для осуществления контроля за применением положений, проводящих в жизнь настоящую Конвенцию.</w:t>
      </w:r>
    </w:p>
    <w:p w:rsidR="00A969C6" w:rsidRPr="00DA76A7" w:rsidRDefault="00A969C6" w:rsidP="00A969C6">
      <w:pPr>
        <w:ind w:firstLine="567"/>
        <w:jc w:val="both"/>
        <w:rPr>
          <w:rFonts w:ascii="Arial" w:hAnsi="Arial" w:cs="Arial"/>
          <w:color w:val="000000" w:themeColor="text1"/>
          <w:sz w:val="22"/>
          <w:szCs w:val="22"/>
        </w:rPr>
      </w:pPr>
      <w:bookmarkStart w:id="15" w:name="sub_61"/>
      <w:r w:rsidRPr="00DA76A7">
        <w:rPr>
          <w:rFonts w:ascii="Arial" w:hAnsi="Arial" w:cs="Arial"/>
          <w:color w:val="000000" w:themeColor="text1"/>
          <w:sz w:val="22"/>
          <w:szCs w:val="22"/>
        </w:rPr>
        <w:t>Каждое государство-член разрабатывает и осуществляет программы действий по искоренению в приоритетном порядке наихудших форм детского труда.</w:t>
      </w:r>
      <w:bookmarkEnd w:id="15"/>
    </w:p>
    <w:p w:rsidR="00A969C6" w:rsidRPr="00DA76A7" w:rsidRDefault="00A969C6" w:rsidP="00A969C6">
      <w:pPr>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1.Вострецова О.А. Применение в России международных норм о труде. [Электронный ресурс] // Законодательство. - N 12,. - 2006. - Режим доступа: СПС «Гарант».</w:t>
      </w:r>
    </w:p>
    <w:p w:rsidR="00A969C6" w:rsidRPr="00DA76A7" w:rsidRDefault="00A969C6" w:rsidP="00A969C6">
      <w:pPr>
        <w:tabs>
          <w:tab w:val="left" w:pos="851"/>
        </w:tabs>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2. </w:t>
      </w:r>
      <w:r w:rsidRPr="00DA76A7">
        <w:rPr>
          <w:rFonts w:ascii="Arial" w:eastAsia="TimesNewRomanPSMT" w:hAnsi="Arial" w:cs="Arial"/>
          <w:iCs/>
          <w:color w:val="000000" w:themeColor="text1"/>
          <w:sz w:val="22"/>
          <w:szCs w:val="22"/>
        </w:rPr>
        <w:t xml:space="preserve">Ямпольская Ц.А. </w:t>
      </w:r>
      <w:r w:rsidRPr="00DA76A7">
        <w:rPr>
          <w:rFonts w:ascii="Arial" w:eastAsia="TimesNewRomanPSMT" w:hAnsi="Arial" w:cs="Arial"/>
          <w:color w:val="000000" w:themeColor="text1"/>
          <w:sz w:val="22"/>
          <w:szCs w:val="22"/>
        </w:rPr>
        <w:t>О субъективных правах советских граждан и их гарантиях // Вопросы советского государственного права. - М., 1959. -С. 159-161.</w:t>
      </w:r>
    </w:p>
    <w:p w:rsidR="00A969C6" w:rsidRPr="00DA76A7" w:rsidRDefault="00A969C6" w:rsidP="00A969C6">
      <w:pPr>
        <w:ind w:firstLine="567"/>
        <w:jc w:val="both"/>
        <w:rPr>
          <w:rFonts w:ascii="Arial" w:hAnsi="Arial" w:cs="Arial"/>
          <w:b/>
          <w:color w:val="000000" w:themeColor="text1"/>
          <w:sz w:val="22"/>
          <w:szCs w:val="22"/>
        </w:rPr>
      </w:pPr>
    </w:p>
    <w:p w:rsidR="00A969C6" w:rsidRPr="00DA76A7" w:rsidRDefault="00A969C6" w:rsidP="00A969C6">
      <w:pPr>
        <w:pStyle w:val="a6"/>
        <w:spacing w:after="0" w:line="240" w:lineRule="auto"/>
        <w:ind w:left="0" w:firstLine="567"/>
        <w:jc w:val="center"/>
        <w:rPr>
          <w:rFonts w:ascii="Arial" w:hAnsi="Arial" w:cs="Arial"/>
          <w:b/>
          <w:color w:val="000000" w:themeColor="text1"/>
        </w:rPr>
      </w:pPr>
    </w:p>
    <w:p w:rsidR="00A969C6" w:rsidRPr="00DA76A7" w:rsidRDefault="00A969C6" w:rsidP="00A969C6">
      <w:pPr>
        <w:pStyle w:val="a6"/>
        <w:spacing w:after="0" w:line="240" w:lineRule="auto"/>
        <w:ind w:left="0"/>
        <w:jc w:val="center"/>
        <w:rPr>
          <w:rFonts w:ascii="Arial" w:hAnsi="Arial" w:cs="Arial"/>
          <w:b/>
          <w:color w:val="000000" w:themeColor="text1"/>
        </w:rPr>
      </w:pPr>
      <w:r w:rsidRPr="00DA76A7">
        <w:rPr>
          <w:rFonts w:ascii="Arial" w:hAnsi="Arial" w:cs="Arial"/>
          <w:b/>
          <w:color w:val="000000" w:themeColor="text1"/>
        </w:rPr>
        <w:t>ПРАВОВЫЕ ОСНОВАНИЯ ДЛЯ РЕАЛИЗАЦИИ ПОЛНОМОЧИЙ ЕВРОПЕЙСКОГО СОЮЗА</w:t>
      </w:r>
    </w:p>
    <w:p w:rsidR="00A969C6" w:rsidRPr="00DA76A7" w:rsidRDefault="00A969C6" w:rsidP="00A969C6">
      <w:pPr>
        <w:pStyle w:val="a6"/>
        <w:spacing w:after="0" w:line="240" w:lineRule="auto"/>
        <w:ind w:left="0"/>
        <w:jc w:val="center"/>
        <w:rPr>
          <w:rFonts w:ascii="Arial" w:hAnsi="Arial" w:cs="Arial"/>
          <w:b/>
          <w:color w:val="000000" w:themeColor="text1"/>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Сатторов Саидшо Махмадшоевич</w:t>
      </w:r>
    </w:p>
    <w:p w:rsidR="00A969C6" w:rsidRPr="00DA76A7" w:rsidRDefault="00A969C6" w:rsidP="00A969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A969C6" w:rsidRPr="00DA76A7" w:rsidRDefault="00A969C6" w:rsidP="00A969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A969C6" w:rsidRPr="00AC7230" w:rsidRDefault="00A969C6" w:rsidP="00A969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918-22-22-33, </w:t>
      </w:r>
      <w:r w:rsidRPr="00DA76A7">
        <w:rPr>
          <w:rFonts w:ascii="Arial" w:hAnsi="Arial" w:cs="Arial"/>
          <w:color w:val="000000" w:themeColor="text1"/>
          <w:sz w:val="22"/>
          <w:szCs w:val="22"/>
        </w:rPr>
        <w:t>е</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aziz</w:t>
      </w:r>
      <w:r w:rsidRPr="00DA76A7">
        <w:rPr>
          <w:rFonts w:ascii="Arial" w:hAnsi="Arial" w:cs="Arial"/>
          <w:color w:val="000000" w:themeColor="text1"/>
          <w:sz w:val="22"/>
          <w:szCs w:val="22"/>
        </w:rPr>
        <w:t>а</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AC7230">
        <w:rPr>
          <w:rFonts w:ascii="Arial" w:hAnsi="Arial" w:cs="Arial"/>
          <w:color w:val="000000" w:themeColor="text1"/>
          <w:sz w:val="22"/>
          <w:szCs w:val="22"/>
        </w:rPr>
        <w:t xml:space="preserve"> </w:t>
      </w:r>
    </w:p>
    <w:p w:rsidR="00A969C6" w:rsidRPr="00AC7230"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GROUNDS FOR REALIZATION OF POWERS OF THE EUROPEAN UNION</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pStyle w:val="HTML"/>
        <w:shd w:val="clear" w:color="auto" w:fill="FFFFFF"/>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Sattorov Saidsho Makhmadshovich</w:t>
      </w:r>
    </w:p>
    <w:p w:rsidR="00A969C6" w:rsidRPr="00DA76A7" w:rsidRDefault="00A969C6" w:rsidP="00A969C6">
      <w:pPr>
        <w:pStyle w:val="a9"/>
        <w:tabs>
          <w:tab w:val="left" w:pos="4380"/>
        </w:tabs>
        <w:ind w:firstLine="0"/>
        <w:jc w:val="center"/>
        <w:rPr>
          <w:rFonts w:ascii="Arial" w:hAnsi="Arial" w:cs="Arial"/>
          <w:color w:val="000000" w:themeColor="text1"/>
        </w:rPr>
      </w:pPr>
      <w:r w:rsidRPr="00DA76A7">
        <w:rPr>
          <w:rFonts w:ascii="Arial" w:hAnsi="Arial" w:cs="Arial"/>
          <w:color w:val="000000" w:themeColor="text1"/>
        </w:rPr>
        <w:t>undergraduate 2nd year students of full-time department of the law faculty</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A969C6" w:rsidRPr="00DA76A7" w:rsidRDefault="00A969C6" w:rsidP="00A969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918-22-22-33, e-mail: aziz</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 xml:space="preserve">@mail.ru </w:t>
      </w:r>
    </w:p>
    <w:p w:rsidR="00A969C6" w:rsidRPr="00DA76A7" w:rsidRDefault="00A969C6" w:rsidP="00A969C6">
      <w:pPr>
        <w:ind w:firstLine="567"/>
        <w:jc w:val="center"/>
        <w:rPr>
          <w:rFonts w:ascii="Arial" w:hAnsi="Arial" w:cs="Arial"/>
          <w:b/>
          <w:color w:val="000000" w:themeColor="text1"/>
          <w:sz w:val="22"/>
          <w:szCs w:val="22"/>
          <w:lang w:val="en-US"/>
        </w:rPr>
      </w:pPr>
    </w:p>
    <w:p w:rsidR="00A969C6" w:rsidRPr="00DA76A7" w:rsidRDefault="00A969C6" w:rsidP="00A969C6">
      <w:pPr>
        <w:ind w:firstLine="567"/>
        <w:jc w:val="right"/>
        <w:rPr>
          <w:rFonts w:ascii="Arial" w:hAnsi="Arial" w:cs="Arial"/>
          <w:b/>
          <w:color w:val="000000" w:themeColor="text1"/>
          <w:sz w:val="22"/>
          <w:szCs w:val="22"/>
        </w:rPr>
      </w:pPr>
      <w:r w:rsidRPr="00DA76A7">
        <w:rPr>
          <w:rFonts w:ascii="Arial" w:hAnsi="Arial" w:cs="Arial"/>
          <w:color w:val="000000" w:themeColor="text1"/>
          <w:sz w:val="22"/>
          <w:szCs w:val="22"/>
        </w:rPr>
        <w:t>Научный руководитель: к.ю.н., доцент Назиров Б.Т.</w:t>
      </w:r>
    </w:p>
    <w:p w:rsidR="00A969C6" w:rsidRPr="00DA76A7" w:rsidRDefault="00A969C6" w:rsidP="00A969C6">
      <w:pPr>
        <w:pStyle w:val="Default"/>
        <w:ind w:firstLine="567"/>
        <w:jc w:val="both"/>
        <w:rPr>
          <w:rFonts w:ascii="Arial" w:hAnsi="Arial" w:cs="Arial"/>
          <w:b/>
          <w:bCs/>
          <w:color w:val="000000" w:themeColor="text1"/>
          <w:sz w:val="22"/>
          <w:szCs w:val="22"/>
        </w:rPr>
      </w:pPr>
    </w:p>
    <w:p w:rsidR="00A969C6" w:rsidRPr="00DA76A7" w:rsidRDefault="00A969C6" w:rsidP="00A969C6">
      <w:pPr>
        <w:pStyle w:val="Default"/>
        <w:ind w:firstLine="567"/>
        <w:jc w:val="both"/>
        <w:rPr>
          <w:rFonts w:ascii="Arial" w:hAnsi="Arial" w:cs="Arial"/>
          <w:bCs/>
          <w:i/>
          <w:color w:val="000000" w:themeColor="text1"/>
          <w:sz w:val="22"/>
          <w:szCs w:val="22"/>
        </w:rPr>
      </w:pPr>
      <w:r w:rsidRPr="00DA76A7">
        <w:rPr>
          <w:rFonts w:ascii="Arial" w:hAnsi="Arial" w:cs="Arial"/>
          <w:b/>
          <w:bCs/>
          <w:i/>
          <w:color w:val="000000" w:themeColor="text1"/>
          <w:sz w:val="22"/>
          <w:szCs w:val="22"/>
        </w:rPr>
        <w:t>Аннотация</w:t>
      </w:r>
      <w:r w:rsidRPr="00DA76A7">
        <w:rPr>
          <w:rFonts w:ascii="Arial" w:hAnsi="Arial" w:cs="Arial"/>
          <w:bCs/>
          <w:i/>
          <w:color w:val="000000" w:themeColor="text1"/>
          <w:sz w:val="22"/>
          <w:szCs w:val="22"/>
        </w:rPr>
        <w:t>. В статье рассматриваются вопросы правовых оснований функционирования Европейского Союза. Особы акцент делается на првовом регулировании общих и специальных компетенциях данной региональной организации. Автор обращает особое внимание на на первичные и вторичные источники нормативных актов, регулирующих деятельность ЕС в рассматриваемой сфере.</w:t>
      </w:r>
    </w:p>
    <w:p w:rsidR="00A969C6" w:rsidRPr="00DA76A7" w:rsidRDefault="00A969C6" w:rsidP="00A969C6">
      <w:pPr>
        <w:pStyle w:val="Default"/>
        <w:ind w:firstLine="567"/>
        <w:jc w:val="both"/>
        <w:rPr>
          <w:rFonts w:ascii="Arial" w:hAnsi="Arial" w:cs="Arial"/>
          <w:i/>
          <w:color w:val="000000" w:themeColor="text1"/>
          <w:sz w:val="22"/>
          <w:szCs w:val="22"/>
          <w:lang w:val="en-US"/>
        </w:rPr>
      </w:pPr>
      <w:r w:rsidRPr="00DA76A7">
        <w:rPr>
          <w:rFonts w:ascii="Arial" w:hAnsi="Arial" w:cs="Arial"/>
          <w:b/>
          <w:bCs/>
          <w:i/>
          <w:color w:val="000000" w:themeColor="text1"/>
          <w:sz w:val="22"/>
          <w:szCs w:val="22"/>
          <w:lang w:val="en-US"/>
        </w:rPr>
        <w:t xml:space="preserve">Annotation. </w:t>
      </w:r>
      <w:r w:rsidRPr="00DA76A7">
        <w:rPr>
          <w:rFonts w:ascii="Arial" w:hAnsi="Arial" w:cs="Arial"/>
          <w:i/>
          <w:color w:val="000000" w:themeColor="text1"/>
          <w:sz w:val="22"/>
          <w:szCs w:val="22"/>
          <w:lang w:val="en-US"/>
        </w:rPr>
        <w:t>In article questions of legal grounds of functioning of the European Union are considered. Persons the emphasis is placed on prvovy regulation the general and special competences of this regional organization. The author pays special attention on on primary and secondary sources of the regulations regulating activity of the EU in the considered sphere.</w:t>
      </w:r>
    </w:p>
    <w:p w:rsidR="00A969C6" w:rsidRPr="00DA76A7" w:rsidRDefault="00A969C6" w:rsidP="00A969C6">
      <w:pPr>
        <w:pStyle w:val="Default"/>
        <w:ind w:firstLine="567"/>
        <w:jc w:val="both"/>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Ключевые слова: </w:t>
      </w:r>
      <w:r w:rsidRPr="00DA76A7">
        <w:rPr>
          <w:rFonts w:ascii="Arial" w:hAnsi="Arial" w:cs="Arial"/>
          <w:bCs/>
          <w:i/>
          <w:color w:val="000000" w:themeColor="text1"/>
          <w:sz w:val="22"/>
          <w:szCs w:val="22"/>
        </w:rPr>
        <w:t>Европейский Союз; компетенции; договор; полномочия; правовые основания.</w:t>
      </w:r>
    </w:p>
    <w:p w:rsidR="00A969C6" w:rsidRPr="00DA76A7" w:rsidRDefault="00A969C6" w:rsidP="00A969C6">
      <w:pPr>
        <w:pStyle w:val="Default"/>
        <w:ind w:firstLine="567"/>
        <w:jc w:val="both"/>
        <w:rPr>
          <w:rFonts w:ascii="Arial" w:hAnsi="Arial" w:cs="Arial"/>
          <w:i/>
          <w:color w:val="000000" w:themeColor="text1"/>
          <w:sz w:val="22"/>
          <w:szCs w:val="22"/>
          <w:lang w:val="en-US"/>
        </w:rPr>
      </w:pPr>
      <w:r w:rsidRPr="00DA76A7">
        <w:rPr>
          <w:rFonts w:ascii="Arial" w:hAnsi="Arial" w:cs="Arial"/>
          <w:bCs/>
          <w:i/>
          <w:color w:val="000000" w:themeColor="text1"/>
          <w:sz w:val="22"/>
          <w:szCs w:val="22"/>
        </w:rPr>
        <w:t xml:space="preserve"> </w:t>
      </w: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European Union; competences; contract; powers; legal grounds.</w:t>
      </w:r>
    </w:p>
    <w:p w:rsidR="00A969C6" w:rsidRPr="00DA76A7" w:rsidRDefault="00A969C6" w:rsidP="00A969C6">
      <w:pPr>
        <w:ind w:firstLine="567"/>
        <w:jc w:val="both"/>
        <w:rPr>
          <w:rFonts w:ascii="Arial" w:hAnsi="Arial" w:cs="Arial"/>
          <w:b/>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Европейский Союз представляет собой своеобразное межгосударственное объединение, имеющий довольно богатый опыт так называемой федерализации отношений, складывающихся между государствами-членами и Союзом. Последнее представляет собой некое ограничение собственного суверенитета путем передачи части суверенных прав в компетенцию наднационального образования. Но особенность Европейского Союза как определенного надгосударственного образования состоит в том, что Союз не является новым государством взамен ранее существующих государств. Последние, будучи членами Союза, сохраняют практически в полном объеме и верховенство закона и демократию [3, 39].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этим до настоящего времени идут научные споры о квалификации правового статуса Европейского Союза (далее ЕС) как определенного образования на международной арене. Одни ученые склоняются к тому, что ЕС – это не что иное, как международная организация. По мнению же иных представителей научной мысли, ЕС – есть своего рода конфедерация. Мы же полагаем, что учитывая вопросы разграничения компетенций и цель, зафиксированной в положениях договора «О Европейском Союзе» о сохранении исторического разнообразия стран, регионов и культур, необходимо квалифицировать Европейский Союз не как иначе как международную организацию.</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Полагаем, что изложенное об определении правового статуса ЕС имеет довольно важное значение для выявления вопроса о компетенциях ЕС, а также о возможности реализации последних.</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известно, компетенцию Европейского Союза согласно его учредительным договорам можно определить как совокупность предметов ведения, властных и иных полномочий по регулированию определенных сфер общественной жизни, переданных, то есть делегированных государствами-членами Союзу в учредительных документах, носящих по своей природе международно-правовой характер [2, 38].</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Действительно, правовым полем для реализации компетенций Европейского Союза являются его учредительные договора. Именно в них содержатся объем и пределы компетенций, а также разграничение предметов ведения ЕС и государств-членов.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заметить, что компетенция Европейского Союза имеет своего рода государственно-подобный характер, суть которого заключается в  наличии широкого спектра властных полномочий по управлению обществом. К последним следует отнести такие полномочия, как издание законодательных, административных и судебных актов. Данные правомочия имеют обязательную юридическую силу как для государств-членов, так и для их граждан, одновременно являющихся гражданами Союза в целом, а также для иных физических и юридических лиц, проживающих или занимающихся определенной деятельностью на территории  Европейского Союза.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С другой стороны, особенность оснований наделения и реализации компетенций ЕС заключается в том, что не являясь государством, Союз компетенцией наделяется не непосредственно от «европейского народа», а посредством определенной уступки государствами-членами части своих суверенных прав Союзу. Последнее оформляется посредством заключения соглашений, которые в принципе и составляют правовые основания для реализации ЕС переданных и наделенных компетенций. Как верно отмечается в юридической литературе, в основу разграничения компетенций между государствами-членами и Союзом лежит принцип передачи компетенции, во-первых, что государства-члены добровольно передают часть своей компетенции Европейскому Союзу; во-вторых, именно переданная государствами-членами компетенция составляет компетенцию ЕС [1, 64].</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подчеркнуть, что источниками, закрепляющими компетенции Европейского Союза, служат следующие учредительные документы: Договор об учреждении Европейского сообщества 1957 г. (Договор о ЕС), Договор об учреждении Европейского сообщества по атомной энергии 1957 г. (Договор о Евратоме) и Договор о Европейском Союзе 1992 г.</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Доминирующее количество вопросов, входящих в компетенцию данной организации, безусловно, содержит Договор о ЕС 1957 г., по сути являющийся первоисточником в правовой регламентации деятельности ЕС.  Как верно отмечается в юридической литературе, нормы данного акта определяют сферы, границы и порядок осуществления компетенций [5]. В то же время, подписанный одновременно с Договором 1957 г. Договор о Евратоме носит узкоспециальный характер. Последнее выражается в том, что  Договор о Евратоме закрепляет полномочия Европейского Союза лишь в специальной сфере деятельности, в данном случае в сфере атомной энергетики.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было отмечено, правовое регулирование компетенции ЕС берет начало с 50-х годов XX века. Именно данный период и характеризуется созданием Европейских сообществ. Естественно при создании последних был разрешен вопрос о наделении сообществ определенными правомочиями. И здесь следует выделить, что предметная компетенция Европейского Союза прошла путь от специальных (узкоспециализированных) сфер до общеэкономических проектов (общий рынок ЕЭС, дополненный сотрудничеством по вопросам мирного использования атомной энергии в рамках Евратома).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Далее наблюдается, расширение компетенции ЕС. Теперь полномочия ЕС распространяются на весь спектр общественных отношений, включая разработку общей внешней политики и политики безопасности с военным компонентом и вопросы борьбы с преступностью. Данный процесс связан с вступлением в силу Лиссабонского договора от 2007 г. значительно расширившего пределы деятельности правомочий ЕС.</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Дальнейшее расширение компетенции ЕС осуществляется, главным образом, посредством расширения и углубления его задач и полномочий в уже подведомственных Союзу сферах общественной жизни и, в меньшей степени, путем признания за Союзом новых сфер компетенции. В частности, Лиссабонский договор 2007 г. признал за ЕС полномочия осуществлять политику и мероприятия в таких областях, как: службы общеэкономического значения; космос; спорт; туризм; энергия (помимо атомной, сохраняющейся в ведении Евратома); гражданская оборона; координация административного сотрудничества государств-членов в области претворения в жизнь права Европейского Союза; координация мер по оказанию помощи государствам-членам, пострадавшим от террористических актов или катастроф; гуманитарная помощь третьим странам.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Уже в 2007 г., непосредственно при подготовке текста Лиссабонского договора, государства-члены согласились усилить роль ЕС в природоохранной и энергетической сферах, в частности, применительно к вопросам борьбы с изменением климата и другими глобальными и региональными проблемами окружающей среды, интеграции энергетических систем.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Мы полагаем, что вступление в силу Лиссабонского соглашения привнесло некую ясность в вопросе о компетенции ЕС. Поскольку именно посредством данного соглашения некие общие компетенции Союза были конкретизированы и классифицированы в определенной последовательности. Но не следует ошибочно полагать, что своим наличием Лиссабонский договор «разрушает» иерархический порядок источников правовой регламентации компетенции ЕС.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После вступления в силу данного документа, содержащего довольно важные вопросы по сути реформировавшие всю внутриполитическую компетенцию рассматриваемой международной организации, правовые основания реализации компетенций Союзом довольно обогатились. Отныне закрепленная в договоре 2007 г. компетенция по регулированию общественных отношений в пределах территории Союза, закрепляется в части третьей Договора о функционировании Европейского Союза под названием «Внутренняя политика и деятельность Союза». Эта часть включает 24 раздела, посвященные отдельным сферам внутриполитической деятельности Союза: раздел I «Внутренний рынок», раздел XX «Окружающая среда» и т. д.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Базовые положения о внешнеполитической компетенции организации, т. е. компетенции по развитию отношений с третьими странами и международными организациями, содержатся в Договоре о Европейском Союзе (раздел V «Общие положения о внешнеполитической деятельности Союза и специальные правила об общей внешней политике и политике безопасности»). Остальные правила о внешней политике Союза закреплены в части пятой Договора о функционировании Европейского Союза «Внешнеполитическая деятельность Союза» (включает семь разделов).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Полномочия институтов Союза в области мирного использования атомной энергии будут регулируются Договором о Евратоме (раздел II «Положения о содействии прогрессу в области атомной энергии»).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Итак, основополагающим правилом, согласно которому целесообразно говорить о правовых основаниях наделения ЕС определенными компетенциями и возможности реализации последних являются статьи 2-6 основного Договора, закрепляющего принцип, согласно которому находящиеся в исключительной компетенции ЕС правомочия не могут быть изъяты или изменены по воле государств-членов. В подобных ситуациях только Союз правомочен принимать юридически обязательные действия, и уполномочивать соответствующие государства осуществлять либо же претворять в жизнь акты Союза.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Договоре о Европейском Союзе 1992 г. устанавливаются полномочия Союза по вопросам общей внешней политики и политики безопасности, сотрудничества полиций и судебных органов в уголовно-правовой сфере. Заметим, что вопрос военно-политического сотрудничества включает в себя «возможное оформление общей оборонительной политики, которая могла бы привести со временем к созданию общих сил обороны» [4] . Помимо прочих среди главных целей общей внешней политики и политики безопасности названы такие, как защита общих ценностей, основных интересов, независимости и целостности Союза в соответствии с принципами Устава ООН; общее укрепление безопасности Союза; поддержание мира и сотрудничество по вопросам международной безопасности в соответствии с принципами Устава ООН, равно как и принципами Хельсинского Заключительного акта и целями Парижской хартии (Совета Европы) и др. Как видно, общая внешняя политика и политика безопасности строится на основополагающих принципах международного права.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Итак, подытоживая исследование вопроса о правовой природе наделения ЕС компетенцией в тех или иных сферах необходимо заметить, что в настоящее время компетенция Европейского Союза содержится в трех основных источниках: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в Договоре о ЕС 1957 г., прежде всего в его части третьей «Политика Сообщества»;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разделах V и VI Договора о Европейском Союзе: в положениях об ОВПБ и СПСО;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разделе втором Договора о Евратоме 1957 г. «Положения по содействию прогрессу в области атомной энергии».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Именно в данных документах расположены уполномочивающие статьи, которые содержат положения, наделяющие институты Союза полномочиями принимать меры по конкретным вопросам общественной жизни. Ссылки на данные статьи в силу общеобязательности последних обязательны в преамбуле каждого правового акта Союза.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сути, резюмируя вышесказанное можно прийти к выводу, что единственными непосредственными источниками компетенции Европейского Союза является его первичное право. В свою очередь, первичное право представляет собой комплекс международных договоров, учреждающих это объединение. </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pStyle w:val="af2"/>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f2"/>
        <w:numPr>
          <w:ilvl w:val="0"/>
          <w:numId w:val="3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Бартенев С.А. Принцип передачи компетенции в праве Европейского Союза // Международное, публичное и частное право. – 2007. – № 2. – С. 64-68.</w:t>
      </w:r>
    </w:p>
    <w:p w:rsidR="00A969C6" w:rsidRPr="00DA76A7" w:rsidRDefault="00A969C6" w:rsidP="00D45D6B">
      <w:pPr>
        <w:pStyle w:val="af2"/>
        <w:numPr>
          <w:ilvl w:val="0"/>
          <w:numId w:val="3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Дербичева С.А., Астапенко П.Н. Европейская интеграция и эволюция. Революция государственных институтов: сущность, динамика и угрозы общественной безопасности // Закон и право. – 2007. - № 7. – С. 38-43.</w:t>
      </w:r>
    </w:p>
    <w:p w:rsidR="00A969C6" w:rsidRPr="00DA76A7" w:rsidRDefault="00A969C6" w:rsidP="00D45D6B">
      <w:pPr>
        <w:pStyle w:val="af2"/>
        <w:numPr>
          <w:ilvl w:val="0"/>
          <w:numId w:val="3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Кашкин С. Ю., Четвериков А. О. На пути к Европейской Конституции: Европейский конвент и перспективы Конституционного договора (Конституции) Европейского Союза // Конституционное право: восточноевропейское обозрение. - 2007.– № 1 (42). ––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38–41.</w:t>
      </w:r>
    </w:p>
    <w:p w:rsidR="00A969C6" w:rsidRPr="00DA76A7" w:rsidRDefault="00A969C6" w:rsidP="00D45D6B">
      <w:pPr>
        <w:pStyle w:val="af2"/>
        <w:numPr>
          <w:ilvl w:val="0"/>
          <w:numId w:val="3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Кашкина С.Ю. Право Европейского Союза: учебник для вузов / Под ред.– М. Юрайт. 2009. – 1119 с.</w:t>
      </w:r>
    </w:p>
    <w:p w:rsidR="00A969C6" w:rsidRPr="00DA76A7" w:rsidRDefault="00A969C6" w:rsidP="00D45D6B">
      <w:pPr>
        <w:pStyle w:val="af2"/>
        <w:numPr>
          <w:ilvl w:val="0"/>
          <w:numId w:val="3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Постовалова Т.А. Право Европейского союза. Краткий курс: Учебное пособие. [Электронный ресурс] // СПС «Консультант-Плюс (дата обращения 20.03.18 г.).</w:t>
      </w:r>
    </w:p>
    <w:p w:rsidR="00D971C1" w:rsidRDefault="00D971C1" w:rsidP="005F6AC7">
      <w:pPr>
        <w:jc w:val="center"/>
        <w:rPr>
          <w:rFonts w:ascii="Arial" w:hAnsi="Arial" w:cs="Arial"/>
          <w:b/>
          <w:color w:val="000000" w:themeColor="text1"/>
          <w:sz w:val="22"/>
          <w:szCs w:val="22"/>
        </w:rPr>
      </w:pPr>
    </w:p>
    <w:p w:rsidR="00D971C1" w:rsidRDefault="00D971C1" w:rsidP="005F6AC7">
      <w:pPr>
        <w:jc w:val="center"/>
        <w:rPr>
          <w:rFonts w:ascii="Arial" w:hAnsi="Arial" w:cs="Arial"/>
          <w:b/>
          <w:color w:val="000000" w:themeColor="text1"/>
          <w:sz w:val="22"/>
          <w:szCs w:val="22"/>
        </w:rPr>
      </w:pPr>
    </w:p>
    <w:p w:rsidR="008A5985" w:rsidRPr="00DA76A7" w:rsidRDefault="008A5985" w:rsidP="005F6AC7">
      <w:pPr>
        <w:jc w:val="center"/>
        <w:rPr>
          <w:rFonts w:ascii="Arial" w:hAnsi="Arial" w:cs="Arial"/>
          <w:b/>
          <w:color w:val="000000" w:themeColor="text1"/>
          <w:sz w:val="22"/>
          <w:szCs w:val="22"/>
        </w:rPr>
      </w:pPr>
      <w:r w:rsidRPr="00DA76A7">
        <w:rPr>
          <w:rFonts w:ascii="Arial" w:hAnsi="Arial" w:cs="Arial"/>
          <w:b/>
          <w:color w:val="000000" w:themeColor="text1"/>
          <w:sz w:val="22"/>
          <w:szCs w:val="22"/>
        </w:rPr>
        <w:t>НОРМАТИВНО-ПРАВОВОЕ РЕГУЛИРОВАНИЕ ТРАНСПОРТНОГО ОБЕСПЕЧЕНИЯ МЕЖДУНАРОДНОЙ ТОРГОВЛИ</w:t>
      </w:r>
    </w:p>
    <w:p w:rsidR="008A5985" w:rsidRPr="00DA76A7" w:rsidRDefault="008A5985" w:rsidP="005F6AC7">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 </w:t>
      </w:r>
    </w:p>
    <w:p w:rsidR="008A5985" w:rsidRPr="00DA76A7" w:rsidRDefault="008A5985" w:rsidP="005F6AC7">
      <w:pPr>
        <w:jc w:val="center"/>
        <w:rPr>
          <w:rFonts w:ascii="Arial" w:hAnsi="Arial" w:cs="Arial"/>
          <w:b/>
          <w:color w:val="000000" w:themeColor="text1"/>
          <w:sz w:val="22"/>
          <w:szCs w:val="22"/>
        </w:rPr>
      </w:pPr>
      <w:r w:rsidRPr="00DA76A7">
        <w:rPr>
          <w:rFonts w:ascii="Arial" w:hAnsi="Arial" w:cs="Arial"/>
          <w:b/>
          <w:color w:val="000000" w:themeColor="text1"/>
          <w:sz w:val="22"/>
          <w:szCs w:val="22"/>
        </w:rPr>
        <w:t>Сатторов Хикматшо Тиллоевич</w:t>
      </w:r>
    </w:p>
    <w:p w:rsidR="008A5985" w:rsidRPr="00DA76A7" w:rsidRDefault="008A5985" w:rsidP="005F6AC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8A5985" w:rsidRPr="00DA76A7" w:rsidRDefault="008A5985" w:rsidP="005F6AC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8A5985" w:rsidRPr="00DA76A7" w:rsidRDefault="008A5985" w:rsidP="005F6AC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8A5985" w:rsidRPr="00AC7230" w:rsidRDefault="008A5985" w:rsidP="005F6AC7">
      <w:pPr>
        <w:jc w:val="center"/>
        <w:rPr>
          <w:rFonts w:ascii="Arial" w:hAnsi="Arial" w:cs="Arial"/>
          <w:bCs/>
          <w:color w:val="000000" w:themeColor="text1"/>
          <w:sz w:val="22"/>
          <w:szCs w:val="22"/>
          <w:shd w:val="clear" w:color="auto" w:fill="FFFFFF"/>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(+992) 918817520, </w:t>
      </w:r>
      <w:r w:rsidRPr="00DA76A7">
        <w:rPr>
          <w:rFonts w:ascii="Arial" w:hAnsi="Arial" w:cs="Arial"/>
          <w:color w:val="000000" w:themeColor="text1"/>
          <w:sz w:val="22"/>
          <w:szCs w:val="22"/>
          <w:lang w:val="en-US"/>
        </w:rPr>
        <w:t>email</w:t>
      </w:r>
      <w:r w:rsidRPr="00AC7230">
        <w:rPr>
          <w:rFonts w:ascii="Arial" w:hAnsi="Arial" w:cs="Arial"/>
          <w:color w:val="000000" w:themeColor="text1"/>
          <w:sz w:val="22"/>
          <w:szCs w:val="22"/>
        </w:rPr>
        <w:t xml:space="preserve">: </w:t>
      </w:r>
      <w:hyperlink r:id="rId82" w:history="1">
        <w:r w:rsidRPr="00DA76A7">
          <w:rPr>
            <w:rStyle w:val="af0"/>
            <w:rFonts w:ascii="Arial" w:hAnsi="Arial" w:cs="Arial"/>
            <w:bCs/>
            <w:color w:val="000000" w:themeColor="text1"/>
            <w:sz w:val="22"/>
            <w:szCs w:val="22"/>
            <w:u w:val="none"/>
            <w:shd w:val="clear" w:color="auto" w:fill="FFFFFF"/>
            <w:lang w:val="en-US"/>
          </w:rPr>
          <w:t>htsattorov</w:t>
        </w:r>
        <w:r w:rsidRPr="00AC7230">
          <w:rPr>
            <w:rStyle w:val="af0"/>
            <w:rFonts w:ascii="Arial" w:hAnsi="Arial" w:cs="Arial"/>
            <w:bCs/>
            <w:color w:val="000000" w:themeColor="text1"/>
            <w:sz w:val="22"/>
            <w:szCs w:val="22"/>
            <w:u w:val="none"/>
            <w:shd w:val="clear" w:color="auto" w:fill="FFFFFF"/>
          </w:rPr>
          <w:t>@</w:t>
        </w:r>
        <w:r w:rsidRPr="00DA76A7">
          <w:rPr>
            <w:rStyle w:val="af0"/>
            <w:rFonts w:ascii="Arial" w:hAnsi="Arial" w:cs="Arial"/>
            <w:bCs/>
            <w:color w:val="000000" w:themeColor="text1"/>
            <w:sz w:val="22"/>
            <w:szCs w:val="22"/>
            <w:u w:val="none"/>
            <w:shd w:val="clear" w:color="auto" w:fill="FFFFFF"/>
            <w:lang w:val="en-US"/>
          </w:rPr>
          <w:t>gmail</w:t>
        </w:r>
        <w:r w:rsidRPr="00AC7230">
          <w:rPr>
            <w:rStyle w:val="af0"/>
            <w:rFonts w:ascii="Arial" w:hAnsi="Arial" w:cs="Arial"/>
            <w:bCs/>
            <w:color w:val="000000" w:themeColor="text1"/>
            <w:sz w:val="22"/>
            <w:szCs w:val="22"/>
            <w:u w:val="none"/>
            <w:shd w:val="clear" w:color="auto" w:fill="FFFFFF"/>
          </w:rPr>
          <w:t>.</w:t>
        </w:r>
        <w:r w:rsidRPr="00DA76A7">
          <w:rPr>
            <w:rStyle w:val="af0"/>
            <w:rFonts w:ascii="Arial" w:hAnsi="Arial" w:cs="Arial"/>
            <w:bCs/>
            <w:color w:val="000000" w:themeColor="text1"/>
            <w:sz w:val="22"/>
            <w:szCs w:val="22"/>
            <w:u w:val="none"/>
            <w:shd w:val="clear" w:color="auto" w:fill="FFFFFF"/>
            <w:lang w:val="en-US"/>
          </w:rPr>
          <w:t>com</w:t>
        </w:r>
      </w:hyperlink>
    </w:p>
    <w:p w:rsidR="008A5985" w:rsidRDefault="008A5985" w:rsidP="005F6AC7">
      <w:pPr>
        <w:jc w:val="center"/>
        <w:rPr>
          <w:rFonts w:ascii="Arial" w:hAnsi="Arial" w:cs="Arial"/>
          <w:b/>
          <w:color w:val="000000" w:themeColor="text1"/>
          <w:sz w:val="22"/>
          <w:szCs w:val="22"/>
        </w:rPr>
      </w:pPr>
    </w:p>
    <w:p w:rsidR="003A625F" w:rsidRDefault="003A625F" w:rsidP="005F6AC7">
      <w:pPr>
        <w:jc w:val="center"/>
        <w:rPr>
          <w:rFonts w:ascii="Arial" w:hAnsi="Arial" w:cs="Arial"/>
          <w:b/>
          <w:color w:val="000000" w:themeColor="text1"/>
          <w:sz w:val="22"/>
          <w:szCs w:val="22"/>
        </w:rPr>
      </w:pPr>
    </w:p>
    <w:p w:rsidR="003A625F" w:rsidRPr="00AC7230" w:rsidRDefault="003A625F" w:rsidP="005F6AC7">
      <w:pPr>
        <w:jc w:val="center"/>
        <w:rPr>
          <w:rFonts w:ascii="Arial" w:hAnsi="Arial" w:cs="Arial"/>
          <w:b/>
          <w:color w:val="000000" w:themeColor="text1"/>
          <w:sz w:val="22"/>
          <w:szCs w:val="22"/>
        </w:rPr>
      </w:pPr>
    </w:p>
    <w:p w:rsidR="008A5985" w:rsidRPr="00DA76A7" w:rsidRDefault="008A5985" w:rsidP="005F6AC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REGULATORY AND LEGAL REGULATION OF TRANSPORT PROVISION OF INTERNATIONAL TRADE</w:t>
      </w:r>
    </w:p>
    <w:p w:rsidR="008A5985" w:rsidRPr="00DA76A7" w:rsidRDefault="008A5985" w:rsidP="005F6AC7">
      <w:pPr>
        <w:jc w:val="center"/>
        <w:rPr>
          <w:rFonts w:ascii="Arial" w:hAnsi="Arial" w:cs="Arial"/>
          <w:b/>
          <w:color w:val="000000" w:themeColor="text1"/>
          <w:sz w:val="22"/>
          <w:szCs w:val="22"/>
          <w:lang w:val="en-US"/>
        </w:rPr>
      </w:pPr>
    </w:p>
    <w:p w:rsidR="008A5985" w:rsidRPr="00DA76A7" w:rsidRDefault="008A5985" w:rsidP="005F6AC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Sattorov Hikmatsho Tilloevich</w:t>
      </w:r>
    </w:p>
    <w:p w:rsidR="008A5985" w:rsidRPr="00DA76A7" w:rsidRDefault="008A5985" w:rsidP="005F6A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8A5985" w:rsidRPr="00DA76A7" w:rsidRDefault="008A5985" w:rsidP="005F6AC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8A5985" w:rsidRPr="00DA76A7" w:rsidRDefault="008A5985" w:rsidP="005F6AC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30, M. Tursunzoda street</w:t>
      </w:r>
    </w:p>
    <w:p w:rsidR="008A5985" w:rsidRPr="00DA76A7" w:rsidRDefault="008A5985" w:rsidP="005F6AC7">
      <w:pPr>
        <w:jc w:val="center"/>
        <w:rPr>
          <w:rFonts w:ascii="Arial" w:hAnsi="Arial" w:cs="Arial"/>
          <w:bCs/>
          <w:color w:val="000000" w:themeColor="text1"/>
          <w:sz w:val="22"/>
          <w:szCs w:val="22"/>
          <w:shd w:val="clear" w:color="auto" w:fill="FFFFFF"/>
          <w:lang w:val="en-US"/>
        </w:rPr>
      </w:pPr>
      <w:r w:rsidRPr="00DA76A7">
        <w:rPr>
          <w:rFonts w:ascii="Arial" w:hAnsi="Arial" w:cs="Arial"/>
          <w:color w:val="000000" w:themeColor="text1"/>
          <w:sz w:val="22"/>
          <w:szCs w:val="22"/>
          <w:lang w:val="en-US"/>
        </w:rPr>
        <w:t xml:space="preserve">tel.: (+992) 918817520, email: </w:t>
      </w:r>
      <w:hyperlink r:id="rId83" w:history="1">
        <w:r w:rsidRPr="00DA76A7">
          <w:rPr>
            <w:rStyle w:val="af0"/>
            <w:rFonts w:ascii="Arial" w:hAnsi="Arial" w:cs="Arial"/>
            <w:bCs/>
            <w:color w:val="000000" w:themeColor="text1"/>
            <w:sz w:val="22"/>
            <w:szCs w:val="22"/>
            <w:u w:val="none"/>
            <w:shd w:val="clear" w:color="auto" w:fill="FFFFFF"/>
            <w:lang w:val="en-US"/>
          </w:rPr>
          <w:t>htsattorov@gmail.com</w:t>
        </w:r>
      </w:hyperlink>
    </w:p>
    <w:p w:rsidR="008A5985" w:rsidRPr="00DA76A7" w:rsidRDefault="008A5985" w:rsidP="008A5985">
      <w:pPr>
        <w:ind w:firstLine="567"/>
        <w:jc w:val="center"/>
        <w:rPr>
          <w:rFonts w:ascii="Arial" w:hAnsi="Arial" w:cs="Arial"/>
          <w:color w:val="000000" w:themeColor="text1"/>
          <w:sz w:val="22"/>
          <w:szCs w:val="22"/>
          <w:lang w:val="en-US"/>
        </w:rPr>
      </w:pPr>
    </w:p>
    <w:p w:rsidR="008A5985" w:rsidRPr="00DA76A7" w:rsidRDefault="008A5985" w:rsidP="008A5985">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rPr>
        <w:t xml:space="preserve">В статье рассматриваются проблемы нормативно-правового регулирования транспортного обеспечения международной торговли. Правовое регулирование транспортного обеспечения международной торговли осуществляется на основе правил и принципов международного права, норм национального законодательства соответствующих государств, нормативных актов международных транспортных организаций, соглашений, заключаемых перевозчиками и грузоотправителями, международных транспортных и торговых обычаев.  </w:t>
      </w:r>
    </w:p>
    <w:p w:rsidR="008A5985" w:rsidRPr="00DA76A7" w:rsidRDefault="008A5985" w:rsidP="008A5985">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deals with the problems of regulatory and legal regulation of transport provision of international trade. The legal regulation of the transport provision of international trade is carried out on the basis of rules and principles of international law, norms of national legislation of the respective states, normative acts of international transport Organizations, agreements concluded by carriers and shippers, international transport and trade customs.</w:t>
      </w:r>
    </w:p>
    <w:p w:rsidR="008A5985" w:rsidRPr="00DA76A7" w:rsidRDefault="008A5985" w:rsidP="008A5985">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нормативно-правовое регулирование; международная торговля; транспортное обеспечение; </w:t>
      </w:r>
    </w:p>
    <w:p w:rsidR="008A5985" w:rsidRPr="00DA76A7" w:rsidRDefault="008A5985" w:rsidP="008A5985">
      <w:pPr>
        <w:ind w:firstLine="567"/>
        <w:jc w:val="both"/>
        <w:rPr>
          <w:rFonts w:ascii="Arial" w:hAnsi="Arial" w:cs="Arial"/>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regulatory and legal regulation; international trade; transport provision</w:t>
      </w:r>
      <w:r w:rsidRPr="00DA76A7">
        <w:rPr>
          <w:rFonts w:ascii="Arial" w:hAnsi="Arial" w:cs="Arial"/>
          <w:color w:val="000000" w:themeColor="text1"/>
          <w:sz w:val="22"/>
          <w:szCs w:val="22"/>
          <w:shd w:val="clear" w:color="auto" w:fill="F5F5F5"/>
          <w:lang w:val="en-US"/>
        </w:rPr>
        <w:t>.</w:t>
      </w:r>
      <w:r w:rsidRPr="00DA76A7">
        <w:rPr>
          <w:rFonts w:ascii="Arial" w:hAnsi="Arial" w:cs="Arial"/>
          <w:color w:val="000000" w:themeColor="text1"/>
          <w:sz w:val="22"/>
          <w:szCs w:val="22"/>
          <w:lang w:val="en-US"/>
        </w:rPr>
        <w:t xml:space="preserve"> </w:t>
      </w:r>
    </w:p>
    <w:p w:rsidR="008A5985" w:rsidRPr="00DA76A7" w:rsidRDefault="008A5985" w:rsidP="008A5985">
      <w:pPr>
        <w:ind w:firstLine="567"/>
        <w:jc w:val="both"/>
        <w:rPr>
          <w:rFonts w:ascii="Arial" w:hAnsi="Arial" w:cs="Arial"/>
          <w:color w:val="000000" w:themeColor="text1"/>
          <w:sz w:val="22"/>
          <w:szCs w:val="22"/>
          <w:lang w:val="en-US"/>
        </w:rPr>
      </w:pP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литературе, рассматривая международную торговлю как одну из первых и наиболее развитых форм международных экономических отношений, совершенно верно указывается, что мощный импульс её развитию придали «машинное производство и международное разделение труда (МРТ) в условиях товарного производства. …Развитие промышленного производства и его различных отраслей приводят к качественным преобразованиям всех элементов производительных сил, сдвигам в географии мировых товаропотоков, усиливают зависимость национальных экономик стран от мирового рынка, порождают многообразие форм и направлений международной торговли, при этом транспорту отводится особое место в международном товаропотоке» [4, 60].</w:t>
      </w:r>
    </w:p>
    <w:p w:rsidR="008A5985" w:rsidRPr="00DA76A7" w:rsidRDefault="008A5985" w:rsidP="008A5985">
      <w:pPr>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Как связующее звено в экономике государств мира транспорт, транспортная система представляет собой единый комплекс, который охватывает весь процесс общественного производства, распределения и обмена. Являясь важнейшей частью мировой экономики, транспортная система, перевозочный процесс, безусловно, нуждается в соответствующей нормативно-правовой базе.</w:t>
      </w:r>
    </w:p>
    <w:p w:rsidR="008A5985" w:rsidRPr="00DA76A7" w:rsidRDefault="008A5985" w:rsidP="008A5985">
      <w:pPr>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Нормативно-правовому механизму регулирования перевозочного процесса, в том числе транспортному обеспечению международной торговли, характерна большая степень общности методов практической регламентации в отношении целей и достижения конечного результата регулирования. Такая общность проявляется в охвате экономических, правовых, эксплуатационных и организационно-управленческих вопросов регулирования в многочисленных нормативно-правовых актах. </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Транспортное обеспечение международной торговли представляет собой сложную систему, состоящую из технических, технологических, экономических, правовых и организационно-управленческих элементов. Нормативно-правовое</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 xml:space="preserve">обеспечение перевозочного процесса международной торговли играет огромную роль в формировании и развитии современных международных экономических отношений. </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Правовые элементы транспортного обеспечения международной торговли подразумевают регулирование всей системы транспортных услуг. Правовое регулирование транспортного обеспечения международной торговли осуществляется на основе правил и принципов международного права, норм национального законодательства соответствующих государств, нормативных актов международных транспортных организаций, соглашений, заключаемых перевозчиками и грузоотправителями, международных транспортных и торговых обычаев.  </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Известно, что каждый вид транспорта имеет свои особенности, поэтому международные транспортные конвенции разрабатываются для каждого отдельного вида транспорта. В последнее время имеется тенденция активной разработки и внедрения унифицированных актов нормативного характера для регулирования смешанных перевозок грузов, что положительно влияет на динамику роста международной торговли. </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отсутствии унифицированных норм материально-правового характера указанные отношения регулируются нормами внутреннего законодательства в соответствии с коллизионными нормами международных соглашений в области транспорта или национального законодательства. </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юридической литературе обращается внимание на то, что вряд ли найдется другая область права, в которой имеется такое количество международных соглашений об унификации правовых норм, как в сфере транспортного права [1]. Также указывается, что нормы этих соглашений, в отличие от норм конвенций в области международной купли-продажи товаров, носят императивный характер [3, 43].</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Соотношение и взаимоотношения актов международно-правового характера и внутригосударственного законодательства в области перевозочного процесса международной торговли основываются на следующих принципах. Национальные государства обладают суверенитетом над собственной территорией, включая сухопутную, воздушную и водную, в силу чего государства имеют полное право регулировать перевозочный процесс и всю связанную с ним деятельность на территориях, которые принадлежат им.  </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как уже отметили, организация транспортного процесса предполагает решение многих вопросов: организационно-управленческих, правовых, технических и ряда других проблем. Кроме того, потребности международного коммерческого оборота требуют унификации нормативно-правовых актов в области регламентации международных транспортных отношений. Поэтому в современных международных отношениях широкое распространение получил принцип, согласно которому внутригосударственные нормы применяются лишь в части, не урегулированной в международных договорах. Таким образом, согласно данному принципу, международный перевозочный процесс регулируется преимущественно международно-правовыми нормами. </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Следует указать, что транспортное обеспечение (перевозочный процесс) международной торговли  осуществляется на основании как универсальных транспортных конвенций, так и в соответствии с двусторонними договорами о транспортном сообщении и перевозках. В качестве примера таких конвенций можно привести Конвенцию для унификации некоторых правил международных воздушных перевозок 1929 г., </w:t>
      </w:r>
      <w:r w:rsidRPr="00DA76A7">
        <w:rPr>
          <w:rFonts w:ascii="Arial" w:hAnsi="Arial" w:cs="Arial"/>
          <w:color w:val="000000" w:themeColor="text1"/>
          <w:sz w:val="22"/>
          <w:szCs w:val="22"/>
          <w:shd w:val="clear" w:color="auto" w:fill="FFFFFF"/>
        </w:rPr>
        <w:t>Чикагскую конвенцию о международ</w:t>
      </w:r>
      <w:r w:rsidRPr="00DA76A7">
        <w:rPr>
          <w:rFonts w:ascii="Arial" w:hAnsi="Arial" w:cs="Arial"/>
          <w:color w:val="000000" w:themeColor="text1"/>
          <w:sz w:val="22"/>
          <w:szCs w:val="22"/>
          <w:shd w:val="clear" w:color="auto" w:fill="FFFFFF"/>
        </w:rPr>
        <w:softHyphen/>
        <w:t>ной гражданской авиации 1944 г.,</w:t>
      </w:r>
      <w:r w:rsidRPr="00DA76A7">
        <w:rPr>
          <w:rFonts w:ascii="Arial" w:hAnsi="Arial" w:cs="Arial"/>
          <w:color w:val="000000" w:themeColor="text1"/>
          <w:sz w:val="22"/>
          <w:szCs w:val="22"/>
        </w:rPr>
        <w:t xml:space="preserve"> Конвенцию о договоре международной дорожной перевозки грузов 1956 г., </w:t>
      </w:r>
      <w:r w:rsidRPr="00DA76A7">
        <w:rPr>
          <w:rFonts w:ascii="Arial" w:hAnsi="Arial" w:cs="Arial"/>
          <w:color w:val="000000" w:themeColor="text1"/>
          <w:sz w:val="22"/>
          <w:szCs w:val="22"/>
          <w:shd w:val="clear" w:color="auto" w:fill="FFFFFF"/>
        </w:rPr>
        <w:t>Конвенцию об уни</w:t>
      </w:r>
      <w:r w:rsidRPr="00DA76A7">
        <w:rPr>
          <w:rFonts w:ascii="Arial" w:hAnsi="Arial" w:cs="Arial"/>
          <w:color w:val="000000" w:themeColor="text1"/>
          <w:sz w:val="22"/>
          <w:szCs w:val="22"/>
          <w:shd w:val="clear" w:color="auto" w:fill="FFFFFF"/>
        </w:rPr>
        <w:softHyphen/>
        <w:t>фикации некоторых правил о коносаменте 1924 г.,</w:t>
      </w:r>
      <w:r w:rsidRPr="00DA76A7">
        <w:rPr>
          <w:rFonts w:ascii="Arial" w:hAnsi="Arial" w:cs="Arial"/>
          <w:color w:val="000000" w:themeColor="text1"/>
          <w:sz w:val="22"/>
          <w:szCs w:val="22"/>
        </w:rPr>
        <w:t xml:space="preserve"> Конвенцию ООН о морской перевозке грузов 1978 г.,</w:t>
      </w:r>
      <w:r w:rsidRPr="00DA76A7">
        <w:rPr>
          <w:rFonts w:ascii="Arial" w:hAnsi="Arial" w:cs="Arial"/>
          <w:color w:val="000000" w:themeColor="text1"/>
          <w:sz w:val="22"/>
          <w:szCs w:val="22"/>
          <w:shd w:val="clear" w:color="auto" w:fill="FFFFFF"/>
        </w:rPr>
        <w:t xml:space="preserve"> Конвенцию о международных железнодорожных перевозках 1980 г. и др.</w:t>
      </w:r>
      <w:r w:rsidRPr="00DA76A7">
        <w:rPr>
          <w:rFonts w:ascii="Arial" w:hAnsi="Arial" w:cs="Arial"/>
          <w:color w:val="000000" w:themeColor="text1"/>
          <w:sz w:val="22"/>
          <w:szCs w:val="22"/>
        </w:rPr>
        <w:t xml:space="preserve"> </w:t>
      </w:r>
    </w:p>
    <w:p w:rsidR="008A5985" w:rsidRPr="00DA76A7" w:rsidRDefault="008A5985" w:rsidP="008A5985">
      <w:pPr>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Нормативное регулирование перевозочного процесса в международном сообщении посредством правил международных договоров носит отраслевой характер. Международные транспортные конвенции весьма многообразны по своему характеру, объему и содержанию норм, которые включены в эти конвенции. </w:t>
      </w:r>
    </w:p>
    <w:p w:rsidR="008A5985" w:rsidRPr="00DA76A7" w:rsidRDefault="008A5985" w:rsidP="008A5985">
      <w:pPr>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Можно выделить, по крайней мере, следующие общие черты, присущие их природе: 1) международная перевозка осуществляется на основании договора перевозки, носящего двусторонний, возмездный, реальный либо консенсуальный характер; 2) при международных перевозках в конвенциях предусматривается строго ограниченный предел ответственности перевозчика, который отвечает за неисполнение или ненадлежащее исполнение договора перевозки, как правило, на принципе презюмируемой вины; 3) при международных перевозках предусматривается претензионный порядок урегулирования споров между сторонами по договору перевозки и сокращенные сроки исковой давности [1].</w:t>
      </w:r>
    </w:p>
    <w:p w:rsidR="008A5985" w:rsidRPr="00DA76A7" w:rsidRDefault="008A5985" w:rsidP="008A598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Деятельность по транспортному обеспечению международной торговли, как раньше было указано, регламентируется также национальными нормативными правовыми актами. Так, в Республике Таджикистан и Российской Федерации действуют специальные законы в сфере транспорта, регулирующие различные аспекты транспортной сферы и перевозочного процесса. Частноправовые отношения в сфере транспортного обеспечения международной торговли в Таджикистане и России регулируются гражданскими законодательствами РТ и РФ или иностранных государств в соответствии с коллизионными нормами, т. е. правилами, определяющими применимое к регулируемым отношениям право.</w:t>
      </w:r>
    </w:p>
    <w:p w:rsidR="008A5985" w:rsidRPr="00DA76A7" w:rsidRDefault="008A5985" w:rsidP="008A5985">
      <w:pPr>
        <w:ind w:firstLine="567"/>
        <w:jc w:val="both"/>
        <w:rPr>
          <w:rFonts w:ascii="Arial" w:eastAsia="TimesNewRomanPSMT" w:hAnsi="Arial" w:cs="Arial"/>
          <w:color w:val="000000" w:themeColor="text1"/>
          <w:sz w:val="22"/>
          <w:szCs w:val="22"/>
        </w:rPr>
      </w:pPr>
      <w:r w:rsidRPr="00DA76A7">
        <w:rPr>
          <w:rFonts w:ascii="Arial" w:hAnsi="Arial" w:cs="Arial"/>
          <w:color w:val="000000" w:themeColor="text1"/>
          <w:sz w:val="22"/>
          <w:szCs w:val="22"/>
        </w:rPr>
        <w:t>В целом необходимо отметить, что нормативно-правовое регулирование транспортного обеспечения международной торговли и впредь будет способствовать развитию мировой экономики. Однако в этой сфере без дальнейшей модернизации нормативно-правовой базы нельзя достичь эффективных результатов, поэтому «</w:t>
      </w:r>
      <w:r w:rsidRPr="00DA76A7">
        <w:rPr>
          <w:rFonts w:ascii="Arial" w:eastAsia="TimesNewRomanPSMT" w:hAnsi="Arial" w:cs="Arial"/>
          <w:color w:val="000000" w:themeColor="text1"/>
          <w:sz w:val="22"/>
          <w:szCs w:val="22"/>
        </w:rPr>
        <w:t>совершенствование внутригосударственного, а также межгосударственного регулирования деятельности</w:t>
      </w:r>
      <w:r w:rsidRPr="00DA76A7">
        <w:rPr>
          <w:rFonts w:ascii="Arial" w:hAnsi="Arial" w:cs="Arial"/>
          <w:color w:val="000000" w:themeColor="text1"/>
          <w:sz w:val="22"/>
          <w:szCs w:val="22"/>
        </w:rPr>
        <w:t xml:space="preserve"> </w:t>
      </w:r>
      <w:r w:rsidRPr="00DA76A7">
        <w:rPr>
          <w:rFonts w:ascii="Arial" w:eastAsia="TimesNewRomanPSMT" w:hAnsi="Arial" w:cs="Arial"/>
          <w:color w:val="000000" w:themeColor="text1"/>
          <w:sz w:val="22"/>
          <w:szCs w:val="22"/>
        </w:rPr>
        <w:t>транспорта – важнейшее направление проводимых в настоящий период во всем мире</w:t>
      </w:r>
      <w:r w:rsidRPr="00DA76A7">
        <w:rPr>
          <w:rFonts w:ascii="Arial" w:hAnsi="Arial" w:cs="Arial"/>
          <w:color w:val="000000" w:themeColor="text1"/>
          <w:sz w:val="22"/>
          <w:szCs w:val="22"/>
        </w:rPr>
        <w:t xml:space="preserve"> </w:t>
      </w:r>
      <w:r w:rsidRPr="00DA76A7">
        <w:rPr>
          <w:rFonts w:ascii="Arial" w:eastAsia="TimesNewRomanPSMT" w:hAnsi="Arial" w:cs="Arial"/>
          <w:color w:val="000000" w:themeColor="text1"/>
          <w:sz w:val="22"/>
          <w:szCs w:val="22"/>
        </w:rPr>
        <w:t xml:space="preserve">экономических реформ» [2, 242]. </w:t>
      </w:r>
    </w:p>
    <w:p w:rsidR="008A5985" w:rsidRPr="00DA76A7" w:rsidRDefault="008A5985" w:rsidP="008A5985">
      <w:pPr>
        <w:ind w:firstLine="567"/>
        <w:jc w:val="center"/>
        <w:rPr>
          <w:rFonts w:ascii="Arial" w:hAnsi="Arial" w:cs="Arial"/>
          <w:color w:val="000000" w:themeColor="text1"/>
          <w:sz w:val="22"/>
          <w:szCs w:val="22"/>
        </w:rPr>
      </w:pPr>
    </w:p>
    <w:p w:rsidR="008A5985" w:rsidRPr="00DA76A7" w:rsidRDefault="008A5985" w:rsidP="008A5985">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 xml:space="preserve">Список литературы: </w:t>
      </w:r>
    </w:p>
    <w:p w:rsidR="008A5985" w:rsidRPr="00DA76A7" w:rsidRDefault="008A5985" w:rsidP="008A5985">
      <w:pPr>
        <w:pStyle w:val="a6"/>
        <w:numPr>
          <w:ilvl w:val="0"/>
          <w:numId w:val="34"/>
        </w:numPr>
        <w:tabs>
          <w:tab w:val="left" w:pos="851"/>
        </w:tabs>
        <w:autoSpaceDE w:val="0"/>
        <w:autoSpaceDN w:val="0"/>
        <w:adjustRightInd w:val="0"/>
        <w:spacing w:after="0" w:line="240" w:lineRule="auto"/>
        <w:ind w:left="0" w:firstLine="567"/>
        <w:jc w:val="both"/>
        <w:rPr>
          <w:rFonts w:ascii="Arial" w:hAnsi="Arial" w:cs="Arial"/>
          <w:iCs/>
          <w:color w:val="000000" w:themeColor="text1"/>
        </w:rPr>
      </w:pPr>
      <w:r w:rsidRPr="00DA76A7">
        <w:rPr>
          <w:rFonts w:ascii="Arial" w:hAnsi="Arial" w:cs="Arial"/>
          <w:color w:val="000000" w:themeColor="text1"/>
        </w:rPr>
        <w:t>Ерпылева Н.Ю. Актуальные проблемы теории и практики международного транспортного права // Адвокат. 2003. №№ 2, 3 // СПС КонсультантПлюс.</w:t>
      </w:r>
    </w:p>
    <w:p w:rsidR="008A5985" w:rsidRPr="00DA76A7" w:rsidRDefault="008A5985" w:rsidP="008A5985">
      <w:pPr>
        <w:pStyle w:val="a6"/>
        <w:numPr>
          <w:ilvl w:val="0"/>
          <w:numId w:val="34"/>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 xml:space="preserve">Иншакова А.О. </w:t>
      </w:r>
      <w:r w:rsidRPr="00DA76A7">
        <w:rPr>
          <w:rFonts w:ascii="Arial" w:hAnsi="Arial" w:cs="Arial"/>
          <w:bCs/>
          <w:iCs/>
          <w:color w:val="000000" w:themeColor="text1"/>
        </w:rPr>
        <w:t>Принципы правового обеспечения свобод общего рынка в транспортной политике ЕС //</w:t>
      </w:r>
      <w:r w:rsidRPr="00DA76A7">
        <w:rPr>
          <w:rFonts w:ascii="Arial" w:eastAsia="TimesNewRomanPSMT" w:hAnsi="Arial" w:cs="Arial"/>
          <w:color w:val="000000" w:themeColor="text1"/>
        </w:rPr>
        <w:t xml:space="preserve"> Вестник Пермского Университета. 2012. № 3. С. 242-251.</w:t>
      </w:r>
    </w:p>
    <w:p w:rsidR="008A5985" w:rsidRPr="00DA76A7" w:rsidRDefault="008A5985" w:rsidP="008A5985">
      <w:pPr>
        <w:pStyle w:val="a6"/>
        <w:numPr>
          <w:ilvl w:val="0"/>
          <w:numId w:val="34"/>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Касаткина А.С. Правовое понятие и классификация международных пассажирских перевозок // Адвокат. 2011. № 3. С. 43-52.</w:t>
      </w:r>
    </w:p>
    <w:p w:rsidR="008A5985" w:rsidRPr="00DA76A7" w:rsidRDefault="008A5985" w:rsidP="008A5985">
      <w:pPr>
        <w:pStyle w:val="a6"/>
        <w:numPr>
          <w:ilvl w:val="0"/>
          <w:numId w:val="34"/>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iCs/>
          <w:color w:val="000000" w:themeColor="text1"/>
        </w:rPr>
        <w:t>Куречка А.Г.</w:t>
      </w:r>
      <w:r w:rsidRPr="00DA76A7">
        <w:rPr>
          <w:rFonts w:ascii="Arial" w:hAnsi="Arial" w:cs="Arial"/>
          <w:bCs/>
          <w:iCs/>
          <w:color w:val="000000" w:themeColor="text1"/>
        </w:rPr>
        <w:t xml:space="preserve"> </w:t>
      </w:r>
      <w:r w:rsidRPr="00DA76A7">
        <w:rPr>
          <w:rFonts w:ascii="Arial" w:hAnsi="Arial" w:cs="Arial"/>
          <w:bCs/>
          <w:color w:val="000000" w:themeColor="text1"/>
        </w:rPr>
        <w:t>Транспортный фактор – основа межрегиональных грузопотоков // Российский внешнеэкономический вестник. 2011. № 12. С. 60-71.</w:t>
      </w:r>
    </w:p>
    <w:p w:rsidR="008A5985" w:rsidRPr="00DA76A7" w:rsidRDefault="008A5985" w:rsidP="00A969C6">
      <w:pPr>
        <w:ind w:firstLine="567"/>
        <w:jc w:val="center"/>
        <w:rPr>
          <w:rFonts w:ascii="Arial" w:hAnsi="Arial" w:cs="Arial"/>
          <w:b/>
          <w:color w:val="000000" w:themeColor="text1"/>
          <w:sz w:val="22"/>
          <w:szCs w:val="22"/>
        </w:rPr>
      </w:pPr>
    </w:p>
    <w:p w:rsidR="008A5985" w:rsidRPr="00DA76A7" w:rsidRDefault="008A5985" w:rsidP="00A969C6">
      <w:pPr>
        <w:ind w:firstLine="567"/>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ТРАНСПОРТНОЕ ОБЕСПЕЧЕНИЕ КАК ОСНОВА РАЗВИТИЯ МЕЖДУНАРОДНОЙ ТОРГОВЛИ (ПРАВОВОЙ АСПЕКТ)</w:t>
      </w:r>
    </w:p>
    <w:p w:rsidR="00A969C6" w:rsidRPr="00DA76A7" w:rsidRDefault="00A969C6" w:rsidP="00A969C6">
      <w:pPr>
        <w:jc w:val="center"/>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Сатторов Хикматшо Тиллоевич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w:t>
      </w:r>
      <w:r w:rsidR="009A2FFA" w:rsidRPr="00DA76A7">
        <w:rPr>
          <w:rFonts w:ascii="Arial" w:hAnsi="Arial" w:cs="Arial"/>
          <w:color w:val="000000" w:themeColor="text1"/>
          <w:sz w:val="22"/>
          <w:szCs w:val="22"/>
        </w:rPr>
        <w:t>Турсунзаде,</w:t>
      </w:r>
      <w:r w:rsidRPr="00DA76A7">
        <w:rPr>
          <w:rFonts w:ascii="Arial" w:hAnsi="Arial" w:cs="Arial"/>
          <w:color w:val="000000" w:themeColor="text1"/>
          <w:sz w:val="22"/>
          <w:szCs w:val="22"/>
        </w:rPr>
        <w:t>, 30</w:t>
      </w:r>
    </w:p>
    <w:p w:rsidR="00A969C6" w:rsidRPr="00AC7230" w:rsidRDefault="00A969C6" w:rsidP="00A969C6">
      <w:pPr>
        <w:jc w:val="center"/>
        <w:rPr>
          <w:rFonts w:ascii="Arial" w:hAnsi="Arial" w:cs="Arial"/>
          <w:bCs/>
          <w:color w:val="000000" w:themeColor="text1"/>
          <w:sz w:val="22"/>
          <w:szCs w:val="22"/>
          <w:shd w:val="clear" w:color="auto" w:fill="FFFFFF"/>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(+992) 918817520, </w:t>
      </w:r>
      <w:r w:rsidRPr="00DA76A7">
        <w:rPr>
          <w:rFonts w:ascii="Arial" w:hAnsi="Arial" w:cs="Arial"/>
          <w:color w:val="000000" w:themeColor="text1"/>
          <w:sz w:val="22"/>
          <w:szCs w:val="22"/>
          <w:lang w:val="en-US"/>
        </w:rPr>
        <w:t>email</w:t>
      </w:r>
      <w:r w:rsidRPr="00AC7230">
        <w:rPr>
          <w:rFonts w:ascii="Arial" w:hAnsi="Arial" w:cs="Arial"/>
          <w:color w:val="000000" w:themeColor="text1"/>
          <w:sz w:val="22"/>
          <w:szCs w:val="22"/>
        </w:rPr>
        <w:t xml:space="preserve">: </w:t>
      </w:r>
      <w:hyperlink r:id="rId84" w:history="1">
        <w:r w:rsidRPr="00DA76A7">
          <w:rPr>
            <w:rStyle w:val="af0"/>
            <w:rFonts w:ascii="Arial" w:hAnsi="Arial" w:cs="Arial"/>
            <w:bCs/>
            <w:color w:val="000000" w:themeColor="text1"/>
            <w:sz w:val="22"/>
            <w:szCs w:val="22"/>
            <w:u w:val="none"/>
            <w:shd w:val="clear" w:color="auto" w:fill="FFFFFF"/>
            <w:lang w:val="en-US"/>
          </w:rPr>
          <w:t>htsattorov</w:t>
        </w:r>
        <w:r w:rsidRPr="00AC7230">
          <w:rPr>
            <w:rStyle w:val="af0"/>
            <w:rFonts w:ascii="Arial" w:hAnsi="Arial" w:cs="Arial"/>
            <w:bCs/>
            <w:color w:val="000000" w:themeColor="text1"/>
            <w:sz w:val="22"/>
            <w:szCs w:val="22"/>
            <w:u w:val="none"/>
            <w:shd w:val="clear" w:color="auto" w:fill="FFFFFF"/>
          </w:rPr>
          <w:t>@</w:t>
        </w:r>
        <w:r w:rsidRPr="00DA76A7">
          <w:rPr>
            <w:rStyle w:val="af0"/>
            <w:rFonts w:ascii="Arial" w:hAnsi="Arial" w:cs="Arial"/>
            <w:bCs/>
            <w:color w:val="000000" w:themeColor="text1"/>
            <w:sz w:val="22"/>
            <w:szCs w:val="22"/>
            <w:u w:val="none"/>
            <w:shd w:val="clear" w:color="auto" w:fill="FFFFFF"/>
            <w:lang w:val="en-US"/>
          </w:rPr>
          <w:t>gmail</w:t>
        </w:r>
        <w:r w:rsidRPr="00AC7230">
          <w:rPr>
            <w:rStyle w:val="af0"/>
            <w:rFonts w:ascii="Arial" w:hAnsi="Arial" w:cs="Arial"/>
            <w:bCs/>
            <w:color w:val="000000" w:themeColor="text1"/>
            <w:sz w:val="22"/>
            <w:szCs w:val="22"/>
            <w:u w:val="none"/>
            <w:shd w:val="clear" w:color="auto" w:fill="FFFFFF"/>
          </w:rPr>
          <w:t>.</w:t>
        </w:r>
        <w:r w:rsidRPr="00DA76A7">
          <w:rPr>
            <w:rStyle w:val="af0"/>
            <w:rFonts w:ascii="Arial" w:hAnsi="Arial" w:cs="Arial"/>
            <w:bCs/>
            <w:color w:val="000000" w:themeColor="text1"/>
            <w:sz w:val="22"/>
            <w:szCs w:val="22"/>
            <w:u w:val="none"/>
            <w:shd w:val="clear" w:color="auto" w:fill="FFFFFF"/>
            <w:lang w:val="en-US"/>
          </w:rPr>
          <w:t>com</w:t>
        </w:r>
      </w:hyperlink>
    </w:p>
    <w:p w:rsidR="00A969C6" w:rsidRPr="00AC7230"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TRANSPORT PROVISION AS A BASIS FOR INTERNATIONAL TRADE DEVELOPMENT (LEGAL ASPECTS)</w:t>
      </w:r>
    </w:p>
    <w:p w:rsidR="00A969C6" w:rsidRPr="00DA76A7" w:rsidRDefault="00A969C6" w:rsidP="00A969C6">
      <w:pPr>
        <w:jc w:val="both"/>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Sattorov Hikmatsho Tilloevich</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Tursunzoda str., 30</w:t>
      </w:r>
    </w:p>
    <w:p w:rsidR="00A969C6" w:rsidRPr="00DA76A7" w:rsidRDefault="00A969C6" w:rsidP="00A969C6">
      <w:pPr>
        <w:jc w:val="center"/>
        <w:rPr>
          <w:rFonts w:ascii="Arial" w:hAnsi="Arial" w:cs="Arial"/>
          <w:bCs/>
          <w:color w:val="000000" w:themeColor="text1"/>
          <w:sz w:val="22"/>
          <w:szCs w:val="22"/>
          <w:shd w:val="clear" w:color="auto" w:fill="FFFFFF"/>
        </w:rPr>
      </w:pPr>
      <w:r w:rsidRPr="00DA76A7">
        <w:rPr>
          <w:rFonts w:ascii="Arial" w:hAnsi="Arial" w:cs="Arial"/>
          <w:color w:val="000000" w:themeColor="text1"/>
          <w:sz w:val="22"/>
          <w:szCs w:val="22"/>
          <w:lang w:val="en-US"/>
        </w:rPr>
        <w:t>tel</w:t>
      </w:r>
      <w:r w:rsidRPr="00DA76A7">
        <w:rPr>
          <w:rFonts w:ascii="Arial" w:hAnsi="Arial" w:cs="Arial"/>
          <w:color w:val="000000" w:themeColor="text1"/>
          <w:sz w:val="22"/>
          <w:szCs w:val="22"/>
        </w:rPr>
        <w:t xml:space="preserve">.: (+992) 918817520, </w:t>
      </w:r>
      <w:r w:rsidRPr="00DA76A7">
        <w:rPr>
          <w:rFonts w:ascii="Arial" w:hAnsi="Arial" w:cs="Arial"/>
          <w:color w:val="000000" w:themeColor="text1"/>
          <w:sz w:val="22"/>
          <w:szCs w:val="22"/>
          <w:lang w:val="en-US"/>
        </w:rPr>
        <w:t>email</w:t>
      </w:r>
      <w:r w:rsidRPr="00DA76A7">
        <w:rPr>
          <w:rFonts w:ascii="Arial" w:hAnsi="Arial" w:cs="Arial"/>
          <w:color w:val="000000" w:themeColor="text1"/>
          <w:sz w:val="22"/>
          <w:szCs w:val="22"/>
        </w:rPr>
        <w:t xml:space="preserve">: </w:t>
      </w:r>
      <w:hyperlink r:id="rId85" w:history="1">
        <w:r w:rsidRPr="00DA76A7">
          <w:rPr>
            <w:rStyle w:val="af0"/>
            <w:rFonts w:ascii="Arial" w:hAnsi="Arial" w:cs="Arial"/>
            <w:bCs/>
            <w:color w:val="000000" w:themeColor="text1"/>
            <w:sz w:val="22"/>
            <w:szCs w:val="22"/>
            <w:u w:val="none"/>
            <w:shd w:val="clear" w:color="auto" w:fill="FFFFFF"/>
            <w:lang w:val="en-US"/>
          </w:rPr>
          <w:t>htsattorov</w:t>
        </w:r>
        <w:r w:rsidRPr="00DA76A7">
          <w:rPr>
            <w:rStyle w:val="af0"/>
            <w:rFonts w:ascii="Arial" w:hAnsi="Arial" w:cs="Arial"/>
            <w:bCs/>
            <w:color w:val="000000" w:themeColor="text1"/>
            <w:sz w:val="22"/>
            <w:szCs w:val="22"/>
            <w:u w:val="none"/>
            <w:shd w:val="clear" w:color="auto" w:fill="FFFFFF"/>
          </w:rPr>
          <w:t>@</w:t>
        </w:r>
        <w:r w:rsidRPr="00DA76A7">
          <w:rPr>
            <w:rStyle w:val="af0"/>
            <w:rFonts w:ascii="Arial" w:hAnsi="Arial" w:cs="Arial"/>
            <w:bCs/>
            <w:color w:val="000000" w:themeColor="text1"/>
            <w:sz w:val="22"/>
            <w:szCs w:val="22"/>
            <w:u w:val="none"/>
            <w:shd w:val="clear" w:color="auto" w:fill="FFFFFF"/>
            <w:lang w:val="en-US"/>
          </w:rPr>
          <w:t>gmail</w:t>
        </w:r>
        <w:r w:rsidRPr="00DA76A7">
          <w:rPr>
            <w:rStyle w:val="af0"/>
            <w:rFonts w:ascii="Arial" w:hAnsi="Arial" w:cs="Arial"/>
            <w:bCs/>
            <w:color w:val="000000" w:themeColor="text1"/>
            <w:sz w:val="22"/>
            <w:szCs w:val="22"/>
            <w:u w:val="none"/>
            <w:shd w:val="clear" w:color="auto" w:fill="FFFFFF"/>
          </w:rPr>
          <w:t>.</w:t>
        </w:r>
        <w:r w:rsidRPr="00DA76A7">
          <w:rPr>
            <w:rStyle w:val="af0"/>
            <w:rFonts w:ascii="Arial" w:hAnsi="Arial" w:cs="Arial"/>
            <w:bCs/>
            <w:color w:val="000000" w:themeColor="text1"/>
            <w:sz w:val="22"/>
            <w:szCs w:val="22"/>
            <w:u w:val="none"/>
            <w:shd w:val="clear" w:color="auto" w:fill="FFFFFF"/>
            <w:lang w:val="en-US"/>
          </w:rPr>
          <w:t>com</w:t>
        </w:r>
      </w:hyperlink>
    </w:p>
    <w:p w:rsidR="00A969C6" w:rsidRPr="00DA76A7" w:rsidRDefault="00A969C6" w:rsidP="00A969C6">
      <w:pPr>
        <w:ind w:firstLine="567"/>
        <w:jc w:val="center"/>
        <w:rPr>
          <w:rFonts w:ascii="Arial" w:hAnsi="Arial" w:cs="Arial"/>
          <w:color w:val="000000" w:themeColor="text1"/>
          <w:sz w:val="22"/>
          <w:szCs w:val="22"/>
        </w:rPr>
      </w:pPr>
    </w:p>
    <w:p w:rsidR="00A969C6" w:rsidRPr="00DA76A7" w:rsidRDefault="00A969C6" w:rsidP="00A969C6">
      <w:pPr>
        <w:pStyle w:val="ac"/>
        <w:ind w:firstLine="567"/>
        <w:jc w:val="right"/>
        <w:rPr>
          <w:rFonts w:ascii="Arial" w:hAnsi="Arial" w:cs="Arial"/>
          <w:color w:val="000000" w:themeColor="text1"/>
        </w:rPr>
      </w:pPr>
      <w:r w:rsidRPr="00DA76A7">
        <w:rPr>
          <w:rFonts w:ascii="Arial" w:hAnsi="Arial" w:cs="Arial"/>
          <w:color w:val="000000" w:themeColor="text1"/>
        </w:rPr>
        <w:t>Научный руководитель: к.ю.н., доцент Химатов Х.Н.</w:t>
      </w:r>
    </w:p>
    <w:p w:rsidR="00A969C6" w:rsidRPr="00DA76A7" w:rsidRDefault="00A969C6" w:rsidP="00A969C6">
      <w:pPr>
        <w:ind w:firstLine="567"/>
        <w:jc w:val="center"/>
        <w:rPr>
          <w:rFonts w:ascii="Arial" w:hAnsi="Arial" w:cs="Arial"/>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Статья посвящена правовому аспекту</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транспортного обеспечения международной торговли. Указывается, что нормальное функционирование международной торговли без активного и непосредственного содействия такой важнейшей отрасли мировой экономики, как транспорт, почти невозможно.</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article is devoted to the legal aspect of transport provision of international trade. It is pointed out that the normal functioning of international trade without the active and direct assistance of such an important sector of the world economy as transport is almost impossible.</w:t>
      </w:r>
    </w:p>
    <w:p w:rsidR="00A969C6" w:rsidRPr="00DA76A7" w:rsidRDefault="00A969C6" w:rsidP="00A969C6">
      <w:pPr>
        <w:ind w:firstLine="567"/>
        <w:jc w:val="both"/>
        <w:rPr>
          <w:rStyle w:val="af0"/>
          <w:rFonts w:ascii="Arial" w:hAnsi="Arial" w:cs="Arial"/>
          <w:i/>
          <w:color w:val="000000" w:themeColor="text1"/>
          <w:sz w:val="22"/>
          <w:szCs w:val="22"/>
          <w:u w:val="none"/>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транспорт; транспортное обеспечение; международная торговля. </w:t>
      </w:r>
    </w:p>
    <w:p w:rsidR="00A969C6" w:rsidRPr="00DA76A7" w:rsidRDefault="00A969C6" w:rsidP="00A969C6">
      <w:pPr>
        <w:ind w:firstLine="567"/>
        <w:jc w:val="both"/>
        <w:outlineLvl w:val="2"/>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shd w:val="clear" w:color="auto" w:fill="F5F5F5"/>
          <w:lang w:val="en-US"/>
        </w:rPr>
        <w:t xml:space="preserve"> </w:t>
      </w:r>
      <w:r w:rsidRPr="00DA76A7">
        <w:rPr>
          <w:rFonts w:ascii="Arial" w:hAnsi="Arial" w:cs="Arial"/>
          <w:i/>
          <w:color w:val="000000" w:themeColor="text1"/>
          <w:sz w:val="22"/>
          <w:szCs w:val="22"/>
          <w:lang w:val="en-US"/>
        </w:rPr>
        <w:t>transport;</w:t>
      </w:r>
      <w:r w:rsidRPr="00DA76A7">
        <w:rPr>
          <w:rFonts w:ascii="Arial" w:hAnsi="Arial" w:cs="Arial"/>
          <w:i/>
          <w:color w:val="000000" w:themeColor="text1"/>
          <w:sz w:val="22"/>
          <w:szCs w:val="22"/>
          <w:shd w:val="clear" w:color="auto" w:fill="F5F5F5"/>
          <w:lang w:val="en-US"/>
        </w:rPr>
        <w:t xml:space="preserve"> </w:t>
      </w:r>
      <w:r w:rsidRPr="00DA76A7">
        <w:rPr>
          <w:rFonts w:ascii="Arial" w:hAnsi="Arial" w:cs="Arial"/>
          <w:i/>
          <w:color w:val="000000" w:themeColor="text1"/>
          <w:sz w:val="22"/>
          <w:szCs w:val="22"/>
          <w:lang w:val="en-US"/>
        </w:rPr>
        <w:t xml:space="preserve">transport </w:t>
      </w:r>
      <w:r w:rsidRPr="00DA76A7">
        <w:rPr>
          <w:rFonts w:ascii="Arial" w:hAnsi="Arial" w:cs="Arial"/>
          <w:i/>
          <w:color w:val="000000" w:themeColor="text1"/>
          <w:sz w:val="22"/>
          <w:szCs w:val="22"/>
          <w:shd w:val="clear" w:color="auto" w:fill="FFFFFF"/>
          <w:lang w:val="en-US"/>
        </w:rPr>
        <w:t>provision</w:t>
      </w:r>
      <w:r w:rsidRPr="00DA76A7">
        <w:rPr>
          <w:rFonts w:ascii="Arial" w:hAnsi="Arial" w:cs="Arial"/>
          <w:i/>
          <w:color w:val="000000" w:themeColor="text1"/>
          <w:sz w:val="22"/>
          <w:szCs w:val="22"/>
          <w:shd w:val="clear" w:color="auto" w:fill="F5F5F5"/>
          <w:lang w:val="en-US"/>
        </w:rPr>
        <w:t>;</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international trade.</w:t>
      </w:r>
    </w:p>
    <w:p w:rsidR="00A969C6" w:rsidRPr="00DA76A7" w:rsidRDefault="00A969C6" w:rsidP="00A969C6">
      <w:pPr>
        <w:ind w:firstLine="567"/>
        <w:jc w:val="center"/>
        <w:rPr>
          <w:rFonts w:ascii="Arial" w:hAnsi="Arial" w:cs="Arial"/>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Современный мир характеризуется оживленным укреплением и развитием экономических, торговых и иных связей между разными странами. В международной торговле отмечается бурный процесс роста, темпы которого имеют устойчивый характер. Основаниями для такого динамичного процесса служит много факторов.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Основными факторами этого процесса, по нашему мнению, являются: глобализация мировой экономики; появление современных технологий, которые содействуют развитию новых товаров и услуг; либерализация экономической деятельности и ослабление ограничительных мер  в разных странах; совершенствование и унификация законодательных норм и правил, регулирующих торгово-экономическую деятельность и стимулирующих международные торговые связи и т. д.</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Международная торговля или международный товарный обмен является результатом международных отношений, осуществляемых на разных уровнях. Это отношения между государствами, устанавливаемые в целях согласования благоприятных условий для торговых операций и регламентации торговых сделок, а также отношения между непосредственными участниками торговых сделок [5, 238].</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нормальное функционирование международной торговли без активного и непосредственного содействия такой важнейшей отрасли мировой экономики, как транспорт, почти невозможно. Успешная реализация различной  деятельности участников международной торговли неосуществима без использования транспортных средств. По этой причине совершенствуется деятельность транспортных организаций, появляются новые способы использования и разновидности транспорта, соединяющие субъектов разных стран на основании международных договоров и соглашений.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Совершение внешнеторговых сделок без участия в ней транспорта невозможно представить. В любом случае возникает необходимость доставки товара от продавца к покупателю. Поэтому уровень транспортного обеспечения международной торговли оказывает важнейшее воздействие на результативность внешней торговли, в конечном итоге проявляясь в стоимости товара в качестве транспортной составляющей.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Посредством договорных связей  обеспечивается перемещение огромной массы грузов с территории одного государства в другое, удовлетворяются растущие потребности человечества в передвижении в  любой точке мира. По-иному, транспортная  деятельность в условиях глобализации  оказывает содействие интеграции экономики государств и созданию единого  мирового сообщества.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Изготовлением материальных благ не заканчивается процесс производства: возникает необходимость довести их до непосредственных потребителей, и это  всецело зависит от деятельности транспорта. В международной торговле роль транспорта как способа перемещения огромной массы грузов, как средства передвижения, исходя из различных факторов, приобретает особую ценность. В общем, роль транспорта в современной экономике, в частности в международной торговле, настолько важна, что он, действительно, если сказать словами К. Маркса, становится четвертой сферой материального производства [4, 422].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Отличительная особенность транспорта как отрасли материального производства заключается в том, что он не создает новых материальных ценностей и потому не увеличивает богатства общества. Его продукция - деятельность по территориальному перемещению грузов или людей [2, 2].</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Интенсификация международной торговли непосредственно связана с существенным ро</w:t>
      </w:r>
      <w:r w:rsidRPr="00DA76A7">
        <w:rPr>
          <w:rFonts w:ascii="Arial" w:hAnsi="Arial" w:cs="Arial"/>
          <w:color w:val="000000" w:themeColor="text1"/>
          <w:sz w:val="22"/>
          <w:szCs w:val="22"/>
        </w:rPr>
        <w:softHyphen/>
        <w:t>стом международных перевозок. Транспорт является связующим звеном в экономике любого государства и представляет собой единый комплекс, охватывающий все виды общественного производства, распределения и обмена. От регулярной, четкой работы транспортных предприятий, своевременной перевозки грузов и пассажиров зависит ритмичная работа промышленности, торговли  и т. д. [5, 56].</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Итак, транспортная отрасль</w:t>
      </w:r>
      <w:r w:rsidRPr="00DA76A7">
        <w:rPr>
          <w:rFonts w:ascii="Arial" w:hAnsi="Arial" w:cs="Arial"/>
          <w:color w:val="000000" w:themeColor="text1"/>
          <w:sz w:val="22"/>
          <w:szCs w:val="22"/>
          <w:shd w:val="clear" w:color="auto" w:fill="FFFFFF"/>
        </w:rPr>
        <w:t xml:space="preserve"> в международной торговле и сфере услуг занимает особенное место.</w:t>
      </w:r>
      <w:r w:rsidRPr="00DA76A7">
        <w:rPr>
          <w:rFonts w:ascii="Arial" w:hAnsi="Arial" w:cs="Arial"/>
          <w:color w:val="000000" w:themeColor="text1"/>
          <w:sz w:val="22"/>
          <w:szCs w:val="22"/>
        </w:rPr>
        <w:t xml:space="preserve"> Без транспортного обеспечения, без  соответствующих </w:t>
      </w:r>
      <w:r w:rsidRPr="00DA76A7">
        <w:rPr>
          <w:rFonts w:ascii="Arial" w:hAnsi="Arial" w:cs="Arial"/>
          <w:color w:val="000000" w:themeColor="text1"/>
          <w:sz w:val="22"/>
          <w:szCs w:val="22"/>
          <w:shd w:val="clear" w:color="auto" w:fill="FFFFFF"/>
        </w:rPr>
        <w:t xml:space="preserve">транспортных средств и оборудования, элементов транспортной инфраструктуры, а также инфраструктуры участников перевозочного процесса, в который входит система управления, сосредоточенная на действенном перемещении товаров, речь не может идти об эффективности международной торговли.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Совершенно верно подмечено в </w:t>
      </w:r>
      <w:r w:rsidRPr="00DA76A7">
        <w:rPr>
          <w:rFonts w:ascii="Arial" w:hAnsi="Arial" w:cs="Arial"/>
          <w:color w:val="000000" w:themeColor="text1"/>
          <w:sz w:val="22"/>
          <w:szCs w:val="22"/>
        </w:rPr>
        <w:t>материалах Европейской экономической комиссии ООН, что «производство и распределение товаров, а также внутренняя и внешняя торговля зависят от эффективной работы транспортных сетей.</w:t>
      </w:r>
      <w:r w:rsidRPr="00DA76A7">
        <w:rPr>
          <w:rFonts w:ascii="Arial" w:hAnsi="Arial" w:cs="Arial"/>
          <w:color w:val="000000" w:themeColor="text1"/>
          <w:sz w:val="22"/>
          <w:szCs w:val="22"/>
          <w:shd w:val="clear" w:color="auto" w:fill="FFFFFF"/>
        </w:rPr>
        <w:t xml:space="preserve"> Кроме того, транспорт играет основополагающую роль в обеспечении более полной сбалансированности между богатыми и бедными регионами в пределах одной страны или какой-либо группы стран» [1, 47]</w:t>
      </w:r>
      <w:r w:rsidRPr="00DA76A7">
        <w:rPr>
          <w:rFonts w:ascii="Arial" w:hAnsi="Arial" w:cs="Arial"/>
          <w:color w:val="000000" w:themeColor="text1"/>
          <w:sz w:val="22"/>
          <w:szCs w:val="22"/>
        </w:rPr>
        <w:t>.</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Под транспортным обеспечением, прежде всего, надо понимать сложную систему,</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 xml:space="preserve"> включающую в себя различные элементы. В совокупности эти элементы, составляя единую систему и находясь в тесном взаимодействии, составляют целостную </w:t>
      </w:r>
      <w:r w:rsidRPr="00DA76A7">
        <w:rPr>
          <w:rFonts w:ascii="Arial" w:hAnsi="Arial" w:cs="Arial"/>
          <w:color w:val="000000" w:themeColor="text1"/>
          <w:sz w:val="22"/>
          <w:szCs w:val="22"/>
        </w:rPr>
        <w:t>разноуровневую</w:t>
      </w:r>
      <w:r w:rsidRPr="00DA76A7">
        <w:rPr>
          <w:rFonts w:ascii="Arial" w:hAnsi="Arial" w:cs="Arial"/>
          <w:color w:val="000000" w:themeColor="text1"/>
          <w:sz w:val="22"/>
          <w:szCs w:val="22"/>
          <w:shd w:val="clear" w:color="auto" w:fill="FFFFFF"/>
        </w:rPr>
        <w:t xml:space="preserve"> транспортную систему, в которой объединяются виды деятельности, связанные с производством и обменом товара.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транспортное обеспечение рассматривать именно с этой позиции, т. е. как системное явление, то транспортное обеспечение следует понимать как «систему, представляющую совокупность технических, технологических элементов; экономических, коммерческо-правовых, организационных воздействий; форм и методов управления транспортными операциями и процессами на всех этапах и уровнях в сфере производства, потребления и обращения продукции, обеспечивающую общественное воспроизводство и рациональное функционирование экономики» [6].</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Транспортное обеспечение международных торговых сделок представляет собой совокупность технических, технологических, экономических, правовых и организационно-управленческих элементов. В транспортном обеспечении международной торговли огромную роль играет правовое регулирование перевозочного процесса.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Правовые элементы транспортного обеспечения международных торговых сделок подразумевают регулирование всей системы транспортных услуг. Правовое регулирование транспортного обеспечения международной торговли осуществляется на основе правил и принципов международного права, норм национального законодательства соответствующих государств, нормативных актов международных транспортных организаций, соглашений, заключаемых перевозчиками и грузоотправителями, международных транспортных и торговых обычаев.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Поскольку каждый вид транспорта имеет свои особенности, международные транспортные конвенции разрабатываются отдельно для каждого вида транспорта.  Однако в последнее время активно разрабатываются и внедряются унифицированные акты нормативного характера для упорядочения смешанных перевозок грузов, что положительно влияет на динамику роста международной торговли. При отсутствии унифицированных норм материально-правового характера указанные отношения регулируются нормами внутреннего законодательства в соответствии с коллизионными нормами международных соглашений в области транспорта или национального законодательства. </w:t>
      </w:r>
    </w:p>
    <w:p w:rsidR="003A625F" w:rsidRDefault="003A625F"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f2"/>
        <w:numPr>
          <w:ilvl w:val="0"/>
          <w:numId w:val="33"/>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Европейская Экономическая Комиссия. Европейская Экономическая Комиссия в эпоху перемен // Организация Объединенных Наций. Нью-Йорк и Женева, 1988. Е/ЕСЕ/1357.</w:t>
      </w:r>
    </w:p>
    <w:p w:rsidR="00A969C6" w:rsidRPr="00DA76A7" w:rsidRDefault="00A969C6" w:rsidP="00D45D6B">
      <w:pPr>
        <w:pStyle w:val="a6"/>
        <w:numPr>
          <w:ilvl w:val="0"/>
          <w:numId w:val="33"/>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iCs/>
          <w:color w:val="000000" w:themeColor="text1"/>
        </w:rPr>
        <w:t>Егиазаров В.А</w:t>
      </w:r>
      <w:r w:rsidRPr="00DA76A7">
        <w:rPr>
          <w:rFonts w:ascii="Arial" w:hAnsi="Arial" w:cs="Arial"/>
          <w:color w:val="000000" w:themeColor="text1"/>
        </w:rPr>
        <w:t>. Транспортное право: учебник. М.: Юрид. лит, 2008. 272 с.</w:t>
      </w:r>
    </w:p>
    <w:p w:rsidR="00A969C6" w:rsidRPr="00DA76A7" w:rsidRDefault="00A969C6" w:rsidP="00D45D6B">
      <w:pPr>
        <w:pStyle w:val="a6"/>
        <w:numPr>
          <w:ilvl w:val="0"/>
          <w:numId w:val="33"/>
        </w:numPr>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bCs/>
          <w:color w:val="000000" w:themeColor="text1"/>
        </w:rPr>
        <w:t>Забелина Д.В. Транспорт как сфера правового регулирования в России и США</w:t>
      </w:r>
      <w:r w:rsidRPr="00DA76A7">
        <w:rPr>
          <w:rFonts w:ascii="Arial" w:hAnsi="Arial" w:cs="Arial"/>
          <w:color w:val="000000" w:themeColor="text1"/>
        </w:rPr>
        <w:t xml:space="preserve"> // </w:t>
      </w:r>
      <w:r w:rsidRPr="00DA76A7">
        <w:rPr>
          <w:rFonts w:ascii="Arial" w:hAnsi="Arial" w:cs="Arial"/>
          <w:bCs/>
          <w:iCs/>
          <w:color w:val="000000" w:themeColor="text1"/>
        </w:rPr>
        <w:t>Право и современные государства. - 2012. - № 1. - С. 56-62.</w:t>
      </w:r>
    </w:p>
    <w:p w:rsidR="00A969C6" w:rsidRPr="00DA76A7" w:rsidRDefault="00A969C6" w:rsidP="00D45D6B">
      <w:pPr>
        <w:pStyle w:val="af2"/>
        <w:numPr>
          <w:ilvl w:val="0"/>
          <w:numId w:val="33"/>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Маркс К., Энгельс Ф. Сочинения. Т. 26, ч. 1.  -М., 1962.  -476 с. </w:t>
      </w:r>
    </w:p>
    <w:p w:rsidR="00A969C6" w:rsidRPr="00DA76A7" w:rsidRDefault="00A969C6" w:rsidP="00D45D6B">
      <w:pPr>
        <w:pStyle w:val="a6"/>
        <w:numPr>
          <w:ilvl w:val="0"/>
          <w:numId w:val="33"/>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Международное право. Особенная часть: учебник для вузов / М.В. Андреев, П.Н. Бирюков, Р.М. Валеев и др.; отв. ред. Р.М. Валеев, Г.И. Курдюков.  - М.: Статут, 2010. - 624 с.</w:t>
      </w:r>
    </w:p>
    <w:p w:rsidR="00A969C6" w:rsidRPr="00DA76A7" w:rsidRDefault="00666D87" w:rsidP="00D45D6B">
      <w:pPr>
        <w:pStyle w:val="a6"/>
        <w:numPr>
          <w:ilvl w:val="0"/>
          <w:numId w:val="33"/>
        </w:numPr>
        <w:tabs>
          <w:tab w:val="left" w:pos="851"/>
        </w:tabs>
        <w:autoSpaceDE w:val="0"/>
        <w:autoSpaceDN w:val="0"/>
        <w:adjustRightInd w:val="0"/>
        <w:spacing w:after="0" w:line="240" w:lineRule="auto"/>
        <w:ind w:left="0" w:firstLine="567"/>
        <w:jc w:val="both"/>
        <w:rPr>
          <w:rFonts w:ascii="Arial" w:hAnsi="Arial" w:cs="Arial"/>
          <w:color w:val="000000" w:themeColor="text1"/>
        </w:rPr>
      </w:pPr>
      <w:hyperlink r:id="rId86" w:history="1">
        <w:r w:rsidR="00A969C6" w:rsidRPr="00DA76A7">
          <w:rPr>
            <w:rStyle w:val="af0"/>
            <w:rFonts w:ascii="Arial" w:hAnsi="Arial" w:cs="Arial"/>
            <w:color w:val="000000" w:themeColor="text1"/>
            <w:u w:val="none"/>
            <w:shd w:val="clear" w:color="auto" w:fill="FFFFFF"/>
          </w:rPr>
          <w:t>http://center-yf.ru/data/stat/Osnovnoe-soderzhanie-processa-organizacii-dostavki-tovarov. - Koncepciya-logistiki.php</w:t>
        </w:r>
      </w:hyperlink>
      <w:r w:rsidR="00A969C6" w:rsidRPr="00DA76A7">
        <w:rPr>
          <w:rFonts w:ascii="Arial" w:hAnsi="Arial" w:cs="Arial"/>
          <w:color w:val="000000" w:themeColor="text1"/>
          <w:shd w:val="clear" w:color="auto" w:fill="FFFFFF"/>
        </w:rPr>
        <w:t xml:space="preserve"> [дата обращения: 13.03.2018 г.]. </w:t>
      </w:r>
      <w:r w:rsidR="00A969C6" w:rsidRPr="00DA76A7">
        <w:rPr>
          <w:rFonts w:ascii="Arial" w:hAnsi="Arial" w:cs="Arial"/>
          <w:color w:val="000000" w:themeColor="text1"/>
        </w:rPr>
        <w:t xml:space="preserve"> </w:t>
      </w:r>
    </w:p>
    <w:p w:rsidR="00A969C6" w:rsidRPr="00DA76A7" w:rsidRDefault="00A969C6" w:rsidP="00A969C6">
      <w:pPr>
        <w:ind w:firstLine="567"/>
        <w:jc w:val="center"/>
        <w:rPr>
          <w:rFonts w:ascii="Arial" w:eastAsia="Times New Roman CYR" w:hAnsi="Arial" w:cs="Arial"/>
          <w:b/>
          <w:color w:val="000000" w:themeColor="text1"/>
          <w:sz w:val="22"/>
          <w:szCs w:val="22"/>
        </w:rPr>
      </w:pPr>
      <w:r w:rsidRPr="00DA76A7">
        <w:rPr>
          <w:rFonts w:ascii="Arial" w:eastAsia="Times New Roman CYR" w:hAnsi="Arial" w:cs="Arial"/>
          <w:b/>
          <w:color w:val="000000" w:themeColor="text1"/>
          <w:sz w:val="22"/>
          <w:szCs w:val="22"/>
        </w:rPr>
        <w:t>МЕЖДУНАРОДНО-ПРАВОВЫЕ АСПЕКТЫ ЗАЩИТЫ ПРАВ ЖЕНЩИН</w:t>
      </w:r>
    </w:p>
    <w:p w:rsidR="00A969C6" w:rsidRPr="00DA76A7" w:rsidRDefault="00A969C6" w:rsidP="00A969C6">
      <w:pPr>
        <w:ind w:firstLine="567"/>
        <w:jc w:val="center"/>
        <w:rPr>
          <w:rFonts w:ascii="Arial" w:eastAsia="Times New Roman CYR" w:hAnsi="Arial" w:cs="Arial"/>
          <w:b/>
          <w:color w:val="000000" w:themeColor="text1"/>
          <w:sz w:val="22"/>
          <w:szCs w:val="22"/>
        </w:rPr>
      </w:pPr>
    </w:p>
    <w:p w:rsidR="00A969C6" w:rsidRPr="00DA76A7" w:rsidRDefault="00A969C6" w:rsidP="00A969C6">
      <w:pPr>
        <w:ind w:firstLine="567"/>
        <w:jc w:val="center"/>
        <w:rPr>
          <w:rFonts w:ascii="Arial" w:eastAsia="Times New Roman CYR" w:hAnsi="Arial" w:cs="Arial"/>
          <w:b/>
          <w:color w:val="000000" w:themeColor="text1"/>
          <w:sz w:val="22"/>
          <w:szCs w:val="22"/>
        </w:rPr>
      </w:pPr>
      <w:r w:rsidRPr="00DA76A7">
        <w:rPr>
          <w:rFonts w:ascii="Arial" w:eastAsia="Times New Roman CYR" w:hAnsi="Arial" w:cs="Arial"/>
          <w:b/>
          <w:color w:val="000000" w:themeColor="text1"/>
          <w:sz w:val="22"/>
          <w:szCs w:val="22"/>
        </w:rPr>
        <w:t>Таджидинова Фархунда Фирузовна</w:t>
      </w:r>
    </w:p>
    <w:p w:rsidR="00A969C6" w:rsidRPr="00DA76A7" w:rsidRDefault="00A969C6" w:rsidP="00A969C6">
      <w:pPr>
        <w:ind w:firstLine="567"/>
        <w:jc w:val="center"/>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 xml:space="preserve">студентка 4-го курса очного отделения юридического факультета </w:t>
      </w:r>
    </w:p>
    <w:p w:rsidR="00A969C6" w:rsidRPr="00DA76A7" w:rsidRDefault="00A969C6" w:rsidP="00A969C6">
      <w:pPr>
        <w:ind w:firstLine="567"/>
        <w:jc w:val="center"/>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 xml:space="preserve">Российско-Таджикский (Славянский) университет </w:t>
      </w:r>
    </w:p>
    <w:p w:rsidR="00A969C6" w:rsidRPr="00DA76A7" w:rsidRDefault="00A969C6" w:rsidP="00A969C6">
      <w:pPr>
        <w:ind w:firstLine="567"/>
        <w:jc w:val="center"/>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734025, Республика Таджикистан, г. Душанбе, ул. М. Турсунзаде, 30</w:t>
      </w:r>
    </w:p>
    <w:p w:rsidR="00A969C6" w:rsidRPr="00AC7230" w:rsidRDefault="00A969C6" w:rsidP="00A969C6">
      <w:pPr>
        <w:ind w:firstLine="567"/>
        <w:jc w:val="center"/>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тел</w:t>
      </w:r>
      <w:r w:rsidRPr="00AC7230">
        <w:rPr>
          <w:rFonts w:ascii="Arial" w:eastAsia="Times New Roman CYR" w:hAnsi="Arial" w:cs="Arial"/>
          <w:color w:val="000000" w:themeColor="text1"/>
          <w:sz w:val="22"/>
          <w:szCs w:val="22"/>
        </w:rPr>
        <w:t xml:space="preserve">: 502-00-10-06, </w:t>
      </w:r>
      <w:r w:rsidRPr="00DA76A7">
        <w:rPr>
          <w:rFonts w:ascii="Arial" w:eastAsia="Times New Roman CYR" w:hAnsi="Arial" w:cs="Arial"/>
          <w:color w:val="000000" w:themeColor="text1"/>
          <w:sz w:val="22"/>
          <w:szCs w:val="22"/>
          <w:lang w:val="en-US"/>
        </w:rPr>
        <w:t>e</w:t>
      </w:r>
      <w:r w:rsidRPr="00AC7230">
        <w:rPr>
          <w:rFonts w:ascii="Arial" w:eastAsia="Times New Roman CYR" w:hAnsi="Arial" w:cs="Arial"/>
          <w:color w:val="000000" w:themeColor="text1"/>
          <w:sz w:val="22"/>
          <w:szCs w:val="22"/>
        </w:rPr>
        <w:t>-</w:t>
      </w:r>
      <w:r w:rsidRPr="00DA76A7">
        <w:rPr>
          <w:rFonts w:ascii="Arial" w:eastAsia="Times New Roman CYR" w:hAnsi="Arial" w:cs="Arial"/>
          <w:color w:val="000000" w:themeColor="text1"/>
          <w:sz w:val="22"/>
          <w:szCs w:val="22"/>
          <w:lang w:val="en-US"/>
        </w:rPr>
        <w:t>mail</w:t>
      </w:r>
      <w:r w:rsidRPr="00AC7230">
        <w:rPr>
          <w:rFonts w:ascii="Arial" w:eastAsia="Times New Roman CYR" w:hAnsi="Arial" w:cs="Arial"/>
          <w:color w:val="000000" w:themeColor="text1"/>
          <w:sz w:val="22"/>
          <w:szCs w:val="22"/>
        </w:rPr>
        <w:t xml:space="preserve">: </w:t>
      </w:r>
      <w:hyperlink r:id="rId87">
        <w:r w:rsidRPr="00DA76A7">
          <w:rPr>
            <w:rFonts w:ascii="Arial" w:eastAsia="Times New Roman CYR" w:hAnsi="Arial" w:cs="Arial"/>
            <w:color w:val="000000" w:themeColor="text1"/>
            <w:sz w:val="22"/>
            <w:szCs w:val="22"/>
            <w:lang w:val="en-US"/>
          </w:rPr>
          <w:t>firuzovnaf</w:t>
        </w:r>
        <w:r w:rsidRPr="00AC7230">
          <w:rPr>
            <w:rFonts w:ascii="Arial" w:eastAsia="Times New Roman CYR" w:hAnsi="Arial" w:cs="Arial"/>
            <w:color w:val="000000" w:themeColor="text1"/>
            <w:sz w:val="22"/>
            <w:szCs w:val="22"/>
          </w:rPr>
          <w:t>@</w:t>
        </w:r>
        <w:r w:rsidRPr="00DA76A7">
          <w:rPr>
            <w:rFonts w:ascii="Arial" w:eastAsia="Times New Roman CYR" w:hAnsi="Arial" w:cs="Arial"/>
            <w:color w:val="000000" w:themeColor="text1"/>
            <w:sz w:val="22"/>
            <w:szCs w:val="22"/>
            <w:lang w:val="en-US"/>
          </w:rPr>
          <w:t>mail</w:t>
        </w:r>
        <w:r w:rsidRPr="00AC7230">
          <w:rPr>
            <w:rFonts w:ascii="Arial" w:eastAsia="Times New Roman CYR" w:hAnsi="Arial" w:cs="Arial"/>
            <w:color w:val="000000" w:themeColor="text1"/>
            <w:sz w:val="22"/>
            <w:szCs w:val="22"/>
          </w:rPr>
          <w:t>.</w:t>
        </w:r>
        <w:r w:rsidRPr="00DA76A7">
          <w:rPr>
            <w:rFonts w:ascii="Arial" w:eastAsia="Times New Roman CYR" w:hAnsi="Arial" w:cs="Arial"/>
            <w:color w:val="000000" w:themeColor="text1"/>
            <w:sz w:val="22"/>
            <w:szCs w:val="22"/>
            <w:lang w:val="en-US"/>
          </w:rPr>
          <w:t>ru</w:t>
        </w:r>
      </w:hyperlink>
    </w:p>
    <w:p w:rsidR="00A969C6" w:rsidRPr="00AC7230" w:rsidRDefault="00A969C6" w:rsidP="00A969C6">
      <w:pPr>
        <w:ind w:firstLine="567"/>
        <w:jc w:val="center"/>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INTERNATIONAL LEGAL ASPECTS OF THE PROTECTION OF WOMEN’S RIGHTS</w:t>
      </w:r>
    </w:p>
    <w:p w:rsidR="00A969C6" w:rsidRPr="00DA76A7" w:rsidRDefault="00A969C6" w:rsidP="00A969C6">
      <w:pPr>
        <w:ind w:firstLine="567"/>
        <w:jc w:val="center"/>
        <w:rPr>
          <w:rFonts w:ascii="Arial" w:hAnsi="Arial" w:cs="Arial"/>
          <w:b/>
          <w:color w:val="000000" w:themeColor="text1"/>
          <w:sz w:val="22"/>
          <w:szCs w:val="22"/>
          <w:lang w:val="en-US"/>
        </w:rPr>
      </w:pPr>
    </w:p>
    <w:p w:rsidR="00A969C6" w:rsidRPr="00DA76A7" w:rsidRDefault="00A969C6" w:rsidP="00A969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Tadzhidinova Farkhunda Firuzovna</w:t>
      </w:r>
    </w:p>
    <w:p w:rsidR="00A969C6" w:rsidRPr="00DA76A7" w:rsidRDefault="00A969C6" w:rsidP="00A969C6">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student of the 4th year full-time department of the law faculty</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502-00-10-06, e-mail: </w:t>
      </w:r>
      <w:hyperlink r:id="rId88">
        <w:r w:rsidRPr="00DA76A7">
          <w:rPr>
            <w:rFonts w:ascii="Arial" w:hAnsi="Arial" w:cs="Arial"/>
            <w:color w:val="000000" w:themeColor="text1"/>
            <w:sz w:val="22"/>
            <w:szCs w:val="22"/>
            <w:lang w:val="en-US"/>
          </w:rPr>
          <w:t>firuzovnaf@mail.ru</w:t>
        </w:r>
      </w:hyperlink>
    </w:p>
    <w:p w:rsidR="00A969C6" w:rsidRPr="00DA76A7" w:rsidRDefault="00A969C6" w:rsidP="00A969C6">
      <w:pPr>
        <w:ind w:firstLine="567"/>
        <w:jc w:val="center"/>
        <w:rPr>
          <w:rFonts w:ascii="Arial" w:hAnsi="Arial" w:cs="Arial"/>
          <w:color w:val="000000" w:themeColor="text1"/>
          <w:sz w:val="22"/>
          <w:szCs w:val="22"/>
          <w:lang w:val="en-US"/>
        </w:rPr>
      </w:pPr>
    </w:p>
    <w:p w:rsidR="00A969C6" w:rsidRPr="00DA76A7" w:rsidRDefault="00A969C6" w:rsidP="00A969C6">
      <w:pPr>
        <w:ind w:firstLine="567"/>
        <w:jc w:val="right"/>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Научный руководитель: ст. преподаватель Давлатов Х.Х.</w:t>
      </w:r>
    </w:p>
    <w:p w:rsidR="00A969C6" w:rsidRPr="00DA76A7" w:rsidRDefault="00A969C6" w:rsidP="00A969C6">
      <w:pPr>
        <w:ind w:firstLine="567"/>
        <w:jc w:val="right"/>
        <w:rPr>
          <w:rFonts w:ascii="Arial" w:eastAsia="Times New Roman CYR" w:hAnsi="Arial" w:cs="Arial"/>
          <w:color w:val="000000" w:themeColor="text1"/>
          <w:sz w:val="22"/>
          <w:szCs w:val="22"/>
        </w:rPr>
      </w:pPr>
    </w:p>
    <w:p w:rsidR="00A969C6" w:rsidRPr="00DA76A7" w:rsidRDefault="00B46B9E" w:rsidP="00A969C6">
      <w:pPr>
        <w:ind w:firstLine="567"/>
        <w:jc w:val="both"/>
        <w:rPr>
          <w:rFonts w:ascii="Arial" w:eastAsia="Times New Roman CYR" w:hAnsi="Arial" w:cs="Arial"/>
          <w:i/>
          <w:color w:val="000000" w:themeColor="text1"/>
          <w:sz w:val="22"/>
          <w:szCs w:val="22"/>
        </w:rPr>
      </w:pPr>
      <w:r w:rsidRPr="00DA76A7">
        <w:rPr>
          <w:rFonts w:ascii="Arial" w:eastAsia="Times New Roman CYR" w:hAnsi="Arial" w:cs="Arial"/>
          <w:b/>
          <w:i/>
          <w:color w:val="000000" w:themeColor="text1"/>
          <w:sz w:val="22"/>
          <w:szCs w:val="22"/>
        </w:rPr>
        <w:t>Аннотация.</w:t>
      </w:r>
      <w:r w:rsidR="00A969C6" w:rsidRPr="00DA76A7">
        <w:rPr>
          <w:rFonts w:ascii="Arial" w:eastAsia="Times New Roman CYR" w:hAnsi="Arial" w:cs="Arial"/>
          <w:i/>
          <w:color w:val="000000" w:themeColor="text1"/>
          <w:sz w:val="22"/>
          <w:szCs w:val="22"/>
        </w:rPr>
        <w:t xml:space="preserve"> В данной статье рассматривается вопрос о международной защите прав женщин, в частности этапы формирования международно-правовых стандартов защиты прав женщин, факты нарушения прав женщин, а также основные Конвенции принятые в области защиты прав женщин. </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In this article examines the issue of international protection of women's rights, in particular the stages of formation of international legal standards for the protection of women's rights, violations of women's rights, as well as the main conventions adopted in the field of protection of women's rights.</w:t>
      </w:r>
    </w:p>
    <w:p w:rsidR="00A969C6" w:rsidRPr="00DA76A7" w:rsidRDefault="00A969C6" w:rsidP="00A969C6">
      <w:pPr>
        <w:ind w:firstLine="567"/>
        <w:jc w:val="both"/>
        <w:rPr>
          <w:rFonts w:ascii="Arial" w:eastAsia="Times New Roman CYR" w:hAnsi="Arial" w:cs="Arial"/>
          <w:i/>
          <w:color w:val="000000" w:themeColor="text1"/>
          <w:sz w:val="22"/>
          <w:szCs w:val="22"/>
        </w:rPr>
      </w:pPr>
      <w:r w:rsidRPr="00DA76A7">
        <w:rPr>
          <w:rFonts w:ascii="Arial" w:eastAsia="Times New Roman CYR" w:hAnsi="Arial" w:cs="Arial"/>
          <w:b/>
          <w:i/>
          <w:color w:val="000000" w:themeColor="text1"/>
          <w:sz w:val="22"/>
          <w:szCs w:val="22"/>
        </w:rPr>
        <w:t>Ключевые слова:</w:t>
      </w:r>
      <w:r w:rsidRPr="00DA76A7">
        <w:rPr>
          <w:rFonts w:ascii="Arial" w:eastAsia="Times New Roman CYR" w:hAnsi="Arial" w:cs="Arial"/>
          <w:i/>
          <w:color w:val="000000" w:themeColor="text1"/>
          <w:sz w:val="22"/>
          <w:szCs w:val="22"/>
        </w:rPr>
        <w:t xml:space="preserve"> Международные аспекты, стандарты, защита женщин, международное право.</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International aspects, standards, protection of women, international law.</w:t>
      </w:r>
    </w:p>
    <w:p w:rsidR="00A969C6" w:rsidRPr="00DA76A7" w:rsidRDefault="00A969C6" w:rsidP="00A969C6">
      <w:pPr>
        <w:ind w:firstLine="567"/>
        <w:jc w:val="both"/>
        <w:rPr>
          <w:rFonts w:ascii="Arial" w:eastAsia="Calibri" w:hAnsi="Arial" w:cs="Arial"/>
          <w:i/>
          <w:color w:val="000000" w:themeColor="text1"/>
          <w:sz w:val="22"/>
          <w:szCs w:val="22"/>
          <w:lang w:val="en-US"/>
        </w:rPr>
      </w:pPr>
      <w:r w:rsidRPr="00DA76A7">
        <w:rPr>
          <w:rFonts w:ascii="Arial" w:hAnsi="Arial" w:cs="Arial"/>
          <w:i/>
          <w:color w:val="000000" w:themeColor="text1"/>
          <w:sz w:val="22"/>
          <w:szCs w:val="22"/>
          <w:lang w:val="en-US"/>
        </w:rPr>
        <w:t xml:space="preserve">                                                        </w:t>
      </w:r>
    </w:p>
    <w:p w:rsidR="00A969C6" w:rsidRPr="00DA76A7" w:rsidRDefault="00A969C6" w:rsidP="00A969C6">
      <w:pPr>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Во всех государствах независимо от формы правления вопрос о правах женщины и об их защите всегда был предметом обсуждения. Еще в прошлом веке П.В. Безобразов утверждал, что прочное общество - это то общество, которое построено на началах справедливости, на началах равенства, общество, в котором не должны исключаться слабые и неимущие, в том числе женщины. Лишать их прав, без которых немыслима человеческая жизнь, значит протестовать против прогресса, замедлять ход истории, не понимать требований времени.</w:t>
      </w:r>
    </w:p>
    <w:p w:rsidR="00A969C6" w:rsidRPr="00DA76A7" w:rsidRDefault="00A969C6" w:rsidP="00A969C6">
      <w:pPr>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Ушли в прошлое те времена, когда защита прав женщин считалась исключительно внутригосударственным делом. Со второй половины XX века вплоть до настоящего времени в международном праве возрастает и увеличивается удельный вес и значение норм, посвященных правовому положению женщин. Закрепление на международном уровне стандартов в области защиты прав женщин, создание международно-правовых механизмов контроля за соблюдением этих стандартов, предоставление женщинам возможности защищать свои права путем прямого и непосредственного обращения в международные судебные органы, имплементация стандартов в области защиты прав женщин на внутригосударственном уровне и развитие внутригосударственного права в этой области, - это и многое другое суть проявления все возрастающего влияния международного права на положение женщин.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eastAsia="Times New Roman CYR" w:hAnsi="Arial" w:cs="Arial"/>
          <w:color w:val="000000" w:themeColor="text1"/>
          <w:sz w:val="22"/>
          <w:szCs w:val="22"/>
        </w:rPr>
        <w:t xml:space="preserve">В современных условиях для всех государств мира общим является глобализация проблемы обеспечения и защиты прав женщин. Об этом свидетельствует, в частности, факт проведения под эгидой ООН четырех всемирных конференций по положению женщин и 23-й специальной сессии Генеральной Ассамблеи ООН </w:t>
      </w:r>
      <w:r w:rsidRPr="00DA76A7">
        <w:rPr>
          <w:rFonts w:ascii="Arial" w:hAnsi="Arial" w:cs="Arial"/>
          <w:color w:val="000000" w:themeColor="text1"/>
          <w:sz w:val="22"/>
          <w:szCs w:val="22"/>
        </w:rPr>
        <w:t>«</w:t>
      </w:r>
      <w:r w:rsidRPr="00DA76A7">
        <w:rPr>
          <w:rFonts w:ascii="Arial" w:eastAsia="Times New Roman CYR" w:hAnsi="Arial" w:cs="Arial"/>
          <w:color w:val="000000" w:themeColor="text1"/>
          <w:sz w:val="22"/>
          <w:szCs w:val="22"/>
        </w:rPr>
        <w:t>Женщины в 2000: равенство, развитие и мир в XXI веке</w:t>
      </w:r>
      <w:r w:rsidRPr="00DA76A7">
        <w:rPr>
          <w:rFonts w:ascii="Arial" w:hAnsi="Arial" w:cs="Arial"/>
          <w:color w:val="000000" w:themeColor="text1"/>
          <w:sz w:val="22"/>
          <w:szCs w:val="22"/>
        </w:rPr>
        <w:t>».</w:t>
      </w:r>
    </w:p>
    <w:p w:rsidR="00A969C6" w:rsidRPr="00DA76A7" w:rsidRDefault="00A969C6" w:rsidP="00A969C6">
      <w:pPr>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 xml:space="preserve">Вопросы защиты прав женщин являются актуальными и для Центральной и Восточной Европы, где в настоящее время происходят коренные изменения в экономической, политической и социальных сферах. Женщины составляют более половины населения этих стран. За последнее десятилетие появились тревожные тенденции в положении женщин: </w:t>
      </w:r>
      <w:r w:rsidRPr="00DA76A7">
        <w:rPr>
          <w:rFonts w:ascii="Arial" w:hAnsi="Arial" w:cs="Arial"/>
          <w:color w:val="000000" w:themeColor="text1"/>
          <w:sz w:val="22"/>
          <w:szCs w:val="22"/>
        </w:rPr>
        <w:t>«</w:t>
      </w:r>
      <w:r w:rsidRPr="00DA76A7">
        <w:rPr>
          <w:rFonts w:ascii="Arial" w:eastAsia="Times New Roman CYR" w:hAnsi="Arial" w:cs="Arial"/>
          <w:color w:val="000000" w:themeColor="text1"/>
          <w:sz w:val="22"/>
          <w:szCs w:val="22"/>
        </w:rPr>
        <w:t>феминизация безработицы</w:t>
      </w:r>
      <w:r w:rsidRPr="00DA76A7">
        <w:rPr>
          <w:rFonts w:ascii="Arial" w:hAnsi="Arial" w:cs="Arial"/>
          <w:color w:val="000000" w:themeColor="text1"/>
          <w:sz w:val="22"/>
          <w:szCs w:val="22"/>
        </w:rPr>
        <w:t>», «</w:t>
      </w:r>
      <w:r w:rsidRPr="00DA76A7">
        <w:rPr>
          <w:rFonts w:ascii="Arial" w:eastAsia="Times New Roman CYR" w:hAnsi="Arial" w:cs="Arial"/>
          <w:color w:val="000000" w:themeColor="text1"/>
          <w:sz w:val="22"/>
          <w:szCs w:val="22"/>
        </w:rPr>
        <w:t>феминизация бедности</w:t>
      </w:r>
      <w:r w:rsidRPr="00DA76A7">
        <w:rPr>
          <w:rFonts w:ascii="Arial" w:hAnsi="Arial" w:cs="Arial"/>
          <w:color w:val="000000" w:themeColor="text1"/>
          <w:sz w:val="22"/>
          <w:szCs w:val="22"/>
        </w:rPr>
        <w:t xml:space="preserve">», </w:t>
      </w:r>
      <w:r w:rsidRPr="00DA76A7">
        <w:rPr>
          <w:rFonts w:ascii="Arial" w:eastAsia="Times New Roman CYR" w:hAnsi="Arial" w:cs="Arial"/>
          <w:color w:val="000000" w:themeColor="text1"/>
          <w:sz w:val="22"/>
          <w:szCs w:val="22"/>
        </w:rPr>
        <w:t>резкое сокращение женщин в выборных органах и на уровнях принятия решения. Женщины - большая часть обездоленных, нищих, больных, просто потерявших всякую надежду людей. Между тем ориентация на международно-правовые стандарты может и должна стать важной предпосылкой усовершенствования национального законодательства, а также правоприменительной практики в области защиты прав женщин.</w:t>
      </w:r>
    </w:p>
    <w:p w:rsidR="00A969C6" w:rsidRPr="00DA76A7" w:rsidRDefault="00A969C6" w:rsidP="00A969C6">
      <w:pPr>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В настоящее время данная тема приобретает особую актуальность для исследования не только в связи с возрастанием роли женщины в различных сферах общественной жизни, но и в связи с многочисленными фактами нарушения прав женщин, включающими в себя:</w:t>
      </w:r>
    </w:p>
    <w:p w:rsidR="00A969C6" w:rsidRPr="00DA76A7" w:rsidRDefault="00A969C6" w:rsidP="00D45D6B">
      <w:pPr>
        <w:pStyle w:val="a6"/>
        <w:numPr>
          <w:ilvl w:val="0"/>
          <w:numId w:val="35"/>
        </w:numPr>
        <w:tabs>
          <w:tab w:val="left" w:pos="851"/>
        </w:tabs>
        <w:spacing w:after="0" w:line="240" w:lineRule="auto"/>
        <w:ind w:left="0" w:firstLine="567"/>
        <w:jc w:val="both"/>
        <w:rPr>
          <w:rFonts w:ascii="Arial" w:eastAsia="Times New Roman CYR" w:hAnsi="Arial" w:cs="Arial"/>
          <w:color w:val="000000" w:themeColor="text1"/>
        </w:rPr>
      </w:pPr>
      <w:r w:rsidRPr="00DA76A7">
        <w:rPr>
          <w:rFonts w:ascii="Arial" w:eastAsia="Times New Roman CYR" w:hAnsi="Arial" w:cs="Arial"/>
          <w:color w:val="000000" w:themeColor="text1"/>
        </w:rPr>
        <w:t>несоблюдение международно-правового принципа равноправия мужчин и женщин, а именно несоблюдение права женщин на участие в осуществлении международной и внутригосударственной политики;</w:t>
      </w:r>
    </w:p>
    <w:p w:rsidR="00A969C6" w:rsidRPr="00DA76A7" w:rsidRDefault="00A969C6" w:rsidP="00D45D6B">
      <w:pPr>
        <w:pStyle w:val="a6"/>
        <w:numPr>
          <w:ilvl w:val="0"/>
          <w:numId w:val="35"/>
        </w:numPr>
        <w:tabs>
          <w:tab w:val="left" w:pos="851"/>
        </w:tabs>
        <w:spacing w:after="0" w:line="240" w:lineRule="auto"/>
        <w:ind w:left="0" w:firstLine="567"/>
        <w:jc w:val="both"/>
        <w:rPr>
          <w:rFonts w:ascii="Arial" w:eastAsia="Times New Roman CYR" w:hAnsi="Arial" w:cs="Arial"/>
          <w:color w:val="000000" w:themeColor="text1"/>
        </w:rPr>
      </w:pPr>
      <w:r w:rsidRPr="00DA76A7">
        <w:rPr>
          <w:rFonts w:ascii="Arial" w:eastAsia="Times New Roman CYR" w:hAnsi="Arial" w:cs="Arial"/>
          <w:color w:val="000000" w:themeColor="text1"/>
        </w:rPr>
        <w:t>недостаточная международно-правовая защита женщин от насилия;</w:t>
      </w:r>
    </w:p>
    <w:p w:rsidR="00A969C6" w:rsidRPr="00DA76A7" w:rsidRDefault="00A969C6" w:rsidP="00D45D6B">
      <w:pPr>
        <w:pStyle w:val="a6"/>
        <w:numPr>
          <w:ilvl w:val="0"/>
          <w:numId w:val="35"/>
        </w:numPr>
        <w:tabs>
          <w:tab w:val="left" w:pos="851"/>
        </w:tabs>
        <w:spacing w:after="0" w:line="240" w:lineRule="auto"/>
        <w:ind w:left="0" w:firstLine="567"/>
        <w:jc w:val="both"/>
        <w:rPr>
          <w:rFonts w:ascii="Arial" w:eastAsia="Times New Roman CYR" w:hAnsi="Arial" w:cs="Arial"/>
          <w:color w:val="000000" w:themeColor="text1"/>
        </w:rPr>
      </w:pPr>
      <w:r w:rsidRPr="00DA76A7">
        <w:rPr>
          <w:rFonts w:ascii="Arial" w:eastAsia="Times New Roman CYR" w:hAnsi="Arial" w:cs="Arial"/>
          <w:color w:val="000000" w:themeColor="text1"/>
        </w:rPr>
        <w:t>приобретшая широкомасштабный характер международная торговля женщинами;</w:t>
      </w:r>
    </w:p>
    <w:p w:rsidR="00A969C6" w:rsidRPr="00DA76A7" w:rsidRDefault="00A969C6" w:rsidP="00D45D6B">
      <w:pPr>
        <w:pStyle w:val="a6"/>
        <w:numPr>
          <w:ilvl w:val="0"/>
          <w:numId w:val="35"/>
        </w:numPr>
        <w:tabs>
          <w:tab w:val="left" w:pos="851"/>
        </w:tabs>
        <w:spacing w:after="0" w:line="240" w:lineRule="auto"/>
        <w:ind w:left="0" w:firstLine="567"/>
        <w:jc w:val="both"/>
        <w:rPr>
          <w:rFonts w:ascii="Arial" w:eastAsia="Times New Roman CYR" w:hAnsi="Arial" w:cs="Arial"/>
          <w:color w:val="000000" w:themeColor="text1"/>
        </w:rPr>
      </w:pPr>
      <w:r w:rsidRPr="00DA76A7">
        <w:rPr>
          <w:rFonts w:ascii="Arial" w:eastAsia="Times New Roman CYR" w:hAnsi="Arial" w:cs="Arial"/>
          <w:color w:val="000000" w:themeColor="text1"/>
        </w:rPr>
        <w:t>нуждающийся в доработке механизм международной защиты прав женщин во время вооруженных конфликтов;</w:t>
      </w:r>
    </w:p>
    <w:p w:rsidR="00A969C6" w:rsidRPr="00DA76A7" w:rsidRDefault="00A969C6" w:rsidP="00D45D6B">
      <w:pPr>
        <w:pStyle w:val="a6"/>
        <w:numPr>
          <w:ilvl w:val="0"/>
          <w:numId w:val="35"/>
        </w:numPr>
        <w:tabs>
          <w:tab w:val="left" w:pos="851"/>
          <w:tab w:val="left" w:pos="1403"/>
        </w:tabs>
        <w:spacing w:after="0" w:line="240" w:lineRule="auto"/>
        <w:ind w:left="0" w:firstLine="567"/>
        <w:jc w:val="both"/>
        <w:rPr>
          <w:rFonts w:ascii="Arial" w:eastAsia="Times New Roman CYR" w:hAnsi="Arial" w:cs="Arial"/>
          <w:color w:val="000000" w:themeColor="text1"/>
        </w:rPr>
      </w:pPr>
      <w:r w:rsidRPr="00DA76A7">
        <w:rPr>
          <w:rFonts w:ascii="Arial" w:eastAsia="Times New Roman CYR" w:hAnsi="Arial" w:cs="Arial"/>
          <w:color w:val="000000" w:themeColor="text1"/>
        </w:rPr>
        <w:t>недостаточное выполнение международного стандарта, касающегося охраны здоровья женщин, в результате чего сохраняется высокий уровень материнской и младенческой смертности;</w:t>
      </w:r>
    </w:p>
    <w:p w:rsidR="00A969C6" w:rsidRPr="00DA76A7" w:rsidRDefault="00A969C6" w:rsidP="00D45D6B">
      <w:pPr>
        <w:pStyle w:val="a6"/>
        <w:numPr>
          <w:ilvl w:val="0"/>
          <w:numId w:val="35"/>
        </w:numPr>
        <w:tabs>
          <w:tab w:val="left" w:pos="851"/>
          <w:tab w:val="left" w:pos="1412"/>
        </w:tabs>
        <w:spacing w:after="0" w:line="240" w:lineRule="auto"/>
        <w:ind w:left="0" w:firstLine="567"/>
        <w:jc w:val="both"/>
        <w:rPr>
          <w:rFonts w:ascii="Arial" w:eastAsia="Times New Roman CYR" w:hAnsi="Arial" w:cs="Arial"/>
          <w:color w:val="000000" w:themeColor="text1"/>
        </w:rPr>
      </w:pPr>
      <w:r w:rsidRPr="00DA76A7">
        <w:rPr>
          <w:rFonts w:ascii="Arial" w:eastAsia="Times New Roman CYR" w:hAnsi="Arial" w:cs="Arial"/>
          <w:color w:val="000000" w:themeColor="text1"/>
        </w:rPr>
        <w:t>неравенство между мужчинами и женщинами в сфере труда (дискриминационные условия при приёме на работу, неравная оплата за равный труд и работу равной стоимости, недостаточные социальные блага).</w:t>
      </w:r>
    </w:p>
    <w:p w:rsidR="00A969C6" w:rsidRPr="00DA76A7" w:rsidRDefault="00A969C6" w:rsidP="00A969C6">
      <w:pPr>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Становление института международной защиты прав женщин, так же как и отрасли международной защиты прав человека началось в период после Второй мировой войны. Отправной точкой систематического, упорядоченного и расширяющегося сотрудничества государств по обеспечению и защите прав женщин можно считать создание Организации Объединенных Наций (далее - ООН), хотя еще и сегодня саму проблему защиты женских прав абсолютно урегулированной назвать нельзя.</w:t>
      </w:r>
    </w:p>
    <w:p w:rsidR="00A969C6" w:rsidRPr="00DA76A7" w:rsidRDefault="00A969C6" w:rsidP="00A969C6">
      <w:pPr>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Анализ нормативных источников и основополагающих монографий в данной области позволяет выделить следующие этапы формирования и развития стандартов международно-правовой защиты прав женщин: стандарты, созданные до принятия Устава ООН; послеуставные стандарты. Социальные нормы, защищающие права женщин на международном уровне, можно классифицировать на религиозные, морально-политические, юридические. По сфере действия в области защиты прав женщин можно выделить нормы, действующие на универсальном уровне; нормы, действующие на региональном уровне; внутригосударственные нормы.</w:t>
      </w:r>
    </w:p>
    <w:p w:rsidR="00A969C6" w:rsidRPr="00DA76A7" w:rsidRDefault="00A969C6" w:rsidP="00A969C6">
      <w:pPr>
        <w:tabs>
          <w:tab w:val="left" w:pos="1412"/>
        </w:tabs>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История международного регулирования прав женщин берет свое начало с проходивших в первые годы XX столетия международных конференций с участием представителей правительств ряда промышленно развитых стран, на которых рассматривались некоторые специфические проблемы такого регулирования.</w:t>
      </w:r>
    </w:p>
    <w:p w:rsidR="00A969C6" w:rsidRPr="00DA76A7" w:rsidRDefault="00A969C6" w:rsidP="00A969C6">
      <w:pPr>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По окончании первой мировой войны был заключен ряд двусторонних и многосторонних международных соглашений, которые регулировали вопросы гражданства замужней женщины. Это - мирные договоры между государствами Антанты и их противниками, договоры о защите меньшинства, об обмене населением при территориальных изменениях.</w:t>
      </w:r>
    </w:p>
    <w:p w:rsidR="00A969C6" w:rsidRPr="00DA76A7" w:rsidRDefault="00A969C6" w:rsidP="00A969C6">
      <w:pPr>
        <w:tabs>
          <w:tab w:val="left" w:pos="1412"/>
        </w:tabs>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Впервые на универсальном уровне вопрос о защите прав женщин рассматривался в международной организации политического характера — Лиге Наций, которая оказала большое влияние на формирование и развитие международных стандартов в области защиты прав женщин. Статут — основной правоустанавливающий документ Лиги Наций - знаменовал собой важнейший этап в становлении международных стандартов, защищающих права женщин</w:t>
      </w:r>
    </w:p>
    <w:p w:rsidR="00A969C6" w:rsidRPr="00DA76A7" w:rsidRDefault="00A969C6" w:rsidP="00A969C6">
      <w:pPr>
        <w:tabs>
          <w:tab w:val="left" w:pos="1412"/>
        </w:tabs>
        <w:ind w:firstLine="567"/>
        <w:jc w:val="both"/>
        <w:rPr>
          <w:rFonts w:ascii="Arial" w:eastAsia="Garamond" w:hAnsi="Arial" w:cs="Arial"/>
          <w:color w:val="000000" w:themeColor="text1"/>
          <w:sz w:val="22"/>
          <w:szCs w:val="22"/>
        </w:rPr>
      </w:pPr>
      <w:r w:rsidRPr="00DA76A7">
        <w:rPr>
          <w:rFonts w:ascii="Arial" w:eastAsia="Garamond" w:hAnsi="Arial" w:cs="Arial"/>
          <w:color w:val="000000" w:themeColor="text1"/>
          <w:sz w:val="22"/>
          <w:szCs w:val="22"/>
        </w:rPr>
        <w:t>Нельзя не отметить работу в области формирования международных стандартов, касающихся защиты прав женщин, которая велась на региональном уровне и в рамках другой крупнейшей организации - Совета Европы. Так, его в рамках была принята Конвенция о защите прав человека и основных свобод от 4 11.1950г., с изменениями и дополнениями 11.05.1994г., где в статье 14 провозглашается пользование правами и свободами, закрепленными Конвенцией, без какой бы то ни было дискриминации по признаку пола.</w:t>
      </w:r>
    </w:p>
    <w:p w:rsidR="00A969C6" w:rsidRPr="00DA76A7" w:rsidRDefault="00A969C6" w:rsidP="00A969C6">
      <w:pPr>
        <w:ind w:firstLine="567"/>
        <w:jc w:val="both"/>
        <w:rPr>
          <w:rFonts w:ascii="Arial" w:eastAsia="Garamond" w:hAnsi="Arial" w:cs="Arial"/>
          <w:color w:val="000000" w:themeColor="text1"/>
          <w:sz w:val="22"/>
          <w:szCs w:val="22"/>
        </w:rPr>
      </w:pPr>
      <w:r w:rsidRPr="00DA76A7">
        <w:rPr>
          <w:rFonts w:ascii="Arial" w:eastAsia="Garamond" w:hAnsi="Arial" w:cs="Arial"/>
          <w:color w:val="000000" w:themeColor="text1"/>
          <w:sz w:val="22"/>
          <w:szCs w:val="22"/>
        </w:rPr>
        <w:t>Итак, в период, предшествующий созданию ООН, ограниченным числом государств были заключены первые международные соглашения, в которых в той или иной степени регулировались некоторые вопросы обеспечения прав женщин. К их числу относятся договоры и конвенции, содержащие положения о пресечении торговли женщинами, о гуманных условиях труда для женщин, о гражданстве замужней женщины. Целью этих соглашений являлось не создание всесторонней системы международной защиты прав женщин, а лишь обеспечение для них некоторого минимума общегражданских прав. Тем не менее, были урегулированы отдельные положения в области защиты прав женщин, которые хотя и носили фрагментарный характер, заложили правовую основу в данной области [6, 765].</w:t>
      </w:r>
    </w:p>
    <w:p w:rsidR="00A969C6" w:rsidRPr="00DA76A7" w:rsidRDefault="00A969C6" w:rsidP="00A969C6">
      <w:pPr>
        <w:tabs>
          <w:tab w:val="left" w:pos="1412"/>
        </w:tabs>
        <w:ind w:firstLine="567"/>
        <w:jc w:val="both"/>
        <w:rPr>
          <w:rFonts w:ascii="Arial" w:eastAsia="Times New Roman CYR" w:hAnsi="Arial" w:cs="Arial"/>
          <w:color w:val="000000" w:themeColor="text1"/>
          <w:sz w:val="22"/>
          <w:szCs w:val="22"/>
        </w:rPr>
      </w:pPr>
      <w:r w:rsidRPr="00DA76A7">
        <w:rPr>
          <w:rFonts w:ascii="Arial" w:eastAsia="Times New Roman CYR" w:hAnsi="Arial" w:cs="Arial"/>
          <w:color w:val="000000" w:themeColor="text1"/>
          <w:sz w:val="22"/>
          <w:szCs w:val="22"/>
        </w:rPr>
        <w:t>В формировании и развитии международно-правовой защиты женщин огромную неоценимую роль сыграла Организация Объединенных Наций и ее специализированные учреждения, разработавшие важнейшие международные соглашения универсального характера, воплотившие в себе общие для всего человечества ценности. Система международно-правовых норм, направленных на защиту женщин, сложилась после окончания Второй мировой войны и сегодня носит всеобъемлющий характер. Первоначально международные договоры были направлены на защиту отдельных прав женщин: Конвенция МОТ №100 о равном вознаграждении мужчин и женщин за труд равной ценности от 29 июня 1951 г., Конвенция о политических правах женщин от 20 декабря 1952 г., Конвенция о согласии на вступление в брак, брачном возрасте и регистрации браков от 10 декабря 1962 г. Все эти международные договоры включали лишь отдельные аспекты защиты прав женщин, но не отражали всех форм дискриминации в отношении женщин. В ноябре 1967 г. была принята первая Декларация о ликвидации дискриминации в отношении женщин, а позднее 18 декабря 1979 года единогласно Генеральной Ассамблеей ООН была принята Конвенция о ликвидации всех форм дискриминации в отношении женщин, которая занимает третье место среди международных договоров о правах человека по числу ратифицировавших ее государств.</w:t>
      </w:r>
    </w:p>
    <w:p w:rsidR="00A969C6" w:rsidRPr="00DA76A7" w:rsidRDefault="00A969C6" w:rsidP="00A969C6">
      <w:pPr>
        <w:ind w:firstLine="567"/>
        <w:jc w:val="both"/>
        <w:rPr>
          <w:rFonts w:ascii="Arial" w:eastAsia="Calibri" w:hAnsi="Arial" w:cs="Arial"/>
          <w:color w:val="000000" w:themeColor="text1"/>
          <w:sz w:val="22"/>
          <w:szCs w:val="22"/>
        </w:rPr>
      </w:pPr>
    </w:p>
    <w:p w:rsidR="003A625F" w:rsidRDefault="003A625F" w:rsidP="00A969C6">
      <w:pPr>
        <w:ind w:firstLine="567"/>
        <w:jc w:val="center"/>
        <w:rPr>
          <w:rFonts w:ascii="Arial" w:eastAsia="Calibri" w:hAnsi="Arial" w:cs="Arial"/>
          <w:b/>
          <w:color w:val="000000" w:themeColor="text1"/>
          <w:sz w:val="22"/>
          <w:szCs w:val="22"/>
        </w:rPr>
      </w:pPr>
    </w:p>
    <w:p w:rsidR="00A969C6" w:rsidRPr="00DA76A7" w:rsidRDefault="00A969C6" w:rsidP="00A969C6">
      <w:pPr>
        <w:ind w:firstLine="567"/>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Список литературы:</w:t>
      </w:r>
    </w:p>
    <w:p w:rsidR="00A969C6" w:rsidRPr="00DA76A7" w:rsidRDefault="00A969C6" w:rsidP="00A969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1. Всеобщая декларация прав человека от 10. 12. 1948 г. // Международное публичное право. Сборник документов. - Т.1. - М.: БЕК, 1996. - С. 460-464.</w:t>
      </w:r>
    </w:p>
    <w:p w:rsidR="00A969C6" w:rsidRPr="00DA76A7" w:rsidRDefault="00A969C6" w:rsidP="00A969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2. Декларация ООН о ликвидации дискриминации в отношении женщин от 7. 11. 1967 г. // ООН. Резолюции и решения, принятые Генеральной Ассамблеей ООН на 22-й сессии. - Нью-Йорк: Издательство ООН, 1968. - С. 41-43.</w:t>
      </w:r>
    </w:p>
    <w:p w:rsidR="00A969C6" w:rsidRPr="00DA76A7" w:rsidRDefault="00A969C6" w:rsidP="00A969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3 .Конвенция</w:t>
      </w:r>
      <w:r w:rsidRPr="00DA76A7">
        <w:rPr>
          <w:rFonts w:ascii="Arial" w:eastAsia="Calibri" w:hAnsi="Arial" w:cs="Arial"/>
          <w:color w:val="000000" w:themeColor="text1"/>
          <w:sz w:val="22"/>
          <w:szCs w:val="22"/>
        </w:rPr>
        <w:tab/>
        <w:t>Совета Европы о защите прав человека и основных свобод от 4. 11. 1950 г. с изменениями и дополнениями от 11. 05. 1994 г. // Собрание законодательства РФ. - 2001. -№2. - С. 703 - 718.</w:t>
      </w:r>
    </w:p>
    <w:p w:rsidR="00A969C6" w:rsidRPr="00DA76A7" w:rsidRDefault="00A969C6" w:rsidP="00A969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4. Рубина И. Е. Международная защита прав женщин: Автореф. дис. … канд. юрид. наук. - СПб, 2001. – 25 с.</w:t>
      </w:r>
    </w:p>
    <w:p w:rsidR="00A969C6" w:rsidRPr="00DA76A7" w:rsidRDefault="00A969C6" w:rsidP="00A969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5. Бекяшев К. А., Волосов M. Е. Международное публичное право. Практикум. - М.: Проспект, 2000. - 876 </w:t>
      </w:r>
      <w:r w:rsidRPr="00DA76A7">
        <w:rPr>
          <w:rFonts w:ascii="Arial" w:eastAsia="Calibri" w:hAnsi="Arial" w:cs="Arial"/>
          <w:color w:val="000000" w:themeColor="text1"/>
          <w:sz w:val="22"/>
          <w:szCs w:val="22"/>
          <w:lang w:val="en-US"/>
        </w:rPr>
        <w:t>c</w:t>
      </w:r>
      <w:r w:rsidRPr="00DA76A7">
        <w:rPr>
          <w:rFonts w:ascii="Arial" w:eastAsia="Calibri" w:hAnsi="Arial" w:cs="Arial"/>
          <w:color w:val="000000" w:themeColor="text1"/>
          <w:sz w:val="22"/>
          <w:szCs w:val="22"/>
        </w:rPr>
        <w:t>.</w:t>
      </w:r>
    </w:p>
    <w:p w:rsidR="00A969C6" w:rsidRPr="00DA76A7" w:rsidRDefault="00A969C6" w:rsidP="00A969C6">
      <w:pPr>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6. Лукашук И. И. Международное право. Общая часть. Учебник. - М.: Издательство БЕК, 1999. – 432 с.</w:t>
      </w:r>
    </w:p>
    <w:p w:rsidR="00A969C6" w:rsidRDefault="00A969C6" w:rsidP="00A969C6">
      <w:pPr>
        <w:ind w:firstLine="567"/>
        <w:jc w:val="both"/>
        <w:rPr>
          <w:rFonts w:ascii="Arial" w:eastAsia="Calibri" w:hAnsi="Arial" w:cs="Arial"/>
          <w:color w:val="000000" w:themeColor="text1"/>
          <w:sz w:val="22"/>
          <w:szCs w:val="22"/>
        </w:rPr>
      </w:pPr>
    </w:p>
    <w:p w:rsidR="003A625F" w:rsidRDefault="003A625F" w:rsidP="00A969C6">
      <w:pPr>
        <w:ind w:firstLine="567"/>
        <w:jc w:val="both"/>
        <w:rPr>
          <w:rFonts w:ascii="Arial" w:eastAsia="Calibri" w:hAnsi="Arial" w:cs="Arial"/>
          <w:color w:val="000000" w:themeColor="text1"/>
          <w:sz w:val="22"/>
          <w:szCs w:val="22"/>
        </w:rPr>
      </w:pPr>
    </w:p>
    <w:p w:rsidR="003A625F" w:rsidRDefault="003A625F" w:rsidP="00A969C6">
      <w:pPr>
        <w:ind w:firstLine="567"/>
        <w:jc w:val="both"/>
        <w:rPr>
          <w:rFonts w:ascii="Arial" w:eastAsia="Calibri" w:hAnsi="Arial" w:cs="Arial"/>
          <w:color w:val="000000" w:themeColor="text1"/>
          <w:sz w:val="22"/>
          <w:szCs w:val="22"/>
        </w:rPr>
      </w:pPr>
    </w:p>
    <w:p w:rsidR="003A625F" w:rsidRDefault="003A625F" w:rsidP="00A969C6">
      <w:pPr>
        <w:ind w:firstLine="567"/>
        <w:jc w:val="both"/>
        <w:rPr>
          <w:rFonts w:ascii="Arial" w:eastAsia="Calibri" w:hAnsi="Arial" w:cs="Arial"/>
          <w:color w:val="000000" w:themeColor="text1"/>
          <w:sz w:val="22"/>
          <w:szCs w:val="22"/>
        </w:rPr>
      </w:pPr>
    </w:p>
    <w:p w:rsidR="003A625F" w:rsidRDefault="003A625F" w:rsidP="00A969C6">
      <w:pPr>
        <w:ind w:firstLine="567"/>
        <w:jc w:val="both"/>
        <w:rPr>
          <w:rFonts w:ascii="Arial" w:eastAsia="Calibri" w:hAnsi="Arial" w:cs="Arial"/>
          <w:color w:val="000000" w:themeColor="text1"/>
          <w:sz w:val="22"/>
          <w:szCs w:val="22"/>
        </w:rPr>
      </w:pPr>
    </w:p>
    <w:p w:rsidR="003A625F" w:rsidRPr="00DA76A7" w:rsidRDefault="003A625F" w:rsidP="00A969C6">
      <w:pPr>
        <w:ind w:firstLine="567"/>
        <w:jc w:val="both"/>
        <w:rPr>
          <w:rFonts w:ascii="Arial" w:eastAsia="Calibri" w:hAnsi="Arial" w:cs="Arial"/>
          <w:color w:val="000000" w:themeColor="text1"/>
          <w:sz w:val="22"/>
          <w:szCs w:val="22"/>
        </w:rPr>
      </w:pPr>
    </w:p>
    <w:p w:rsidR="00A969C6" w:rsidRPr="00DA76A7" w:rsidRDefault="00A969C6" w:rsidP="00A969C6">
      <w:pPr>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МЕСТО И РОЛЬ ТАДЖИКИСТАНА В  РАБОТЕ ШАНХАЙСКОЙ ОРГАНИЗАЦИИ СОТРУДНИЧЕСТВА </w:t>
      </w: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Усенов Динмухаммед Исмайилович</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 Турсунзаде,30</w:t>
      </w:r>
    </w:p>
    <w:p w:rsidR="00A969C6" w:rsidRPr="00AC7230" w:rsidRDefault="00A969C6" w:rsidP="00A969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987655555, </w:t>
      </w:r>
      <w:r w:rsidRPr="00DA76A7">
        <w:rPr>
          <w:rFonts w:ascii="Arial" w:hAnsi="Arial" w:cs="Arial"/>
          <w:color w:val="000000" w:themeColor="text1"/>
          <w:sz w:val="22"/>
          <w:szCs w:val="22"/>
          <w:lang w:val="en-US"/>
        </w:rPr>
        <w:t>e</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m</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A969C6" w:rsidRPr="00AC7230" w:rsidRDefault="00A969C6" w:rsidP="00A969C6">
      <w:pPr>
        <w:pStyle w:val="ConsPlusNormal"/>
        <w:widowControl/>
        <w:suppressLineNumbers/>
        <w:suppressAutoHyphens/>
        <w:ind w:firstLine="567"/>
        <w:jc w:val="center"/>
        <w:rPr>
          <w:b/>
          <w:color w:val="000000" w:themeColor="text1"/>
          <w:sz w:val="22"/>
          <w:szCs w:val="22"/>
          <w:shd w:val="clear" w:color="auto" w:fill="FFFFFF"/>
        </w:rPr>
      </w:pPr>
    </w:p>
    <w:p w:rsidR="00A969C6" w:rsidRPr="00DA76A7" w:rsidRDefault="00A969C6" w:rsidP="00A969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PLACE AND ROLE OF TAJIKISTAN IN THE WORK OF THE SHANGHAI COOPERATION ORGANIZATION</w:t>
      </w:r>
    </w:p>
    <w:p w:rsidR="00A969C6" w:rsidRPr="00DA76A7" w:rsidRDefault="00A969C6" w:rsidP="00A969C6">
      <w:pPr>
        <w:ind w:firstLine="567"/>
        <w:jc w:val="center"/>
        <w:rPr>
          <w:rFonts w:ascii="Arial" w:hAnsi="Arial" w:cs="Arial"/>
          <w:b/>
          <w:color w:val="000000" w:themeColor="text1"/>
          <w:sz w:val="22"/>
          <w:szCs w:val="22"/>
          <w:lang w:val="en-US"/>
        </w:rPr>
      </w:pPr>
    </w:p>
    <w:p w:rsidR="00A969C6" w:rsidRPr="00DA76A7" w:rsidRDefault="00A969C6" w:rsidP="00A969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Usenov Dinmuhammed Ismayilovich</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987655555, e-mail: m.pravo@mail.ru</w:t>
      </w:r>
    </w:p>
    <w:p w:rsidR="00A969C6" w:rsidRPr="00DA76A7" w:rsidRDefault="00A969C6" w:rsidP="00A969C6">
      <w:pPr>
        <w:tabs>
          <w:tab w:val="left" w:pos="5145"/>
        </w:tabs>
        <w:ind w:firstLine="567"/>
        <w:rPr>
          <w:rFonts w:ascii="Arial" w:hAnsi="Arial" w:cs="Arial"/>
          <w:color w:val="000000" w:themeColor="text1"/>
          <w:sz w:val="22"/>
          <w:szCs w:val="22"/>
          <w:lang w:val="en-US"/>
        </w:rPr>
      </w:pPr>
      <w:r w:rsidRPr="00DA76A7">
        <w:rPr>
          <w:rFonts w:ascii="Arial" w:hAnsi="Arial" w:cs="Arial"/>
          <w:color w:val="000000" w:themeColor="text1"/>
          <w:sz w:val="22"/>
          <w:szCs w:val="22"/>
          <w:lang w:val="en-US"/>
        </w:rPr>
        <w:tab/>
      </w:r>
    </w:p>
    <w:p w:rsidR="00A969C6" w:rsidRPr="00DA76A7" w:rsidRDefault="00A969C6" w:rsidP="00A969C6">
      <w:pPr>
        <w:ind w:firstLine="567"/>
        <w:jc w:val="both"/>
        <w:rPr>
          <w:rFonts w:ascii="Arial" w:hAnsi="Arial" w:cs="Arial"/>
          <w:color w:val="000000" w:themeColor="text1"/>
          <w:sz w:val="22"/>
          <w:szCs w:val="22"/>
        </w:rPr>
      </w:pPr>
      <w:r w:rsidRPr="00240D8D">
        <w:rPr>
          <w:rFonts w:ascii="Arial" w:hAnsi="Arial" w:cs="Arial"/>
          <w:color w:val="000000" w:themeColor="text1"/>
          <w:sz w:val="22"/>
          <w:szCs w:val="22"/>
          <w:lang w:val="en-US"/>
        </w:rPr>
        <w:t xml:space="preserve">                                           </w:t>
      </w:r>
      <w:r w:rsidR="00D971C1" w:rsidRPr="00240D8D">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Научный руководитель: к.ю.н., доцент Имомова Н.М.</w:t>
      </w:r>
    </w:p>
    <w:p w:rsidR="00A969C6" w:rsidRPr="00DA76A7" w:rsidRDefault="00A969C6" w:rsidP="00A969C6">
      <w:pPr>
        <w:ind w:firstLine="567"/>
        <w:jc w:val="both"/>
        <w:rPr>
          <w:rFonts w:ascii="Arial" w:hAnsi="Arial" w:cs="Arial"/>
          <w:b/>
          <w:i/>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 xml:space="preserve">В статье  рассматриваются вопросы места и роли  Таджикистана в рамках деятельности Шанхайской Организации сотрудничества </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article examines the issues of the place and role of Tajikistan within the framework of the Shanghai Cooperation Organization</w:t>
      </w:r>
    </w:p>
    <w:p w:rsidR="00A969C6" w:rsidRPr="00DA76A7" w:rsidRDefault="00A969C6" w:rsidP="00A969C6">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Шанхайская Организация Сотрудничества, терроризм, государства, независимость.</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Shanghai Cooperation Organization, terrorism, states, independence.</w:t>
      </w:r>
    </w:p>
    <w:p w:rsidR="00A969C6" w:rsidRPr="00DA76A7" w:rsidRDefault="00A969C6" w:rsidP="00A969C6">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Одной из ведущих организаций в нынешних условиях стала ШОС. Шанхайская Организация Сотрудничества была организована на основе договора между следующими странами: Республика Казахстан, Республика Кыргызстан, Российская Федерация, Республика Таджикистан и Китайская Народная республика. Союз вышеуказанных </w:t>
      </w:r>
      <w:r w:rsidRPr="00DA76A7">
        <w:rPr>
          <w:rFonts w:ascii="Arial" w:hAnsi="Arial" w:cs="Arial"/>
          <w:color w:val="000000" w:themeColor="text1"/>
          <w:sz w:val="22"/>
          <w:szCs w:val="22"/>
          <w:lang w:val="uk-UA"/>
        </w:rPr>
        <w:t xml:space="preserve">государств именуются </w:t>
      </w:r>
      <w:r w:rsidRPr="00DA76A7">
        <w:rPr>
          <w:rFonts w:ascii="Arial" w:hAnsi="Arial" w:cs="Arial"/>
          <w:color w:val="000000" w:themeColor="text1"/>
          <w:sz w:val="22"/>
          <w:szCs w:val="22"/>
        </w:rPr>
        <w:t>«Шанхайской пятерки». Главы 5 дружественных государств в апреле 1996 г. в городе Шанхае Китая, Казахстана, Кыргызстана, России и Таджикистана - подписали исторически важный документ - соглашение об усилении внимания на территориях границ.</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ШОС имеет возможность и силы для решения проблем мирового масштаба [4,305].</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События последних десятилетий подтверждают то, что международный терроризм стал реальной угрозой для всего цивилизованного мира. Действительно, серьезную и сложную проблему представляли в последние десятилетия XX и в начале XXI веков террористические акты, которые были совершены во многих странах мира. Современный Международный терроризм оказывает серьезное дестабилизирующее воздействие на обстановку в мире в целом.</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Динамика и эволюция терроризма на постсоветском пространстве впечатляют. Так, если раньше террористический акт сводился к физическому устранению какого-либо высокопоставленного лица или взрыва малым радиусом поражения, то теперь террористы предпринимают полномасштабные военные действия. К тому же терроризм настолько модернизировался, что техническому оснащению его групп могут позавидовать спецслужбы многих стран мира [2,16]. </w:t>
      </w:r>
    </w:p>
    <w:p w:rsidR="005F6AC7"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Первую крупномасштабную вылазку боевики Исламского движения Узбекистана организовали в 1999 году, вторгшись на территорию Кыргызстана, в 2000-м они повторили свою акцию — тогда ожесточенные бои шли в горной местности. Следует отметить, что корни терроризма в государствах ШОС различны, несмотря на общую исламскую окраску. Например, движение «Восточный Туркестан», используя лозунги ислама, стремится создать независимое уйгурское государство, а его центральноазиатские «коллеги» пытаются свергнуть существующую светскую власть и создать теократическое государство [1,151]. </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Рассматривая терроризм, надо исходить из того, что он не является проблемой лишь одного государства. Учитывая это, страны ШОС ведут активную борьбу с террористическими группами. В этом плане интересна позиция Китая как страны, не раз страдавшей от рук уйгурских и тибетских сепаратистов. Пекин всегда выступал за создание единого фронта борьбы с международными террористическими организациями всех видов и направлений. </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январе 2002 года Пресс-канцелярия Госсовета КНР опубликовала своего рода «белую книгу», где впервые подробно изложена официальная позиция руководства КНР по уйгурской проблеме. По официальным данным, с 1990 по 2001 год восточнотюркские террористы, находящиеся в Китае и за его пределами, совершили более 200 актов террора и насилия, в результате которых погибли 162 жителя разных национальностей, кадровые сотрудники низовых организаций и религиозные деятели, свыше 440 человек получили ранения. Официальные источники КНР указывают и на афганские связи радикальных уйгурских организаций. В феврале 1998 года находящаяся за пределами КНР организация «Исламское движение Восточного Туркестана» направила несколько десятков человек, прошедших в Афганистане специальную подготовку по взрывному делу, в Синьцзян, а также во внутренние провинции и города Китая, где они создали 15 тайных пунктов подготовки и обучили технологии взрывного дела 150 террористов из разных мест. По полученному из-за рубежа рецепту они закупали в больших количествах химическое сырье, тайно изготовляли взрывчатку и взрывные устройства. </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своей книге «Критическое десятилетие» президент Казахстана Н.А. Назарбаев пишет: «Простой анализ процессов, происходящих в мире в конце 2001-го и первой половине 2002 года, показывает, что уровень террористической активности имеет тенденцию к росту. При этом в 2002 году число террористических актов вполне может превысить показатели за последние 10 лет, начиная с 1992 года. И об этом свидетельствует печальная статистика. </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Ведь только за восемь месяцев 2002 года в мире было совершено 390 терактов, что на десятую часть больше, чем это было отмечено за весь 2001 год. Показатель террористической активности восьми месяцев 2002 года также превысил данные за 1992, 1994, 1996 и 1997 годы» [3,37]. Дальнейшие события еще раз подтвердили мнение президента Казахстана. В своем «развитии» международный терроризм шагнул далеко вперед, стал принимать глобальный характер, так что терроризм локальный — терроризм прошлого. Отличительная черта центральноазиатского терроризма — тесное переплетение с наркобизнесом. XXI век ознаменовался всплеском деятельности различных криминальных трансграничных групп, страны региона одними из первых приняли на себя удар наркокартелей и террористических организаций.    </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Проблема между самими государствами региона к сожалению становится еще больше. На сегодняшний день  сохраняются сложные до сих пор, а в ряде случаев  и напряженные отношения. Связано это прежде всего с присутствием  спорных приграничных участков, а также отсутствием единой позиции по вопросам региональной безопасности. Угроза безопасности воспринималась исключительно как военная агрессия до недавнего времени. Однако, сегодня изменилась сама форма этой угрозы. Посредством интернета  применяется информационная диверсия. Политика Таджикистана в ШОС направлена на ликвидацию всех очагов международного терроризма в Центрально Азиатском регионе. Особенность проблемы «Восточного Туркестана» для Пекина состоит в том, что КНР обладает достаточными возможностями контролировать ситуацию, но полностью разрешить данную проблему ей очень сложно. Это значит, что Поднебесной долгое время будет необходимо содействие стран ЦА в борьбе против сепаратизма и терроризма «Восточного Туркестана». К тому же без искоренения терроризма в республиках Центральной Азии вообще трудно полностью прекратить «национальный терроризм» в СУАР Китая[5,42].</w:t>
      </w:r>
    </w:p>
    <w:p w:rsidR="00A969C6" w:rsidRPr="00DA76A7" w:rsidRDefault="00A969C6" w:rsidP="00A969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Антитеррористическая деятельность ШОС, направленная на искоренение всех очагов международного терроризма как в странах Центральной Азии, так и непосредственно в самом Китае, вынудила террористические организации уменьшить свою активность в регионе, а для полного их уничтожения необходима более тесная консолидация всех заинтересованных сторон. Годы деятельности ШОС характеризуются активностью и конструктивным диалогом. Место и роль республик региона в ШОС вполне отвечают их реальным возможностям. У государств-участников сегодня просто нет иной альтернативы, кроме дальнейшего укрепления механизма Организации. В последние два-три года отношения стран ШОС все больше обретают черты стратегического партнерства, что вселяет определенную надежду. Активное участие Таджикистана в деятельности Организации позволяет утверждать, что  высоко оценивается потенциал этой структуры, поставившей своей целью укрепление региональной стабильности.</w:t>
      </w:r>
    </w:p>
    <w:p w:rsidR="00A969C6" w:rsidRPr="00DA76A7" w:rsidRDefault="00A969C6" w:rsidP="00A969C6">
      <w:pPr>
        <w:pStyle w:val="a7"/>
        <w:spacing w:before="0" w:beforeAutospacing="0" w:after="0" w:afterAutospacing="0"/>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br/>
      </w:r>
      <w:r w:rsidRPr="00DA76A7">
        <w:rPr>
          <w:rFonts w:ascii="Arial" w:hAnsi="Arial" w:cs="Arial"/>
          <w:b/>
          <w:color w:val="000000" w:themeColor="text1"/>
          <w:sz w:val="22"/>
          <w:szCs w:val="22"/>
        </w:rPr>
        <w:t xml:space="preserve">                                                           Список литературы:</w:t>
      </w:r>
    </w:p>
    <w:p w:rsidR="00A969C6" w:rsidRPr="00DA76A7" w:rsidRDefault="00A969C6" w:rsidP="00D45D6B">
      <w:pPr>
        <w:pStyle w:val="af2"/>
        <w:numPr>
          <w:ilvl w:val="0"/>
          <w:numId w:val="43"/>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Бжезинский 3. Великая шахматная доска. М.: Международные отношения, 1998. 326с. </w:t>
      </w:r>
    </w:p>
    <w:p w:rsidR="00A969C6" w:rsidRPr="00DA76A7" w:rsidRDefault="00A969C6" w:rsidP="00D45D6B">
      <w:pPr>
        <w:pStyle w:val="af2"/>
        <w:numPr>
          <w:ilvl w:val="0"/>
          <w:numId w:val="43"/>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Джалилов К.Д., Рахматов И.Р. Афганистан и геополитическая обстановка в Центральной Азии // Материалы конференции «Афганистан: возрождение и перспективы развития». - Душанбе, 2005. - С. 15-19. </w:t>
      </w:r>
    </w:p>
    <w:p w:rsidR="00A969C6" w:rsidRPr="00DA76A7" w:rsidRDefault="00A969C6" w:rsidP="00D45D6B">
      <w:pPr>
        <w:pStyle w:val="af2"/>
        <w:numPr>
          <w:ilvl w:val="0"/>
          <w:numId w:val="43"/>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Назарбаев Н.А. Критическое десятилетие. - Алматы: Атамура, 2003. 234с.</w:t>
      </w:r>
    </w:p>
    <w:p w:rsidR="00A969C6" w:rsidRPr="00DA76A7" w:rsidRDefault="00A969C6" w:rsidP="00D45D6B">
      <w:pPr>
        <w:pStyle w:val="a7"/>
        <w:numPr>
          <w:ilvl w:val="0"/>
          <w:numId w:val="43"/>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Саидов 3. Внешняя политика Президента Рахмонова.- Душанбе: Сарпараст, 2001.- 613с.</w:t>
      </w:r>
    </w:p>
    <w:p w:rsidR="00A969C6" w:rsidRPr="00DA76A7" w:rsidRDefault="00A969C6" w:rsidP="00D45D6B">
      <w:pPr>
        <w:pStyle w:val="af2"/>
        <w:numPr>
          <w:ilvl w:val="0"/>
          <w:numId w:val="43"/>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Чжао Хуашен. Взгляд Китая на роль США по обеспечению безопасности в Центральной Азии. Материалы Международной конференции «Сотрудничество стран Центральной Азии и США по обеспечению безопасности в регионе». - Алматы, 2005. С. 42-56. </w:t>
      </w:r>
    </w:p>
    <w:p w:rsidR="00A969C6" w:rsidRPr="00DA76A7" w:rsidRDefault="00A969C6" w:rsidP="00A969C6">
      <w:pPr>
        <w:tabs>
          <w:tab w:val="left" w:pos="851"/>
        </w:tabs>
        <w:ind w:firstLine="567"/>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РОЛЬ АГЕНТСТВА ПО БОРЬБЕ С НАРКОТИКАМИ И МИНИСТЕРСТВА ВНУТРЕННИХ ДЕЛ  Р</w:t>
      </w:r>
      <w:r w:rsidR="00DE2DAC" w:rsidRPr="00DA76A7">
        <w:rPr>
          <w:rFonts w:ascii="Arial" w:hAnsi="Arial" w:cs="Arial"/>
          <w:b/>
          <w:color w:val="000000" w:themeColor="text1"/>
          <w:sz w:val="22"/>
          <w:szCs w:val="22"/>
        </w:rPr>
        <w:t xml:space="preserve">ЕСПУБЛИКИ </w:t>
      </w:r>
      <w:r w:rsidRPr="00DA76A7">
        <w:rPr>
          <w:rFonts w:ascii="Arial" w:hAnsi="Arial" w:cs="Arial"/>
          <w:b/>
          <w:color w:val="000000" w:themeColor="text1"/>
          <w:sz w:val="22"/>
          <w:szCs w:val="22"/>
        </w:rPr>
        <w:t>Т</w:t>
      </w:r>
      <w:r w:rsidR="00DE2DAC" w:rsidRPr="00DA76A7">
        <w:rPr>
          <w:rFonts w:ascii="Arial" w:hAnsi="Arial" w:cs="Arial"/>
          <w:b/>
          <w:color w:val="000000" w:themeColor="text1"/>
          <w:sz w:val="22"/>
          <w:szCs w:val="22"/>
        </w:rPr>
        <w:t>АДЖИКИСТАН</w:t>
      </w:r>
      <w:r w:rsidRPr="00DA76A7">
        <w:rPr>
          <w:rFonts w:ascii="Arial" w:hAnsi="Arial" w:cs="Arial"/>
          <w:b/>
          <w:color w:val="000000" w:themeColor="text1"/>
          <w:sz w:val="22"/>
          <w:szCs w:val="22"/>
        </w:rPr>
        <w:t xml:space="preserve"> В МЕЖДУНАРОДНОМ СОТРУДНИЧЕСТВЕ ПО БОРЬБЕ С НАРКОТИКАМИ</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Хайдарзода Джамшеди Муртазо</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ул.М. Турсунзаде,30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.:880089999, e-mail: jamshed.haidarzoda@ yahoo.com</w:t>
      </w:r>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ROLE OF AGENCY TO COMBAT DRUGS AND THE MINISTRY OF INTERNAL AFFAIRS OF RT IN INTERNATIONAL COOPERATION ON DRUG ABUSE</w:t>
      </w:r>
    </w:p>
    <w:p w:rsidR="00A969C6" w:rsidRPr="00DA76A7" w:rsidRDefault="00A969C6" w:rsidP="00A969C6">
      <w:pPr>
        <w:tabs>
          <w:tab w:val="center" w:pos="4677"/>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Haydarzoda Jamshedi Murtazo</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880089999,  e-mail: jamshed.haidarzoda@ yahoo.com</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Научный руководитель: к.ю.н., доцент Аминова Ф.М.</w:t>
      </w:r>
    </w:p>
    <w:p w:rsidR="00A969C6" w:rsidRPr="00DA76A7" w:rsidRDefault="00A969C6" w:rsidP="00A96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охватываются вопросы противодействия обороту наркотических средств в странах Центрально-Азиатского региона (ЦАР). Автором рассмотрена роль агенства по борьбе с наркотиками и министерства внутренних дел  рт в международном сотрудничестве по борьбе с наркотиками.</w:t>
      </w:r>
    </w:p>
    <w:p w:rsidR="00A969C6" w:rsidRPr="00DA76A7" w:rsidRDefault="00A969C6" w:rsidP="00A969C6">
      <w:pPr>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The article covers the issues of counteracting the circulation of narcotic drugs in the countries of the Central Asian region (CAR). The author examines the role of the anti-drug agency and the Ministry of Internal Affairs of the Republic of Tajikistan in international cooperation on combating drugs</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наркотрафик, борьба, противодействие, агенство по борьбе с наркотиками, сбыт, закупщик, преступление, сотрудничество.</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drug trafficking, fight, counteraction, drug agency, sales, buyer, crime, cooperation.</w:t>
      </w:r>
    </w:p>
    <w:p w:rsidR="00A969C6" w:rsidRPr="00DA76A7" w:rsidRDefault="00A969C6" w:rsidP="00A969C6">
      <w:pPr>
        <w:pStyle w:val="a9"/>
        <w:ind w:firstLine="567"/>
        <w:rPr>
          <w:rFonts w:ascii="Arial" w:hAnsi="Arial" w:cs="Arial"/>
          <w:color w:val="000000" w:themeColor="text1"/>
          <w:lang w:val="ru-RU"/>
        </w:rPr>
      </w:pPr>
      <w:r w:rsidRPr="00DA76A7">
        <w:rPr>
          <w:rFonts w:ascii="Arial" w:hAnsi="Arial" w:cs="Arial"/>
          <w:color w:val="000000" w:themeColor="text1"/>
          <w:lang w:val="ru-RU"/>
        </w:rPr>
        <w:t>На сегодняшний день Организация Объединенных Наций имеет значи</w:t>
      </w:r>
      <w:r w:rsidRPr="00DA76A7">
        <w:rPr>
          <w:rFonts w:ascii="Arial" w:hAnsi="Arial" w:cs="Arial"/>
          <w:color w:val="000000" w:themeColor="text1"/>
          <w:lang w:val="ru-RU"/>
        </w:rPr>
        <w:softHyphen/>
        <w:t>тельный опыт координации сотрудничества государств и правотворчества в сфере противодействия незаконному обороту наркотиков [2,33]. Впервые в рамках Организации проблема незаконного оборота наркотиков была поднята в се</w:t>
      </w:r>
      <w:r w:rsidRPr="00DA76A7">
        <w:rPr>
          <w:rFonts w:ascii="Arial" w:hAnsi="Arial" w:cs="Arial"/>
          <w:color w:val="000000" w:themeColor="text1"/>
          <w:lang w:val="ru-RU"/>
        </w:rPr>
        <w:softHyphen/>
        <w:t xml:space="preserve">редине 50-х годов </w:t>
      </w:r>
      <w:r w:rsidRPr="00DA76A7">
        <w:rPr>
          <w:rFonts w:ascii="Arial" w:hAnsi="Arial" w:cs="Arial"/>
          <w:color w:val="000000" w:themeColor="text1"/>
        </w:rPr>
        <w:t>XX</w:t>
      </w:r>
      <w:r w:rsidRPr="00DA76A7">
        <w:rPr>
          <w:rFonts w:ascii="Arial" w:hAnsi="Arial" w:cs="Arial"/>
          <w:color w:val="000000" w:themeColor="text1"/>
          <w:lang w:val="ru-RU"/>
        </w:rPr>
        <w:t xml:space="preserve"> века, когда выяснилась неэффективность ранее приня</w:t>
      </w:r>
      <w:r w:rsidRPr="00DA76A7">
        <w:rPr>
          <w:rFonts w:ascii="Arial" w:hAnsi="Arial" w:cs="Arial"/>
          <w:color w:val="000000" w:themeColor="text1"/>
          <w:lang w:val="ru-RU"/>
        </w:rPr>
        <w:softHyphen/>
        <w:t>тых международных соглашений в данной области. За пределами междуна</w:t>
      </w:r>
      <w:r w:rsidRPr="00DA76A7">
        <w:rPr>
          <w:rFonts w:ascii="Arial" w:hAnsi="Arial" w:cs="Arial"/>
          <w:color w:val="000000" w:themeColor="text1"/>
          <w:lang w:val="ru-RU"/>
        </w:rPr>
        <w:softHyphen/>
        <w:t>родно-правового регулирования осталось достаточно большое число нарко</w:t>
      </w:r>
      <w:r w:rsidRPr="00DA76A7">
        <w:rPr>
          <w:rFonts w:ascii="Arial" w:hAnsi="Arial" w:cs="Arial"/>
          <w:color w:val="000000" w:themeColor="text1"/>
          <w:lang w:val="ru-RU"/>
        </w:rPr>
        <w:softHyphen/>
        <w:t>тических средств и наркотико-содержащих препаратов, а также сырьевые продукты, которые использовались при их изготовлении. Кроме того, ряд по</w:t>
      </w:r>
      <w:r w:rsidRPr="00DA76A7">
        <w:rPr>
          <w:rFonts w:ascii="Arial" w:hAnsi="Arial" w:cs="Arial"/>
          <w:color w:val="000000" w:themeColor="text1"/>
          <w:lang w:val="ru-RU"/>
        </w:rPr>
        <w:softHyphen/>
        <w:t>ложений действовавших международных соглашений устарели, в то время как стремительный рост незаконной наркоторговли стал для некоторых стран серьезной проблемой [3, 42].</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Производство наркотиков в Афганистане и их транзит через Западную и Центральную Азию вызывают значительные проблемы в области здравоохранения и безопасности. Это подтверждается выводами исследования УНП ООН о производстве опия в Афганистане в 2016 году, указывающими, что культивирование опийного мака и производство опия возросло, в то время как уничтожение посевов резко снизилось. Концепция общей ответственности, основывающаяся на международных конвенциях о контроле над наркотиками, имеет решающее значение для выработки на всех уровнях комплексных ответных мер по противостоянию этой угрозе.</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Прогресс в международных усилиях последних лет в этом направлении был достигнут в результате принятия Повестки дня в области устойчивого развития на период до 2030 года и проведения в апреле 2016 года Специальной сессии Генеральной Ассамблеи ООН по мировой проблеме наркотиков, в рамках которой был согласован итоговый документ с конкретными рекомендациями о том, как бороться с незаконным оборотом наркотиков.</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Агентство по контролю за наркотиками при Президенте Республики Таджикистан (АКН) внесло значительный вклад во все эти усилия, в том числе, в рамках конференции высокого уровня по вопросам международного сотрудничества в борьбе с наркотиками, прошедшей в мае 2015 года в г. Душанбе. АКН под руководством Президента Республики Таджикистан в своей работе стало важным координирующим органом в борьбе с незаконным оборотом наркотиков и прекурсоров по «Северному маршруту» наркотрафика.</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Проведение совместных трансграничных операций по ликвидации лабораторий по производству героина в Афганистане и трансграничных наркосетей  отражает постоянно растущие возможности Агентства по контролю за наркотиками.</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УНП ООН решительно поддерживает усилия Агентства и других компетентных органов Республики Таджикистан. Реализуя программу УНП ООН для Центральной Азии мы оказываем всемерную поддержку АКН, укрепляя его потенциал и развивая Учебный центр.</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Кроме того, УНП ООН оказывает содействие сотрудничеству в регионе посредством реализации Региональной программы для Афганистана и соседних стран, проекта ЦАРИКЦ, а также поддержки Инициа тивы АКТ.</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Подписанный в 1996 году Ташкентский Меморандум о взаимопонимании и сотрудничестве, открывший путь для многочисленных инициатив по контролю над наркотиками, в том числе и для создания АКН, по-прежнему остается важным инструментом регионального взаимодействия.</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Учитывая важную роль, которую играет Таджикистан в борьбе с незаконным оборотом наркотиков в странах Западной и Центральной Азии, данная сфера должна быть досконально отрегулирована.</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Постоянными заботами и стараниями сотрудников правоохранительных органов и силовых структур страны в последние годы изъяты десятки тонн наркотиков.</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Министерство внутренних дел РТ, предприняв конкретные меры по предупреждению преступлений и преступности, предотвращению контрабанды наркотических средств, в 2016 году выявило и раскрыло 581 наркопреступление и изъято из незаконного оборота 1 т 641 кг (2015 г. – 2 т 20 кг) наркотиков.</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В 2016 году МВД РТ совместно с МВД РФ провело 2 операции по методу «контролируемая поставка», из незаконного оборота было изъято 18 кг 358 гр наркотических веществ (в 2015 г. – 2 операции, 31 кг 277гр).</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За совершение наркопреступлений на территории республики было задержано 1068 человек (в2015 г. – 992). В их числе – 12 иностранных граждан (2015г. - 9), у которых изъято 479 кг 822 гр наркотиков.</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Из 428 лиц (в 2015 г. – 399) , находящихся в розыске за совершение наркопреступлений, в 2016 году было задержано 117 человек (в 2015 г. – 82).</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В сфере предупреждения и борьбы с незаконным оборотом наркотиков органы внутренних дел успешно сотрудничают с АКН при Президенте РТ, ГКНБ РТ и ПВ ГКНБ, постоянно и целенаправленно проводя совместные мероприятия.</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В сфере контроля за наркотиками МВД РТ также успешно сотрудничает с международными организациями, программами и проектами, такими как УНП ООН, программа ХАС/К22, ЦАРИКЦ и программа САDAP по Центральной Азии, для укрепления взаимодействия с антинаркотическими ведомствами зарубежных стран подписан ряд соглашений, меморандумов и протоколов.</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На состоявшихся в 2016 году международных консультативных совещаниях с МВД РФ, МВД Республики Кыргызстан, а также в Совете Министров внутренних дел государств-членов СНГ и ОДКБ рассматривались вопросы предупреждения и борьбы с незаконным оборотом наркотиков.</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В 2016 году у нарушителей Государственной границы изъято 29 единиц огнестрельного оружия, в том числе 13 автоматов Калашникова, 3 пистолета Макарова, 13 единиц охотничьего оружия, 24 магазина от АК, 733 патрона калибра 7,62 мм, 6 ручных гранат и 296 кг пороха</w:t>
      </w:r>
      <w:r w:rsidRPr="00DA76A7">
        <w:rPr>
          <w:rStyle w:val="af3"/>
          <w:rFonts w:ascii="Arial" w:eastAsia="CalibriTj" w:hAnsi="Arial" w:cs="Arial"/>
          <w:color w:val="000000" w:themeColor="text1"/>
          <w:sz w:val="22"/>
          <w:szCs w:val="22"/>
        </w:rPr>
        <w:footnoteReference w:id="4"/>
      </w:r>
      <w:r w:rsidRPr="00DA76A7">
        <w:rPr>
          <w:rFonts w:ascii="Arial" w:eastAsia="CalibriTj" w:hAnsi="Arial" w:cs="Arial"/>
          <w:color w:val="000000" w:themeColor="text1"/>
          <w:sz w:val="22"/>
          <w:szCs w:val="22"/>
        </w:rPr>
        <w:t>.</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В целях усиления борьбы с контрабандой наркотиков через Государственную границу, развития взаимодействия между правоохранительными органами целесообразно предпринять дополнительные меры в следующих направлениях:</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 повышение уровня финансирования антинаркотических мероприятий;</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 дооснащение структур Пограничных войск современным оборудованием;</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 повышение квалификации военнослужащих;</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 расширение сотрудничества стран региона в сфере борьбы с организованными транснациональными наркогруппами.</w:t>
      </w:r>
    </w:p>
    <w:p w:rsidR="00A969C6" w:rsidRPr="00DA76A7" w:rsidRDefault="00A969C6" w:rsidP="00A969C6">
      <w:pPr>
        <w:ind w:firstLine="567"/>
        <w:jc w:val="both"/>
        <w:rPr>
          <w:rFonts w:ascii="Arial" w:eastAsia="CalibriTj" w:hAnsi="Arial" w:cs="Arial"/>
          <w:color w:val="000000" w:themeColor="text1"/>
          <w:sz w:val="22"/>
          <w:szCs w:val="22"/>
        </w:rPr>
      </w:pPr>
      <w:r w:rsidRPr="00DA76A7">
        <w:rPr>
          <w:rFonts w:ascii="Arial" w:eastAsia="CalibriTj" w:hAnsi="Arial" w:cs="Arial"/>
          <w:color w:val="000000" w:themeColor="text1"/>
          <w:sz w:val="22"/>
          <w:szCs w:val="22"/>
        </w:rPr>
        <w:t>Таким образом, борьба с наркоприступностью является важной государственной функцией [1,12]. На сегодняшний день при взаимодействии отдельных специализированных государственных органов данная функция осуществляется успешно, тем не менее некоторые недочеты сохраняются.</w:t>
      </w:r>
    </w:p>
    <w:p w:rsidR="00A969C6" w:rsidRPr="00DA76A7" w:rsidRDefault="00A969C6" w:rsidP="00A969C6">
      <w:pPr>
        <w:ind w:firstLine="567"/>
        <w:rPr>
          <w:rFonts w:ascii="Arial" w:eastAsia="CalibriTj" w:hAnsi="Arial" w:cs="Arial"/>
          <w:color w:val="000000" w:themeColor="text1"/>
          <w:sz w:val="22"/>
          <w:szCs w:val="22"/>
        </w:rPr>
      </w:pPr>
    </w:p>
    <w:p w:rsidR="00A969C6" w:rsidRPr="00DA76A7" w:rsidRDefault="00A969C6" w:rsidP="00A969C6">
      <w:pPr>
        <w:tabs>
          <w:tab w:val="left" w:pos="2065"/>
        </w:tabs>
        <w:ind w:firstLine="567"/>
        <w:rPr>
          <w:rFonts w:ascii="Arial" w:eastAsia="CalibriTj" w:hAnsi="Arial" w:cs="Arial"/>
          <w:b/>
          <w:color w:val="000000" w:themeColor="text1"/>
          <w:sz w:val="22"/>
          <w:szCs w:val="22"/>
        </w:rPr>
      </w:pPr>
      <w:r w:rsidRPr="00DA76A7">
        <w:rPr>
          <w:rFonts w:ascii="Arial" w:eastAsia="CalibriTj" w:hAnsi="Arial" w:cs="Arial"/>
          <w:color w:val="000000" w:themeColor="text1"/>
          <w:sz w:val="22"/>
          <w:szCs w:val="22"/>
        </w:rPr>
        <w:t xml:space="preserve">                                               </w:t>
      </w:r>
      <w:r w:rsidRPr="00DA76A7">
        <w:rPr>
          <w:rFonts w:ascii="Arial" w:eastAsia="CalibriTj" w:hAnsi="Arial" w:cs="Arial"/>
          <w:color w:val="000000" w:themeColor="text1"/>
          <w:sz w:val="22"/>
          <w:szCs w:val="22"/>
        </w:rPr>
        <w:tab/>
      </w:r>
      <w:r w:rsidRPr="00DA76A7">
        <w:rPr>
          <w:rFonts w:ascii="Arial" w:eastAsia="CalibriTj" w:hAnsi="Arial" w:cs="Arial"/>
          <w:b/>
          <w:color w:val="000000" w:themeColor="text1"/>
          <w:sz w:val="22"/>
          <w:szCs w:val="22"/>
        </w:rPr>
        <w:t>Список литературы:</w:t>
      </w:r>
    </w:p>
    <w:p w:rsidR="00A969C6" w:rsidRPr="00DA76A7" w:rsidRDefault="00A969C6" w:rsidP="00A969C6">
      <w:pPr>
        <w:pStyle w:val="a9"/>
        <w:tabs>
          <w:tab w:val="left" w:pos="851"/>
          <w:tab w:val="left" w:pos="1302"/>
        </w:tabs>
        <w:ind w:firstLine="567"/>
        <w:rPr>
          <w:rFonts w:ascii="Arial" w:hAnsi="Arial" w:cs="Arial"/>
          <w:color w:val="000000" w:themeColor="text1"/>
          <w:lang w:val="ru-RU"/>
        </w:rPr>
      </w:pPr>
      <w:r w:rsidRPr="00DA76A7">
        <w:rPr>
          <w:rFonts w:ascii="Arial" w:hAnsi="Arial" w:cs="Arial"/>
          <w:color w:val="000000" w:themeColor="text1"/>
          <w:lang w:val="ru-RU"/>
        </w:rPr>
        <w:t>1. Гасанов Э.Г. Борьба с наркотической преступностью. Междуна</w:t>
      </w:r>
      <w:r w:rsidRPr="00DA76A7">
        <w:rPr>
          <w:rFonts w:ascii="Arial" w:hAnsi="Arial" w:cs="Arial"/>
          <w:color w:val="000000" w:themeColor="text1"/>
          <w:lang w:val="ru-RU"/>
        </w:rPr>
        <w:softHyphen/>
        <w:t>родный и сравнительно-правовой аспекты. - М.: ЮрИнфоР, 2000. -186 с.</w:t>
      </w:r>
    </w:p>
    <w:p w:rsidR="00A969C6" w:rsidRPr="00DA76A7" w:rsidRDefault="00A969C6" w:rsidP="00A969C6">
      <w:pPr>
        <w:pStyle w:val="a9"/>
        <w:tabs>
          <w:tab w:val="left" w:pos="851"/>
          <w:tab w:val="left" w:pos="1293"/>
        </w:tabs>
        <w:ind w:firstLine="567"/>
        <w:rPr>
          <w:rFonts w:ascii="Arial" w:hAnsi="Arial" w:cs="Arial"/>
          <w:color w:val="000000" w:themeColor="text1"/>
          <w:lang w:val="ru-RU"/>
        </w:rPr>
      </w:pPr>
      <w:r w:rsidRPr="00DA76A7">
        <w:rPr>
          <w:rFonts w:ascii="Arial" w:hAnsi="Arial" w:cs="Arial"/>
          <w:color w:val="000000" w:themeColor="text1"/>
          <w:lang w:val="ru-RU"/>
        </w:rPr>
        <w:t xml:space="preserve"> 2. Жданов Ю.Н., Костин А.Н. Международное сотрудничество в борьбе с преступностью. - М.: Юрайт,1997. 124 с.</w:t>
      </w:r>
    </w:p>
    <w:p w:rsidR="00A969C6" w:rsidRPr="00DA76A7" w:rsidRDefault="00A969C6" w:rsidP="00A969C6">
      <w:pPr>
        <w:pStyle w:val="a9"/>
        <w:tabs>
          <w:tab w:val="left" w:pos="851"/>
          <w:tab w:val="left" w:pos="1282"/>
        </w:tabs>
        <w:ind w:firstLine="567"/>
        <w:rPr>
          <w:rFonts w:ascii="Arial" w:hAnsi="Arial" w:cs="Arial"/>
          <w:color w:val="000000" w:themeColor="text1"/>
          <w:lang w:val="ru-RU"/>
        </w:rPr>
      </w:pPr>
      <w:r w:rsidRPr="00DA76A7">
        <w:rPr>
          <w:rFonts w:ascii="Arial" w:hAnsi="Arial" w:cs="Arial"/>
          <w:color w:val="000000" w:themeColor="text1"/>
          <w:lang w:val="ru-RU"/>
        </w:rPr>
        <w:t>3. Международное право: учебник для вузов / под ред. Ю.М. Коло</w:t>
      </w:r>
      <w:r w:rsidRPr="00DA76A7">
        <w:rPr>
          <w:rFonts w:ascii="Arial" w:hAnsi="Arial" w:cs="Arial"/>
          <w:color w:val="000000" w:themeColor="text1"/>
          <w:lang w:val="ru-RU"/>
        </w:rPr>
        <w:softHyphen/>
        <w:t>сова, Э.Н. Кривчикова. М., 2003. -322 с.</w:t>
      </w:r>
    </w:p>
    <w:p w:rsidR="00A969C6" w:rsidRPr="00DA76A7" w:rsidRDefault="00A969C6" w:rsidP="00A969C6">
      <w:pPr>
        <w:pStyle w:val="a9"/>
        <w:tabs>
          <w:tab w:val="left" w:pos="1293"/>
        </w:tabs>
        <w:ind w:firstLine="567"/>
        <w:rPr>
          <w:rFonts w:ascii="Arial" w:hAnsi="Arial" w:cs="Arial"/>
          <w:color w:val="000000" w:themeColor="text1"/>
          <w:lang w:val="ru-RU"/>
        </w:rPr>
      </w:pPr>
    </w:p>
    <w:p w:rsidR="00A969C6" w:rsidRPr="00DA76A7" w:rsidRDefault="00A969C6" w:rsidP="00A969C6">
      <w:pPr>
        <w:ind w:firstLine="567"/>
        <w:rPr>
          <w:rFonts w:ascii="Arial" w:eastAsia="CalibriTj"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МЕЖДУНАРОДНО-ПРАВОВЫЕ ВОПРОСЫ СОТРУДНИЧЕСТВА РЕСПУБЛИКИ ТАДЖИКИСТАН С ОРГАНИЗАЦИЕЙ ОБЪЕДИНЕННЫХ НАЦИЙ</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Шакиров Бахтиёр Абдугафарович</w:t>
      </w:r>
    </w:p>
    <w:p w:rsidR="00A969C6" w:rsidRPr="00DA76A7" w:rsidRDefault="00A969C6" w:rsidP="00A969C6">
      <w:pPr>
        <w:jc w:val="center"/>
        <w:rPr>
          <w:rFonts w:ascii="Arial" w:hAnsi="Arial" w:cs="Arial"/>
          <w:b/>
          <w:color w:val="000000" w:themeColor="text1"/>
          <w:sz w:val="22"/>
          <w:szCs w:val="22"/>
        </w:rPr>
      </w:pP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A969C6" w:rsidRPr="00AC7230"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905255555, </w:t>
      </w:r>
      <w:r w:rsidRPr="00DA76A7">
        <w:rPr>
          <w:rFonts w:ascii="Arial" w:hAnsi="Arial" w:cs="Arial"/>
          <w:color w:val="000000" w:themeColor="text1"/>
          <w:sz w:val="22"/>
          <w:szCs w:val="22"/>
          <w:lang w:val="en-US"/>
        </w:rPr>
        <w:t>e</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hyperlink r:id="rId89" w:history="1">
        <w:r w:rsidRPr="00DA76A7">
          <w:rPr>
            <w:rStyle w:val="af0"/>
            <w:rFonts w:ascii="Arial" w:hAnsi="Arial" w:cs="Arial"/>
            <w:color w:val="000000" w:themeColor="text1"/>
            <w:sz w:val="22"/>
            <w:szCs w:val="22"/>
            <w:u w:val="none"/>
            <w:lang w:val="en-US"/>
          </w:rPr>
          <w:t>animhat</w:t>
        </w:r>
        <w:r w:rsidRPr="00AC7230">
          <w:rPr>
            <w:rStyle w:val="af0"/>
            <w:rFonts w:ascii="Arial" w:hAnsi="Arial" w:cs="Arial"/>
            <w:color w:val="000000" w:themeColor="text1"/>
            <w:sz w:val="22"/>
            <w:szCs w:val="22"/>
            <w:u w:val="none"/>
          </w:rPr>
          <w:t>_88@</w:t>
        </w:r>
        <w:r w:rsidRPr="00DA76A7">
          <w:rPr>
            <w:rStyle w:val="af0"/>
            <w:rFonts w:ascii="Arial" w:hAnsi="Arial" w:cs="Arial"/>
            <w:color w:val="000000" w:themeColor="text1"/>
            <w:sz w:val="22"/>
            <w:szCs w:val="22"/>
            <w:u w:val="none"/>
            <w:lang w:val="en-US"/>
          </w:rPr>
          <w:t>mail</w:t>
        </w:r>
        <w:r w:rsidRPr="00AC7230">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r w:rsidRPr="00AC7230">
        <w:rPr>
          <w:rFonts w:ascii="Arial" w:hAnsi="Arial" w:cs="Arial"/>
          <w:color w:val="000000" w:themeColor="text1"/>
          <w:sz w:val="22"/>
          <w:szCs w:val="22"/>
        </w:rPr>
        <w:t xml:space="preserve"> </w:t>
      </w: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INTERNATIONAL LEGAL COOPERATION OF THE REPUBLIC OF TAJIKISTAN WITH ORGANIZATION OF UNITED NATIONS</w:t>
      </w:r>
    </w:p>
    <w:p w:rsidR="00A969C6" w:rsidRPr="00DA76A7" w:rsidRDefault="00A969C6" w:rsidP="00A969C6">
      <w:pPr>
        <w:jc w:val="center"/>
        <w:rPr>
          <w:rFonts w:ascii="Arial" w:hAnsi="Arial" w:cs="Arial"/>
          <w:b/>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Shakirov Bahtiyor Abdugafarovich</w:t>
      </w:r>
    </w:p>
    <w:p w:rsidR="00A969C6" w:rsidRPr="005D1C4B"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second year of correspondence department of the law faculty</w:t>
      </w:r>
      <w:r w:rsidRPr="00DA76A7">
        <w:rPr>
          <w:rFonts w:ascii="Arial" w:hAnsi="Arial" w:cs="Arial"/>
          <w:color w:val="000000" w:themeColor="text1"/>
          <w:sz w:val="22"/>
          <w:szCs w:val="22"/>
          <w:lang w:val="en-US"/>
        </w:rPr>
        <w:br/>
        <w:t>Russian-Tajik (Slavonic) University</w:t>
      </w:r>
      <w:r w:rsidRPr="00DA76A7">
        <w:rPr>
          <w:rFonts w:ascii="Arial" w:hAnsi="Arial" w:cs="Arial"/>
          <w:color w:val="000000" w:themeColor="text1"/>
          <w:sz w:val="22"/>
          <w:szCs w:val="22"/>
          <w:lang w:val="en-US"/>
        </w:rPr>
        <w:br/>
        <w:t xml:space="preserve">734025, Republic of Tajikistan, </w:t>
      </w:r>
      <w:r w:rsidRPr="005D1C4B">
        <w:rPr>
          <w:rFonts w:ascii="Arial" w:hAnsi="Arial" w:cs="Arial"/>
          <w:color w:val="000000" w:themeColor="text1"/>
          <w:sz w:val="22"/>
          <w:szCs w:val="22"/>
          <w:lang w:val="en-US"/>
        </w:rPr>
        <w:t>Dushanbe, ul. M. Tursunzade, 30</w:t>
      </w:r>
    </w:p>
    <w:p w:rsidR="00DE2DAC" w:rsidRPr="005D1C4B" w:rsidRDefault="00A969C6" w:rsidP="00A969C6">
      <w:pPr>
        <w:jc w:val="center"/>
        <w:rPr>
          <w:rFonts w:ascii="Arial" w:hAnsi="Arial" w:cs="Arial"/>
          <w:color w:val="000000" w:themeColor="text1"/>
          <w:sz w:val="22"/>
          <w:szCs w:val="22"/>
          <w:lang w:val="en-US"/>
        </w:rPr>
      </w:pPr>
      <w:r w:rsidRPr="005D1C4B">
        <w:rPr>
          <w:rFonts w:ascii="Arial" w:hAnsi="Arial" w:cs="Arial"/>
          <w:color w:val="000000" w:themeColor="text1"/>
          <w:sz w:val="22"/>
          <w:szCs w:val="22"/>
          <w:lang w:val="en-US"/>
        </w:rPr>
        <w:t xml:space="preserve">tel.: 905255555, e-mail: </w:t>
      </w:r>
      <w:hyperlink r:id="rId90" w:history="1">
        <w:r w:rsidR="00DE2DAC" w:rsidRPr="005D1C4B">
          <w:rPr>
            <w:rStyle w:val="af0"/>
            <w:rFonts w:ascii="Arial" w:hAnsi="Arial" w:cs="Arial"/>
            <w:color w:val="000000" w:themeColor="text1"/>
            <w:sz w:val="22"/>
            <w:szCs w:val="22"/>
            <w:u w:val="none"/>
            <w:lang w:val="en-US"/>
          </w:rPr>
          <w:t>animhat_88@mail.ru</w:t>
        </w:r>
      </w:hyperlink>
    </w:p>
    <w:p w:rsidR="00DE2DAC" w:rsidRPr="005D1C4B" w:rsidRDefault="00DE2DAC" w:rsidP="00A969C6">
      <w:pPr>
        <w:jc w:val="center"/>
        <w:rPr>
          <w:rFonts w:ascii="Arial" w:hAnsi="Arial" w:cs="Arial"/>
          <w:color w:val="000000" w:themeColor="text1"/>
          <w:sz w:val="22"/>
          <w:szCs w:val="22"/>
          <w:lang w:val="en-US"/>
        </w:rPr>
      </w:pPr>
    </w:p>
    <w:p w:rsidR="00A969C6" w:rsidRPr="00240D8D" w:rsidRDefault="00DE2DAC" w:rsidP="00DE2DAC">
      <w:pPr>
        <w:jc w:val="right"/>
        <w:rPr>
          <w:rFonts w:ascii="Arial" w:hAnsi="Arial" w:cs="Arial"/>
          <w:color w:val="000000" w:themeColor="text1"/>
          <w:sz w:val="22"/>
          <w:szCs w:val="22"/>
          <w:lang w:val="en-US"/>
        </w:rPr>
      </w:pPr>
      <w:r w:rsidRPr="005D1C4B">
        <w:rPr>
          <w:rFonts w:ascii="Arial" w:hAnsi="Arial" w:cs="Arial"/>
          <w:color w:val="000000" w:themeColor="text1"/>
          <w:sz w:val="22"/>
          <w:szCs w:val="22"/>
        </w:rPr>
        <w:t>Научый</w:t>
      </w:r>
      <w:r w:rsidRPr="00240D8D">
        <w:rPr>
          <w:rFonts w:ascii="Arial" w:hAnsi="Arial" w:cs="Arial"/>
          <w:color w:val="000000" w:themeColor="text1"/>
          <w:sz w:val="22"/>
          <w:szCs w:val="22"/>
          <w:lang w:val="en-US"/>
        </w:rPr>
        <w:t xml:space="preserve"> </w:t>
      </w:r>
      <w:r w:rsidRPr="005D1C4B">
        <w:rPr>
          <w:rFonts w:ascii="Arial" w:hAnsi="Arial" w:cs="Arial"/>
          <w:color w:val="000000" w:themeColor="text1"/>
          <w:sz w:val="22"/>
          <w:szCs w:val="22"/>
        </w:rPr>
        <w:t>руководитель</w:t>
      </w:r>
      <w:r w:rsidRPr="00240D8D">
        <w:rPr>
          <w:rFonts w:ascii="Arial" w:hAnsi="Arial" w:cs="Arial"/>
          <w:color w:val="000000" w:themeColor="text1"/>
          <w:sz w:val="22"/>
          <w:szCs w:val="22"/>
          <w:lang w:val="en-US"/>
        </w:rPr>
        <w:t>:</w:t>
      </w:r>
      <w:r w:rsidR="005D1C4B" w:rsidRPr="00240D8D">
        <w:rPr>
          <w:rFonts w:ascii="Arial" w:hAnsi="Arial" w:cs="Arial"/>
          <w:color w:val="000000" w:themeColor="text1"/>
          <w:sz w:val="22"/>
          <w:szCs w:val="22"/>
          <w:lang w:val="en-US"/>
        </w:rPr>
        <w:t xml:space="preserve"> </w:t>
      </w:r>
      <w:r w:rsidR="005D1C4B" w:rsidRPr="005D1C4B">
        <w:rPr>
          <w:rFonts w:ascii="Arial" w:hAnsi="Arial" w:cs="Arial"/>
          <w:color w:val="000000" w:themeColor="text1"/>
          <w:sz w:val="22"/>
          <w:szCs w:val="22"/>
        </w:rPr>
        <w:t>к</w:t>
      </w:r>
      <w:r w:rsidR="005D1C4B" w:rsidRPr="00240D8D">
        <w:rPr>
          <w:rFonts w:ascii="Arial" w:hAnsi="Arial" w:cs="Arial"/>
          <w:color w:val="000000" w:themeColor="text1"/>
          <w:sz w:val="22"/>
          <w:szCs w:val="22"/>
          <w:lang w:val="en-US"/>
        </w:rPr>
        <w:t>.</w:t>
      </w:r>
      <w:r w:rsidR="005D1C4B" w:rsidRPr="005D1C4B">
        <w:rPr>
          <w:rFonts w:ascii="Arial" w:hAnsi="Arial" w:cs="Arial"/>
          <w:color w:val="000000" w:themeColor="text1"/>
          <w:sz w:val="22"/>
          <w:szCs w:val="22"/>
        </w:rPr>
        <w:t>ю</w:t>
      </w:r>
      <w:r w:rsidR="005D1C4B" w:rsidRPr="00240D8D">
        <w:rPr>
          <w:rFonts w:ascii="Arial" w:hAnsi="Arial" w:cs="Arial"/>
          <w:color w:val="000000" w:themeColor="text1"/>
          <w:sz w:val="22"/>
          <w:szCs w:val="22"/>
          <w:lang w:val="en-US"/>
        </w:rPr>
        <w:t>.</w:t>
      </w:r>
      <w:r w:rsidR="005D1C4B" w:rsidRPr="005D1C4B">
        <w:rPr>
          <w:rFonts w:ascii="Arial" w:hAnsi="Arial" w:cs="Arial"/>
          <w:color w:val="000000" w:themeColor="text1"/>
          <w:sz w:val="22"/>
          <w:szCs w:val="22"/>
        </w:rPr>
        <w:t>н</w:t>
      </w:r>
      <w:r w:rsidR="005D1C4B" w:rsidRPr="00240D8D">
        <w:rPr>
          <w:rFonts w:ascii="Arial" w:hAnsi="Arial" w:cs="Arial"/>
          <w:color w:val="000000" w:themeColor="text1"/>
          <w:sz w:val="22"/>
          <w:szCs w:val="22"/>
          <w:lang w:val="en-US"/>
        </w:rPr>
        <w:t xml:space="preserve">., </w:t>
      </w:r>
      <w:r w:rsidR="005D1C4B" w:rsidRPr="005D1C4B">
        <w:rPr>
          <w:rFonts w:ascii="Arial" w:hAnsi="Arial" w:cs="Arial"/>
          <w:color w:val="000000" w:themeColor="text1"/>
          <w:sz w:val="22"/>
          <w:szCs w:val="22"/>
        </w:rPr>
        <w:t>доцент</w:t>
      </w:r>
      <w:r w:rsidR="005D1C4B" w:rsidRPr="00240D8D">
        <w:rPr>
          <w:rFonts w:ascii="Arial" w:hAnsi="Arial" w:cs="Arial"/>
          <w:color w:val="000000" w:themeColor="text1"/>
          <w:sz w:val="22"/>
          <w:szCs w:val="22"/>
          <w:lang w:val="en-US"/>
        </w:rPr>
        <w:t xml:space="preserve"> </w:t>
      </w:r>
      <w:r w:rsidR="005D1C4B" w:rsidRPr="005D1C4B">
        <w:rPr>
          <w:rFonts w:ascii="Arial" w:hAnsi="Arial" w:cs="Arial"/>
          <w:color w:val="000000" w:themeColor="text1"/>
          <w:sz w:val="22"/>
          <w:szCs w:val="22"/>
        </w:rPr>
        <w:t>Хошимзода</w:t>
      </w:r>
      <w:r w:rsidR="005D1C4B" w:rsidRPr="00240D8D">
        <w:rPr>
          <w:rFonts w:ascii="Arial" w:hAnsi="Arial" w:cs="Arial"/>
          <w:color w:val="000000" w:themeColor="text1"/>
          <w:sz w:val="22"/>
          <w:szCs w:val="22"/>
          <w:lang w:val="en-US"/>
        </w:rPr>
        <w:t xml:space="preserve"> </w:t>
      </w:r>
      <w:r w:rsidR="005D1C4B" w:rsidRPr="005D1C4B">
        <w:rPr>
          <w:rFonts w:ascii="Arial" w:hAnsi="Arial" w:cs="Arial"/>
          <w:color w:val="000000" w:themeColor="text1"/>
          <w:sz w:val="22"/>
          <w:szCs w:val="22"/>
        </w:rPr>
        <w:t>Д</w:t>
      </w:r>
      <w:r w:rsidR="005D1C4B" w:rsidRPr="00240D8D">
        <w:rPr>
          <w:rFonts w:ascii="Arial" w:hAnsi="Arial" w:cs="Arial"/>
          <w:color w:val="000000" w:themeColor="text1"/>
          <w:sz w:val="22"/>
          <w:szCs w:val="22"/>
          <w:lang w:val="en-US"/>
        </w:rPr>
        <w:t>.</w:t>
      </w:r>
      <w:r w:rsidR="005D1C4B" w:rsidRPr="005D1C4B">
        <w:rPr>
          <w:rFonts w:ascii="Arial" w:hAnsi="Arial" w:cs="Arial"/>
          <w:color w:val="000000" w:themeColor="text1"/>
          <w:sz w:val="22"/>
          <w:szCs w:val="22"/>
        </w:rPr>
        <w:t>Д</w:t>
      </w:r>
      <w:r w:rsidR="005D1C4B" w:rsidRPr="00240D8D">
        <w:rPr>
          <w:rFonts w:ascii="Arial" w:hAnsi="Arial" w:cs="Arial"/>
          <w:color w:val="000000" w:themeColor="text1"/>
          <w:sz w:val="22"/>
          <w:szCs w:val="22"/>
          <w:lang w:val="en-US"/>
        </w:rPr>
        <w:t>.</w:t>
      </w:r>
      <w:r w:rsidR="00A969C6" w:rsidRPr="00240D8D">
        <w:rPr>
          <w:rFonts w:ascii="Arial" w:hAnsi="Arial" w:cs="Arial"/>
          <w:color w:val="000000" w:themeColor="text1"/>
          <w:sz w:val="22"/>
          <w:szCs w:val="22"/>
          <w:lang w:val="en-US"/>
        </w:rPr>
        <w:br/>
      </w:r>
    </w:p>
    <w:p w:rsidR="00A969C6" w:rsidRPr="00DA76A7" w:rsidRDefault="00A969C6" w:rsidP="00A969C6">
      <w:pPr>
        <w:ind w:firstLine="567"/>
        <w:jc w:val="both"/>
        <w:rPr>
          <w:rFonts w:ascii="Arial" w:hAnsi="Arial" w:cs="Arial"/>
          <w:i/>
          <w:color w:val="000000" w:themeColor="text1"/>
          <w:sz w:val="22"/>
          <w:szCs w:val="22"/>
        </w:rPr>
      </w:pPr>
      <w:r w:rsidRPr="005D1C4B">
        <w:rPr>
          <w:rFonts w:ascii="Arial" w:hAnsi="Arial" w:cs="Arial"/>
          <w:b/>
          <w:i/>
          <w:color w:val="000000" w:themeColor="text1"/>
          <w:sz w:val="22"/>
          <w:szCs w:val="22"/>
        </w:rPr>
        <w:t>Аннотация.</w:t>
      </w:r>
      <w:r w:rsidRPr="005D1C4B">
        <w:rPr>
          <w:rFonts w:ascii="Arial" w:hAnsi="Arial" w:cs="Arial"/>
          <w:i/>
          <w:color w:val="000000" w:themeColor="text1"/>
          <w:sz w:val="22"/>
          <w:szCs w:val="22"/>
        </w:rPr>
        <w:t xml:space="preserve"> В статье рассматриваются международно-правовые аспекты сотрудничества Таджикистана с ООН. Статья освещает международно-правовую позицию Таджикистана, его отдельные инициативы в решении</w:t>
      </w:r>
      <w:r w:rsidRPr="00DA76A7">
        <w:rPr>
          <w:rFonts w:ascii="Arial" w:hAnsi="Arial" w:cs="Arial"/>
          <w:i/>
          <w:color w:val="000000" w:themeColor="text1"/>
          <w:sz w:val="22"/>
          <w:szCs w:val="22"/>
        </w:rPr>
        <w:t xml:space="preserve"> глобальных проблем мирового сообщества.</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deals wish international legal aspects of cooperation of Tajikistan wish the UN. The article highlights the position of Tajikistan, its initiatives the solution of global problems of the international community within UN. </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правосубъектность, международные организации, ООН, Агентство по контролю за наркотиками.</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legal personality, international organizations, UN, drug control agency.</w:t>
      </w:r>
    </w:p>
    <w:p w:rsidR="00A969C6" w:rsidRPr="00DA76A7" w:rsidRDefault="00A969C6" w:rsidP="00A969C6">
      <w:pPr>
        <w:ind w:firstLine="567"/>
        <w:jc w:val="both"/>
        <w:rPr>
          <w:rFonts w:ascii="Arial" w:hAnsi="Arial" w:cs="Arial"/>
          <w:b/>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современных международных отношениях весьма важное значение принадлежит Организации Объединенных Наций (далее ООН), как основному и главному форуму международного сообщества государств по налаживанию свободного международного сотрудничества. В этой связи А.Я. Капустин отмечает «в лице этой международной организации мы получили не только одну из разновидностей универсальных международных организаций, но и способ мирного сосуществования и сотрудничества всех государственно организованных народов» [2, 130].</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Сегодня сотрудничество с ООН является основным фактором развития международной правосубъектности Республики Таджикистан (далее РТ). Оно способствует установлению и развитию взаимоотношений с другими странами, содействует решению многих внутренних проблем государства. В связи с этим, для внешней политики Таджикистана рассмотрение международно-правовых вопросов сотрудничества РТ с ООН имеет актуальное значение.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марта 1992 года Республика Таджикистан вступил в ООН. Генеральный Секретарь Б. Гали в этот день отметил, что «сегодняшний мир в большей степени, чем когда-либо представляет собой «глобальную деревню» и каждое государство может выиграть от более тесного сотрудничества с остальным миром» [6, 15]. Таким образом, Таджикистан подтвердил и показал свою независимость с помощью актом вступления в ООН. После вступления в ООН Таджикистан положило начало новому этапу внешнеполитической деятельности. Значительно вырос круг ее международных связей, расширились возможности активного влияния на развития международных отношений. В этот период окончательно сформировался современный международно-правовой статус РТ как полноправного субъекта международного права.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Характерным элементом сотрудничества государств с международными организациями является осуществление основных контактов через постоянные представительства, аккредитованные при таких структурах. Венская конвенция о представительстве государств в их отношениях с международными организациями универсального характера 1975 г. Представляет право государствам иметь при таких международных организациях свои представительства, а следовательно у организации возникает право вступать в отношения с суверенными субъектами посредством этих представительств.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РТ также имеет при штаб-квартире ООН своего Постоянного представителя. Связь Правительство РТ с Секретариатом ООН осуществляется через Постоянное представительство РТ при ООН. Постоянное представительство в Нью-Йорке защищает внешнеполитические интересы  РТ в различных органах ООН, вступает в деловые контакты с представителями других государств.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ООН имеет также штаб-квартиру в Женеве. В настоящее время функцию представительства РТ в Европейском отделении ООН в Женеве выполняет Посольство РТ в Австрии. Следует отметить, что в соответствии со ст. 8 Венской конвенции о праве дипломатических сношений 1961 г. главой постоянного представительства при международной организации может быть назначен глава дипломатического представительства или любой член дипломатического персонала, аккредитованного в государстве пребывания (по совместительству). Функции, цели и задачи постоянных представительств при международных организациях и дипломатических представительств в государствах в основном одни и те же. Вместе с тем, как отмечал И.П. Блищенко, имеется «определенная специфика, определяемая областью деятельности международной организации» [3,180].</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Сотрудничество РТ с ООН в области борьбы против незаконного оборота наркотиков. Таджикистан с учетом своего геополитического расположения и большой протяженности государственной границы с Афганистаном – основным производителем наркотиков, используется в качестве одного из наркотрафиков преступными группировками. В связи с этим борьба с наркотиками является одним из приоритетных направлений как внутренней, так и внешней политики РТ. Осознавая, что успех борьбы с незаконным оборотом наркотиков и предупреждения преступности труднодостижимы без консолидации усилий мирового сообщества, РТ укрепляет сотрудничество с международными организациями, в частности с ООН.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под эгидой ООН сформирована правовая основа международного сотрудничества по борьбе с незаконным оборотом наркотиков. Универсальный международно-правовой механизм в рассматриваемой сфере ограничивается принятием и реализацией международных конвенций. Существенный вклад в функционирование такого механизма вносит созданная в рамках ООН система специализированных органов, основная цель которых – координация международного сотрудничества государств по борьбе с незаконным оборотом наркотиков.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Одним из таких органов, с которым плодотворно сотрудничает РТ, является Управление ООН по наркотикам и преступности (УНПООН). Управление прилагает усилия в глобальном масштабе для борьбы с наркобизнесом, организованной преступностью и международным терроризмом.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Заместитель Генерального секретаря ООН, исполнительный директор УНПООН Антонио Марио Коста 5 октября 2007 года участвовал на заседании Совета глав государств СНГ в Душанбе, где обсуждался вопрос борьбы с наркоприступностью. Выразив озабоченность рекордным трафиком афганских наркотиков через приграничные страны, А.М. Коста отметил: «в эти дни урожай афганского опиума составил 8 тыс. тонн, что может привести к производству около 1 тонна героина. Этот объем грозит не только распространением наркомании и ВИЧ – инфекции, но и приносит огромные доходы преступникам и экстремистам, порождает нестабильность и финансирует терроризм» [4].</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Еще в июне 1998 года Таджикистан на 20-й специальной сессии Генеральной Ассамблеи ООН призвал мировое сообщество к совместной борьбе против наркотиков, создав вокруг Афганистана «Пояс безопасности». Этот призыв не был оставлен без внимания мирового сообщества. В июне 1999 года, в соответствии с Протоколом, подписанным между Таджикистаном и УНПООН, было образовано Агентство по контролю за наркотиками при Президенте РТ (АКН). АКН осуществляет государственную политику в сфере борьбы наркотизмом, координирует деятельность правоохранительных органов и других министерств и ведомств, занимающихся вопросами с наркоманией. Агентство стало неотъемлемой частью правовой и институциональной структуры РТ.</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уровне АКН и правоохранительных органов республики межведомственные соглашения по вопросам борьбы с наркотиками заключены практически со всеми странами СНГ, а также рядом других государств. Подписано более 30 двусторонних и многосторонних соглашений.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обратить внимание на тот факт, что лишь 4% афганских наркотиков изымается в странах Центральной Азии [4]. Вместе с тем, на долю Таджикистана приходится 82% героина, изымаемого из незаконного оборота в Центрально-Азиатском регионе, и 60% - в странах СНГ. По данным УКНООН, Таджикистан находится на четвертом месте после Китая, Пакистана, и Турции по изъятию героина и третьем после Ирана, Пакистана по изъятию опия-сырца в числа государств внесших наибольший вклад в борьбу с наркотиками [5].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Учитывая эти достижения, Таджикистан впервые в своей истории был выбран в состав Международного Комитета ООН по контролю над наркотиками (МККН). Созданный в 1988 г. в соответствии с Единой Конвенцией о наркотических средствах, МККН является независимым, квазисудебным органом по контролю за соблюдением Конвенции ООН по контролю над наркотиками и приемником ряда органов, которые были учреждены в соответствии с конвенциями по контролю над наркотиками еще со времен Лиги Наций.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МККН работает как независимый от государств, а также от ООН орган. Три члена МККН избираются из списка кандидатов, предложенных ВОЗ, 10 членов – из списка кандидатов предложенных государствами – членами ООН. МККН финансируется ООН.</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результате тайного голосования, состоявшегося 29 апреля 2005 г., в ходе официального пленарного заседания ЭКОСОС, кандидатура РТ получила абсолютное большинство голосов – 46 из 54. Эта была первая победа Таджикистана на выборах в органы ООН со дня его вступления в эту международную организацию. Можно утверждать, что членство в данной организации позволит стране наладить более тесное взаимодействие или взаимовыгодное сотрудничество со всеми  государствами мира в области борьбы с незаконным оборотом наркотиков, психотропных веществ и прекурсоров, контроля над их законным оборотом и профилактики наркомании.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можно сказать что сотрудничество РТ и ООН осуществляется на основе созданных под эгидой ООН универсальных международно-правовых механизмов борьбы с наркоугрозой. Тем не менее организационные аспекты данного сотрудничество нуждаются в совершенствовании и требуют более комплексного подхода к проблеме. В литературе неоднократно подчеркивалось, что действующие органы парой дублируют функции друг друга, что не способствует эффективности глобального сотрудничества в сфере борьбы с распространением наркотиков [1, 297].</w:t>
      </w:r>
    </w:p>
    <w:p w:rsidR="00A969C6" w:rsidRPr="00DA76A7" w:rsidRDefault="00A969C6" w:rsidP="00A969C6">
      <w:pPr>
        <w:ind w:firstLine="567"/>
        <w:jc w:val="both"/>
        <w:rPr>
          <w:rFonts w:ascii="Arial" w:hAnsi="Arial" w:cs="Arial"/>
          <w:color w:val="000000" w:themeColor="text1"/>
          <w:sz w:val="22"/>
          <w:szCs w:val="22"/>
        </w:rPr>
      </w:pPr>
    </w:p>
    <w:p w:rsidR="00D971C1" w:rsidRDefault="00D971C1" w:rsidP="00A969C6">
      <w:pPr>
        <w:pStyle w:val="a6"/>
        <w:spacing w:after="0" w:line="240" w:lineRule="auto"/>
        <w:ind w:left="0" w:firstLine="567"/>
        <w:jc w:val="center"/>
        <w:rPr>
          <w:rFonts w:ascii="Arial" w:hAnsi="Arial" w:cs="Arial"/>
          <w:b/>
          <w:color w:val="000000" w:themeColor="text1"/>
        </w:rPr>
      </w:pPr>
    </w:p>
    <w:p w:rsidR="00A969C6" w:rsidRPr="00DA76A7" w:rsidRDefault="00A969C6" w:rsidP="00A969C6">
      <w:pPr>
        <w:pStyle w:val="a6"/>
        <w:spacing w:after="0" w:line="240" w:lineRule="auto"/>
        <w:ind w:left="0" w:firstLine="567"/>
        <w:jc w:val="center"/>
        <w:rPr>
          <w:rFonts w:ascii="Arial" w:hAnsi="Arial" w:cs="Arial"/>
          <w:b/>
          <w:color w:val="000000" w:themeColor="text1"/>
        </w:rPr>
      </w:pPr>
      <w:r w:rsidRPr="00DA76A7">
        <w:rPr>
          <w:rFonts w:ascii="Arial" w:hAnsi="Arial" w:cs="Arial"/>
          <w:b/>
          <w:color w:val="000000" w:themeColor="text1"/>
        </w:rPr>
        <w:t>Список литературы:</w:t>
      </w:r>
    </w:p>
    <w:p w:rsidR="00A969C6" w:rsidRPr="00DA76A7" w:rsidRDefault="00A969C6" w:rsidP="00D45D6B">
      <w:pPr>
        <w:pStyle w:val="a6"/>
        <w:numPr>
          <w:ilvl w:val="0"/>
          <w:numId w:val="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Даниелян А.А. Роль Организации Объединенных Наций в противодействии незаконному обороту наркотиков и психотропных веществ // Международное право – </w:t>
      </w:r>
      <w:r w:rsidRPr="00DA76A7">
        <w:rPr>
          <w:rFonts w:ascii="Arial" w:hAnsi="Arial" w:cs="Arial"/>
          <w:color w:val="000000" w:themeColor="text1"/>
          <w:lang w:val="en-US"/>
        </w:rPr>
        <w:t>International</w:t>
      </w:r>
      <w:r w:rsidRPr="00DA76A7">
        <w:rPr>
          <w:rFonts w:ascii="Arial" w:hAnsi="Arial" w:cs="Arial"/>
          <w:color w:val="000000" w:themeColor="text1"/>
        </w:rPr>
        <w:t xml:space="preserve"> </w:t>
      </w:r>
      <w:r w:rsidRPr="00DA76A7">
        <w:rPr>
          <w:rFonts w:ascii="Arial" w:hAnsi="Arial" w:cs="Arial"/>
          <w:color w:val="000000" w:themeColor="text1"/>
          <w:lang w:val="en-US"/>
        </w:rPr>
        <w:t>law</w:t>
      </w:r>
      <w:r w:rsidRPr="00DA76A7">
        <w:rPr>
          <w:rFonts w:ascii="Arial" w:hAnsi="Arial" w:cs="Arial"/>
          <w:color w:val="000000" w:themeColor="text1"/>
        </w:rPr>
        <w:t>. – 2005. - №3. – С. 291-299.</w:t>
      </w:r>
    </w:p>
    <w:p w:rsidR="00A969C6" w:rsidRPr="00DA76A7" w:rsidRDefault="00A969C6" w:rsidP="00D45D6B">
      <w:pPr>
        <w:pStyle w:val="a6"/>
        <w:numPr>
          <w:ilvl w:val="0"/>
          <w:numId w:val="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Капустин А.Я. Проблемы реформы Устава ООН на рубеже столетий // ООН и международный правопорядок в глобализирующем мире: Материалы международной научно-практической конференции. – М., 2001. – С. 126-139.</w:t>
      </w:r>
    </w:p>
    <w:p w:rsidR="00A969C6" w:rsidRPr="00DA76A7" w:rsidRDefault="00A969C6" w:rsidP="00D45D6B">
      <w:pPr>
        <w:pStyle w:val="a6"/>
        <w:numPr>
          <w:ilvl w:val="0"/>
          <w:numId w:val="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Международные организации: Учебник / Под ред. И.П. Блищенко. – М.: Изд-во РУДН. – 1994. - 356 с. </w:t>
      </w:r>
    </w:p>
    <w:p w:rsidR="00A969C6" w:rsidRPr="00DA76A7" w:rsidRDefault="00A969C6" w:rsidP="00D45D6B">
      <w:pPr>
        <w:pStyle w:val="a6"/>
        <w:numPr>
          <w:ilvl w:val="0"/>
          <w:numId w:val="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Наркоиндустрия финансирует терроризм. [Электронный ресурс]. – Режим доступа: // </w:t>
      </w:r>
      <w:r w:rsidRPr="00DA76A7">
        <w:rPr>
          <w:rFonts w:ascii="Arial" w:hAnsi="Arial" w:cs="Arial"/>
          <w:color w:val="000000" w:themeColor="text1"/>
          <w:lang w:val="en-US"/>
        </w:rPr>
        <w:t>http</w:t>
      </w:r>
      <w:r w:rsidRPr="00DA76A7">
        <w:rPr>
          <w:rFonts w:ascii="Arial" w:hAnsi="Arial" w:cs="Arial"/>
          <w:color w:val="000000" w:themeColor="text1"/>
        </w:rPr>
        <w:t>//</w:t>
      </w:r>
      <w:r w:rsidRPr="00DA76A7">
        <w:rPr>
          <w:rFonts w:ascii="Arial" w:hAnsi="Arial" w:cs="Arial"/>
          <w:color w:val="000000" w:themeColor="text1"/>
          <w:lang w:val="en-US"/>
        </w:rPr>
        <w:t>www</w:t>
      </w:r>
      <w:r w:rsidRPr="00DA76A7">
        <w:rPr>
          <w:rFonts w:ascii="Arial" w:hAnsi="Arial" w:cs="Arial"/>
          <w:color w:val="000000" w:themeColor="text1"/>
        </w:rPr>
        <w:t>.</w:t>
      </w:r>
      <w:r w:rsidRPr="00DA76A7">
        <w:rPr>
          <w:rFonts w:ascii="Arial" w:hAnsi="Arial" w:cs="Arial"/>
          <w:color w:val="000000" w:themeColor="text1"/>
          <w:lang w:val="en-US"/>
        </w:rPr>
        <w:t>regnum</w:t>
      </w:r>
      <w:r w:rsidRPr="00DA76A7">
        <w:rPr>
          <w:rFonts w:ascii="Arial" w:hAnsi="Arial" w:cs="Arial"/>
          <w:color w:val="000000" w:themeColor="text1"/>
        </w:rPr>
        <w:t>.</w:t>
      </w:r>
      <w:r w:rsidRPr="00DA76A7">
        <w:rPr>
          <w:rFonts w:ascii="Arial" w:hAnsi="Arial" w:cs="Arial"/>
          <w:color w:val="000000" w:themeColor="text1"/>
          <w:lang w:val="en-US"/>
        </w:rPr>
        <w:t>ru</w:t>
      </w:r>
      <w:r w:rsidRPr="00DA76A7">
        <w:rPr>
          <w:rFonts w:ascii="Arial" w:hAnsi="Arial" w:cs="Arial"/>
          <w:color w:val="000000" w:themeColor="text1"/>
        </w:rPr>
        <w:t>/</w:t>
      </w:r>
      <w:r w:rsidRPr="00DA76A7">
        <w:rPr>
          <w:rFonts w:ascii="Arial" w:hAnsi="Arial" w:cs="Arial"/>
          <w:color w:val="000000" w:themeColor="text1"/>
          <w:lang w:val="en-US"/>
        </w:rPr>
        <w:t>news</w:t>
      </w:r>
      <w:r w:rsidRPr="00DA76A7">
        <w:rPr>
          <w:rFonts w:ascii="Arial" w:hAnsi="Arial" w:cs="Arial"/>
          <w:color w:val="000000" w:themeColor="text1"/>
        </w:rPr>
        <w:t>/986098/</w:t>
      </w:r>
      <w:r w:rsidRPr="00DA76A7">
        <w:rPr>
          <w:rFonts w:ascii="Arial" w:hAnsi="Arial" w:cs="Arial"/>
          <w:color w:val="000000" w:themeColor="text1"/>
          <w:lang w:val="en-US"/>
        </w:rPr>
        <w:t>html</w:t>
      </w:r>
      <w:r w:rsidRPr="00DA76A7">
        <w:rPr>
          <w:rFonts w:ascii="Arial" w:hAnsi="Arial" w:cs="Arial"/>
          <w:color w:val="000000" w:themeColor="text1"/>
        </w:rPr>
        <w:t>%20%20%2061%20КБ (дата обращения 25.03.2018).</w:t>
      </w:r>
    </w:p>
    <w:p w:rsidR="00A969C6" w:rsidRPr="00DA76A7" w:rsidRDefault="00A969C6" w:rsidP="00D45D6B">
      <w:pPr>
        <w:pStyle w:val="a6"/>
        <w:numPr>
          <w:ilvl w:val="0"/>
          <w:numId w:val="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С накопленным опытом в будущее. [Электронный ресурс]. – Режим доступа: // </w:t>
      </w:r>
      <w:r w:rsidRPr="00DA76A7">
        <w:rPr>
          <w:rFonts w:ascii="Arial" w:hAnsi="Arial" w:cs="Arial"/>
          <w:color w:val="000000" w:themeColor="text1"/>
          <w:lang w:val="en-US"/>
        </w:rPr>
        <w:t>http</w:t>
      </w:r>
      <w:r w:rsidRPr="00DA76A7">
        <w:rPr>
          <w:rFonts w:ascii="Arial" w:hAnsi="Arial" w:cs="Arial"/>
          <w:color w:val="000000" w:themeColor="text1"/>
        </w:rPr>
        <w:t xml:space="preserve">// </w:t>
      </w:r>
      <w:hyperlink r:id="rId91" w:history="1">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.akn.tj/</w:t>
        </w:r>
        <w:r w:rsidRPr="00DA76A7">
          <w:rPr>
            <w:rStyle w:val="af0"/>
            <w:rFonts w:ascii="Arial" w:hAnsi="Arial" w:cs="Arial"/>
            <w:color w:val="000000" w:themeColor="text1"/>
            <w:u w:val="none"/>
            <w:lang w:val="en-US"/>
          </w:rPr>
          <w:t>mejsotr</w:t>
        </w:r>
        <w:r w:rsidRPr="00DA76A7">
          <w:rPr>
            <w:rStyle w:val="af0"/>
            <w:rFonts w:ascii="Arial" w:hAnsi="Arial" w:cs="Arial"/>
            <w:color w:val="000000" w:themeColor="text1"/>
            <w:u w:val="none"/>
          </w:rPr>
          <w:t>3.</w:t>
        </w:r>
        <w:r w:rsidRPr="00DA76A7">
          <w:rPr>
            <w:rStyle w:val="af0"/>
            <w:rFonts w:ascii="Arial" w:hAnsi="Arial" w:cs="Arial"/>
            <w:color w:val="000000" w:themeColor="text1"/>
            <w:u w:val="none"/>
            <w:lang w:val="en-US"/>
          </w:rPr>
          <w:t>htm</w:t>
        </w:r>
      </w:hyperlink>
      <w:r w:rsidRPr="00DA76A7">
        <w:rPr>
          <w:rFonts w:ascii="Arial" w:hAnsi="Arial" w:cs="Arial"/>
          <w:color w:val="000000" w:themeColor="text1"/>
        </w:rPr>
        <w:t xml:space="preserve"> (дата обращения 25.03.2018).</w:t>
      </w:r>
    </w:p>
    <w:p w:rsidR="00A969C6" w:rsidRPr="00DA76A7" w:rsidRDefault="00A969C6" w:rsidP="00D45D6B">
      <w:pPr>
        <w:pStyle w:val="a6"/>
        <w:numPr>
          <w:ilvl w:val="0"/>
          <w:numId w:val="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shd w:val="clear" w:color="auto" w:fill="FFFFFF"/>
        </w:rPr>
        <w:t>Суд Европейских сообществ. Избранные решения / Отв. ред. докт. юрид. наук, проф. JI.M. </w:t>
      </w:r>
      <w:r w:rsidRPr="00DA76A7">
        <w:rPr>
          <w:rStyle w:val="hl"/>
          <w:rFonts w:ascii="Arial" w:eastAsiaTheme="minorEastAsia" w:hAnsi="Arial" w:cs="Arial"/>
          <w:color w:val="000000" w:themeColor="text1"/>
        </w:rPr>
        <w:t>Энтин</w:t>
      </w:r>
      <w:r w:rsidRPr="00DA76A7">
        <w:rPr>
          <w:rFonts w:ascii="Arial" w:hAnsi="Arial" w:cs="Arial"/>
          <w:color w:val="000000" w:themeColor="text1"/>
          <w:shd w:val="clear" w:color="auto" w:fill="FFFFFF"/>
        </w:rPr>
        <w:t> М.: НОРМА, 2001.170: Таджикистан ООН: история взаимоотношений. Новый взгляд. М.: Знак, 1995. – 113с.</w:t>
      </w:r>
    </w:p>
    <w:p w:rsidR="003A625F" w:rsidRDefault="00A969C6" w:rsidP="00A969C6">
      <w:pPr>
        <w:pStyle w:val="a6"/>
        <w:spacing w:after="0" w:line="240" w:lineRule="auto"/>
        <w:ind w:left="0" w:firstLine="567"/>
        <w:jc w:val="center"/>
        <w:rPr>
          <w:rFonts w:ascii="Arial" w:hAnsi="Arial" w:cs="Arial"/>
          <w:color w:val="000000" w:themeColor="text1"/>
        </w:rPr>
      </w:pPr>
      <w:r w:rsidRPr="00DA76A7">
        <w:rPr>
          <w:rFonts w:ascii="Arial" w:hAnsi="Arial" w:cs="Arial"/>
          <w:color w:val="000000" w:themeColor="text1"/>
        </w:rPr>
        <w:br/>
      </w:r>
    </w:p>
    <w:p w:rsidR="003A625F" w:rsidRDefault="003A625F">
      <w:pPr>
        <w:widowControl/>
        <w:autoSpaceDE/>
        <w:autoSpaceDN/>
        <w:adjustRightInd/>
        <w:spacing w:after="200" w:line="276" w:lineRule="auto"/>
        <w:rPr>
          <w:rFonts w:ascii="Arial" w:hAnsi="Arial" w:cs="Arial"/>
          <w:color w:val="000000" w:themeColor="text1"/>
          <w:sz w:val="22"/>
          <w:szCs w:val="22"/>
        </w:rPr>
      </w:pPr>
      <w:r>
        <w:rPr>
          <w:rFonts w:ascii="Arial" w:hAnsi="Arial" w:cs="Arial"/>
          <w:color w:val="000000" w:themeColor="text1"/>
        </w:rPr>
        <w:br w:type="page"/>
      </w:r>
    </w:p>
    <w:p w:rsidR="00A969C6" w:rsidRPr="00DA76A7" w:rsidRDefault="00A969C6" w:rsidP="00A969C6">
      <w:pPr>
        <w:pStyle w:val="a6"/>
        <w:spacing w:after="0" w:line="240" w:lineRule="auto"/>
        <w:ind w:left="0" w:firstLine="567"/>
        <w:jc w:val="center"/>
        <w:rPr>
          <w:rFonts w:ascii="Arial" w:hAnsi="Arial" w:cs="Arial"/>
          <w:b/>
          <w:color w:val="000000" w:themeColor="text1"/>
        </w:rPr>
      </w:pPr>
      <w:r w:rsidRPr="00DA76A7">
        <w:rPr>
          <w:rFonts w:ascii="Arial" w:hAnsi="Arial" w:cs="Arial"/>
          <w:b/>
          <w:color w:val="000000" w:themeColor="text1"/>
        </w:rPr>
        <w:t>ПРИСОЕДИНЕНИЕ РОССИИ К МОНРЕАЛЬСКОЙ КОНВЕНЦИИ: ПРЕИМУЩЕСТВА И НЕДОСТАТКИ</w:t>
      </w:r>
    </w:p>
    <w:p w:rsidR="00A969C6" w:rsidRPr="00DA76A7" w:rsidRDefault="00A969C6" w:rsidP="00A969C6">
      <w:pPr>
        <w:pStyle w:val="a4"/>
        <w:ind w:firstLine="567"/>
        <w:jc w:val="right"/>
        <w:rPr>
          <w:rFonts w:ascii="Arial" w:hAnsi="Arial" w:cs="Arial"/>
          <w:b/>
          <w:color w:val="000000" w:themeColor="text1"/>
          <w:sz w:val="22"/>
          <w:szCs w:val="22"/>
        </w:rPr>
      </w:pPr>
    </w:p>
    <w:p w:rsidR="00A969C6" w:rsidRPr="00DA76A7" w:rsidRDefault="00A969C6" w:rsidP="00A969C6">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Шелеверст Ольга Сергеевна</w:t>
      </w:r>
    </w:p>
    <w:p w:rsidR="00A969C6" w:rsidRPr="00DA76A7" w:rsidRDefault="00A969C6" w:rsidP="00A969C6">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4-го курса очного отделения юридического факультета</w:t>
      </w:r>
    </w:p>
    <w:p w:rsidR="00A969C6" w:rsidRPr="00DA76A7" w:rsidRDefault="00A969C6" w:rsidP="00A969C6">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Частное образовательное учреждение высшего образования Южный институт менеджмента</w:t>
      </w:r>
    </w:p>
    <w:p w:rsidR="00A969C6" w:rsidRPr="00DA76A7" w:rsidRDefault="00A969C6" w:rsidP="00A969C6">
      <w:pPr>
        <w:pStyle w:val="Default"/>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350040, Краснодарский край, г. Краснодар, ул. Ставропольская, 216 </w:t>
      </w:r>
    </w:p>
    <w:p w:rsidR="00A969C6" w:rsidRPr="00AC7230" w:rsidRDefault="00A969C6" w:rsidP="00A969C6">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988-387-17-05, </w:t>
      </w:r>
      <w:r w:rsidRPr="00DA76A7">
        <w:rPr>
          <w:rFonts w:ascii="Arial" w:hAnsi="Arial" w:cs="Arial"/>
          <w:color w:val="000000" w:themeColor="text1"/>
          <w:sz w:val="22"/>
          <w:szCs w:val="22"/>
        </w:rPr>
        <w:t>е</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Olga</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Sheleverst</w:t>
      </w:r>
      <w:r w:rsidRPr="00AC7230">
        <w:rPr>
          <w:rFonts w:ascii="Arial" w:hAnsi="Arial" w:cs="Arial"/>
          <w:color w:val="000000" w:themeColor="text1"/>
          <w:sz w:val="22"/>
          <w:szCs w:val="22"/>
        </w:rPr>
        <w:t>.17@</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AC7230">
        <w:rPr>
          <w:rFonts w:ascii="Arial" w:hAnsi="Arial" w:cs="Arial"/>
          <w:color w:val="000000" w:themeColor="text1"/>
          <w:sz w:val="22"/>
          <w:szCs w:val="22"/>
        </w:rPr>
        <w:t xml:space="preserve"> </w:t>
      </w:r>
    </w:p>
    <w:p w:rsidR="00A969C6" w:rsidRPr="00AC7230" w:rsidRDefault="00A969C6" w:rsidP="00A969C6">
      <w:pPr>
        <w:pStyle w:val="a4"/>
        <w:ind w:firstLine="567"/>
        <w:jc w:val="center"/>
        <w:rPr>
          <w:rFonts w:ascii="Arial" w:hAnsi="Arial" w:cs="Arial"/>
          <w:b/>
          <w:color w:val="000000" w:themeColor="text1"/>
          <w:sz w:val="22"/>
          <w:szCs w:val="22"/>
        </w:rPr>
      </w:pPr>
    </w:p>
    <w:p w:rsidR="00A969C6" w:rsidRPr="00DA76A7" w:rsidRDefault="00A969C6" w:rsidP="00A969C6">
      <w:pPr>
        <w:pStyle w:val="a4"/>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RUSSIA'S ACCESSION TO THE MONTREAL CONVENTION: ADVANTAGES AND DISADVANTAGES</w:t>
      </w:r>
    </w:p>
    <w:p w:rsidR="00A969C6" w:rsidRPr="00DA76A7" w:rsidRDefault="00A969C6" w:rsidP="00A969C6">
      <w:pPr>
        <w:pStyle w:val="a4"/>
        <w:ind w:firstLine="567"/>
        <w:jc w:val="center"/>
        <w:rPr>
          <w:rFonts w:ascii="Arial" w:hAnsi="Arial" w:cs="Arial"/>
          <w:b/>
          <w:color w:val="000000" w:themeColor="text1"/>
          <w:sz w:val="22"/>
          <w:szCs w:val="22"/>
          <w:lang w:val="en-US"/>
        </w:rPr>
      </w:pPr>
    </w:p>
    <w:p w:rsidR="00A969C6" w:rsidRPr="00DA76A7" w:rsidRDefault="00A969C6" w:rsidP="00A969C6">
      <w:pPr>
        <w:pStyle w:val="a4"/>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Sheleverst Olga Sergeevna</w:t>
      </w:r>
    </w:p>
    <w:p w:rsidR="00A969C6" w:rsidRPr="00DA76A7" w:rsidRDefault="00A969C6" w:rsidP="00A969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4th year student full-time Department of the law faculty Private educational institution of higher education southern Institute of management</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350040, </w:t>
      </w:r>
      <w:r w:rsidRPr="00DA76A7">
        <w:rPr>
          <w:rFonts w:ascii="Arial" w:hAnsi="Arial" w:cs="Arial"/>
          <w:color w:val="000000" w:themeColor="text1"/>
          <w:sz w:val="22"/>
          <w:szCs w:val="22"/>
          <w:shd w:val="clear" w:color="auto" w:fill="FFFFFF"/>
          <w:lang w:val="en-US"/>
        </w:rPr>
        <w:t>Krasnodar Krai</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 xml:space="preserve">Krasnodar, </w:t>
      </w:r>
      <w:r w:rsidRPr="00DA76A7">
        <w:rPr>
          <w:rFonts w:ascii="Arial" w:hAnsi="Arial" w:cs="Arial"/>
          <w:color w:val="000000" w:themeColor="text1"/>
          <w:sz w:val="22"/>
          <w:szCs w:val="22"/>
          <w:lang w:val="en-US"/>
        </w:rPr>
        <w:t xml:space="preserve">st. </w:t>
      </w:r>
      <w:r w:rsidRPr="00DA76A7">
        <w:rPr>
          <w:rFonts w:ascii="Arial" w:hAnsi="Arial" w:cs="Arial"/>
          <w:color w:val="000000" w:themeColor="text1"/>
          <w:sz w:val="22"/>
          <w:szCs w:val="22"/>
          <w:shd w:val="clear" w:color="auto" w:fill="FFFFFF"/>
          <w:lang w:val="en-US"/>
        </w:rPr>
        <w:t>Stavropol, 216</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918-387-17-05, e-mail: Olga.Sheleverst.17@mail.ru</w:t>
      </w:r>
    </w:p>
    <w:p w:rsidR="00A969C6" w:rsidRPr="00DA76A7" w:rsidRDefault="00A969C6" w:rsidP="00A969C6">
      <w:pPr>
        <w:pStyle w:val="a4"/>
        <w:ind w:firstLine="567"/>
        <w:jc w:val="right"/>
        <w:rPr>
          <w:rFonts w:ascii="Arial" w:hAnsi="Arial" w:cs="Arial"/>
          <w:color w:val="000000" w:themeColor="text1"/>
          <w:sz w:val="22"/>
          <w:szCs w:val="22"/>
          <w:lang w:val="en-US"/>
        </w:rPr>
      </w:pPr>
    </w:p>
    <w:p w:rsidR="00A969C6" w:rsidRPr="00DA76A7" w:rsidRDefault="00B46B9E" w:rsidP="00A969C6">
      <w:pPr>
        <w:pStyle w:val="a4"/>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статья посвящена новеллам российского законодательства в части регулирования международных воздушных перевозок грузов и пассажиров. Автор анализирует произошедшие изменения и делает предположения о влиянии этих новшеств на правоприменительную практику в аспекте защиты прав потребителей</w:t>
      </w:r>
      <w:r w:rsidR="00A969C6" w:rsidRPr="00DA76A7">
        <w:rPr>
          <w:rFonts w:ascii="Arial" w:hAnsi="Arial" w:cs="Arial"/>
          <w:b/>
          <w:i/>
          <w:color w:val="000000" w:themeColor="text1"/>
          <w:sz w:val="22"/>
          <w:szCs w:val="22"/>
        </w:rPr>
        <w:t xml:space="preserve"> </w:t>
      </w:r>
    </w:p>
    <w:p w:rsidR="00A969C6" w:rsidRPr="00DA76A7" w:rsidRDefault="00081412" w:rsidP="00A969C6">
      <w:pPr>
        <w:pStyle w:val="a4"/>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article is devoted to the novelties of the Russian legislation in the regulation of international air transport of goods and passengers. The author analyzes the changes and makes assumptions about the impact of these innovations on law enforcement practice in the aspect of consumer protection</w:t>
      </w:r>
    </w:p>
    <w:p w:rsidR="00A969C6" w:rsidRPr="00DA76A7" w:rsidRDefault="00A969C6" w:rsidP="00A969C6">
      <w:pPr>
        <w:pStyle w:val="a4"/>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международные перевозки, международные воздушные перевозки, перевозка грузов и пассажиров, авиаперевозки, Монреальская конвенция</w:t>
      </w:r>
    </w:p>
    <w:p w:rsidR="00A969C6" w:rsidRPr="00DA76A7" w:rsidRDefault="00A969C6" w:rsidP="00A969C6">
      <w:pPr>
        <w:pStyle w:val="a4"/>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international shipping, international air carriage of goods and passengers, air travel and the Montreal Convention</w:t>
      </w:r>
    </w:p>
    <w:p w:rsidR="00A969C6" w:rsidRPr="00DA76A7" w:rsidRDefault="00A969C6" w:rsidP="00A969C6">
      <w:pPr>
        <w:pStyle w:val="a4"/>
        <w:ind w:firstLine="567"/>
        <w:jc w:val="center"/>
        <w:rPr>
          <w:rFonts w:ascii="Arial" w:hAnsi="Arial" w:cs="Arial"/>
          <w:b/>
          <w:color w:val="000000" w:themeColor="text1"/>
          <w:sz w:val="22"/>
          <w:szCs w:val="22"/>
          <w:lang w:val="en-US"/>
        </w:rPr>
      </w:pPr>
    </w:p>
    <w:p w:rsidR="00A969C6" w:rsidRPr="00DA76A7" w:rsidRDefault="00A969C6" w:rsidP="00A969C6">
      <w:pPr>
        <w:pStyle w:val="ConsPlusNormal"/>
        <w:ind w:firstLine="567"/>
        <w:jc w:val="both"/>
        <w:rPr>
          <w:color w:val="000000" w:themeColor="text1"/>
          <w:sz w:val="22"/>
          <w:szCs w:val="22"/>
        </w:rPr>
      </w:pPr>
      <w:r w:rsidRPr="00DA76A7">
        <w:rPr>
          <w:color w:val="000000" w:themeColor="text1"/>
          <w:sz w:val="22"/>
          <w:szCs w:val="22"/>
        </w:rPr>
        <w:t>Исторически договор перевозки как отдельный вид обязательств выделился из договора подряда и обрел свою самостоятельность в системе обязательственного права европейских стран только в связи с бурным развитием товарных отношений, когда сформировались крупные предприятия, специализирующиеся исключительно на осуществлении перевозок, с целым рядом атрибутов, присущих этой отрасли экономики, связанных с организацией производственного процесса, его безопасностью и особым режимом ответственности.</w:t>
      </w:r>
    </w:p>
    <w:p w:rsidR="00A969C6" w:rsidRPr="00DA76A7" w:rsidRDefault="00A969C6" w:rsidP="00A969C6">
      <w:pPr>
        <w:pStyle w:val="ConsPlusNormal"/>
        <w:ind w:firstLine="567"/>
        <w:jc w:val="both"/>
        <w:rPr>
          <w:color w:val="000000" w:themeColor="text1"/>
          <w:sz w:val="22"/>
          <w:szCs w:val="22"/>
        </w:rPr>
      </w:pPr>
      <w:r w:rsidRPr="00DA76A7">
        <w:rPr>
          <w:color w:val="000000" w:themeColor="text1"/>
          <w:sz w:val="22"/>
          <w:szCs w:val="22"/>
        </w:rPr>
        <w:t>Появление перевозок как самостоятельного вида экономической деятельности потребовало создания новой законодательной базы, которая бы урегулировала данный вид деятельности, установила четкие правила поведения ее участников, определила их права и обязанности, определила случаи и порядок привлечения к ответственности за неисполнение или ненадлежащее исполнение обязательств по заключенным договорам перевозки, а также обязательств вследствие причинения вреда пассажирам и грузоотправителям.</w:t>
      </w:r>
    </w:p>
    <w:p w:rsidR="00A969C6" w:rsidRPr="00DA76A7" w:rsidRDefault="00A969C6" w:rsidP="00A969C6">
      <w:pPr>
        <w:pStyle w:val="ConsPlusNormal"/>
        <w:ind w:firstLine="567"/>
        <w:jc w:val="both"/>
        <w:rPr>
          <w:color w:val="000000" w:themeColor="text1"/>
          <w:sz w:val="22"/>
          <w:szCs w:val="22"/>
        </w:rPr>
      </w:pPr>
      <w:r w:rsidRPr="00DA76A7">
        <w:rPr>
          <w:color w:val="000000" w:themeColor="text1"/>
          <w:sz w:val="22"/>
          <w:szCs w:val="22"/>
        </w:rPr>
        <w:t>Традиционно общие правила, регулирующие договор перевозки, устанавливаются гражданским законодательством, а специфика и особенности осуществления перевозок отдельными видами транспорта устанавливаются законодательными актами, относящимися к транспортному законодательству.</w:t>
      </w:r>
    </w:p>
    <w:p w:rsidR="00A969C6" w:rsidRPr="00DA76A7" w:rsidRDefault="00A969C6" w:rsidP="00A969C6">
      <w:pPr>
        <w:pStyle w:val="ConsPlusNormal"/>
        <w:ind w:firstLine="567"/>
        <w:jc w:val="both"/>
        <w:rPr>
          <w:color w:val="000000" w:themeColor="text1"/>
          <w:sz w:val="22"/>
          <w:szCs w:val="22"/>
        </w:rPr>
      </w:pPr>
      <w:r w:rsidRPr="00DA76A7">
        <w:rPr>
          <w:color w:val="000000" w:themeColor="text1"/>
          <w:sz w:val="22"/>
          <w:szCs w:val="22"/>
        </w:rPr>
        <w:t>28 мая 1999 г. в области международного частного воздушного права произошло знаменательное событие: в результате трехнедельной работы Дипломатической конференции по воздушному праву, проходившей в штаб-квартире Международной организации гражданской авиации (ИКАО) с участием представителей 121 государства и 11 международных авиационных организаций, была принята Конвенция для унификации некоторых правил международных воздушных перевозок (Монреальская конвенция 1999 г.), определяющая основные правовые условия международных воздушных перевозок в XXI в. Научно-технический прогресс, бурное развитие международного воздушного транспорта, возросший уровень безопасности его эксплуатации обусловили необходимость расширения объема и более четкой регламентации ответственности перевозчика. Новая международная Конвенция призвана обеспечить твердые правовые гарантии и адекватный уровень возмещения вреда лицам, пострадавшим в результате авиационных происшествий, создать единый и понятный правовой режим ответственности авиаперевозчиков за несохранность грузов, багажа и задержку при их перевозке на международных линиях, заменить исчерпавшую себя, но еще действующую систему документов Варшавской конвенции 1929 г.</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color w:val="000000" w:themeColor="text1"/>
          <w:sz w:val="22"/>
          <w:szCs w:val="22"/>
          <w:shd w:val="clear" w:color="auto" w:fill="FFFFFF"/>
        </w:rPr>
        <w:t>Конвенция заработала в полную силу 3 ноября 2003 года. На 1 мая 2017 года в ней участвует 130 государств. Фактически весь мировой рынок международных авиаперевозок уже давно живет, работает и конкурирует по новым монреальским правилам авиаперевозок. В силу этого он разделился на две части: в одной действуют новые монреальские правила международных воздушных перевозок, а в другой – старые, варшавские. Российские перевозчики, связанные с правилами Варшавской конвенции 1929 года, ничего не могли противопоставить своим конкурентам, работавшим по новым монреальским правилам, и они оказались в проигрыше даже на собственном российском национальном рынке международных авиаперевозок. Не редко российский пассажир предпочитает пользоваться при международных авиаперевозках услугами иностранных, а не наших перевозчиков. Среди разного рода предпочтений российских пассажиров в пользу иностранных авиакомпаний не последнюю роль играет Монреальская конвенция, которая убеждает авиапассажира, что если с ним что и произойдет во время международной авиаперевозки, то в этом случае его права лучше защитит Монреальская, а не Варшавская конвенция. Российские перевозчики, привязанные к варшавским правилам, конкурировать с иностранными авиакомпаниями, осуществлявшими международные воздушные перевозки по монреальским правилам, не могли.</w:t>
      </w:r>
    </w:p>
    <w:p w:rsidR="00A969C6" w:rsidRPr="00DA76A7" w:rsidRDefault="00A969C6" w:rsidP="00A969C6">
      <w:pPr>
        <w:pStyle w:val="ConsPlusNormal"/>
        <w:ind w:firstLine="567"/>
        <w:jc w:val="both"/>
        <w:rPr>
          <w:color w:val="000000" w:themeColor="text1"/>
          <w:sz w:val="22"/>
          <w:szCs w:val="22"/>
        </w:rPr>
      </w:pPr>
      <w:r w:rsidRPr="00DA76A7">
        <w:rPr>
          <w:color w:val="000000" w:themeColor="text1"/>
          <w:sz w:val="22"/>
          <w:szCs w:val="22"/>
        </w:rPr>
        <w:t>3 апреля 2017г. Президентом РФ Владимиром Путиным был подписан долгожданный Федеральный Закон «О присоединении Российской Федерации к Конвенции для унификации некоторых правил международных воздушных перевозок» №52-ФЗ. Несколько строк данного нормативно-правового акта имеют колоссальное значение для нашей страны в части правовой регламентации международных воздушных перевозок и являются, безусловно, самым ожидаемым событием в данной сфере за последнее десятилетие.</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color w:val="000000" w:themeColor="text1"/>
          <w:sz w:val="22"/>
          <w:szCs w:val="22"/>
          <w:shd w:val="clear" w:color="auto" w:fill="FFFFFF"/>
        </w:rPr>
        <w:t>Тот факт, что, Россия присоединилась к Монреальской конвенции для унификации некоторых правил международных воздушных перевозок 1999 г., конечно, радует. Но на раздумья – быть или не быть в компании государств-участников Монреальской конвенции – Россия потратила свыше 14 лет. В России Конвенция начнет применяться с октября 2017 года. Возникает закономерный вопрос, почему очевидная польза и выгода Монреальской конвенции для своих пассажиров и авиаперевозчиков давно была понята многими государствами, кроме России? Политика неучастия в Монреальской конвенции обошлась России очень дорого. Вместо того, чтобы шагать в ногу с мировым развитием рынка международных авиаперевозок, где роль главного правового камертона стала играть Монреальская конвенция, политика неучастия в ней – по неизвестно каким причинам, – отрицательно сказалась на развитии российского рынка международных авиаперевозок, который находится в стагнации и упадке.  </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color w:val="000000" w:themeColor="text1"/>
          <w:sz w:val="22"/>
          <w:szCs w:val="22"/>
          <w:shd w:val="clear" w:color="auto" w:fill="FFFFFF"/>
        </w:rPr>
        <w:t>Теперь России придется догонять и настраивать работу своего рынка международных авиаперевозок по правилам Монреальской конвенции, на что потребуется уйма времени. К тому же, чтобы пассажиры получали от Конвенции пользу, национальный законодатель должен был бы грамотно встроить их в российскую правовую систему в соответствии с правилами и процедурами права международных договоров, но пока им эта работа не проведена. Ратификация конвенции осуществлена предельно просто, без акта имплементации, как это было сделано в свое время в отношении Варшавской конвенции 1929 года. Именно поэтому многие вопросы применения монреальских правил без опоры на национальный закон повисают в воздухе, что создаст немалые трудности для их пользователей.</w:t>
      </w:r>
    </w:p>
    <w:p w:rsidR="00A969C6" w:rsidRPr="00DA76A7" w:rsidRDefault="00A969C6" w:rsidP="00A969C6">
      <w:pPr>
        <w:pStyle w:val="ConsPlusNormal"/>
        <w:ind w:firstLine="567"/>
        <w:jc w:val="both"/>
        <w:rPr>
          <w:color w:val="000000" w:themeColor="text1"/>
          <w:sz w:val="22"/>
          <w:szCs w:val="22"/>
        </w:rPr>
      </w:pPr>
      <w:r w:rsidRPr="00DA76A7">
        <w:rPr>
          <w:color w:val="000000" w:themeColor="text1"/>
          <w:sz w:val="22"/>
          <w:szCs w:val="22"/>
        </w:rPr>
        <w:t xml:space="preserve">Сказанное объясняется тем, что долгое время Российская Федерация воздерживалась от присоединения к рассматриваемому соглашению, несмотря на то, что Конвенция набрала необходимое количество участников и вступила в силу еще в 2003-м году. </w:t>
      </w:r>
    </w:p>
    <w:p w:rsidR="00A969C6" w:rsidRPr="00DA76A7" w:rsidRDefault="00A969C6" w:rsidP="00A969C6">
      <w:pPr>
        <w:pStyle w:val="ConsPlusNormal"/>
        <w:ind w:firstLine="567"/>
        <w:jc w:val="both"/>
        <w:rPr>
          <w:color w:val="000000" w:themeColor="text1"/>
          <w:sz w:val="22"/>
          <w:szCs w:val="22"/>
        </w:rPr>
      </w:pPr>
      <w:r w:rsidRPr="00DA76A7">
        <w:rPr>
          <w:color w:val="000000" w:themeColor="text1"/>
          <w:sz w:val="22"/>
          <w:szCs w:val="22"/>
        </w:rPr>
        <w:t xml:space="preserve">Воздушный транспорт представляет собой важнейший связующий элемент современной мировой экономики и мирового сообщества в целом, поскольку обеспечивает перемещение товаров и граждан с невероятной скоростью практически в любую точку земного шара. Правовое регулирование международного воздушного сообщения имеет особое значение для безопасности воздушного транспорта, его развития, соблюдения законных интересов клиентуры авиационных предприятий. Воздушный пассажирский транспорт является наиболее важным для международного сообщения и динамично развивающимся видом транспорта, а правовое регулирование воздушных перевозок в последние годы обновлено. В системе соответствующих правовых норм выделяется та ее часть, которая регулирует гражданско-правовые отношения, возникающие при осуществлении транспортного процесса. </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color w:val="000000" w:themeColor="text1"/>
          <w:sz w:val="22"/>
          <w:szCs w:val="22"/>
          <w:shd w:val="clear" w:color="auto" w:fill="FFFFFF"/>
        </w:rPr>
        <w:t>Что же должно измениться после присоединения России к Монреальской конвенции 1999 г. в сфере регулирования международных воздушных перевозок по сравнению с архаичными правилами Варшавской конвенции 1929 года? Станет ли лучше защита прав российских пассажиров на международных рейсах? Что необходимо сделать для перевода режима международных воздушных перевозок на новые, «монреальские», правила? Почему Россия длительное время не проявляла никакого интереса к Конвенции?</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color w:val="000000" w:themeColor="text1"/>
          <w:sz w:val="22"/>
          <w:szCs w:val="22"/>
          <w:shd w:val="clear" w:color="auto" w:fill="FFFFFF"/>
        </w:rPr>
        <w:t>В сфере государственного управления гражданской авиации заметен низкий уровень  правовой компетентности. С таким правовым кругозором высокого, но некомпетентного должностного лица, от которого прямо зависело принятие решения об участии России в Монреальской конвенции, присоединение к ней необоснованно затягивалось. Во многом, разворот в сторону Монреальской конвенции в умах авиационных стратегов произошел, как представляется, под влиянием фактора проведения Чемпионата мира по футболу в 2018 году. Нужно было решить: либо Россия упустит возможность хорошо заработать на международных авиаперевозках, как это произошло на Олимпиаде в Сочи, где выгоду получили иностранные авиакомпании, выполнявщие международные перевозки по монреальским правилам, либо Россия присоединяется к ним и российские авиакомпании извлекут для себя из них коммерческую выгоду и конкурентные преимущества, до сих пор недоступные для них из-за неучастия России в конвенции. Затягивали присоединение России к Монреальской конвенции чиновники под предлогом того, что якобы участие в ней обернется для российских авиакомпаний жуткими убытками: повысятся ставки компенсаций за вред, а они, мол, скажутся на ценах на авиабилеты на международные рейсы.</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color w:val="000000" w:themeColor="text1"/>
          <w:sz w:val="22"/>
          <w:szCs w:val="22"/>
          <w:shd w:val="clear" w:color="auto" w:fill="FFFFFF"/>
        </w:rPr>
        <w:t>Новизна Конвенции состоит в значительном повышении материального уровня защиты прав и законных интересов пассажира при международных воздушных перевозках. Ее главная цель – обеспечить справедливую компенсацию на основе принципа наиболее полного возмещения. Конвенция по-новому определила размеры компенсации за вред, причиненный жизни и здоровью пассажира, повреждение его багажа, а также при задержке, и установила другие международные правила авиаперевозок, обоюдно важные для пассажиров и перевозчиков.</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rStyle w:val="af6"/>
          <w:color w:val="000000" w:themeColor="text1"/>
          <w:sz w:val="22"/>
          <w:szCs w:val="22"/>
          <w:shd w:val="clear" w:color="auto" w:fill="FFFFFF"/>
        </w:rPr>
        <w:t>Первоначально компенсация в случае смерти или телесного повреждения пассажиров определялась в 100 000 специальных прав заимствования (СПЗ) (порядка 7 миллионов 900 тысяч рублей по текущему курсу), уничтожении, утери, повреждении или задержки багажа – в 1000 СПЗ (порядка 79 тысяч рублей) и задержке воздушного судна в 4150 СПЗ (порядка 328 тысяч рублей). </w:t>
      </w:r>
      <w:r w:rsidRPr="00DA76A7">
        <w:rPr>
          <w:color w:val="000000" w:themeColor="text1"/>
          <w:sz w:val="22"/>
          <w:szCs w:val="22"/>
          <w:shd w:val="clear" w:color="auto" w:fill="FFFFFF"/>
        </w:rPr>
        <w:t>В 2009 году размеры компенсаций в соответствии с конвенцией были повышены с учетом инфляции. ИКАО эту работу должно проводить регулярно, раз в пять лет как минимум. Важно обратить внимание на то, что национальный законодатель должен был бы установить в законе порядок перехода на новые расчеты компенсаций, принимаемых периодически ИКАО с учетом инфляции, но он этого не сделал. Такой просчет на практике повлечет многочисленные правовые конфликты между пассажирами и авиаперевозчиками по поводу параметров расчетов компенсаций. Закон мог бы внести ясность в этот вопрос, но его нет.</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color w:val="000000" w:themeColor="text1"/>
          <w:sz w:val="22"/>
          <w:szCs w:val="22"/>
          <w:shd w:val="clear" w:color="auto" w:fill="FFFFFF"/>
        </w:rPr>
        <w:t xml:space="preserve">Говоря о сложностях применения данного закона, стоит отметить, что применительно к Монреальской конвенции ее нормы имеют приоритет над внутренними нормами, регулирующими международные воздушные перевозки. Но в этом случае российские пользователи Конвенции – пассажиры, авиаперевозчики, органы государственной власти, суды и другие – должны уметь ею пользоваться. В том-то и дело, что к правильному применению Конвенции мало кто из ее пользователей подготовлен. При таком раскладе это прямо приведет к возникновению многочисленных правовых конфликтов между пассажирами и авиаперевозчиками, спорам в судах. Все могло бы быть иначе, если бы российский национальный законодатель был предусмотрительным и принял специальный нормативный акт, разъясняющий применение конвенции и помогающий ее пользователям правильно и бесконфликтно применять Монреальскую конвенцию на практике. </w:t>
      </w:r>
    </w:p>
    <w:p w:rsidR="00A969C6" w:rsidRPr="00DA76A7" w:rsidRDefault="00A969C6" w:rsidP="00A969C6">
      <w:pPr>
        <w:pStyle w:val="ConsPlusNormal"/>
        <w:ind w:firstLine="567"/>
        <w:jc w:val="both"/>
        <w:rPr>
          <w:color w:val="000000" w:themeColor="text1"/>
          <w:sz w:val="22"/>
          <w:szCs w:val="22"/>
          <w:shd w:val="clear" w:color="auto" w:fill="FFFFFF"/>
        </w:rPr>
      </w:pPr>
      <w:r w:rsidRPr="00DA76A7">
        <w:rPr>
          <w:color w:val="000000" w:themeColor="text1"/>
          <w:sz w:val="22"/>
          <w:szCs w:val="22"/>
          <w:shd w:val="clear" w:color="auto" w:fill="FFFFFF"/>
        </w:rPr>
        <w:t>Конвенция говорит в преамбуле о «справедливой компенсации на основе принципа наиболее полного возмещения». Чтобы размеры справедливости при определении компенсации были понятны и понимались пассажирами и перевозчиками одинаково. Национальному законодателю, если ему это будет по силам, стоит над этим подумать и дать четкие определения этих понятий и терминов, без чего пользователи Конвенции могут надолго заблудиться и блуждать в поисках справедливости и наиболее полного возмещения на поле споров между собой и в судах.</w:t>
      </w:r>
    </w:p>
    <w:p w:rsidR="00A969C6" w:rsidRPr="00DA76A7" w:rsidRDefault="00A969C6" w:rsidP="00A969C6">
      <w:pPr>
        <w:pStyle w:val="ConsPlusNormal"/>
        <w:ind w:firstLine="567"/>
        <w:jc w:val="both"/>
        <w:rPr>
          <w:rFonts w:eastAsia="Times New Roman"/>
          <w:color w:val="000000" w:themeColor="text1"/>
          <w:sz w:val="22"/>
          <w:szCs w:val="22"/>
        </w:rPr>
      </w:pPr>
      <w:r w:rsidRPr="00DA76A7">
        <w:rPr>
          <w:color w:val="000000" w:themeColor="text1"/>
          <w:sz w:val="22"/>
          <w:szCs w:val="22"/>
          <w:shd w:val="clear" w:color="auto" w:fill="FFFFFF"/>
        </w:rPr>
        <w:t>На основании вышесказанного, стоит отметить, что в</w:t>
      </w:r>
      <w:r w:rsidRPr="00DA76A7">
        <w:rPr>
          <w:rFonts w:eastAsia="Open Sans"/>
          <w:color w:val="000000" w:themeColor="text1"/>
          <w:sz w:val="22"/>
          <w:szCs w:val="22"/>
          <w:shd w:val="clear" w:color="auto" w:fill="FFFFFF"/>
        </w:rPr>
        <w:t>сем будет непросто. Пассажир, имеющий право на возмещение вреда здоровью и его багажу согласно Монреальской конвенции, обречен на обивание различных ведомственных, судебных и иных инстанций и доказывание очевидного (т.е. своих прав, закрепленных за ним в Конвенции) только потому, что национальный законодатель не потрудился обеспечить должного взаимодействия Конвенции с российской правовой системой, как этого требует Конституция РФ. В непростом положении оказались российские перевозчики, не имея правовых директив со стороны государства в отношении ее порядка и условий применения, перевозчики вынуждены будут сами определять, как и каким образом применять Конвенцию на практике.</w:t>
      </w:r>
    </w:p>
    <w:p w:rsidR="00D971C1" w:rsidRDefault="00D971C1" w:rsidP="003A625F">
      <w:pPr>
        <w:pStyle w:val="a4"/>
        <w:rPr>
          <w:rFonts w:ascii="Arial" w:hAnsi="Arial" w:cs="Arial"/>
          <w:b/>
          <w:color w:val="000000" w:themeColor="text1"/>
          <w:sz w:val="22"/>
          <w:szCs w:val="22"/>
        </w:rPr>
      </w:pPr>
    </w:p>
    <w:p w:rsidR="003A625F" w:rsidRDefault="003A625F" w:rsidP="003A625F">
      <w:pPr>
        <w:pStyle w:val="a4"/>
        <w:rPr>
          <w:rFonts w:ascii="Arial" w:hAnsi="Arial" w:cs="Arial"/>
          <w:b/>
          <w:color w:val="000000" w:themeColor="text1"/>
          <w:sz w:val="22"/>
          <w:szCs w:val="22"/>
        </w:rPr>
      </w:pPr>
    </w:p>
    <w:p w:rsidR="00A969C6" w:rsidRPr="00DA76A7" w:rsidRDefault="00A969C6" w:rsidP="00A969C6">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widowControl/>
        <w:numPr>
          <w:ilvl w:val="0"/>
          <w:numId w:val="37"/>
        </w:numPr>
        <w:shd w:val="clear" w:color="auto" w:fill="FFFFFF"/>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Федеральный закон от 03.04.2017 N 52-ФЗ «О присоединении Российской Федерации к Конвенции для унификации некоторых правил международных воздушных перевозок»;</w:t>
      </w:r>
    </w:p>
    <w:p w:rsidR="00A969C6" w:rsidRPr="00DA76A7" w:rsidRDefault="00A969C6" w:rsidP="00D45D6B">
      <w:pPr>
        <w:numPr>
          <w:ilvl w:val="0"/>
          <w:numId w:val="37"/>
        </w:numPr>
        <w:tabs>
          <w:tab w:val="left" w:pos="851"/>
        </w:tabs>
        <w:ind w:left="0"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Бордунова В. Монреальская конвенция - шаг к выгодам и преимуществам: подход [Электронный  ресурс]. - Режим доступа: https://www.aex.ru/docs/1/2017/5/29/2611/ </w:t>
      </w:r>
    </w:p>
    <w:p w:rsidR="00A969C6" w:rsidRPr="00DA76A7" w:rsidRDefault="00A969C6" w:rsidP="00A969C6">
      <w:pPr>
        <w:ind w:firstLine="567"/>
        <w:rPr>
          <w:rFonts w:ascii="Arial" w:hAnsi="Arial" w:cs="Arial"/>
          <w:color w:val="000000" w:themeColor="text1"/>
          <w:sz w:val="22"/>
          <w:szCs w:val="22"/>
        </w:rPr>
      </w:pPr>
    </w:p>
    <w:p w:rsidR="00A969C6" w:rsidRPr="00DA76A7" w:rsidRDefault="00A969C6" w:rsidP="00A969C6">
      <w:pPr>
        <w:ind w:firstLine="567"/>
        <w:rPr>
          <w:rFonts w:ascii="Arial" w:hAnsi="Arial" w:cs="Arial"/>
          <w:color w:val="000000" w:themeColor="text1"/>
          <w:sz w:val="22"/>
          <w:szCs w:val="22"/>
        </w:rPr>
      </w:pPr>
    </w:p>
    <w:p w:rsidR="003A625F" w:rsidRDefault="003A625F" w:rsidP="00A969C6">
      <w:pPr>
        <w:pStyle w:val="a4"/>
        <w:ind w:firstLine="567"/>
        <w:jc w:val="center"/>
        <w:rPr>
          <w:rFonts w:ascii="Arial" w:hAnsi="Arial" w:cs="Arial"/>
          <w:b/>
          <w:color w:val="000000" w:themeColor="text1"/>
          <w:sz w:val="22"/>
          <w:szCs w:val="22"/>
        </w:rPr>
      </w:pPr>
    </w:p>
    <w:p w:rsidR="00A969C6" w:rsidRPr="00DA76A7" w:rsidRDefault="00A969C6" w:rsidP="00A969C6">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МЕЖДУНАРОДНЫЙ КОНТРОЛЬ В ОБЛАСТИ ЗАЩИТЫ ПРАВ ЧЕЛОВЕКА</w:t>
      </w:r>
    </w:p>
    <w:p w:rsidR="00A969C6" w:rsidRPr="00DA76A7" w:rsidRDefault="00A969C6" w:rsidP="00A969C6">
      <w:pPr>
        <w:pStyle w:val="a4"/>
        <w:ind w:firstLine="567"/>
        <w:jc w:val="center"/>
        <w:rPr>
          <w:rFonts w:ascii="Arial" w:hAnsi="Arial" w:cs="Arial"/>
          <w:b/>
          <w:color w:val="000000" w:themeColor="text1"/>
          <w:sz w:val="22"/>
          <w:szCs w:val="22"/>
        </w:rPr>
      </w:pPr>
    </w:p>
    <w:p w:rsidR="00A969C6" w:rsidRPr="00DA76A7" w:rsidRDefault="00A969C6" w:rsidP="00A969C6">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Шукуров Амриддин Тоджидинович</w:t>
      </w:r>
    </w:p>
    <w:p w:rsidR="00A969C6" w:rsidRPr="00DA76A7" w:rsidRDefault="00A969C6" w:rsidP="00A969C6">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A969C6" w:rsidRPr="00DA76A7" w:rsidRDefault="00A969C6" w:rsidP="00A969C6">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pStyle w:val="Default"/>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л</w:t>
      </w:r>
      <w:r w:rsidRPr="00AC7230">
        <w:rPr>
          <w:rFonts w:ascii="Arial" w:hAnsi="Arial" w:cs="Arial"/>
          <w:color w:val="000000" w:themeColor="text1"/>
          <w:sz w:val="22"/>
          <w:szCs w:val="22"/>
        </w:rPr>
        <w:t xml:space="preserve">.: +992900-91-54-54,  </w:t>
      </w:r>
      <w:r w:rsidRPr="00DA76A7">
        <w:rPr>
          <w:rFonts w:ascii="Arial" w:hAnsi="Arial" w:cs="Arial"/>
          <w:color w:val="000000" w:themeColor="text1"/>
          <w:sz w:val="22"/>
          <w:szCs w:val="22"/>
        </w:rPr>
        <w:t>е</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hyperlink r:id="rId92" w:history="1">
        <w:r w:rsidRPr="00DA76A7">
          <w:rPr>
            <w:rStyle w:val="af0"/>
            <w:rFonts w:ascii="Arial" w:hAnsi="Arial" w:cs="Arial"/>
            <w:color w:val="000000" w:themeColor="text1"/>
            <w:sz w:val="22"/>
            <w:szCs w:val="22"/>
            <w:u w:val="none"/>
            <w:lang w:val="en-US"/>
          </w:rPr>
          <w:t>Amrik_95@bk.ru</w:t>
        </w:r>
      </w:hyperlink>
    </w:p>
    <w:p w:rsidR="00A969C6" w:rsidRDefault="00A969C6" w:rsidP="00A969C6">
      <w:pPr>
        <w:pStyle w:val="a4"/>
        <w:ind w:firstLine="567"/>
        <w:jc w:val="center"/>
        <w:rPr>
          <w:rFonts w:ascii="Arial" w:hAnsi="Arial" w:cs="Arial"/>
          <w:b/>
          <w:color w:val="000000" w:themeColor="text1"/>
          <w:sz w:val="22"/>
          <w:szCs w:val="22"/>
          <w:lang w:val="en-US"/>
        </w:rPr>
      </w:pPr>
    </w:p>
    <w:p w:rsidR="003A625F" w:rsidRDefault="003A625F" w:rsidP="00A969C6">
      <w:pPr>
        <w:pStyle w:val="a4"/>
        <w:ind w:firstLine="567"/>
        <w:jc w:val="center"/>
        <w:rPr>
          <w:rFonts w:ascii="Arial" w:hAnsi="Arial" w:cs="Arial"/>
          <w:b/>
          <w:color w:val="000000" w:themeColor="text1"/>
          <w:sz w:val="22"/>
          <w:szCs w:val="22"/>
          <w:lang w:val="en-US"/>
        </w:rPr>
      </w:pPr>
    </w:p>
    <w:p w:rsidR="003A625F" w:rsidRDefault="003A625F" w:rsidP="00A969C6">
      <w:pPr>
        <w:pStyle w:val="a4"/>
        <w:ind w:firstLine="567"/>
        <w:jc w:val="center"/>
        <w:rPr>
          <w:rFonts w:ascii="Arial" w:hAnsi="Arial" w:cs="Arial"/>
          <w:b/>
          <w:color w:val="000000" w:themeColor="text1"/>
          <w:sz w:val="22"/>
          <w:szCs w:val="22"/>
          <w:lang w:val="en-US"/>
        </w:rPr>
      </w:pPr>
    </w:p>
    <w:p w:rsidR="003A625F" w:rsidRDefault="003A625F" w:rsidP="00A969C6">
      <w:pPr>
        <w:pStyle w:val="a4"/>
        <w:ind w:firstLine="567"/>
        <w:jc w:val="center"/>
        <w:rPr>
          <w:rFonts w:ascii="Arial" w:hAnsi="Arial" w:cs="Arial"/>
          <w:b/>
          <w:color w:val="000000" w:themeColor="text1"/>
          <w:sz w:val="22"/>
          <w:szCs w:val="22"/>
          <w:lang w:val="en-US"/>
        </w:rPr>
      </w:pPr>
    </w:p>
    <w:p w:rsidR="003A625F" w:rsidRDefault="003A625F" w:rsidP="00A969C6">
      <w:pPr>
        <w:pStyle w:val="a4"/>
        <w:ind w:firstLine="567"/>
        <w:jc w:val="center"/>
        <w:rPr>
          <w:rFonts w:ascii="Arial" w:hAnsi="Arial" w:cs="Arial"/>
          <w:b/>
          <w:color w:val="000000" w:themeColor="text1"/>
          <w:sz w:val="22"/>
          <w:szCs w:val="22"/>
          <w:lang w:val="en-US"/>
        </w:rPr>
      </w:pPr>
    </w:p>
    <w:p w:rsidR="003A625F" w:rsidRDefault="003A625F" w:rsidP="00A969C6">
      <w:pPr>
        <w:pStyle w:val="a4"/>
        <w:ind w:firstLine="567"/>
        <w:jc w:val="center"/>
        <w:rPr>
          <w:rFonts w:ascii="Arial" w:hAnsi="Arial" w:cs="Arial"/>
          <w:b/>
          <w:color w:val="000000" w:themeColor="text1"/>
          <w:sz w:val="22"/>
          <w:szCs w:val="22"/>
          <w:lang w:val="en-US"/>
        </w:rPr>
      </w:pPr>
    </w:p>
    <w:p w:rsidR="003A625F" w:rsidRPr="00DA76A7" w:rsidRDefault="003A625F" w:rsidP="00A969C6">
      <w:pPr>
        <w:pStyle w:val="a4"/>
        <w:ind w:firstLine="567"/>
        <w:jc w:val="center"/>
        <w:rPr>
          <w:rFonts w:ascii="Arial" w:hAnsi="Arial" w:cs="Arial"/>
          <w:b/>
          <w:color w:val="000000" w:themeColor="text1"/>
          <w:sz w:val="22"/>
          <w:szCs w:val="22"/>
          <w:lang w:val="en-US"/>
        </w:rPr>
      </w:pPr>
    </w:p>
    <w:p w:rsidR="00A969C6" w:rsidRPr="00DA76A7" w:rsidRDefault="00A969C6" w:rsidP="00A969C6">
      <w:pPr>
        <w:pStyle w:val="a4"/>
        <w:ind w:firstLine="567"/>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INTERNATIONAL CONTROL IN THE FIELD OF PROTECTION OF HUMAN RIGHTS</w:t>
      </w:r>
    </w:p>
    <w:p w:rsidR="00A969C6" w:rsidRPr="00DA76A7" w:rsidRDefault="00A969C6" w:rsidP="00A969C6">
      <w:pPr>
        <w:pStyle w:val="a4"/>
        <w:ind w:firstLine="567"/>
        <w:jc w:val="center"/>
        <w:rPr>
          <w:rFonts w:ascii="Arial" w:hAnsi="Arial" w:cs="Arial"/>
          <w:b/>
          <w:color w:val="000000" w:themeColor="text1"/>
          <w:sz w:val="22"/>
          <w:szCs w:val="22"/>
          <w:lang w:val="en-US"/>
        </w:rPr>
      </w:pPr>
    </w:p>
    <w:p w:rsidR="00A969C6" w:rsidRPr="00DA76A7" w:rsidRDefault="00A969C6" w:rsidP="00A969C6">
      <w:pPr>
        <w:pStyle w:val="HTML"/>
        <w:shd w:val="clear" w:color="auto" w:fill="FFFFFF"/>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Shukurov Amriddin Todzhidinovich</w:t>
      </w:r>
    </w:p>
    <w:p w:rsidR="00A969C6" w:rsidRPr="00DA76A7" w:rsidRDefault="00A969C6" w:rsidP="00A969C6">
      <w:pPr>
        <w:pStyle w:val="a9"/>
        <w:tabs>
          <w:tab w:val="left" w:pos="4380"/>
        </w:tabs>
        <w:ind w:firstLine="567"/>
        <w:jc w:val="center"/>
        <w:rPr>
          <w:rFonts w:ascii="Arial" w:hAnsi="Arial" w:cs="Arial"/>
          <w:color w:val="000000" w:themeColor="text1"/>
        </w:rPr>
      </w:pPr>
      <w:r w:rsidRPr="00DA76A7">
        <w:rPr>
          <w:rFonts w:ascii="Arial" w:hAnsi="Arial" w:cs="Arial"/>
          <w:color w:val="000000" w:themeColor="text1"/>
        </w:rPr>
        <w:t>undergraduate 2nd year students of full-time department of the law faculty</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 30</w:t>
      </w:r>
    </w:p>
    <w:p w:rsidR="00A969C6" w:rsidRPr="00DA76A7" w:rsidRDefault="00A969C6" w:rsidP="00A969C6">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+992900-91-54-54, e-mail: </w:t>
      </w:r>
      <w:hyperlink r:id="rId93" w:history="1">
        <w:r w:rsidRPr="00DA76A7">
          <w:rPr>
            <w:rStyle w:val="af0"/>
            <w:rFonts w:ascii="Arial" w:hAnsi="Arial" w:cs="Arial"/>
            <w:color w:val="000000" w:themeColor="text1"/>
            <w:sz w:val="22"/>
            <w:szCs w:val="22"/>
            <w:u w:val="none"/>
            <w:lang w:val="en-US"/>
          </w:rPr>
          <w:t>Amrik_95@bk.ru</w:t>
        </w:r>
      </w:hyperlink>
    </w:p>
    <w:p w:rsidR="00A969C6" w:rsidRPr="00DA76A7" w:rsidRDefault="00A969C6" w:rsidP="00A969C6">
      <w:pPr>
        <w:ind w:firstLine="567"/>
        <w:jc w:val="both"/>
        <w:rPr>
          <w:rFonts w:ascii="Arial" w:hAnsi="Arial" w:cs="Arial"/>
          <w:color w:val="000000" w:themeColor="text1"/>
          <w:sz w:val="22"/>
          <w:szCs w:val="22"/>
          <w:lang w:val="en-US"/>
        </w:rPr>
      </w:pPr>
    </w:p>
    <w:p w:rsidR="00A969C6" w:rsidRPr="00DA76A7" w:rsidRDefault="00A969C6" w:rsidP="00A969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Пулатов А.С.</w:t>
      </w:r>
    </w:p>
    <w:p w:rsidR="00A969C6" w:rsidRPr="00DA76A7" w:rsidRDefault="00A969C6" w:rsidP="00A969C6">
      <w:pPr>
        <w:ind w:firstLine="567"/>
        <w:jc w:val="right"/>
        <w:rPr>
          <w:rFonts w:ascii="Arial" w:hAnsi="Arial" w:cs="Arial"/>
          <w:color w:val="000000" w:themeColor="text1"/>
          <w:sz w:val="22"/>
          <w:szCs w:val="22"/>
        </w:rPr>
      </w:pPr>
    </w:p>
    <w:p w:rsidR="00A969C6" w:rsidRPr="00DA76A7" w:rsidRDefault="00B46B9E" w:rsidP="00A969C6">
      <w:pPr>
        <w:pStyle w:val="a4"/>
        <w:ind w:firstLine="567"/>
        <w:jc w:val="both"/>
        <w:rPr>
          <w:rFonts w:ascii="Arial" w:hAnsi="Arial" w:cs="Arial"/>
          <w:i/>
          <w:color w:val="000000" w:themeColor="text1"/>
          <w:sz w:val="22"/>
          <w:szCs w:val="22"/>
          <w:shd w:val="clear" w:color="auto" w:fill="FFFFFF"/>
        </w:rPr>
      </w:pPr>
      <w:r w:rsidRPr="00DA76A7">
        <w:rPr>
          <w:rFonts w:ascii="Arial" w:hAnsi="Arial" w:cs="Arial"/>
          <w:b/>
          <w:i/>
          <w:color w:val="000000" w:themeColor="text1"/>
          <w:sz w:val="22"/>
          <w:szCs w:val="22"/>
        </w:rPr>
        <w:t>Аннотация.</w:t>
      </w:r>
      <w:r w:rsidR="00A969C6" w:rsidRPr="00DA76A7">
        <w:rPr>
          <w:rFonts w:ascii="Arial" w:hAnsi="Arial" w:cs="Arial"/>
          <w:b/>
          <w:i/>
          <w:color w:val="000000" w:themeColor="text1"/>
          <w:sz w:val="22"/>
          <w:szCs w:val="22"/>
        </w:rPr>
        <w:t xml:space="preserve"> </w:t>
      </w:r>
      <w:r w:rsidR="00A969C6" w:rsidRPr="00DA76A7">
        <w:rPr>
          <w:rFonts w:ascii="Arial" w:hAnsi="Arial" w:cs="Arial"/>
          <w:i/>
          <w:color w:val="000000" w:themeColor="text1"/>
          <w:sz w:val="22"/>
          <w:szCs w:val="22"/>
        </w:rPr>
        <w:t>В статье констатируется контролирующая роль</w:t>
      </w:r>
      <w:r w:rsidR="00A969C6" w:rsidRPr="00DA76A7">
        <w:rPr>
          <w:rFonts w:ascii="Arial" w:hAnsi="Arial" w:cs="Arial"/>
          <w:i/>
          <w:color w:val="000000" w:themeColor="text1"/>
          <w:sz w:val="22"/>
          <w:szCs w:val="22"/>
          <w:shd w:val="clear" w:color="auto" w:fill="FFFFFF"/>
        </w:rPr>
        <w:t xml:space="preserve"> международно-правового механизма защиты прав человека. Автором подчеркивается, что основная функция органов, действующих в рамках этого механизма, - это контроль за выполнением государствами своих обязательств по международному праву, касающихся прав человека. Поэтому одним из важнейших процессов в механизме защиты прав человека является сближение различных правовых систем, национальных законодательств с нормами международного права.</w:t>
      </w:r>
    </w:p>
    <w:p w:rsidR="00A969C6" w:rsidRPr="00DA76A7" w:rsidRDefault="00A969C6" w:rsidP="00A969C6">
      <w:pPr>
        <w:pStyle w:val="HTML"/>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 xml:space="preserve"> </w:t>
      </w:r>
      <w:r w:rsidR="00081412" w:rsidRPr="00DA76A7">
        <w:rPr>
          <w:rFonts w:ascii="Arial" w:hAnsi="Arial" w:cs="Arial"/>
          <w:b/>
          <w:i/>
          <w:color w:val="000000" w:themeColor="text1"/>
          <w:sz w:val="22"/>
          <w:szCs w:val="22"/>
          <w:lang w:val="en-US"/>
        </w:rPr>
        <w:t>Annotation.</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The international legal mechanism for the protection of human rights is called control, since the main function of the bodies acting under this mechanism is to monitor the fulfillment by States of their obligations under international law relating to human rights. Therefore, one of the most important processes in the mechanism for the protection of human rights is the convergence of various legal systems, national legislations with the norms of international law.</w:t>
      </w:r>
    </w:p>
    <w:p w:rsidR="00A969C6" w:rsidRPr="00DA76A7" w:rsidRDefault="00A969C6" w:rsidP="00A969C6">
      <w:pPr>
        <w:pStyle w:val="HTML"/>
        <w:ind w:firstLine="567"/>
        <w:jc w:val="both"/>
        <w:rPr>
          <w:rFonts w:ascii="Arial" w:hAnsi="Arial" w:cs="Arial"/>
          <w:i/>
          <w:color w:val="000000" w:themeColor="text1"/>
          <w:sz w:val="22"/>
          <w:szCs w:val="22"/>
        </w:rPr>
      </w:pPr>
      <w:r w:rsidRPr="00DA76A7">
        <w:rPr>
          <w:rFonts w:ascii="Arial" w:hAnsi="Arial" w:cs="Arial"/>
          <w:i/>
          <w:color w:val="000000" w:themeColor="text1"/>
          <w:sz w:val="22"/>
          <w:szCs w:val="22"/>
          <w:lang w:val="en-US"/>
        </w:rPr>
        <w:t xml:space="preserve"> </w:t>
      </w: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shd w:val="clear" w:color="auto" w:fill="FFFFFF"/>
        </w:rPr>
        <w:t>международная защита прав человека</w:t>
      </w:r>
      <w:r w:rsidRPr="00DA76A7">
        <w:rPr>
          <w:rStyle w:val="apple-converted-space"/>
          <w:rFonts w:ascii="Arial" w:hAnsi="Arial" w:cs="Arial"/>
          <w:i/>
          <w:color w:val="000000" w:themeColor="text1"/>
          <w:sz w:val="22"/>
          <w:szCs w:val="22"/>
          <w:shd w:val="clear" w:color="auto" w:fill="FFFFFF"/>
        </w:rPr>
        <w:t xml:space="preserve">, международные организации, </w:t>
      </w:r>
      <w:r w:rsidRPr="00DA76A7">
        <w:rPr>
          <w:rFonts w:ascii="Arial" w:hAnsi="Arial" w:cs="Arial"/>
          <w:i/>
          <w:color w:val="000000" w:themeColor="text1"/>
          <w:sz w:val="22"/>
          <w:szCs w:val="22"/>
        </w:rPr>
        <w:t>Всеобщая декларация прав человека</w:t>
      </w:r>
    </w:p>
    <w:p w:rsidR="00A969C6" w:rsidRPr="00DA76A7" w:rsidRDefault="00A969C6" w:rsidP="00A969C6">
      <w:pPr>
        <w:pStyle w:val="a4"/>
        <w:ind w:firstLine="567"/>
        <w:jc w:val="both"/>
        <w:rPr>
          <w:rFonts w:ascii="Arial" w:hAnsi="Arial" w:cs="Arial"/>
          <w:b/>
          <w:color w:val="000000" w:themeColor="text1"/>
          <w:sz w:val="22"/>
          <w:szCs w:val="22"/>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shd w:val="clear" w:color="auto" w:fill="FFFFFF"/>
          <w:lang w:val="en-US"/>
        </w:rPr>
        <w:t>international protection of human rights, international organizations. Universal</w:t>
      </w:r>
      <w:r w:rsidRPr="00DA76A7">
        <w:rPr>
          <w:rFonts w:ascii="Arial" w:hAnsi="Arial" w:cs="Arial"/>
          <w:i/>
          <w:color w:val="000000" w:themeColor="text1"/>
          <w:sz w:val="22"/>
          <w:szCs w:val="22"/>
          <w:shd w:val="clear" w:color="auto" w:fill="FFFFFF"/>
        </w:rPr>
        <w:t xml:space="preserve"> </w:t>
      </w:r>
      <w:r w:rsidRPr="00DA76A7">
        <w:rPr>
          <w:rFonts w:ascii="Arial" w:hAnsi="Arial" w:cs="Arial"/>
          <w:i/>
          <w:color w:val="000000" w:themeColor="text1"/>
          <w:sz w:val="22"/>
          <w:szCs w:val="22"/>
          <w:shd w:val="clear" w:color="auto" w:fill="FFFFFF"/>
          <w:lang w:val="en-US"/>
        </w:rPr>
        <w:t>Declaration</w:t>
      </w:r>
      <w:r w:rsidRPr="00DA76A7">
        <w:rPr>
          <w:rFonts w:ascii="Arial" w:hAnsi="Arial" w:cs="Arial"/>
          <w:i/>
          <w:color w:val="000000" w:themeColor="text1"/>
          <w:sz w:val="22"/>
          <w:szCs w:val="22"/>
          <w:shd w:val="clear" w:color="auto" w:fill="FFFFFF"/>
        </w:rPr>
        <w:t xml:space="preserve"> </w:t>
      </w:r>
      <w:r w:rsidRPr="00DA76A7">
        <w:rPr>
          <w:rFonts w:ascii="Arial" w:hAnsi="Arial" w:cs="Arial"/>
          <w:i/>
          <w:color w:val="000000" w:themeColor="text1"/>
          <w:sz w:val="22"/>
          <w:szCs w:val="22"/>
          <w:shd w:val="clear" w:color="auto" w:fill="FFFFFF"/>
          <w:lang w:val="en-US"/>
        </w:rPr>
        <w:t>of</w:t>
      </w:r>
      <w:r w:rsidRPr="00DA76A7">
        <w:rPr>
          <w:rFonts w:ascii="Arial" w:hAnsi="Arial" w:cs="Arial"/>
          <w:i/>
          <w:color w:val="000000" w:themeColor="text1"/>
          <w:sz w:val="22"/>
          <w:szCs w:val="22"/>
          <w:shd w:val="clear" w:color="auto" w:fill="FFFFFF"/>
        </w:rPr>
        <w:t xml:space="preserve"> </w:t>
      </w:r>
      <w:r w:rsidRPr="00DA76A7">
        <w:rPr>
          <w:rFonts w:ascii="Arial" w:hAnsi="Arial" w:cs="Arial"/>
          <w:i/>
          <w:color w:val="000000" w:themeColor="text1"/>
          <w:sz w:val="22"/>
          <w:szCs w:val="22"/>
          <w:shd w:val="clear" w:color="auto" w:fill="FFFFFF"/>
          <w:lang w:val="en-US"/>
        </w:rPr>
        <w:t>Human</w:t>
      </w:r>
      <w:r w:rsidRPr="00DA76A7">
        <w:rPr>
          <w:rFonts w:ascii="Arial" w:hAnsi="Arial" w:cs="Arial"/>
          <w:i/>
          <w:color w:val="000000" w:themeColor="text1"/>
          <w:sz w:val="22"/>
          <w:szCs w:val="22"/>
          <w:shd w:val="clear" w:color="auto" w:fill="FFFFFF"/>
        </w:rPr>
        <w:t xml:space="preserve"> </w:t>
      </w:r>
      <w:r w:rsidRPr="00DA76A7">
        <w:rPr>
          <w:rFonts w:ascii="Arial" w:hAnsi="Arial" w:cs="Arial"/>
          <w:i/>
          <w:color w:val="000000" w:themeColor="text1"/>
          <w:sz w:val="22"/>
          <w:szCs w:val="22"/>
          <w:shd w:val="clear" w:color="auto" w:fill="FFFFFF"/>
          <w:lang w:val="en-US"/>
        </w:rPr>
        <w:t>Rights</w:t>
      </w:r>
    </w:p>
    <w:p w:rsidR="00A969C6" w:rsidRPr="00DA76A7" w:rsidRDefault="00A969C6" w:rsidP="00A969C6">
      <w:pPr>
        <w:ind w:firstLine="567"/>
        <w:jc w:val="both"/>
        <w:rPr>
          <w:rFonts w:ascii="Arial" w:hAnsi="Arial" w:cs="Arial"/>
          <w:color w:val="000000" w:themeColor="text1"/>
          <w:sz w:val="22"/>
          <w:szCs w:val="22"/>
        </w:rPr>
      </w:pPr>
    </w:p>
    <w:p w:rsidR="00A969C6" w:rsidRPr="00DA76A7" w:rsidRDefault="00A969C6" w:rsidP="00A969C6">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Институт международного контроля в области защиты прав человека в современном мире играет весьма важную роль. Актуальность данного института международно-правовой жизни связано с той ролью, которая отводится защите прав человека как результат нарушения последних. </w:t>
      </w:r>
    </w:p>
    <w:p w:rsidR="00A969C6" w:rsidRPr="00DA76A7" w:rsidRDefault="00A969C6" w:rsidP="00A969C6">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подчеркнуть, что нормативной базой, регулирующей основные права и свободы человека и гражданина в международном аспекте, выступают  Всеобщая декларация прав человека 1948 г., Международному пакту о гражданских и политических правах, Международный пакт о социальных и культурных правах. Последние, как правило, носят универсальный характер. Согласно нормам вышеупомянутых правовых актов, государства обязаны обеспечивать предусмотренные нормами международного права основные права и свободы человека. Расхождение между нормами международного и внутринационального права в области защиты и обеспечения прав и свобод человека возможны лишь в том случае, если нормы внутреннего законодательства в той или иной степени расширяют права и свободы человека. </w:t>
      </w:r>
    </w:p>
    <w:p w:rsidR="00A969C6" w:rsidRPr="00DA76A7" w:rsidRDefault="00A969C6" w:rsidP="00A969C6">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Надо заметить, что институт основных прав и свобод дарованы личности не государством. По сути, общепринято, что они принадлежат каждому индивиду с рождения и прекращаются в момент смерти. В силу данного «императивного» начала государства обязаны уважать и обеспечивать так называемые естественные права и свободы человека и гражданина. </w:t>
      </w:r>
    </w:p>
    <w:p w:rsidR="00A969C6" w:rsidRPr="00DA76A7" w:rsidRDefault="00A969C6" w:rsidP="00A969C6">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правило, основополагающим началом закрепления и  реализации прав человека во внутригосударственном праве является отражение последних в Конституции того или иного государства. В силу чего реализация последних становится обязанностью государства.  </w:t>
      </w:r>
    </w:p>
    <w:p w:rsidR="00A969C6" w:rsidRPr="00DA76A7" w:rsidRDefault="00A969C6" w:rsidP="00A969C6">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Тем не менее, следует подчеркнуть, что на современном этапе развития человеческого общежития, несмотря на наличие выработанного международного и национального механизмов защиты прав человека механизм гарантий реализации прав и свобод человека остается несовершенным [</w:t>
      </w:r>
      <w:r w:rsidR="00666D87" w:rsidRPr="00DA76A7">
        <w:rPr>
          <w:rFonts w:ascii="Arial" w:hAnsi="Arial" w:cs="Arial"/>
          <w:color w:val="000000" w:themeColor="text1"/>
          <w:sz w:val="22"/>
          <w:szCs w:val="22"/>
        </w:rPr>
        <w:fldChar w:fldCharType="begin"/>
      </w:r>
      <w:r w:rsidRPr="00DA76A7">
        <w:rPr>
          <w:rFonts w:ascii="Arial" w:hAnsi="Arial" w:cs="Arial"/>
          <w:color w:val="000000" w:themeColor="text1"/>
          <w:sz w:val="22"/>
          <w:szCs w:val="22"/>
        </w:rPr>
        <w:instrText xml:space="preserve"> REF шестаков_л__права_чел_межд_документов \h  \* MERGEFORMAT </w:instrText>
      </w:r>
      <w:r w:rsidR="00666D87" w:rsidRPr="00DA76A7">
        <w:rPr>
          <w:rFonts w:ascii="Arial" w:hAnsi="Arial" w:cs="Arial"/>
          <w:color w:val="000000" w:themeColor="text1"/>
          <w:sz w:val="22"/>
          <w:szCs w:val="22"/>
        </w:rPr>
      </w:r>
      <w:r w:rsidR="00666D87" w:rsidRPr="00DA76A7">
        <w:rPr>
          <w:rFonts w:ascii="Arial" w:hAnsi="Arial" w:cs="Arial"/>
          <w:color w:val="000000" w:themeColor="text1"/>
          <w:sz w:val="22"/>
          <w:szCs w:val="22"/>
        </w:rPr>
        <w:fldChar w:fldCharType="end"/>
      </w:r>
      <w:r w:rsidR="00666D87" w:rsidRPr="00DA76A7">
        <w:rPr>
          <w:rFonts w:ascii="Arial" w:hAnsi="Arial" w:cs="Arial"/>
          <w:color w:val="000000" w:themeColor="text1"/>
          <w:sz w:val="22"/>
          <w:szCs w:val="22"/>
        </w:rPr>
        <w:fldChar w:fldCharType="begin"/>
      </w:r>
      <w:r w:rsidRPr="00DA76A7">
        <w:rPr>
          <w:rFonts w:ascii="Arial" w:hAnsi="Arial" w:cs="Arial"/>
          <w:color w:val="000000" w:themeColor="text1"/>
          <w:sz w:val="22"/>
          <w:szCs w:val="22"/>
        </w:rPr>
        <w:instrText xml:space="preserve"> REF шестаков_л__права_чел_межд_документов \h  \* MERGEFORMAT </w:instrText>
      </w:r>
      <w:r w:rsidR="00666D87" w:rsidRPr="00DA76A7">
        <w:rPr>
          <w:rFonts w:ascii="Arial" w:hAnsi="Arial" w:cs="Arial"/>
          <w:color w:val="000000" w:themeColor="text1"/>
          <w:sz w:val="22"/>
          <w:szCs w:val="22"/>
        </w:rPr>
      </w:r>
      <w:r w:rsidR="00666D87" w:rsidRPr="00DA76A7">
        <w:rPr>
          <w:rFonts w:ascii="Arial" w:hAnsi="Arial" w:cs="Arial"/>
          <w:color w:val="000000" w:themeColor="text1"/>
          <w:sz w:val="22"/>
          <w:szCs w:val="22"/>
        </w:rPr>
        <w:fldChar w:fldCharType="end"/>
      </w:r>
      <w:r w:rsidR="00666D87" w:rsidRPr="00DA76A7">
        <w:rPr>
          <w:rFonts w:ascii="Arial" w:hAnsi="Arial" w:cs="Arial"/>
          <w:color w:val="000000" w:themeColor="text1"/>
          <w:sz w:val="22"/>
          <w:szCs w:val="22"/>
        </w:rPr>
        <w:fldChar w:fldCharType="begin"/>
      </w:r>
      <w:r w:rsidRPr="00DA76A7">
        <w:rPr>
          <w:rFonts w:ascii="Arial" w:hAnsi="Arial" w:cs="Arial"/>
          <w:color w:val="000000" w:themeColor="text1"/>
          <w:sz w:val="22"/>
          <w:szCs w:val="22"/>
        </w:rPr>
        <w:instrText xml:space="preserve"> REF шестаков_л__права_чел_межд_документов \h  \* MERGEFORMAT </w:instrText>
      </w:r>
      <w:r w:rsidR="00666D87" w:rsidRPr="00DA76A7">
        <w:rPr>
          <w:rFonts w:ascii="Arial" w:hAnsi="Arial" w:cs="Arial"/>
          <w:color w:val="000000" w:themeColor="text1"/>
          <w:sz w:val="22"/>
          <w:szCs w:val="22"/>
        </w:rPr>
      </w:r>
      <w:r w:rsidR="00666D87" w:rsidRPr="00DA76A7">
        <w:rPr>
          <w:rFonts w:ascii="Arial" w:hAnsi="Arial" w:cs="Arial"/>
          <w:color w:val="000000" w:themeColor="text1"/>
          <w:sz w:val="22"/>
          <w:szCs w:val="22"/>
        </w:rPr>
        <w:fldChar w:fldCharType="end"/>
      </w:r>
      <w:fldSimple w:instr=" REF шестаков_л__права_чел_межд_документов \r \h  \* MERGEFORMAT ">
        <w:r w:rsidR="001D3EF8">
          <w:rPr>
            <w:color w:val="000000" w:themeColor="text1"/>
          </w:rPr>
          <w:t>1</w:t>
        </w:r>
      </w:fldSimple>
      <w:r w:rsidRPr="00DA76A7">
        <w:rPr>
          <w:rFonts w:ascii="Arial" w:hAnsi="Arial" w:cs="Arial"/>
          <w:color w:val="000000" w:themeColor="text1"/>
          <w:sz w:val="22"/>
          <w:szCs w:val="22"/>
        </w:rPr>
        <w:t>, 62].</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Как свидетельствует длительный опыт международного сотрудничества государств в рассматриваемой сфере проблема международного сотрудничества в области поощрений и защиты прав и свобод человека, а также вопрос о международном контроле в правозащитной сфере является наиболее сложной и противоречивой. Считаем, что, ни одна другая дискуссия в рамках ООН не характеризуется таким накалом страстей, такой степенью политизации, как полемика по правозащитным вопросам. Для того чтобы убедиться в справедливости данного убеждения, достаточно проанализировать деятельность Комиссии ООН по правам человека, а также так называемых «договорных органов по правам человека». Последние являются специальными органами в рамках ООН, деятельность которых направлена на проведение мониторинга соблюдения государствами своих обязательств по основным универсальным международным правозащитным договорам.</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Надо подчеркнуть, что Комиссия ООН по правам человека является главным межправительственным органом системы Организации Объединенных Наций, призванным содействовать развитию международного сотрудничества в сфере поощрения и защиты прав и свобод человека. Более того, Комиссия является единственной из числа так называемых «функциональных комиссий» Экономического и Социального Совета ООН (ЭКОСОС), создание которой было предусмотрено уже в самом Уставе Организации [2, 287].</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ходе своей деятельности указанная Комиссия ежегодно проводит сессии, в ходе которых принимаются немалое количество резолюций и решений по довольно большому кругу вопросов, имеющих важное значение для всего мирового сообщества, особенно по вопросам защиты прав и свобод человека. Считаем, что круг проблем, подлежащих разрешению в ходе сессий Комиссии по правам человека, с каждым годом увеличивается. Большинство из них отнесена к категории так называемых «правозащитных» проблем. Например, такие часто встречающиеся в современно мире деяния, как перевозка токсичных отходов, разоружение, доступ к легкому и стрелковому оружию, международная торговля и т.д. безусловно требуют детального разрешения и устранения. Стремление отдельных государств «объять необъятное» и так сказать заставить Комиссию выйти за пределы своей компетенции, разрешать проблемы, по сути, не подотчетные компетенции рассматриваемого органа, тем самым нарушить собственный мандат, далеко не всегда способствует повышению авторитета этого органа, а также эффективности его деятельности.</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Кроме того, внесение на рассмотрение Комиссии заведомо конфронтационных проектов резолюций и решений неизбежно приводит к политизации дискуссии, усилению взаимного недоверия государств. В силу этого неизбежны ситуации, когда казалось бы общая интересующая все страны проблематика защиты и обеспечения прав человека способствует не сплочению, а наоборот разобщению государств. Такой результат безусловно противоречит целям и принципам деятельности Организации Объединенных Наций, и вызывает к себе недоверие со стороны отдельных стран. Действительно, такая ситуация является, несомненно, парадоксальной и неприемлемой.</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Анализ деятельности так называемых «договорных органов по правам человека» - контрольных институтов, созданных для осуществления мониторинга выполнения государствами своих обязательств по основным международным договорам в сфере прав человека представляет не совсем приметную картину. По сути, ни один из названных договоров не является подлинно универсальным по количеству участвующих в нем государств. Следовательно, не являются универсальными и созданные в соответствии с такими договорами контрольные механизмы. Более того, согласно большинству указанных договоров отдельные контрольные функции соответствующих механизмов являются факультативными. В частности, согласно Международному пакту о гражданских и политических правах полномочия Комитета по правам человека получать и рассматривать индивидуальные петиции регулируются положениями Факультативного протокола к данному Пакту. Согласно Конвенции против пыток и других жестоких, бесчеловечных или унижающих достоинство видов обращения и наказания такой же факультативной является функция Комитета против пыток проводить расследование на территории государства - участника Конвенции.</w:t>
      </w:r>
    </w:p>
    <w:p w:rsidR="00A969C6" w:rsidRPr="00DA76A7" w:rsidRDefault="00A969C6" w:rsidP="00A969C6">
      <w:pPr>
        <w:pStyle w:val="a7"/>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Таким образом, международная система в области поощрения и защиты прав человека носит во многом «мягкий» характер. Многие наблюдатели, в частности представители неправительственных правозащитных организаций (НПО), аналогичную мягкость ассоциируют с неэффективностью этой системы. Даже, скорее, говорят о «мягкости» в качестве синонима неэффективности. Но такая характеристика, с точки зрения автора данной публикации, является преувеличенной и в значительной степени эмоциональной. Ведь в условиях, когда тема прав и свобод человека активно используется в политических целях, в том числе в качестве рычага давления в международных отношениях, иная ситуация просто невозможна [3, 67].</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 из особенностей современного международного права состоит в появлении в нем совокупности норм, регулирующих сотрудничество государств в области прав человека. На международном уровне разрабатываются стандарты прав и свобод человека, которые государства обязуются ввести в свои национальные правовые системы, а также устанавливается порядок контроля за соблюдением этих стандартов и рассмотрения споров, возникающих из-за несоблюдения государствами взятых на себя обязательств по международным договорам.   Правовой основой сотрудничества государств в области прав человека является Устав ООН. В нем закреплен принцип недискриминации по признаку расы, языка, пола и религии. А само международное сотрудничество в области прав человека, согласно Уставу ООН, состоит «в поощрении и развитии уважения к правам человека и основным свободам».</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Устав ООН содержит лишь одну конкретную норму о правах человека — равные права мужчин и женщин участвовать в главных и вспомогательных органах ООН (ст. 8). Но все сотрудничество государств в области прав человека должно строиться с учетом основных принципов современного международного права, закрепленных в Уставе ООН.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Гражданские, политические, экономические, социальные права и права в области культуры содержатся во Всеобщей декларации прав человека, в Международном пакте об экономических, социальных и культурных правах, в Международном пакте о гражданских и политических правах и протоколах к нему.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Эти акты иногда объединяются под общим названием «Хартия прав человека», хотя и не создают единого документа. Акты имеют различную юридическую силу, разное время принятия и неодинаковое пространственное распространение.</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Права человека в области образования, культуры, науки предусмотрены в конвенциях, принятых в рамках ЮНЕСКО. В частности, в 1960 году была принята Конвенция о борьбе с дискриминацией в области образования. Такой дискриминацией является всякое различие, исключение, ограничение или предпочтение, цель или следствие которого состоят в уничтожении или нарушении равенства отношений в области образования, проводимых по признаку расы, цвета кожи, пола, языка, религии, политических или иных убеждений, национального или социального происхождения, экономического положения или рождения. При соблюдении определенных условий допускаются по мотивам религиозного или языкового характера, а также для учащихся разного пола раздельные системы образования или учебные заведения, равно как и создание частных учебных заведений.</w:t>
      </w:r>
    </w:p>
    <w:p w:rsidR="00A969C6" w:rsidRPr="00DA76A7" w:rsidRDefault="00A969C6" w:rsidP="00A969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Всеобщая декларация прав человека была принята Генеральной Ассамблеей ООН 10 декабря 1948 г. «в качестве задачи, к выполнению которой должны стремиться все народы и все государства», иными словами. Декларация содержит рекомендательные нормы. В Декларацию включен довольно широкий круг общедемократических прав и свобод человека. Хотя сама по себе Декларация и не содержит обязательных норм, но ее роль значительна. Прежде всего, она стала основой для разработки Пактов о правах человека, затем Конституции некоторых государств признали положения Декларации обязательными для них, наконец велико моральное воздействие Декларации на развитие прав человека в мире. Именно в этом плане следует понимать принятие Генеральной Ассамблеей ООН 4 декабря 1950 г. резолюции, в которой она призвала все государства и заинтересованные организации день провозглашения Декларации — 10 декабря — отмечать ежегодно как День прав человека.</w:t>
      </w:r>
    </w:p>
    <w:p w:rsidR="003A625F" w:rsidRDefault="003A625F">
      <w:pPr>
        <w:widowControl/>
        <w:autoSpaceDE/>
        <w:autoSpaceDN/>
        <w:adjustRightInd/>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A969C6" w:rsidRPr="00DA76A7" w:rsidRDefault="00A969C6" w:rsidP="00A969C6">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D45D6B">
      <w:pPr>
        <w:pStyle w:val="a4"/>
        <w:numPr>
          <w:ilvl w:val="0"/>
          <w:numId w:val="38"/>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Шестаков Л. Прав</w:t>
      </w:r>
      <w:bookmarkStart w:id="16" w:name="шестаков_л__права_чел_межд_документов"/>
      <w:bookmarkEnd w:id="16"/>
      <w:r w:rsidRPr="00DA76A7">
        <w:rPr>
          <w:rFonts w:ascii="Arial" w:hAnsi="Arial" w:cs="Arial"/>
          <w:color w:val="000000" w:themeColor="text1"/>
          <w:sz w:val="22"/>
          <w:szCs w:val="22"/>
        </w:rPr>
        <w:t>а человека // Сборник международных документов. – М., - 1990 – 262 с.</w:t>
      </w:r>
    </w:p>
    <w:p w:rsidR="00A969C6" w:rsidRPr="00DA76A7" w:rsidRDefault="00A969C6" w:rsidP="00D45D6B">
      <w:pPr>
        <w:pStyle w:val="a4"/>
        <w:numPr>
          <w:ilvl w:val="0"/>
          <w:numId w:val="38"/>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Тункин Г. Международное право. – М., - 1994 - 287 с.</w:t>
      </w:r>
    </w:p>
    <w:p w:rsidR="00A969C6" w:rsidRPr="00DA76A7" w:rsidRDefault="00A969C6" w:rsidP="00D45D6B">
      <w:pPr>
        <w:pStyle w:val="a4"/>
        <w:numPr>
          <w:ilvl w:val="0"/>
          <w:numId w:val="38"/>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Лукашук И.И. Международное право. Общая часть. – М., - 2000. – 245 с.</w:t>
      </w:r>
    </w:p>
    <w:p w:rsidR="00A969C6" w:rsidRPr="00DA76A7" w:rsidRDefault="00A969C6" w:rsidP="00D45D6B">
      <w:pPr>
        <w:pStyle w:val="a4"/>
        <w:numPr>
          <w:ilvl w:val="0"/>
          <w:numId w:val="38"/>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Каламкаряе Р.А., Мигачев Ю.И. Международное право: учебник для бакалавров. – М.: Издательство Юрайт.-2014 – 632 с.</w:t>
      </w:r>
    </w:p>
    <w:p w:rsidR="00A969C6" w:rsidRPr="00DA76A7" w:rsidRDefault="00A969C6" w:rsidP="00A969C6">
      <w:pPr>
        <w:ind w:firstLine="567"/>
        <w:rPr>
          <w:rFonts w:ascii="Arial" w:hAnsi="Arial" w:cs="Arial"/>
          <w:color w:val="000000" w:themeColor="text1"/>
          <w:sz w:val="22"/>
          <w:szCs w:val="22"/>
        </w:rPr>
      </w:pPr>
    </w:p>
    <w:p w:rsidR="00A969C6" w:rsidRPr="00DA76A7" w:rsidRDefault="00A969C6" w:rsidP="00A969C6">
      <w:pPr>
        <w:ind w:firstLine="567"/>
        <w:jc w:val="center"/>
        <w:rPr>
          <w:rFonts w:ascii="Arial" w:hAnsi="Arial" w:cs="Arial"/>
          <w:b/>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СРАВНИТЕЛЬНО-ПРАВОВОЙ АНАЛИЗ МЕХАНИЗМОВ ЗАЩИТЫ ПРАВ ДЕТЕЙ В МЕЖДУНАРОДНОМ ПРАВЕ И НАЦИОНАЛЬНОМ ЗАКОНОДАТЕЛЬСТВЕ РОССИЙСКОЙ ФЕДЕРАЦИИ</w:t>
      </w:r>
    </w:p>
    <w:p w:rsidR="00A969C6" w:rsidRPr="00DA76A7" w:rsidRDefault="00A969C6" w:rsidP="00A969C6">
      <w:pPr>
        <w:jc w:val="center"/>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rPr>
      </w:pPr>
      <w:r w:rsidRPr="00DA76A7">
        <w:rPr>
          <w:rFonts w:ascii="Arial" w:hAnsi="Arial" w:cs="Arial"/>
          <w:b/>
          <w:color w:val="000000" w:themeColor="text1"/>
          <w:sz w:val="22"/>
          <w:szCs w:val="22"/>
        </w:rPr>
        <w:t>Юлдошева Азиза Раджабовна</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1-го года обучения заочного отделения юридического факультета </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969C6" w:rsidRPr="00DA76A7"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w:t>
      </w:r>
      <w:r w:rsidR="009A2FFA" w:rsidRPr="00DA76A7">
        <w:rPr>
          <w:rFonts w:ascii="Arial" w:hAnsi="Arial" w:cs="Arial"/>
          <w:color w:val="000000" w:themeColor="text1"/>
          <w:sz w:val="22"/>
          <w:szCs w:val="22"/>
        </w:rPr>
        <w:t>Турсунзаде,</w:t>
      </w:r>
      <w:r w:rsidRPr="00DA76A7">
        <w:rPr>
          <w:rFonts w:ascii="Arial" w:hAnsi="Arial" w:cs="Arial"/>
          <w:color w:val="000000" w:themeColor="text1"/>
          <w:sz w:val="22"/>
          <w:szCs w:val="22"/>
        </w:rPr>
        <w:t>, 30</w:t>
      </w:r>
    </w:p>
    <w:p w:rsidR="00A969C6" w:rsidRPr="00AC7230" w:rsidRDefault="00A969C6" w:rsidP="00A969C6">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(+992) 988585636, </w:t>
      </w:r>
      <w:r w:rsidRPr="00DA76A7">
        <w:rPr>
          <w:rFonts w:ascii="Arial" w:hAnsi="Arial" w:cs="Arial"/>
          <w:color w:val="000000" w:themeColor="text1"/>
          <w:sz w:val="22"/>
          <w:szCs w:val="22"/>
          <w:lang w:val="en-US"/>
        </w:rPr>
        <w:t>email</w:t>
      </w:r>
      <w:r w:rsidRPr="00AC7230">
        <w:rPr>
          <w:rFonts w:ascii="Arial" w:hAnsi="Arial" w:cs="Arial"/>
          <w:color w:val="000000" w:themeColor="text1"/>
          <w:sz w:val="22"/>
          <w:szCs w:val="22"/>
        </w:rPr>
        <w:t xml:space="preserve">: </w:t>
      </w:r>
      <w:hyperlink r:id="rId94" w:history="1">
        <w:r w:rsidRPr="00DA76A7">
          <w:rPr>
            <w:rStyle w:val="af0"/>
            <w:rFonts w:ascii="Arial" w:hAnsi="Arial" w:cs="Arial"/>
            <w:color w:val="000000" w:themeColor="text1"/>
            <w:sz w:val="22"/>
            <w:szCs w:val="22"/>
            <w:u w:val="none"/>
            <w:lang w:val="en-US"/>
          </w:rPr>
          <w:t>aziza</w:t>
        </w:r>
        <w:r w:rsidRPr="00AC7230">
          <w:rPr>
            <w:rStyle w:val="af0"/>
            <w:rFonts w:ascii="Arial" w:hAnsi="Arial" w:cs="Arial"/>
            <w:color w:val="000000" w:themeColor="text1"/>
            <w:sz w:val="22"/>
            <w:szCs w:val="22"/>
            <w:u w:val="none"/>
          </w:rPr>
          <w:t>_</w:t>
        </w:r>
        <w:r w:rsidRPr="00DA76A7">
          <w:rPr>
            <w:rStyle w:val="af0"/>
            <w:rFonts w:ascii="Arial" w:hAnsi="Arial" w:cs="Arial"/>
            <w:color w:val="000000" w:themeColor="text1"/>
            <w:sz w:val="22"/>
            <w:szCs w:val="22"/>
            <w:u w:val="none"/>
            <w:lang w:val="en-US"/>
          </w:rPr>
          <w:t>eco</w:t>
        </w:r>
        <w:r w:rsidRPr="00AC7230">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inbox</w:t>
        </w:r>
        <w:r w:rsidRPr="00AC7230">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A969C6" w:rsidRPr="00AC7230" w:rsidRDefault="00A969C6" w:rsidP="00A969C6">
      <w:pPr>
        <w:jc w:val="center"/>
        <w:rPr>
          <w:rFonts w:ascii="Arial" w:hAnsi="Arial" w:cs="Arial"/>
          <w:color w:val="000000" w:themeColor="text1"/>
          <w:sz w:val="22"/>
          <w:szCs w:val="22"/>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COMPARATIVE LEGAL ANALYSIS OF CHILD’S  RIGHTS PROTECTION  MECHANISMS IN INTERNATIONAL LAW AND LEGISLATION OF THE RUSSIAN FEDERATION</w:t>
      </w:r>
    </w:p>
    <w:p w:rsidR="00A969C6" w:rsidRPr="00DA76A7" w:rsidRDefault="00A969C6" w:rsidP="00A969C6">
      <w:pPr>
        <w:jc w:val="center"/>
        <w:rPr>
          <w:rFonts w:ascii="Arial" w:hAnsi="Arial" w:cs="Arial"/>
          <w:color w:val="000000" w:themeColor="text1"/>
          <w:sz w:val="22"/>
          <w:szCs w:val="22"/>
          <w:lang w:val="en-US"/>
        </w:rPr>
      </w:pPr>
    </w:p>
    <w:p w:rsidR="00A969C6" w:rsidRPr="00DA76A7" w:rsidRDefault="00A969C6" w:rsidP="00A969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Yuldosheva Aziza Rajabovna</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1st year graduate distant education student of the law faculty </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(Slavic) university </w:t>
      </w:r>
    </w:p>
    <w:p w:rsidR="00A969C6" w:rsidRPr="00DA76A7" w:rsidRDefault="00A969C6" w:rsidP="00A969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Tursunzoda str., 30</w:t>
      </w:r>
    </w:p>
    <w:p w:rsidR="00A969C6" w:rsidRPr="00DA76A7" w:rsidRDefault="00A969C6" w:rsidP="00A969C6">
      <w:pPr>
        <w:rPr>
          <w:rStyle w:val="af0"/>
          <w:rFonts w:ascii="Arial" w:hAnsi="Arial" w:cs="Arial"/>
          <w:color w:val="000000" w:themeColor="text1"/>
          <w:sz w:val="22"/>
          <w:szCs w:val="22"/>
          <w:u w:val="none"/>
          <w:lang w:val="en-US"/>
        </w:rPr>
      </w:pP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lang w:val="en-US"/>
        </w:rPr>
        <w:tab/>
        <w:t xml:space="preserve">tel.: (+992) 988585636, email: </w:t>
      </w:r>
      <w:hyperlink r:id="rId95" w:history="1">
        <w:r w:rsidRPr="00DA76A7">
          <w:rPr>
            <w:rStyle w:val="af0"/>
            <w:rFonts w:ascii="Arial" w:hAnsi="Arial" w:cs="Arial"/>
            <w:color w:val="000000" w:themeColor="text1"/>
            <w:sz w:val="22"/>
            <w:szCs w:val="22"/>
            <w:u w:val="none"/>
            <w:lang w:val="en-US"/>
          </w:rPr>
          <w:t>aziza_eco@inbox.ru</w:t>
        </w:r>
      </w:hyperlink>
    </w:p>
    <w:p w:rsidR="00A969C6" w:rsidRPr="00DA76A7" w:rsidRDefault="00A969C6" w:rsidP="00A969C6">
      <w:pPr>
        <w:rPr>
          <w:rFonts w:ascii="Arial" w:hAnsi="Arial" w:cs="Arial"/>
          <w:b/>
          <w:color w:val="000000" w:themeColor="text1"/>
          <w:sz w:val="22"/>
          <w:szCs w:val="22"/>
          <w:lang w:val="en-US"/>
        </w:rPr>
      </w:pPr>
    </w:p>
    <w:p w:rsidR="00A969C6" w:rsidRPr="00DA76A7" w:rsidRDefault="00A969C6" w:rsidP="00A969C6">
      <w:pPr>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к.ю.н., доцент Аминова Ф.М. </w:t>
      </w:r>
    </w:p>
    <w:p w:rsidR="00A969C6" w:rsidRPr="00DA76A7" w:rsidRDefault="00A969C6" w:rsidP="00A969C6">
      <w:pPr>
        <w:jc w:val="right"/>
        <w:rPr>
          <w:rFonts w:ascii="Arial" w:hAnsi="Arial" w:cs="Arial"/>
          <w:b/>
          <w:color w:val="000000" w:themeColor="text1"/>
          <w:sz w:val="22"/>
          <w:szCs w:val="22"/>
        </w:rPr>
      </w:pPr>
    </w:p>
    <w:p w:rsidR="00A969C6" w:rsidRPr="00DA76A7" w:rsidRDefault="00B46B9E"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00A969C6" w:rsidRPr="00DA76A7">
        <w:rPr>
          <w:rFonts w:ascii="Arial" w:hAnsi="Arial" w:cs="Arial"/>
          <w:i/>
          <w:color w:val="000000" w:themeColor="text1"/>
          <w:sz w:val="22"/>
          <w:szCs w:val="22"/>
        </w:rPr>
        <w:t xml:space="preserve"> Семья является базовой социальной ценностью; показателем устойчивого развития общества. В связи с этим, уровень требования к воспитанию детей должен повышаться. Приоритетной формой является воспитание ребенка в семье, поэтому государство должно поддерживать институт семьи, создать условия для полноценного воспитания ребенка, а также с помощью законодательства в полной мере защищать эти права.</w:t>
      </w:r>
    </w:p>
    <w:p w:rsidR="00A969C6" w:rsidRPr="00DA76A7" w:rsidRDefault="00081412"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00A969C6" w:rsidRPr="00DA76A7">
        <w:rPr>
          <w:rFonts w:ascii="Arial" w:hAnsi="Arial" w:cs="Arial"/>
          <w:i/>
          <w:color w:val="000000" w:themeColor="text1"/>
          <w:sz w:val="22"/>
          <w:szCs w:val="22"/>
          <w:lang w:val="en-US"/>
        </w:rPr>
        <w:t xml:space="preserve"> The family is the basic social value, indicator of sustainable development of society. In this regard, the level of requirements for the education of children must be increased. The priority is a form of child education in the family, so the state should support the institution of the family, to create conditions for good education of the child, as well as through legislation to fully protect these rights.</w:t>
      </w:r>
    </w:p>
    <w:p w:rsidR="00A969C6" w:rsidRPr="00DA76A7" w:rsidRDefault="00A969C6" w:rsidP="00A969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ребенок, Конвенция о защите прав человека и основных свобод, Европейский суд, Конвенция о правах ребенка, Семейный кодекс Российской Федерации.</w:t>
      </w:r>
    </w:p>
    <w:p w:rsidR="00A969C6" w:rsidRPr="00DA76A7" w:rsidRDefault="00A969C6" w:rsidP="00A969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child, the Convention on the Protection of Human Rights and Fundamental Freedoms, the European Court, the Convention on Children's Rights, Family Code of the Russian Federation.</w:t>
      </w:r>
    </w:p>
    <w:p w:rsidR="00A969C6" w:rsidRPr="00DA76A7" w:rsidRDefault="00A969C6" w:rsidP="00A969C6">
      <w:pPr>
        <w:ind w:firstLine="567"/>
        <w:jc w:val="both"/>
        <w:rPr>
          <w:rFonts w:ascii="Arial" w:hAnsi="Arial" w:cs="Arial"/>
          <w:color w:val="000000" w:themeColor="text1"/>
          <w:sz w:val="22"/>
          <w:szCs w:val="22"/>
          <w:lang w:val="en-US"/>
        </w:rPr>
      </w:pP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Семья для ребенка – это естественная среда обитания, которая влияет как на индивидуальное, так и на социальное развитие. Поэтому одним из основных принципов семейного законодательства является приоритет семейного воспитания, который находит отражение нормах Семейного кодекса Российской Федерации (далее СК РФ), где закреплены права ребенка жить в своей семье и воспитываться родителями, права свободно общаться с ними и родственниками, а также защита прав и интересов детей, оставшихся без попечения родителей [2, 54]. Эти права позволяют ребенку свободно развиваться, как интеллектуально и нравственно, так и физически. СК РФ в статьях 54-57 впервые устанавливает права детей в семье, рассматривая их не как объект «родительской власти», а как самостоятельных лиц, которые могут свободно вступать в отношения с отцом и матерью. «Забота о детях, их воспитание – равное право и обязанность родителей», - говорится в статье 38 Конституции Российской Федерации [1, 38]. Помимо защиты прав детей на национальном уровне, возможна также их защита с помощью международных механизмов, основанных на нормах международного права и международных договорах, которые являются частью правовой системы Российской Федерации, что закреплено в ч. 4 статьи 15 Конституции России. Кроме этого, в ч.3 статьи 46 Конституции отражено право гражданина обращаться к нормам международного права, если эти отношения не в силах урегулировать внутренние нормативные – правовые акты. Из этого следует, что в основе правового регулирования в Российской Федерации лежат не только принципы, закрепленные в отечественном законодательстве, но и правила, принятые в международном сообществе [3, 100]. На международном уровне одним из основных нормативных – правовых актов является Европейская конвенция о защите прав человека и основных свобод 1950 года. Для того чтобы защищать права людей, основываясь на нормах конвенции, в 1959 году был учрежден Европейский суд по правам человека (далее ЕСПЧ). Россия признает право ЕСПЧ толковать и применять Европейскую конвенцию по правам человека, и если он вынес определенное  решение в отношении физического или юридического лица, его нельзя изменить. Это необходимо для всесторонней</w:t>
      </w:r>
      <w:r w:rsidRPr="00DA76A7">
        <w:rPr>
          <w:rStyle w:val="af7"/>
          <w:rFonts w:ascii="Arial" w:hAnsi="Arial" w:cs="Arial"/>
          <w:color w:val="000000" w:themeColor="text1"/>
          <w:sz w:val="22"/>
          <w:szCs w:val="22"/>
        </w:rPr>
        <w:t xml:space="preserve"> </w:t>
      </w:r>
      <w:r w:rsidRPr="00DA76A7">
        <w:rPr>
          <w:rFonts w:ascii="Arial" w:hAnsi="Arial" w:cs="Arial"/>
          <w:color w:val="000000" w:themeColor="text1"/>
          <w:sz w:val="22"/>
          <w:szCs w:val="22"/>
        </w:rPr>
        <w:t>защиты прав и свобод граждан, а также в целях приведения норм национального права в соответствие со стандартами Европейской конвенции.</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нескольких статей в Европейской конвенции нет норм, которые напрямую затрагивали бы права ребенка. Но, несмотря на это, к ребенку наравне с другими субъектами права могут быть применены все нормы, закрепленные в установленном международном правовом акте. Об этом говорится и в самой Конвенция, и в прецедентах ЕСПЧ, что заявителем может выступить любой человек, в том числе и ребенок.</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Помимо самой Конвенции и протоколов к ней, также действуют решения ЕСПЧ, и им на основе часто используемых статей по защите прав детей были выработаны прецеденты, устанавливающие права детей в международном праве. Например, статья 3, которая закрепляет свободу от пыток и бесчеловечного обращения, унижающего достоинство, применяемое к детям в случаях телесных наказаний в школе, родителями или другими лицами. Под бесчеловечным обращением понимается обращение, которое может вызвать сильные и жестокие страдания, как физические, так и моральные [4, 31]. Что же касается наказания, унижающее достоинство, то это наказание, способное унизить ребенка, вызвать чувство страха и неполноценности. Этот вопрос можно рассмотреть на следующем – Дело Тайрера против Соединенного Королевства. Заявителем был Энтони Тайрер, 15-летний учащийся школы в Соединенном Королевстве, признанный по решению местного суда виновным в «незаконном нападении, повлекшим за собой телесные повреждения ученику своей школы». Он был приговорен к трем ударам розгой в соответствии с местным законодательством. Тайрер был высечен розгами в полицейском участке. Он был вынужден припустить брюки и трусы, и склониться над столом для получения этих ударов. После третьего удара отец ребенка не выдержал и набросился на полицейских, но они удержали его силой. После сильных ударов на коже Тайрера образовались волдыри и он испытывал сильную боль. Оскорбленный этим наказанием, Тайрер подал заявление в ЕСПЧ и он признал, что такое телесное наказание унизило честь и достоинство ребенка; была нарушена физическая неприкосновенность. ЕСПЧ счел, что государство повинно в наказании, унижающее достоинство, а также признал правовую систему, которая действовала на тот момент, недостаточно эффективной для защиты прав человека. ЕСПЧ признал нарушение статьи 3 Европейской конвенции и в соответствии с этим решением законодательство соответствующего округа Мэн (Соединенное Королевство) было изменено [5, 28-35].</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Одно из основных правил, распространяющихся также на детей, закреплено в статье 8 Конвенции о защите прав человека и основных свобод – это право на уважение семейной жизни. В отношении детей ЕСПЧ это трактует как закрепление статуса незаконнорожденных детей, выбора религии, имени; передача ребенка под опеку государству, а также случаи разлучения детей и родителей. Поэтому в практике ЕСПЧ нередко встречаются дела, связанные с воспитанием детей родителями или изъятие детей органами опеки и попечительства. Одно из таких дел рассматривалось в апреле 2013 года – дело «Агеевы против России». Заявителями были А.П. Агеев и Л.В. Агеева, которые утверждали, что отнятие у них приемных детей и запрет видеться с ними, нарушают неприкосновенность частной жизни, а также право ребенка воспитываться в семье. То есть, нарушены статьи 3, 6, 8, 13-14 Европейской конвенции. Изъятие детей было осуществлено на основании подозрений в насилии усыновителей над ребенком, а также невыполнение требований по охране жизни и здоровья детей (ребенок многократно падал с лестницы, в связи с чем, получил тяжелые травмы и попал в больницу). По этому делу ЕСПЧ решил, что изъятие детей из семьи и запрет видеться с ними, является недостаточно обоснованным и не соответствует интересам ребенка [6, 123-138]. На необходимость соблюдать интересы ребенка ссылается также Преображенский районный суд г. Москвы, где в своем решении от 17 июня 2009 года им отмечено, что «беспечное отношение к здоровью и безопасности детей создает угрозу для их жизни и здоровья, а, следовательно, отмена усыновления отвечает интересам ребенка» [7].</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во внутригосударственных и международных судебных органах по – разному истолковывается «необходимость соблюдать интересы ребенка». По этому поводу Комитет ООН по правам человека отмечает, что трактовка этого понятия должно соответствовать Конвенции о правах ребенка[8, 38].</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Помимо Европейской конвенции существует иной нормативно – правовой акт, который направлен только на защиту прав детей – Конвенция о правах ребенка, принятая в 1959 году. В ней были сформулированы основные десять принципов, которые закрепляют полный перечень прав и свобод детей. По Конвенции государство обязуется уважать право ребенка на сохранение своей индивидуальности, имени и семейных связей. Государства – участники обеспечивают, чтобы ребенок был не разлучен со своими родителями, кроме тех случаев, когда разлучение необходимо в интересах ребенка, например, жестокое обращение с ребенком, отсутствие заботы. Если ребенок разлучается со своими родителями по тем или иным причинам, то государство поддерживает между ними постоянную связь. То есть все нормы, закрепленные в Конвенции, направлены на сохранение и защиту прав ребенка.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Исходя из всего этого, можно сделать вывод, что Европейский суд по правам человека, основываясь на Европейской конвенции, а также Конвенция о правах ребенка, в полной мере защищает права детей и старается максимально учитывать мнения детей, параллельно с их правом на охрану здоровья и нравственности, а также право на семейную жизнь.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 ребенка жить и воспитываться в семье является одним из важнейших прав ребенка, поскольку семья является естественной средой обитания ребенка, где закладываются предпосылки его духовного и физического развития [9. 96].  Но следует отметить, что право ребенка воспитываться в семье, необходимо рассматривать не только в контексте влияния международно-правовых норм на национальные, но также как социальную потребность общества, которая выражается в защите прав детей, семьи и материнства, в преодолении беспризорности и сиротства.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семейном законодательстве Российской Федерации произошел ряд изменений, связанных с удовлетворением перечисленных социальных потребностей.</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Первые изменения коснулись укрепления семейных уз и права ребенка воспитываться своими родителями, что впоследствии было закреплено в статье 68СК РФ. Кроме этого, в статьях 69-71 перечислены те обстоятельства, при которых родителей могут лишить родительских прав.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в СК РФ зафиксирован приоритет воспитания родителями несовершеннолетних детей над государственным воспитанием. Ребенку предоставляется право на защиту своих интересов в случаях злоупотребления со стороны родителей или органов опеки. Для осуществления и реализации этих прав созданы специализированные государственные органы, чья деятельность направлена на защиту ребенка.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обществе часто говорится о большой любви к детям и принимаются различные нормативно – правовые акты для защиты прав и интересов детей, но, несмотря на это, самыми беззащитными и бесправными остаются все-таки дети. Согласно данным Министерства образования в 2013 году было изъято из семей 69000 детей. По словам заместителя директора Департамента государственной политики, в сфере защиты прав детей Минобрнауки В.Л. Кабанова из общего числа изъятых детей 5000 – дети алкоголиков и наркоманов, 2500 – дети, от которых отказались еще в роддомах. То есть по определенным причинам из семей забирают 61500 детей. [10, 111].  </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последнее время часто обсуждаемым вопросом является деятельность органов опеки и попечительства. И самое главное, что общественное мнение направлено не против родителей, которые не могут должным образом воспитать ребенка, а против органов опеки. То органы опеки слишком поздно заметили неблагополучную семью и взяли ее на учет, то они слишком рано забрали ребенка и не дали родителям шанс исправиться. В связи с этим возникает ряд вопросов, например, должны ли органы опеки и попечительства доказывать в суде отсутствие средств для содержания детей, если они даже не работают? Почему для изъятия детей они должны находиться не только в трудных жизненных ситуациях, но и необходимо присутствие угрозы жизни и здоровью?</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Есть множество примеров, где суд не лишает родительских прав и дает шанс на исправление, но часто такие дела в итоге заканчиваются изъятием ребенка. Известен факт, когда отец в порыве гнева разбил ребенку лицо и повредил лицевую кость, но суд его не лишил родительских прав и ребенок был передан обратно на воспитание своего отца. Но спустя несколько месяцев ребенок сам пришел в органы опеки и попечительства из-за постоянных избиений отца и отсутствия средств к существованию.</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протяжении длительного времени идут разговоры об усилении ответственности родителей, но нет достаточно жестких рычагов воздействия. Отец ребенка, которого лишили родительских прав, бросил работу и, несмотря на то, что органы опеки в течение года писали жалобы во все инстанции, он не платил, и не будет платить алименты, хотя и понес уголовную ответственность.</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 не всегда органы опеки и попечительства оставляют ребенка в семье в надежде на исправление родителей. Это можно рассмотреть на примере, когда соседи, позвонив в органы опеки и попечительства, предупредили о том, что у соседей новорожденный ребенок, а они пригласили шумную компанию, в то время, как бабушка с дедушкой ребенка уехали на пару дней. Приехав на вызов, органы опеки и попечительства обнаружили родителей в состоянии сильного алкогольного опьянения. Зафиксировав все моменты, органы опеки и попечительства забрали ребенка из семьи. По возвращении бабушки и дедушки они обратились в органы опеки и попечительства с просьбой вернуть ребенка, но дело было уже в суде. Ребенка вернули обратно только через месяц, но уже по решению суда.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Основываясь на изученной информации, необходимо, в первую очередь, улучшить законодательство страны. Необходимо внести определенные поправки в СК РФ, а точнее в статью 77, которое давало бы право органам опеки и попечительства забирать детей из семей или возвращать их обратно в семью с согласия прокурора, не всегда доводя дело до суда. Это не означает, что стоит защищать родителей, которые нарушают права ребенка, но в суде необходимо рассматривать только самые насущные вопросы, и тогда не будут возникать такие случаи, когда суд возвращает ребенка отцу, который сломал ему лицевую кость в порыве гнева.</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этого, возникают сложности в лишении родительских прав, когда родители или один из них страдают психическими заболеваниями. Но один из них работает, а другой получает пенсию по инвалидности; употребляют спиртные напитки, но никто их не видел в состоянии сильного алкогольного опьянения. Часто в таких ситуациях дети, воспитывающиеся в таких семьях, бывают морально подавленные и не хотят оставаться с такой семьей. Поэтому нужно внести поправки в законодательство, где ребенок может выразить свое мнение не с 10, а с 6-7 лет.</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Несомненно, в СК РФ и в международных нормативных – правовых актов закрепляется приоритет родительского воспитания, но не навредит ли гуманное обращение с родителями со стороны органа опеки и попечительства и суда, детям. Такая ситуация рассматривалась в суде, когда органы опеки и попечительства подали иск о лишении родительских прав матери, которая не имела материальных средств для обеспечения детей самым необходимым: одеждой, едой, нормальным жильем. Кроме этого употребляла спиртные напитки. В школе детям помогали как могли. Но суд отказал в иске, решив, что нет достаточных оснований для лишения матери родительских прав.</w:t>
      </w:r>
    </w:p>
    <w:p w:rsidR="00A969C6" w:rsidRPr="00DA76A7" w:rsidRDefault="00A969C6" w:rsidP="00A969C6">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назрела необходимость подойти по-новому в решении вопроса о защите прав детей и об ограничении родительских прав. Все принятые меры должны быть направлены только на защиту ребенка, а не на то, чтобы освободить родителей от ответственности. Поэтому, такие родители должны быть лишены родительских прав и направлены на излечение в различные клиники или на общественные работы.</w:t>
      </w:r>
    </w:p>
    <w:p w:rsidR="00A969C6" w:rsidRPr="00DA76A7" w:rsidRDefault="00A969C6" w:rsidP="00A969C6">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необходимо увеличить срок, за который родители могут исправить свое поведение, так как по статье 73 СК РФ в течении шести месяцев с момента вынесения ограничения родительских прав органы опеки и попечительства обязаны предъявить в суд иск о лишении родительских прав.</w:t>
      </w:r>
    </w:p>
    <w:p w:rsidR="00A969C6" w:rsidRPr="00DA76A7" w:rsidRDefault="00A969C6" w:rsidP="00A969C6">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как приоритетной формой является воспитание ребенка в семье, то необходимо прилагать максимум усилий, чтобы исправить родителей.</w:t>
      </w:r>
    </w:p>
    <w:p w:rsidR="00A969C6" w:rsidRPr="00DA76A7" w:rsidRDefault="00A969C6" w:rsidP="00A969C6">
      <w:pPr>
        <w:pStyle w:val="af2"/>
        <w:ind w:firstLine="567"/>
        <w:jc w:val="both"/>
        <w:rPr>
          <w:rFonts w:ascii="Arial" w:hAnsi="Arial" w:cs="Arial"/>
          <w:color w:val="000000" w:themeColor="text1"/>
          <w:sz w:val="22"/>
          <w:szCs w:val="22"/>
        </w:rPr>
      </w:pPr>
    </w:p>
    <w:p w:rsidR="00A969C6" w:rsidRPr="00DA76A7" w:rsidRDefault="00A969C6" w:rsidP="00A969C6">
      <w:pPr>
        <w:pStyle w:val="af2"/>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1. Конституция Российской Федерации: Принята всенародным голосованием 12.12.1993 г.// Собрание законодательства  РФ. - 2014. - № 30. - Ст. 4259.</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Семейный кодекс РФ от   29.12.1995 № 223-ФЗ // Собрание законодательства РФ. - 30.12.2015. -  № 1. -  Ст.77.</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Постановление Европейского суда по правам человека по делу «Агеевы против</w:t>
      </w:r>
    </w:p>
    <w:p w:rsidR="00A969C6" w:rsidRPr="00DA76A7" w:rsidRDefault="00A969C6" w:rsidP="00A969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Российской Федерации» от 18 апреля 2013 // Европейский суд по правам человека. Избранные решения. Т. 2. - М., - 2000. -  197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5. Постановление Европейского суда по правам человека по делу «Тайрер против Соединенного королевства» от 25 апреля 1978 // Европейский суд по правам человека. Избранные решения. Т. 2. - М., - 2000. -  197 </w:t>
      </w:r>
      <w:r w:rsidRPr="00DA76A7">
        <w:rPr>
          <w:rFonts w:ascii="Arial" w:hAnsi="Arial" w:cs="Arial"/>
          <w:color w:val="000000" w:themeColor="text1"/>
          <w:lang w:val="en-US"/>
        </w:rPr>
        <w:t>c</w:t>
      </w:r>
      <w:r w:rsidRPr="00DA76A7">
        <w:rPr>
          <w:rFonts w:ascii="Arial" w:hAnsi="Arial" w:cs="Arial"/>
          <w:color w:val="000000" w:themeColor="text1"/>
        </w:rPr>
        <w:t>.</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6. Решение Преображенского районного суда г. Москвы от 17 июня 2009 г. по гражданскому делу № 2-2181.09.</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7. Дети России. 2009: Статистический сборник / Юнисеф, Росстат. - М.: ИИЦ «Статистика России»,  - 2009. – 121 </w:t>
      </w:r>
      <w:r w:rsidRPr="00DA76A7">
        <w:rPr>
          <w:rFonts w:ascii="Arial" w:hAnsi="Arial" w:cs="Arial"/>
          <w:color w:val="000000" w:themeColor="text1"/>
          <w:lang w:val="en-US"/>
        </w:rPr>
        <w:t>c</w:t>
      </w:r>
      <w:r w:rsidRPr="00DA76A7">
        <w:rPr>
          <w:rFonts w:ascii="Arial" w:hAnsi="Arial" w:cs="Arial"/>
          <w:color w:val="000000" w:themeColor="text1"/>
        </w:rPr>
        <w:t>.</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8. Комментарий к Конвенции о защите прав человека и основных свобод и практике ее применения/ Под общ. ред. д.ю.н., проф. В.А. Туманова и д.ю.н., проф. Л.М. Энтина. – М.: Издательство НОРМА,  - 2002. – 333 </w:t>
      </w:r>
      <w:r w:rsidRPr="00DA76A7">
        <w:rPr>
          <w:rFonts w:ascii="Arial" w:hAnsi="Arial" w:cs="Arial"/>
          <w:color w:val="000000" w:themeColor="text1"/>
          <w:lang w:val="en-US"/>
        </w:rPr>
        <w:t>c</w:t>
      </w:r>
      <w:r w:rsidRPr="00DA76A7">
        <w:rPr>
          <w:rFonts w:ascii="Arial" w:hAnsi="Arial" w:cs="Arial"/>
          <w:color w:val="000000" w:themeColor="text1"/>
        </w:rPr>
        <w:t>.</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9. Научно – практический комментарий к Конституции Российской Федерации / отв. ред. В.В.Лазарев. – 2 изд., доп. и перераб. – М.: Спарк, - 2001. - С. 1056.</w:t>
      </w:r>
    </w:p>
    <w:p w:rsidR="00A969C6" w:rsidRPr="00DA76A7" w:rsidRDefault="00A969C6" w:rsidP="00A969C6">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10. Ювенальное право: учеб. для вузов/под ред. А.В.Заряева, В.Д.Малкова. -  М.: Юстицинформ,  -2005. -  320 </w:t>
      </w:r>
      <w:r w:rsidRPr="00DA76A7">
        <w:rPr>
          <w:rFonts w:ascii="Arial" w:hAnsi="Arial" w:cs="Arial"/>
          <w:color w:val="000000" w:themeColor="text1"/>
          <w:lang w:val="en-US"/>
        </w:rPr>
        <w:t>c</w:t>
      </w:r>
      <w:r w:rsidRPr="00DA76A7">
        <w:rPr>
          <w:rFonts w:ascii="Arial" w:hAnsi="Arial" w:cs="Arial"/>
          <w:color w:val="000000" w:themeColor="text1"/>
        </w:rPr>
        <w:t>.</w:t>
      </w:r>
    </w:p>
    <w:p w:rsidR="00A969C6" w:rsidRPr="00DA76A7" w:rsidRDefault="00A969C6" w:rsidP="00A969C6">
      <w:pPr>
        <w:pStyle w:val="a6"/>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11. Implementation </w:t>
      </w:r>
      <w:r w:rsidRPr="00DA76A7">
        <w:rPr>
          <w:rFonts w:ascii="Arial" w:hAnsi="Arial" w:cs="Arial"/>
          <w:color w:val="000000" w:themeColor="text1"/>
          <w:shd w:val="clear" w:color="auto" w:fill="FFFFFF"/>
          <w:lang w:val="en-US"/>
        </w:rPr>
        <w:t>Handbook for the Convention on the Rights of the Child // United Nations Chidren's Fund. -  2007. - P.787.</w:t>
      </w:r>
    </w:p>
    <w:p w:rsidR="00A969C6" w:rsidRPr="00DA76A7" w:rsidRDefault="00A969C6" w:rsidP="00A969C6">
      <w:pPr>
        <w:ind w:firstLine="567"/>
        <w:rPr>
          <w:rFonts w:ascii="Arial" w:hAnsi="Arial" w:cs="Arial"/>
          <w:color w:val="000000" w:themeColor="text1"/>
          <w:sz w:val="22"/>
          <w:szCs w:val="22"/>
          <w:lang w:val="en-US"/>
        </w:rPr>
      </w:pPr>
    </w:p>
    <w:p w:rsidR="00A969C6" w:rsidRPr="00DA76A7" w:rsidRDefault="00A969C6"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82759F">
      <w:pPr>
        <w:ind w:firstLine="567"/>
        <w:jc w:val="center"/>
        <w:rPr>
          <w:rFonts w:ascii="Arial" w:hAnsi="Arial" w:cs="Arial"/>
          <w:b/>
          <w:color w:val="000000" w:themeColor="text1"/>
          <w:sz w:val="22"/>
          <w:szCs w:val="22"/>
          <w:lang w:val="en-US"/>
        </w:rPr>
      </w:pPr>
    </w:p>
    <w:p w:rsidR="007A79EB" w:rsidRPr="00DA76A7" w:rsidRDefault="007A79EB" w:rsidP="003A625F">
      <w:pPr>
        <w:rPr>
          <w:rFonts w:ascii="Arial" w:hAnsi="Arial" w:cs="Arial"/>
          <w:b/>
          <w:color w:val="000000" w:themeColor="text1"/>
          <w:sz w:val="64"/>
          <w:szCs w:val="64"/>
          <w:lang w:val="en-US"/>
        </w:rPr>
      </w:pPr>
    </w:p>
    <w:p w:rsidR="007A79EB" w:rsidRPr="00DA76A7" w:rsidRDefault="007A79EB" w:rsidP="007A79EB">
      <w:pPr>
        <w:pStyle w:val="a4"/>
        <w:ind w:hanging="426"/>
        <w:jc w:val="center"/>
        <w:rPr>
          <w:rFonts w:ascii="Arial" w:hAnsi="Arial" w:cs="Arial"/>
          <w:b/>
          <w:color w:val="000000" w:themeColor="text1"/>
          <w:sz w:val="64"/>
          <w:szCs w:val="64"/>
        </w:rPr>
      </w:pPr>
      <w:r w:rsidRPr="00DA76A7">
        <w:rPr>
          <w:rFonts w:ascii="Arial" w:hAnsi="Arial" w:cs="Arial"/>
          <w:b/>
          <w:color w:val="000000" w:themeColor="text1"/>
          <w:sz w:val="64"/>
          <w:szCs w:val="64"/>
        </w:rPr>
        <w:t>СЕКЦИЯ АКТУАЛЬНЫЕ ПРОБЛЕМЫ ГРАЖДАНСКОГО, ПРЕДПРИНИМАТЕЛЬСКОГО ПРАВА И ГРАЖДАНСКОГО ПРОЦЕССА</w:t>
      </w:r>
    </w:p>
    <w:p w:rsidR="007A79EB" w:rsidRPr="00DA76A7" w:rsidRDefault="007A79EB" w:rsidP="007A79EB">
      <w:pPr>
        <w:pStyle w:val="a4"/>
        <w:ind w:hanging="426"/>
        <w:jc w:val="both"/>
        <w:rPr>
          <w:rFonts w:ascii="Arial" w:hAnsi="Arial" w:cs="Arial"/>
          <w:color w:val="000000" w:themeColor="text1"/>
          <w:sz w:val="64"/>
          <w:szCs w:val="64"/>
        </w:rPr>
      </w:pPr>
    </w:p>
    <w:p w:rsidR="007A79EB" w:rsidRPr="00DA76A7" w:rsidRDefault="007A79EB" w:rsidP="007A79EB">
      <w:pPr>
        <w:pStyle w:val="a4"/>
        <w:ind w:hanging="426"/>
        <w:jc w:val="both"/>
        <w:rPr>
          <w:rFonts w:ascii="Arial" w:hAnsi="Arial" w:cs="Arial"/>
          <w:color w:val="000000" w:themeColor="text1"/>
          <w:sz w:val="64"/>
          <w:szCs w:val="64"/>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3A625F">
      <w:pPr>
        <w:pStyle w:val="a4"/>
        <w:jc w:val="both"/>
        <w:rPr>
          <w:rFonts w:ascii="Arial" w:hAnsi="Arial" w:cs="Arial"/>
          <w:color w:val="000000" w:themeColor="text1"/>
          <w:sz w:val="22"/>
          <w:szCs w:val="22"/>
        </w:rPr>
      </w:pPr>
    </w:p>
    <w:p w:rsidR="00181BA7" w:rsidRPr="00DA76A7" w:rsidRDefault="00181BA7" w:rsidP="00181BA7">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К ВОПРОСУ О ДОГОВОРНОМ РЕЖИМЕ ИМУЩЕСТВА СУПРУГОВ</w:t>
      </w:r>
    </w:p>
    <w:p w:rsidR="00181BA7" w:rsidRPr="00DA76A7" w:rsidRDefault="00181BA7" w:rsidP="00181BA7">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 xml:space="preserve"> </w:t>
      </w:r>
    </w:p>
    <w:p w:rsidR="00181BA7" w:rsidRPr="00DA76A7" w:rsidRDefault="00181BA7" w:rsidP="00181BA7">
      <w:pPr>
        <w:suppressAutoHyphens/>
        <w:jc w:val="center"/>
        <w:rPr>
          <w:rFonts w:ascii="Arial" w:hAnsi="Arial" w:cs="Arial"/>
          <w:b/>
          <w:color w:val="000000" w:themeColor="text1"/>
          <w:sz w:val="22"/>
          <w:szCs w:val="22"/>
          <w:lang w:eastAsia="ar-SA"/>
        </w:rPr>
      </w:pPr>
      <w:r w:rsidRPr="00DA76A7">
        <w:rPr>
          <w:rFonts w:ascii="Arial" w:hAnsi="Arial" w:cs="Arial"/>
          <w:b/>
          <w:color w:val="000000" w:themeColor="text1"/>
          <w:sz w:val="22"/>
          <w:szCs w:val="22"/>
          <w:lang w:eastAsia="ar-SA"/>
        </w:rPr>
        <w:t>Абдурахманова Гулру Абдуджаборовна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AC7230"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(+992) 372 2276740, </w:t>
      </w:r>
      <w:r w:rsidRPr="00DA76A7">
        <w:rPr>
          <w:rFonts w:ascii="Arial" w:hAnsi="Arial" w:cs="Arial"/>
          <w:color w:val="000000" w:themeColor="text1"/>
          <w:sz w:val="22"/>
          <w:szCs w:val="22"/>
          <w:lang w:val="en-US"/>
        </w:rPr>
        <w:t>e</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grajdan</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AC7230"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TO THE QUESTION OF THE CONTRACTUAL REGIME OF THE PROPERTY OF SPOUSES</w:t>
      </w:r>
    </w:p>
    <w:p w:rsidR="00181BA7" w:rsidRPr="00DA76A7" w:rsidRDefault="00181BA7" w:rsidP="00181BA7">
      <w:pPr>
        <w:jc w:val="center"/>
        <w:rPr>
          <w:rStyle w:val="shorttext"/>
          <w:rFonts w:ascii="Arial" w:hAnsi="Arial" w:cs="Arial"/>
          <w:b/>
          <w:color w:val="000000" w:themeColor="text1"/>
          <w:sz w:val="22"/>
          <w:szCs w:val="22"/>
          <w:lang w:val="en-US"/>
        </w:rPr>
      </w:pPr>
    </w:p>
    <w:p w:rsidR="00181BA7" w:rsidRPr="00DA76A7" w:rsidRDefault="00181BA7" w:rsidP="00181BA7">
      <w:pPr>
        <w:jc w:val="center"/>
        <w:rPr>
          <w:rStyle w:val="shorttext"/>
          <w:rFonts w:ascii="Arial" w:hAnsi="Arial" w:cs="Arial"/>
          <w:b/>
          <w:color w:val="000000" w:themeColor="text1"/>
          <w:sz w:val="22"/>
          <w:szCs w:val="22"/>
          <w:lang w:val="en-US"/>
        </w:rPr>
      </w:pPr>
      <w:r w:rsidRPr="00DA76A7">
        <w:rPr>
          <w:rStyle w:val="shorttext"/>
          <w:rFonts w:ascii="Arial" w:hAnsi="Arial" w:cs="Arial"/>
          <w:b/>
          <w:color w:val="000000" w:themeColor="text1"/>
          <w:sz w:val="22"/>
          <w:szCs w:val="22"/>
          <w:lang w:val="en-US"/>
        </w:rPr>
        <w:t>Abdurakhmanova Gulru Abdudzhaborovna</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r w:rsidRPr="00DA76A7">
        <w:rPr>
          <w:rFonts w:ascii="Arial" w:hAnsi="Arial" w:cs="Arial"/>
          <w:color w:val="000000" w:themeColor="text1"/>
          <w:sz w:val="22"/>
          <w:szCs w:val="22"/>
          <w:lang w:val="en-US"/>
        </w:rPr>
        <w:br/>
        <w:t>734025, Republic of Tajikistan, Dushanbe, M. Tursunzade,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 372 2276740, e-mail: grajdan.pravo@mail.ru</w:t>
      </w:r>
    </w:p>
    <w:p w:rsidR="00181BA7" w:rsidRPr="00DA76A7" w:rsidRDefault="00181BA7" w:rsidP="00181BA7">
      <w:pPr>
        <w:ind w:firstLine="567"/>
        <w:jc w:val="right"/>
        <w:rPr>
          <w:rFonts w:ascii="Arial" w:hAnsi="Arial" w:cs="Arial"/>
          <w:b/>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академик Махмудзода М.А.</w:t>
      </w:r>
    </w:p>
    <w:p w:rsidR="00181BA7" w:rsidRPr="00DA76A7" w:rsidRDefault="00181BA7" w:rsidP="00181BA7">
      <w:pPr>
        <w:ind w:firstLine="567"/>
        <w:jc w:val="both"/>
        <w:rPr>
          <w:rFonts w:ascii="Arial" w:eastAsia="Calibri" w:hAnsi="Arial" w:cs="Arial"/>
          <w:b/>
          <w:bCs/>
          <w:color w:val="000000" w:themeColor="text1"/>
          <w:sz w:val="22"/>
          <w:szCs w:val="22"/>
        </w:rPr>
      </w:pP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bCs/>
          <w:i/>
          <w:color w:val="000000" w:themeColor="text1"/>
          <w:sz w:val="22"/>
          <w:szCs w:val="22"/>
        </w:rPr>
        <w:t xml:space="preserve">Аннотация. </w:t>
      </w:r>
      <w:r w:rsidRPr="00DA76A7">
        <w:rPr>
          <w:rFonts w:ascii="Arial" w:eastAsia="Calibri" w:hAnsi="Arial" w:cs="Arial"/>
          <w:i/>
          <w:color w:val="000000" w:themeColor="text1"/>
          <w:sz w:val="22"/>
          <w:szCs w:val="22"/>
        </w:rPr>
        <w:t>Предметом исследования настоящей статьи  послужили  вопросы договорного режима имущества супругов в Республике Таджикистан.</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eastAsia="Calibri" w:hAnsi="Arial" w:cs="Arial"/>
          <w:b/>
          <w:bCs/>
          <w:i/>
          <w:color w:val="000000" w:themeColor="text1"/>
          <w:sz w:val="22"/>
          <w:szCs w:val="22"/>
          <w:lang w:val="en-US"/>
        </w:rPr>
        <w:t xml:space="preserve">Annotation. </w:t>
      </w:r>
      <w:r w:rsidRPr="00DA76A7">
        <w:rPr>
          <w:rFonts w:ascii="Arial" w:eastAsia="Calibri"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lang w:val="en-US"/>
        </w:rPr>
        <w:t>The subject of the study of this article were questions of the contractual regime of spouses' property in the Republic of Tajikistan.</w:t>
      </w: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Ключевые слова:</w:t>
      </w:r>
      <w:r w:rsidRPr="00DA76A7">
        <w:rPr>
          <w:rFonts w:ascii="Arial" w:eastAsia="Calibri" w:hAnsi="Arial" w:cs="Arial"/>
          <w:i/>
          <w:color w:val="000000" w:themeColor="text1"/>
          <w:sz w:val="22"/>
          <w:szCs w:val="22"/>
        </w:rPr>
        <w:t xml:space="preserve"> семейное право, семейные правоотношения, семья, имущество, брачный договор, супруги.</w:t>
      </w:r>
    </w:p>
    <w:p w:rsidR="00181BA7" w:rsidRPr="00DA76A7" w:rsidRDefault="00181BA7" w:rsidP="00181BA7">
      <w:pPr>
        <w:shd w:val="clear" w:color="auto" w:fill="FFFFFF"/>
        <w:ind w:firstLine="567"/>
        <w:jc w:val="both"/>
        <w:rPr>
          <w:rFonts w:ascii="Arial" w:hAnsi="Arial" w:cs="Arial"/>
          <w:i/>
          <w:color w:val="000000" w:themeColor="text1"/>
          <w:sz w:val="22"/>
          <w:szCs w:val="22"/>
          <w:lang w:val="en-US"/>
        </w:rPr>
      </w:pPr>
      <w:r w:rsidRPr="00DA76A7">
        <w:rPr>
          <w:rFonts w:ascii="Arial" w:eastAsia="Calibri" w:hAnsi="Arial" w:cs="Arial"/>
          <w:b/>
          <w:i/>
          <w:color w:val="000000" w:themeColor="text1"/>
          <w:sz w:val="22"/>
          <w:szCs w:val="22"/>
          <w:lang w:val="en-US"/>
        </w:rPr>
        <w:t>Key words:</w:t>
      </w:r>
      <w:r w:rsidRPr="00DA76A7">
        <w:rPr>
          <w:rFonts w:ascii="Arial" w:eastAsia="Calibri"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lang w:val="en-US"/>
        </w:rPr>
        <w:t>family law, family legal relations, family, property, marriage contract, spouses.</w:t>
      </w:r>
    </w:p>
    <w:p w:rsidR="00181BA7" w:rsidRPr="00DA76A7" w:rsidRDefault="00181BA7" w:rsidP="00181BA7">
      <w:pPr>
        <w:ind w:firstLine="567"/>
        <w:rPr>
          <w:rFonts w:ascii="Arial" w:eastAsia="Calibri" w:hAnsi="Arial" w:cs="Arial"/>
          <w:b/>
          <w:color w:val="000000" w:themeColor="text1"/>
          <w:sz w:val="22"/>
          <w:szCs w:val="22"/>
          <w:lang w:val="en-US"/>
        </w:rPr>
      </w:pP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Брачный договор регулирует имущественные и финансовые отношения семьи, и является довольно не распространенным для современной России. Тем не менее, заинтересованность населения, особенно молодых супружеских пар к нему, несомненно, растет. Отчасти это связано с тем, что как таковой институт семьи уже не является таким нерушимым как в далекие советские времена. Будущие супруги стараются морально подготовить себя к тому, что в любой момент их вторая половина может уйти и прихватить с собой не только прожитые вместе годы жизни, но и большую часть имущества, что повлечет за собой финансовые проблемы.</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При вступлении в брак, а также супруги, которые уже находятся определенное время в семейном союзе, могут заключить в любой момент семейное соглашение — брачный договор. Он регулирует имущественные вопросы семьи, между мужем и женой, а моральные и межличностные отношения, вопросы воспитания детей данным договором не регулируется. Итак, рассмотрим плюсы и минусы брачного договора.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Безусловно, если бы каждая семейная пара, вступая в законный брак, знала что это навсегда, то не было бы нужды заключать брачный контракт. Но, с другой стороны, брачный договор регулирует имущественные отношения в семье не только после развода, но и во время совместного проживания, а потому, может быть нужен непосредственно и во время брака.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За 13 лет с момента принятия  дополнения в Семейный кодекс РТ, касающийся брачного договора, на севере Таджикистана было заключено всего три договора. Мы считаем, что заключать брачный договор таджикским парам мешает восточный менталитет.</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На наш взгляд, на сегодня возникла необходимость принятия ряда поправок  в Семейный кодекс, который будет регулировать механизм принятия брачного договора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Мы считаем, что в законодательный акт нужно внести конкретное дополнение, которое обяжет супругов при вступлении в брак заключать брачный контракт в обязательном порядке.</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Полагаем, что подобный минус связан с тем, что на местах, а именно со стороны представителей местных органов, работников нотариальных контор, НПО занимающихся проблемами защиты имущественных и иных прав женщин не ведется работа на должном уровне. И хотя  никто не имеем права обязывать супругов заключать брачный договор, тем не менее, работу в этом направлении вести нужно. Но этого мало. Все зависит от конкретной ситуации. К примеру, в тех же отдаленных джамоатах супруги заключают брак на местах в сельсоветах и в джамоатах. А нотариальные конторы и ЗАГСы находятся в центре. А это значит, что о брачном договоре новобрачные и не слышали. Поэтому, во-первых, свою работу в данном направлении должны усилить местные власти. Во-вторых, принятие брачного договора должно стать обязательным в рамках законодательства».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Между тем, в республике приняты поправки в Семейный кодекс, который предусматривает для девушек вступление в брак с 18 лет. Ранее возрастной ценз вступления в брак составлял 17 лет.</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Есть и ярые сторонники супружеского соглашения, поскольку, распределение имущественных прав и обязанностей, закрепленное на бумаге и удостоверенное нотариально многих дисциплинирует.</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11 января 2009 года Комитет по делам женщин и семьи при Правительстве РТ провел пресс-конференцию «Обязательное заключение брачных контрактов в Таджикистане». В ходе прохождения данного мероприятия председатель комитета Хайриниссо Мавлонова сказала, что число бракоразводных процессов в Таджикистане с каждым годом увеличивается: в 2008 году число разводов составляло 5307, в 2009 -5841. А количество бракосочетаний: сократилось - в 2009 году было заключено 101 392 браков, а в 2008 году - 106 590</w:t>
      </w:r>
      <w:r w:rsidRPr="00DA76A7">
        <w:rPr>
          <w:rFonts w:ascii="Arial" w:hAnsi="Arial" w:cs="Arial"/>
          <w:color w:val="000000" w:themeColor="text1"/>
          <w:sz w:val="22"/>
          <w:szCs w:val="22"/>
        </w:rPr>
        <w:t>[3,14].</w:t>
      </w:r>
      <w:r w:rsidRPr="00DA76A7">
        <w:rPr>
          <w:rFonts w:ascii="Arial" w:eastAsia="Calibri" w:hAnsi="Arial" w:cs="Arial"/>
          <w:color w:val="000000" w:themeColor="text1"/>
          <w:sz w:val="22"/>
          <w:szCs w:val="22"/>
        </w:rPr>
        <w:t xml:space="preserve"> В связи с этим Комитет по делам женщин и семьи при Правительстве РТ обратился к Президенту РТ с предложением о том, чтобы при заключении бракосочетания обязательно был подписан брачный контракт. «Я надеюсь, что президент страны поддержит данное предложение», - сказала X. Мавлонова </w:t>
      </w:r>
      <w:r w:rsidRPr="00DA76A7">
        <w:rPr>
          <w:rFonts w:ascii="Arial" w:hAnsi="Arial" w:cs="Arial"/>
          <w:color w:val="000000" w:themeColor="text1"/>
          <w:sz w:val="22"/>
          <w:szCs w:val="22"/>
        </w:rPr>
        <w:t>[2,19]</w:t>
      </w:r>
      <w:r w:rsidRPr="00DA76A7">
        <w:rPr>
          <w:rFonts w:ascii="Arial" w:eastAsia="Calibri" w:hAnsi="Arial" w:cs="Arial"/>
          <w:color w:val="000000" w:themeColor="text1"/>
          <w:sz w:val="22"/>
          <w:szCs w:val="22"/>
        </w:rPr>
        <w:t>.</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Что регулирует брачный договор, и для чего он нужен?</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В обществе идут споры о необходимости введения обязательной практики брачных договоров (контрактов). Инициаторы этого новшества мотивируют его  тем, что это может снизить рост разводов.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Не приведет ли эта идея к очередным крайностям?</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Председатель Конституционного суда РТ Махкамбой Махмудзода  на конференции по вопросам семьи, семейных ценностей и традиций высказал мнение о необходимости введения обязательного института брачного договора и внесения соответствующих поправок в законодательство. По его мнению, данное нововведение может стать фактором, препятствующим росту разводов.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Пусть молодожены и не отягощены какими-нибудь сбережениями и накоплениями, им, тем не менее, следует подумать о подписании брачного договора. За время совместной жизни они вполне могут накопить совместное имущество. А это значит, что при разводе каждый из супругов захочет получить свою долю. Сейчас нередко возникают имущественные споры между супругами, расторгающими брак. Есть случаи, когда люди, прожив в браке 25 лет, имея в этом браке четверых детей, по определенным причинам разводятся, и в итоге женщина с детьми практически остается ни с чем. Введение обязательного института брачного контракта может не только уменьшить число распадающихся семей, но и упорядочить имущественные отношения при расторжении брака, - сказал М. Махмудзода </w:t>
      </w:r>
      <w:r w:rsidRPr="00DA76A7">
        <w:rPr>
          <w:rFonts w:ascii="Arial" w:hAnsi="Arial" w:cs="Arial"/>
          <w:color w:val="000000" w:themeColor="text1"/>
          <w:sz w:val="22"/>
          <w:szCs w:val="22"/>
        </w:rPr>
        <w:t>[2,20]</w:t>
      </w:r>
      <w:r w:rsidRPr="00DA76A7">
        <w:rPr>
          <w:rFonts w:ascii="Arial" w:eastAsia="Calibri" w:hAnsi="Arial" w:cs="Arial"/>
          <w:color w:val="000000" w:themeColor="text1"/>
          <w:sz w:val="22"/>
          <w:szCs w:val="22"/>
        </w:rPr>
        <w:t xml:space="preserve">.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«Брачным договором признается соглашение лиц, вступающих в брак, или соглашение супругов, определяющее имущественные права и обязанности супругов в браке и (или) в случае его расторжения» (ст. 40 СК РТ).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Часть экспертов считает, что такая практика поможет оградить супругов от проблем при разводе и не оставит женщин у «разбитого корыта». Заключение брачного договора, по их мнению, даст определенные гарантии для сторон, и этим документом можно урегулировать все спорные вопросы: связанные с воспитанием детей и расходами на их содержание, с обязанностями и гарантиями супругов.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Однако, по мнению других, у этой медали есть и обратная сторона.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Заместитель главы управления записи актов гражданского состояния (ЗАГС) Минюста РТ Джалолиддин Рахимов в интервью «АП» заявил, что он поддерживает идею введения обязательных брачных контрактов, но считает, что вначале нужно подготовить условия для подобного нововведения </w:t>
      </w:r>
      <w:r w:rsidRPr="00DA76A7">
        <w:rPr>
          <w:rFonts w:ascii="Arial" w:hAnsi="Arial" w:cs="Arial"/>
          <w:color w:val="000000" w:themeColor="text1"/>
          <w:sz w:val="22"/>
          <w:szCs w:val="22"/>
        </w:rPr>
        <w:t>[2,21].</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Полагаем, что в случае введения этих норм молодой человек, перед тем как сделать предложение, задумается над вопросом, а не по расчету ли девушка хочет вступить с ним в брак.  Например, в Иране эта норма введена уже давно, и не каждый мужчина может рискнуть заключить брак. В нашей же стране большая часть молодых людей не имеет собственного жилья, а будучи экономически зависимым от своих родителей, как они будут делить собственность своих родителей с женой в случае разлада и распада семьи? На наш взгляд, прежде чем вводить обязательное заключение брачных договоров, необходимо подготовить общество к этому, повысить правовую грамотность граждан, - говорит Дж. Рахимов </w:t>
      </w:r>
      <w:r w:rsidRPr="00DA76A7">
        <w:rPr>
          <w:rFonts w:ascii="Arial" w:hAnsi="Arial" w:cs="Arial"/>
          <w:color w:val="000000" w:themeColor="text1"/>
          <w:sz w:val="22"/>
          <w:szCs w:val="22"/>
        </w:rPr>
        <w:t>[2,21].</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Эксперт считает, что у этого нововведения может быть еще одно негативное последствие – сокращение количества браков.</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И это притом что уже сейчас количество вступающих в брак резко уменьшилось. Так, согласно официальным данным, за первые три месяца текущего года в Таджикистане заключено 19 тыс. 403 брака, что в сравнении с прошлым годом (всего 24 тыс. 973)  меньше на 5 тыс. 570. А вот количество разводов за первый квартал этого года составляет 2 тыс. 342, что в сравнении с прошлым годом (2 тыс. 427) меньше на 85.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На Западе брачные договоры подписывает большинство создающих семейные союзы пар, но в Таджикистане их до сих пор оформляют единицы.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Согласно ст. 12 Семейного кодекса РТ, заключение брачного договора является обязательным условием при заключении брака, только если одна из сторон является иностранным гражданином или лицом без гражданства.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Эксперт по гендерным вопросам Марьям Давлатова утверждает, что брачный контракт не новшество для таджикского общества.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Но для нынешнего поколения необходимо время, чтобы привыкнуть к этой практике, для этого необходимо проводить информирование населения по этому вопросу. Введение института брачного договора, несомненно, может решить проблему укрепления семейных отношений в браке, а вот в случае распада семей брачные договоры будут в первую очередь защищать интересы женщин и детей, - говорит М.Давлатова </w:t>
      </w:r>
      <w:r w:rsidRPr="00DA76A7">
        <w:rPr>
          <w:rFonts w:ascii="Arial" w:hAnsi="Arial" w:cs="Arial"/>
          <w:color w:val="000000" w:themeColor="text1"/>
          <w:sz w:val="22"/>
          <w:szCs w:val="22"/>
        </w:rPr>
        <w:t>[2,22]</w:t>
      </w:r>
      <w:r w:rsidRPr="00DA76A7">
        <w:rPr>
          <w:rFonts w:ascii="Arial" w:eastAsia="Calibri" w:hAnsi="Arial" w:cs="Arial"/>
          <w:color w:val="000000" w:themeColor="text1"/>
          <w:sz w:val="22"/>
          <w:szCs w:val="22"/>
        </w:rPr>
        <w:t xml:space="preserve"> . Юрист Абдукаюм Юсупов утверждает, что заключение брачного договора предусматривается Семейным кодексом РТ, но из-за того, что он не носит обязательного характера, заключается редко: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Все аспекты, не регулируемые Семейным кодексом, можно будет отразить в брачном договоре, ведь в жизни всякое бывает. Но вместе с тем наличие договора  лишь отчасти сможет решить проблему распада семей.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Доцент РТСУ Шариф Муллоев говорит, что проблема распада семей сегодня широко обсуждается в обществе.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На наш взгляд, внесение поправок в Семейный кодекс республики, может, и изменит немного ситуацию, но не улучшит ее коренным образом. Проблему укрепления семьи нельзя решить без привлечения широких слоев общества, без повышения культуры поведения, воспитания, образования. Насколько актуально предложенное решение вопроса, время покажет. Кроме того, эта проблема имеет свои правовые аспекты, которые следует решать правоведам.</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Понятие «брачный договор» было внесено в Семейный кодекс РТ в 2011 году, и его заключение является добровольным для граждан РТ</w:t>
      </w:r>
      <w:r w:rsidRPr="00DA76A7">
        <w:rPr>
          <w:rFonts w:ascii="Arial" w:hAnsi="Arial" w:cs="Arial"/>
          <w:color w:val="000000" w:themeColor="text1"/>
          <w:sz w:val="22"/>
          <w:szCs w:val="22"/>
        </w:rPr>
        <w:t>[1,14]</w:t>
      </w:r>
      <w:r w:rsidRPr="00DA76A7">
        <w:rPr>
          <w:rFonts w:ascii="Arial" w:eastAsia="Calibri" w:hAnsi="Arial" w:cs="Arial"/>
          <w:color w:val="000000" w:themeColor="text1"/>
          <w:sz w:val="22"/>
          <w:szCs w:val="22"/>
        </w:rPr>
        <w:t xml:space="preserve">. Проблемы сохранения семейных ценностей, соблюдения этики семейной жизни и финансовой самостоятельности молодых людей, по мнению специалистов, должны решаться государством, и обязательные брачные контракты не способны решить эти вопросы.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Такая практика давно применяется в западноевропейских странах, и позднее была введена и в мусульманских. Вместе с тем, нельзя абсолютизировать и тем более идеализировать такую практику, поскольку возникновение семейных конфликтов и расторжение браков обусловлено множеством объективных и субъективных причин. Кроме того, для того чтобы составить грамотно текст брачного контракта, сторонам необходимо обязательно привлечь высококвалифицированных адвокатов, что требует дополнительных расходов.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Одной из основных причин распада семей является трудовая миграция и бытовая не обустроенность молодых людей.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Мы полагаем, что пока молодые люди не обретут независимость и финансовую стабильность, брак в нашей стране останется уязвимым. И никакой документ не сможет предотвратить распад семей.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Таджикистане никогда не проводились социологические исследования для выяснения основных причин распада семей. Представляется, что если бы молодые люди жили отдельно от родителей, имели свое жилье, были финансово независимыми, то и разлада бы в этих семьях было бы меньше. Инициаторы этой идеи в распаде семей видят вину только мужчин, винят их во всех смертных грехах и ищут решение этой проблемы в обязательном заключении брачных контрактов. Но где гарантия, что этим правом не начнут злоупотреблять женщины, при малейших ссорах угрожая разводом и дележом имущества? Не приведет ли это к моральному разложению общества? Об этом нужно серьезно подумать.</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Если между мужем и женой нет заключенного соглашения, регламентирующего их обоюдное финансовое положение, то общим совместным считается такое имущество супругов </w:t>
      </w:r>
      <w:r w:rsidRPr="00DA76A7">
        <w:rPr>
          <w:rFonts w:ascii="Arial" w:hAnsi="Arial" w:cs="Arial"/>
          <w:color w:val="000000" w:themeColor="text1"/>
          <w:sz w:val="22"/>
          <w:szCs w:val="22"/>
        </w:rPr>
        <w:t>[4,45]</w:t>
      </w:r>
      <w:r w:rsidRPr="00DA76A7">
        <w:rPr>
          <w:rFonts w:ascii="Arial" w:eastAsia="Calibri" w:hAnsi="Arial" w:cs="Arial"/>
          <w:color w:val="000000" w:themeColor="text1"/>
          <w:sz w:val="22"/>
          <w:szCs w:val="22"/>
        </w:rPr>
        <w:t>:</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-доходы от трудовой и профессиональной деятельности;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-прибыль от предпринимательской деятельности;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-права на результаты интеллектуальной деятельности;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-все виды социальных выплат (пенсии, денежные пособия);</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-денежные средства, поступающие в виде нецелевых выплат;</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-все виды движимого и недвижимого имущества, при условии, что они приобретены за совместные деньги;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-ценные бумаги и корпоративные права.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Если один из супругов не дает разрешение на распоряжение общим совместным имуществом, то второй имеет право возразить против заключенных им сделок и признать их недействительными. Это может вызвать проблемы для каждой стороны, которая не сможет по своему усмотрению распоряжаться своими кровно заработанными средствами и вещами материального мира, купленными на эти средства.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случае заключения брачного соглашения, супруги могут установить режим совместной собственности, долевой, или разделить собственность на каждого из супругов. Разделу может подлежать собственность как существующая, так и та, что появится в будущем. То есть, с помощью брачного договора, супруги могут заранее распределить имущество между собой наперед, так сказать, на всякий случай.</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Не стоит забывать, что супружеская сделка, которая заключена между двумя любящими людьми, способна сохранить имущество в семье. Напомним, если имущественный режим, установленный соглашением, определяет, что личное имущество жены или мужа, например, квартира, является его личной собственностью, то кредиторы второй стороны, не имеют права ее изымать на основании того, что это общее совместное.</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Существует вполне обоснованное современными реалиями мнение, что брачный договор полностью нивелирует доверительные и близкие душевные отношения между семейной парой. Хоть сам договор и не затрагивает межличностные отношения, но, тем не менее, влияет на психологический климат в семье. Так считают многие россияне. Возражать против брачного договора могут и те, чьи интересы не были учтены при его подписании. В таком случае, возможно последующее его оспаривание.</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«Может быть в самом начале семейной жизни, брачный договор и выглядит, как недоверие между людьми, но впоследствии, избавляет от многих проблем» — считают некоторые среднестатистические жители страны. Но давайте не будем забывать, что само по себе наличие договора еще никого не спасало от судебных разбирательств.</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Тем более, если брачный договор регулирует только имущественные отношения в семье, то проблемы могут возникнуть как при его наличии, так и при его отсутствии, особенно, если нажитое совместно имущество супруг или супруга поделят при разводе через суд.</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Но с другой стороны, ничто так не «проверяет» чувства и истинные мотивы человеческого сердца как предложение подписать брачный договор. Если человек любит, то ему все равно будет, подписывать брачный контракт, или нет. А вот тот, кто преследует корыстные мотивы, и норовит нажиться на чьем-то благополучии, обязательно начнет манипулировать понятиями «любовь и деньги несовместимы», и будет выступать против брачного договора. По крайней мере, такого мнения придерживаются психологи.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Не стоит подменять понятия выгоды с понятием вынужденных обстоятельств. Сам по себе брачный контракт не может быть против семейных ценностей, ровным счетом, как и его отсутствие. Когда муж и жена намерены прожить всю жизнь вместе, и защитить имущественные и финансовые интересы своих будущих детей от недобросовестных людей, конкурентов по бизнесу, нечестных кредиторов, то соглашение может быть крайне уместным, для чего и стоит подписать выгодный документ. Если же человек нечестен по своей сути, то он найдет способ обмануть свою вторую половину и без заключенного на бумаге соглашения.</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Безусловной отрицательной стороной является несоответствие контракта современным реалиям. Положения норм семейного законодательства не настолько широко описывают его возможности и особенности правового регулирования, поэтому вся надежда только на судебную практику.</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Само наличие письменного соглашения между супругами, не может обязывать сторону этого соглашения действовать в правовом поле. Если договор не исполняется стороной, или сторонами, то возможно несколько путей решения данной проблемы.</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Изменение брачного договора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Во-первых, сделка может быть расторгнута супругами в любой момент, по обоюдному согласию. Односторонний отказ от сделки запрещается законодательством.</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Во-вторых, если сторону соглашения что-то не устраивает, есть всегда возможность внести изменения в текст соглашения, путем составления дополнительного документа, который также подлежит нотариальному заверению, как и сам договор.</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Если сторона брачных отношений не исполняет или ненадлежащим образом исполняет условия договора, всегда можно обратиться в суд для понуждения выполнить свои обязательства по заключенной сделке. Также возможно его расторжение в судебном порядке или его частичного изменения.</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Отрицательные стороны сделки между супругами, как правило, всплывают в связи с численными пробелами и коллизиями в действующем законодательстве. С одной стороны, контракт не регулирует имущественные интересы детей и других членов семьи, что может негативно отразится на их будущем в случае развода. А с другой стороны, может предусмотреть пункт о выплате денежной компенсации в определенном размере для той стороны отношений, с которой остаются дети. Не стоит забывать и о том, что супружеское соглашение, которое нарушает права и интересы любой стороны этого соглашения, может быть признано судом недействительным полностью или частично.</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Еще одной проблемой применения норм брачного соглашения является спор о его возмездности. Ни ученые, ни судьи до сих пор не пришли к единому мнению о том, является ли контракт между супружеской парой возмездным. Ведь если правоотношения касаются семейных вопросов, то налоговое законодательство не распространяется на такие отношения. Но как быть если условиями договора предусмотрена передача того или иного имущества в собственность другому супругу. В таком случае, он будет являться приобретателем собственности, и по закону, должен уплатить налоги на приобретение. Наверное, стоит выделить особенности возмездного или безвозмездного приобретения имущества. Получится такая спорная картина, что в случае перехода имущества от одного супруга к другому взамен денежной или иной финансовой компенсации, такая сделка носит возмездный характер и должна регулироваться нормами гражданского и налогового законодательства. Если же имущество перешло к мужу/жене безоплатно, то, соответственно, вторая сторона выгоды от этого не получила, а потому можно говорить о том, что эта сделка безвозмездная. Хотя, единого мнения законодателя в этом вопросе нет. Это дает право утверждать о своеобразной коллизии в нормах закона.</w:t>
      </w: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Семейный кодекс Республики Таджикистан от 13 ноября 1998 г. № 682 // Ахбори Маджлиси Оли Республики Таджикистан, 1998 г., №22, ст. 303; 2006 г., №4, ст. 196; 2008 г., №3, ст. 201; 2010 г., №7, ст. 546; 2011 г., №3, ст. 177, №12, ст. 855; 2013 г., №3, ст. 195; 2015 г., №11, ст. 960; 2016 г., №3, ст. 143; Закон РТ от 14.11.2016 г., №1365</w:t>
      </w:r>
    </w:p>
    <w:p w:rsidR="00181BA7" w:rsidRPr="00DA76A7" w:rsidRDefault="00181BA7" w:rsidP="00181BA7">
      <w:pPr>
        <w:pStyle w:val="af2"/>
        <w:ind w:firstLine="567"/>
        <w:jc w:val="both"/>
        <w:rPr>
          <w:rFonts w:ascii="Arial" w:eastAsia="Times New Roman" w:hAnsi="Arial" w:cs="Arial"/>
          <w:color w:val="000000" w:themeColor="text1"/>
          <w:sz w:val="22"/>
          <w:szCs w:val="22"/>
          <w:lang w:eastAsia="ru-RU"/>
        </w:rPr>
      </w:pPr>
      <w:r w:rsidRPr="00DA76A7">
        <w:rPr>
          <w:rFonts w:ascii="Arial" w:eastAsia="Times New Roman" w:hAnsi="Arial" w:cs="Arial"/>
          <w:color w:val="000000" w:themeColor="text1"/>
          <w:sz w:val="22"/>
          <w:szCs w:val="22"/>
          <w:lang w:eastAsia="ru-RU"/>
        </w:rPr>
        <w:t xml:space="preserve">2. </w:t>
      </w:r>
      <w:r w:rsidRPr="00DA76A7">
        <w:rPr>
          <w:rFonts w:ascii="Arial" w:hAnsi="Arial" w:cs="Arial"/>
          <w:color w:val="000000" w:themeColor="text1"/>
          <w:sz w:val="22"/>
          <w:szCs w:val="22"/>
        </w:rPr>
        <w:t>Брачный режим» как общее достояние? [Электронный ресурс]. – Режим доступа: http:// news.tj. (дата обращения: 23.02.2018).</w:t>
      </w:r>
    </w:p>
    <w:p w:rsidR="00181BA7" w:rsidRPr="00DA76A7" w:rsidRDefault="00181BA7" w:rsidP="00181BA7">
      <w:pPr>
        <w:pStyle w:val="af2"/>
        <w:ind w:firstLine="567"/>
        <w:jc w:val="both"/>
        <w:rPr>
          <w:rFonts w:ascii="Arial" w:eastAsia="Times New Roman" w:hAnsi="Arial" w:cs="Arial"/>
          <w:color w:val="000000" w:themeColor="text1"/>
          <w:sz w:val="22"/>
          <w:szCs w:val="22"/>
          <w:lang w:eastAsia="ru-RU"/>
        </w:rPr>
      </w:pPr>
      <w:r w:rsidRPr="00DA76A7">
        <w:rPr>
          <w:rFonts w:ascii="Arial" w:hAnsi="Arial" w:cs="Arial"/>
          <w:color w:val="000000" w:themeColor="text1"/>
          <w:sz w:val="22"/>
          <w:szCs w:val="22"/>
        </w:rPr>
        <w:t>3. Пресс-конференция «Обязательное заключение брачных контрактов в Таджикистане [Электронный ресурс]. – Режим доступа: http:// eva.tj. (дата обращения: 23.02.2018).</w:t>
      </w:r>
    </w:p>
    <w:p w:rsidR="00181BA7" w:rsidRPr="00DA76A7" w:rsidRDefault="00181BA7" w:rsidP="00181BA7">
      <w:pPr>
        <w:ind w:firstLine="567"/>
        <w:rPr>
          <w:rFonts w:ascii="Arial" w:hAnsi="Arial" w:cs="Arial"/>
          <w:color w:val="000000" w:themeColor="text1"/>
          <w:sz w:val="22"/>
          <w:szCs w:val="22"/>
        </w:rPr>
      </w:pPr>
      <w:r w:rsidRPr="00DA76A7">
        <w:rPr>
          <w:rFonts w:ascii="Arial" w:hAnsi="Arial" w:cs="Arial"/>
          <w:color w:val="000000" w:themeColor="text1"/>
          <w:sz w:val="22"/>
          <w:szCs w:val="22"/>
        </w:rPr>
        <w:t>4. Синельникова Т.Ю. Имущественные отношения супругов как объект правового регулирования //Семейное и жилищное право.- 2007.- № 3. – С.28 – 31.</w:t>
      </w:r>
    </w:p>
    <w:p w:rsidR="00181BA7" w:rsidRPr="00DA76A7" w:rsidRDefault="00181BA7" w:rsidP="00181BA7">
      <w:pPr>
        <w:keepNext/>
        <w:ind w:firstLine="567"/>
        <w:jc w:val="center"/>
        <w:outlineLvl w:val="0"/>
        <w:rPr>
          <w:rFonts w:ascii="Arial" w:hAnsi="Arial" w:cs="Arial"/>
          <w:b/>
          <w:bCs/>
          <w:noProof/>
          <w:color w:val="000000" w:themeColor="text1"/>
          <w:kern w:val="32"/>
          <w:sz w:val="22"/>
          <w:szCs w:val="22"/>
        </w:rPr>
      </w:pPr>
    </w:p>
    <w:p w:rsidR="00181BA7" w:rsidRPr="00DA76A7" w:rsidRDefault="00181BA7" w:rsidP="00181BA7">
      <w:pPr>
        <w:keepNext/>
        <w:ind w:firstLine="567"/>
        <w:jc w:val="center"/>
        <w:outlineLvl w:val="0"/>
        <w:rPr>
          <w:rFonts w:ascii="Arial" w:hAnsi="Arial" w:cs="Arial"/>
          <w:b/>
          <w:bCs/>
          <w:noProof/>
          <w:color w:val="000000" w:themeColor="text1"/>
          <w:kern w:val="32"/>
          <w:sz w:val="22"/>
          <w:szCs w:val="22"/>
        </w:rPr>
      </w:pPr>
    </w:p>
    <w:p w:rsidR="00181BA7" w:rsidRPr="00DA76A7" w:rsidRDefault="00181BA7" w:rsidP="00181BA7">
      <w:pPr>
        <w:keepNext/>
        <w:jc w:val="center"/>
        <w:outlineLvl w:val="0"/>
        <w:rPr>
          <w:rFonts w:ascii="Arial" w:hAnsi="Arial" w:cs="Arial"/>
          <w:b/>
          <w:bCs/>
          <w:noProof/>
          <w:color w:val="000000" w:themeColor="text1"/>
          <w:kern w:val="32"/>
          <w:sz w:val="22"/>
          <w:szCs w:val="22"/>
        </w:rPr>
      </w:pPr>
      <w:r w:rsidRPr="00DA76A7">
        <w:rPr>
          <w:rFonts w:ascii="Arial" w:hAnsi="Arial" w:cs="Arial"/>
          <w:b/>
          <w:bCs/>
          <w:noProof/>
          <w:color w:val="000000" w:themeColor="text1"/>
          <w:kern w:val="32"/>
          <w:sz w:val="22"/>
          <w:szCs w:val="22"/>
        </w:rPr>
        <w:t>О ВЛАДЕНИИ, ПОЛЬЗОВАНИИ И РАСПОРЯЖЕНИИ ОБЩИМ ИМУЩЕСТВОМ СУПРУГОВ</w:t>
      </w:r>
    </w:p>
    <w:p w:rsidR="00181BA7" w:rsidRPr="00DA76A7" w:rsidRDefault="00181BA7" w:rsidP="00181BA7">
      <w:pPr>
        <w:keepNext/>
        <w:jc w:val="center"/>
        <w:outlineLvl w:val="0"/>
        <w:rPr>
          <w:rFonts w:ascii="Arial" w:hAnsi="Arial" w:cs="Arial"/>
          <w:b/>
          <w:bCs/>
          <w:noProof/>
          <w:color w:val="000000" w:themeColor="text1"/>
          <w:kern w:val="32"/>
          <w:sz w:val="22"/>
          <w:szCs w:val="22"/>
        </w:rPr>
      </w:pPr>
    </w:p>
    <w:p w:rsidR="00181BA7" w:rsidRPr="00DA76A7" w:rsidRDefault="00181BA7" w:rsidP="00181BA7">
      <w:pPr>
        <w:suppressAutoHyphens/>
        <w:jc w:val="center"/>
        <w:rPr>
          <w:rFonts w:ascii="Arial" w:hAnsi="Arial" w:cs="Arial"/>
          <w:b/>
          <w:color w:val="000000" w:themeColor="text1"/>
          <w:sz w:val="22"/>
          <w:szCs w:val="22"/>
          <w:lang w:eastAsia="ar-SA"/>
        </w:rPr>
      </w:pPr>
      <w:r w:rsidRPr="00DA76A7">
        <w:rPr>
          <w:rFonts w:ascii="Arial" w:hAnsi="Arial" w:cs="Arial"/>
          <w:b/>
          <w:color w:val="000000" w:themeColor="text1"/>
          <w:sz w:val="22"/>
          <w:szCs w:val="22"/>
          <w:lang w:eastAsia="ar-SA"/>
        </w:rPr>
        <w:t>Абдурахманова Гулру Абдуджаборовна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AC7230"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(+992) 372 2276740, </w:t>
      </w:r>
      <w:r w:rsidRPr="00DA76A7">
        <w:rPr>
          <w:rFonts w:ascii="Arial" w:hAnsi="Arial" w:cs="Arial"/>
          <w:color w:val="000000" w:themeColor="text1"/>
          <w:sz w:val="22"/>
          <w:szCs w:val="22"/>
          <w:lang w:val="en-US"/>
        </w:rPr>
        <w:t>e</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grajdan</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AC7230"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ABOUT POSSESSION, USE AND DISPOSING OF GENERAL PROPERTY  OF THE MARRIED COUPLES</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Style w:val="shorttext"/>
          <w:rFonts w:ascii="Arial" w:hAnsi="Arial" w:cs="Arial"/>
          <w:b/>
          <w:color w:val="000000" w:themeColor="text1"/>
          <w:sz w:val="22"/>
          <w:szCs w:val="22"/>
          <w:lang w:val="en-US"/>
        </w:rPr>
      </w:pPr>
      <w:r w:rsidRPr="00DA76A7">
        <w:rPr>
          <w:rStyle w:val="shorttext"/>
          <w:rFonts w:ascii="Arial" w:hAnsi="Arial" w:cs="Arial"/>
          <w:b/>
          <w:color w:val="000000" w:themeColor="text1"/>
          <w:sz w:val="22"/>
          <w:szCs w:val="22"/>
          <w:lang w:val="en-US"/>
        </w:rPr>
        <w:t>Abdurakhmanova Gulru Abdudzhaborovna</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r w:rsidRPr="00DA76A7">
        <w:rPr>
          <w:rFonts w:ascii="Arial" w:hAnsi="Arial" w:cs="Arial"/>
          <w:color w:val="000000" w:themeColor="text1"/>
          <w:sz w:val="22"/>
          <w:szCs w:val="22"/>
          <w:lang w:val="en-US"/>
        </w:rPr>
        <w:br/>
        <w:t>734025, Republic of Tajikistan, Dushanbe, M. Tursunzade,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 372 2276740, e-mail: grajdan.pravo@mail.ru</w:t>
      </w:r>
    </w:p>
    <w:p w:rsidR="00181BA7" w:rsidRPr="00DA76A7" w:rsidRDefault="00181BA7" w:rsidP="00181BA7">
      <w:pPr>
        <w:ind w:firstLine="567"/>
        <w:jc w:val="right"/>
        <w:rPr>
          <w:rFonts w:ascii="Arial" w:hAnsi="Arial" w:cs="Arial"/>
          <w:b/>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академик Махмудзода М.А.</w:t>
      </w:r>
    </w:p>
    <w:p w:rsidR="00181BA7" w:rsidRPr="00DA76A7" w:rsidRDefault="00181BA7" w:rsidP="00181BA7">
      <w:pPr>
        <w:ind w:firstLine="567"/>
        <w:jc w:val="both"/>
        <w:rPr>
          <w:rFonts w:ascii="Arial" w:eastAsia="Calibri" w:hAnsi="Arial" w:cs="Arial"/>
          <w:b/>
          <w:bCs/>
          <w:color w:val="000000" w:themeColor="text1"/>
          <w:sz w:val="22"/>
          <w:szCs w:val="22"/>
        </w:rPr>
      </w:pP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bCs/>
          <w:i/>
          <w:color w:val="000000" w:themeColor="text1"/>
          <w:sz w:val="22"/>
          <w:szCs w:val="22"/>
        </w:rPr>
        <w:t xml:space="preserve">Аннотация. </w:t>
      </w:r>
      <w:r w:rsidRPr="00DA76A7">
        <w:rPr>
          <w:rFonts w:ascii="Arial" w:eastAsia="Calibri" w:hAnsi="Arial" w:cs="Arial"/>
          <w:i/>
          <w:color w:val="000000" w:themeColor="text1"/>
          <w:sz w:val="22"/>
          <w:szCs w:val="22"/>
        </w:rPr>
        <w:t xml:space="preserve">Предметом исследования настоящей статьи  послужили  вопросы, связанные с владением, пользованием и распоряжением общим имуществом среди супругов и супругами. </w:t>
      </w:r>
    </w:p>
    <w:p w:rsidR="00181BA7" w:rsidRPr="00DA76A7" w:rsidRDefault="00181BA7" w:rsidP="00181BA7">
      <w:pPr>
        <w:ind w:firstLine="567"/>
        <w:jc w:val="both"/>
        <w:rPr>
          <w:rFonts w:ascii="Arial" w:eastAsia="Calibri" w:hAnsi="Arial" w:cs="Arial"/>
          <w:b/>
          <w:bCs/>
          <w:i/>
          <w:color w:val="000000" w:themeColor="text1"/>
          <w:sz w:val="22"/>
          <w:szCs w:val="22"/>
          <w:lang w:val="en-US"/>
        </w:rPr>
      </w:pPr>
      <w:r w:rsidRPr="00DA76A7">
        <w:rPr>
          <w:rFonts w:ascii="Arial" w:eastAsia="Calibri" w:hAnsi="Arial" w:cs="Arial"/>
          <w:b/>
          <w:bCs/>
          <w:i/>
          <w:color w:val="000000" w:themeColor="text1"/>
          <w:sz w:val="22"/>
          <w:szCs w:val="22"/>
          <w:lang w:val="en-US"/>
        </w:rPr>
        <w:t>Annotation.</w:t>
      </w:r>
      <w:r w:rsidRPr="00DA76A7">
        <w:rPr>
          <w:rFonts w:ascii="Arial" w:hAnsi="Arial" w:cs="Arial"/>
          <w:i/>
          <w:color w:val="000000" w:themeColor="text1"/>
          <w:sz w:val="22"/>
          <w:szCs w:val="22"/>
          <w:lang w:val="en-US"/>
        </w:rPr>
        <w:t xml:space="preserve"> The subject of this article served as issues related to the ownership, use and disposal of common property among spouses, and spouses.</w:t>
      </w: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Ключевые слова:</w:t>
      </w:r>
      <w:r w:rsidRPr="00DA76A7">
        <w:rPr>
          <w:rFonts w:ascii="Arial" w:eastAsia="Calibri" w:hAnsi="Arial" w:cs="Arial"/>
          <w:i/>
          <w:color w:val="000000" w:themeColor="text1"/>
          <w:sz w:val="22"/>
          <w:szCs w:val="22"/>
        </w:rPr>
        <w:t xml:space="preserve"> Семейный кодекс, семейные правоотношения, семья, имущество, пользование, владение, распоряжение, супруги.</w:t>
      </w:r>
    </w:p>
    <w:p w:rsidR="00181BA7" w:rsidRPr="00DA76A7" w:rsidRDefault="00181BA7" w:rsidP="00181BA7">
      <w:pPr>
        <w:shd w:val="clear" w:color="auto" w:fill="FFFFFF"/>
        <w:ind w:firstLine="567"/>
        <w:jc w:val="both"/>
        <w:rPr>
          <w:rFonts w:ascii="Arial" w:eastAsia="Calibri" w:hAnsi="Arial" w:cs="Arial"/>
          <w:i/>
          <w:color w:val="000000" w:themeColor="text1"/>
          <w:sz w:val="22"/>
          <w:szCs w:val="22"/>
          <w:shd w:val="clear" w:color="auto" w:fill="FFFFFF"/>
          <w:lang w:val="en-US"/>
        </w:rPr>
      </w:pPr>
      <w:r w:rsidRPr="00DA76A7">
        <w:rPr>
          <w:rFonts w:ascii="Arial" w:eastAsia="Calibri" w:hAnsi="Arial" w:cs="Arial"/>
          <w:b/>
          <w:i/>
          <w:color w:val="000000" w:themeColor="text1"/>
          <w:sz w:val="22"/>
          <w:szCs w:val="22"/>
          <w:lang w:val="en-US"/>
        </w:rPr>
        <w:t>Key words:</w:t>
      </w:r>
      <w:r w:rsidRPr="00DA76A7">
        <w:rPr>
          <w:rFonts w:ascii="Arial" w:eastAsia="Calibri"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lang w:val="en-US"/>
        </w:rPr>
        <w:t>the family code, family relationships, family, property, use, possession, disposal, wife.</w:t>
      </w:r>
    </w:p>
    <w:p w:rsidR="00181BA7" w:rsidRPr="00DA76A7" w:rsidRDefault="00181BA7" w:rsidP="00181BA7">
      <w:pPr>
        <w:ind w:firstLine="567"/>
        <w:jc w:val="both"/>
        <w:rPr>
          <w:rFonts w:ascii="Arial" w:eastAsia="Calibri" w:hAnsi="Arial" w:cs="Arial"/>
          <w:color w:val="000000" w:themeColor="text1"/>
          <w:sz w:val="22"/>
          <w:szCs w:val="22"/>
          <w:lang w:val="en-US"/>
        </w:rPr>
      </w:pP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Председатель Конституционного суда РТ М.А. Махмудзода  на конференции по вопросам семьи, семейных ценностей и традиций высказал мнение о необходимости введения обязательного института брачного договора и внесения соответствующих поправок в законодательство. По его мнению, данное нововведение может стать фактором, препятствующим росту разводов. </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Пусть молодожены и не отягощены какими-нибудь сбережениями и накоплениями, им, тем не менее, следует подумать о подписании брачного договора. За время совместной жизни они вполне могут накопить совместное имущество. А это значит, что при разводе каждый из супругов захочет получить свою долю. Сейчас нередко возникают имущественные споры между супругами, расторгающими брак. Есть случаи, когда люди, прожив в браке 25 лет, имея в этом браке четверых детей, по определенным причинам разводятся, и в итоге женщина с детьми практически остается ни с чем. Введение обязательного института брачного контракта может не только уменьшить число распадающихся семей, но и упорядочить имущественные отношения при расторжении брака, - сказал М. Махмудзода.</w:t>
      </w:r>
      <w:r w:rsidRPr="00DA76A7">
        <w:rPr>
          <w:rFonts w:ascii="Arial" w:hAnsi="Arial" w:cs="Arial"/>
          <w:color w:val="000000" w:themeColor="text1"/>
          <w:sz w:val="22"/>
          <w:szCs w:val="22"/>
        </w:rPr>
        <w:t xml:space="preserve"> [2,65]</w:t>
      </w:r>
      <w:r w:rsidRPr="00DA76A7">
        <w:rPr>
          <w:rFonts w:ascii="Arial" w:eastAsia="Calibri" w:hAnsi="Arial" w:cs="Arial"/>
          <w:color w:val="000000" w:themeColor="text1"/>
          <w:sz w:val="22"/>
          <w:szCs w:val="22"/>
        </w:rPr>
        <w:t xml:space="preserve"> Заместитель главы управления записи актов гражданского состояния (ЗАГС) Минюста РТ Джалолиддин Рахимов в интервью «АП» заявил, что он поддерживает идею введения обязательных брачных контрактов, но считает, что вначале нужно подготовить условия для подобного нововведения. </w:t>
      </w:r>
      <w:r w:rsidRPr="00DA76A7">
        <w:rPr>
          <w:rFonts w:ascii="Arial" w:hAnsi="Arial" w:cs="Arial"/>
          <w:color w:val="000000" w:themeColor="text1"/>
          <w:sz w:val="22"/>
          <w:szCs w:val="22"/>
        </w:rPr>
        <w:t>[4,56]</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Полагаем, что в случае введения этих норм молодой человек, перед тем как сделать предложение, задумается над вопросом, а не по расчету ли девушка хочет вступить с ним в брак.  Например, в Иране эта норма введена уже давно, и не каждый мужчина может рискнуть заключить брак. В нашей же стране большая часть молодых людей не имеет собственного жилья, а будучи экономически зависимым от своих родителей, как они будут делить собственность своих родителей с женой в случае разлада и распада семьи? На наш взгляд, прежде чем вводить обязательное заключение брачных договоров, необходимо подготовить общество к этому, повысить правовую грамотность граждан, - говорит Дж. Рахимов. </w:t>
      </w:r>
      <w:r w:rsidRPr="00DA76A7">
        <w:rPr>
          <w:rFonts w:ascii="Arial" w:hAnsi="Arial" w:cs="Arial"/>
          <w:color w:val="000000" w:themeColor="text1"/>
          <w:sz w:val="22"/>
          <w:szCs w:val="22"/>
        </w:rPr>
        <w:t>[4,61]</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Следствием бездолевого характера совместной собственности является то, что каждый из супругов владеет, пользуется и распоряжается вещью в целом, по общему правилу действия одного из супругов по владению, пользованию и распоряжению общим имуществом рассматриваются как действия обоих супругов. Действия супругов в отношении общего имущества предполагаются взаимно согласованными, то есть наличие одобрения, согласия другого супруга предполагается, пока не будет доказано обратное. Подразумевается, что супругов связывает, в том числе и общность экономических, хозяйственных интересов, а потому каждый из супругов действует за себя и своего супруга в общем интересе в отношении имущества в целом. Владение, пользование и распоряжение супругами совместным имуществом регулируется статьей 253 ГК и статьей 35 СК РФ и СК РТ.</w:t>
      </w:r>
      <w:r w:rsidRPr="00DA76A7">
        <w:rPr>
          <w:rFonts w:ascii="Arial" w:hAnsi="Arial" w:cs="Arial"/>
          <w:color w:val="000000" w:themeColor="text1"/>
          <w:sz w:val="22"/>
          <w:szCs w:val="22"/>
        </w:rPr>
        <w:t xml:space="preserve"> [1,23]</w:t>
      </w:r>
      <w:r w:rsidRPr="00DA76A7">
        <w:rPr>
          <w:rFonts w:ascii="Arial" w:eastAsia="Calibri" w:hAnsi="Arial" w:cs="Arial"/>
          <w:color w:val="000000" w:themeColor="text1"/>
          <w:sz w:val="22"/>
          <w:szCs w:val="22"/>
        </w:rPr>
        <w:t xml:space="preserve"> </w:t>
      </w:r>
      <w:r w:rsidRPr="00DA76A7">
        <w:rPr>
          <w:rFonts w:ascii="Arial" w:hAnsi="Arial" w:cs="Arial"/>
          <w:noProof/>
          <w:color w:val="000000" w:themeColor="text1"/>
          <w:sz w:val="22"/>
          <w:szCs w:val="22"/>
        </w:rPr>
        <w:t xml:space="preserve"> Законом установлено равенство прав супругов в отношении принадлежащего им имущества, супруги сообща владеют и пользуются общим имуществом, если иное не предусмотрено соглашением между ними.</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По нашему мнению, в нынешних условиях нестабильности брачных отношений эффективная защита прав и законных интересов, как самих супругов, так и других участников гражданского оборота может быть достигнута при условии, что во всех случаях учета и (или) регистрации, как объектов, так и прав на них в соответствующих документах с необходимой четкостью будут указываться вид возникающего права: «совместная собственность», а также сведения об обоих супругах как ее участниках. Для этого необходимо внести соответствующие дополнения в нормативные правовые акты, принятые Правительством Российской Федерации  и Республики Таджикистан, МВД России и Республики Таджикистан, Минюстом России и Республики Таджикистан  и другими ведомствами в соответствии с их компетенцией. Это позволило бы обеспечить подлинное равенство прав супругов на нажитое имущество, защитило бы супруга, который в настоящее время именуется «не титульным собственником» от нарушения его прав на имущество со стороны супруга — «титульного собственника». Кроме того, что чрезвычайно важно для эффективности механизма правового регулирования, будет достигнуто необходимое соответствие между правоустановлением и правореализацией.</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 xml:space="preserve">На сделки, заключаемые одним из супругов в отношении общего имущества, распространяются нормы гражданского законодательства, регулирующие имущественные отношения в данной области . Однако такие сделки имеют особенности, вытекающие из их связи с брачно-семейными отношениями и из режима обшей совместной собственности супругов, в отношении отдельных объектов которой и заключаются соответствующие гражданско-правовые сделки. Здесь весьма своеобразно конкурируют интересы добросовестных контрагентов (третьих лиц), вступающих в сделки с одним из супругов, и интересы второго супруга, не участвующего непосредственно в той или иной сделке. Согласно общему правилу, установленному законом, </w:t>
      </w:r>
      <w:r w:rsidRPr="00DA76A7">
        <w:rPr>
          <w:rFonts w:ascii="Arial" w:hAnsi="Arial" w:cs="Arial"/>
          <w:iCs/>
          <w:noProof/>
          <w:color w:val="000000" w:themeColor="text1"/>
          <w:sz w:val="22"/>
          <w:szCs w:val="22"/>
        </w:rPr>
        <w:t>распоряжение имуществом, находящимся в совместной собственности, осуществляется по согласию всех ее участников</w:t>
      </w:r>
      <w:r w:rsidRPr="00DA76A7">
        <w:rPr>
          <w:rFonts w:ascii="Arial" w:hAnsi="Arial" w:cs="Arial"/>
          <w:i/>
          <w:iCs/>
          <w:noProof/>
          <w:color w:val="000000" w:themeColor="text1"/>
          <w:sz w:val="22"/>
          <w:szCs w:val="22"/>
        </w:rPr>
        <w:t xml:space="preserve">. </w:t>
      </w:r>
      <w:r w:rsidRPr="00DA76A7">
        <w:rPr>
          <w:rFonts w:ascii="Arial" w:hAnsi="Arial" w:cs="Arial"/>
          <w:noProof/>
          <w:color w:val="000000" w:themeColor="text1"/>
          <w:sz w:val="22"/>
          <w:szCs w:val="22"/>
        </w:rPr>
        <w:t>Однако закон исходит из предположения о наличии такого согласия у любого из участников сделки по распоряжению имуществом. Совершенная одним из участников совместной собственности сделка, связанная с распоряжением общим имуществом, может быть признана недействительной по требованию другого участника по мотивам отсутствия у участника, совершившего сделку, необходимых полномочий только в случае, если доказано, что другая сторона о сделке знала или заведомо должна была знать об этом, иными словами, действовала недобросовестно. Очевидно, что, устанавливая такое правило, законодатель исходил из интересов обеспечения стабильности гражданского оборота и защиты интересов добросовестных приобретателей. Ситуация может быть проиллюстрирована судебным спором, ставшим предметом рассмотрения многих судебных инстанций.</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 xml:space="preserve">Статья 253 ГК не предусматривает исключений, тем не менее, в пункте 4 названной нормы допускается принципиальная возможность иного правового регулирования. Исключение установлено в пункте 3 ст. 35 СК: </w:t>
      </w:r>
      <w:r w:rsidRPr="00DA76A7">
        <w:rPr>
          <w:rFonts w:ascii="Arial" w:hAnsi="Arial" w:cs="Arial"/>
          <w:iCs/>
          <w:noProof/>
          <w:color w:val="000000" w:themeColor="text1"/>
          <w:sz w:val="22"/>
          <w:szCs w:val="22"/>
        </w:rPr>
        <w:t>для сделок по распоряжению недвижимостью и сделок, требующих нотариального удостоверения и (или) регистрации, необходимо получить нотариально удостоверенное согласие другого супруга.</w:t>
      </w:r>
      <w:r w:rsidRPr="00DA76A7">
        <w:rPr>
          <w:rFonts w:ascii="Arial" w:hAnsi="Arial" w:cs="Arial"/>
          <w:i/>
          <w:iCs/>
          <w:noProof/>
          <w:color w:val="000000" w:themeColor="text1"/>
          <w:sz w:val="22"/>
          <w:szCs w:val="22"/>
        </w:rPr>
        <w:t xml:space="preserve"> </w:t>
      </w:r>
      <w:r w:rsidRPr="00DA76A7">
        <w:rPr>
          <w:rFonts w:ascii="Arial" w:hAnsi="Arial" w:cs="Arial"/>
          <w:noProof/>
          <w:color w:val="000000" w:themeColor="text1"/>
          <w:sz w:val="22"/>
          <w:szCs w:val="22"/>
        </w:rPr>
        <w:t>Супруг, чье нотариально удостоверенное согласие на совершение указанной сделки не было получено, вправе требовать признания сделки недействительной в судебном порядке в течение года со дня, когда он узнал или должен был узнать о ее совершении. Установление такого исключения в семейном законодательстве продиктовано настоятельной необходимостью — дополнительную защиту интересов супруга, не участвующего в сделке, от злоупотреблений со стороны другого супруга. Особенно важно это для сделок, предметом которых является наиболее ценное, значимое, а порой жизненно важное для семьи имущество, прежде всего — жилище и иная недвижимость. Приветствуя в целом правило, препятствующее бесконтрольному распоряжению одним из супругов совместно нажитым имуществом, следует, тем не менее, обратить внимание на проблемы, которые возникают на практике при применении пункта 3 ст. 35 СК.</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Действующие Методические рекомендации по совершению отдельных видов нотариальных действий нотариусами (утв. приказом Минюста РТ от 15 марта 2000 г. № 91) в пункте 17 ограничились рекомендациями следующего содержания: «При удостоверении сделок, указанных в статье 35 СК, нотариусом проверяется наличие нотариально удостоверенного согласия другого супруга на совершение сделки. Если в нотариально удостоверенном согласии супруга указаны какие-либо условия сделки, нотариус при удостоверении сделки проверяет, соблюдены ли эти условия. Если лицо не состоит в зарегистрированном браке, нотариусу представляется письменное заявление об этом данного лица».</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 xml:space="preserve">Внимательное прочтение пункта 3 ст. 35 СК РФ и  СК РТ неизбежно приводит к выводу о том, что его содержание оказалось значительно шире того, на которое, как нам кажется, рассчитывал законодатель. Так, сначала формулируется ограничение на совершение сделки «по распоряжению недвижимостью», а затем следует добавление: и сделки, требующей нотариального удостоверения и (или) регистрации. Но ведь такой формы требуют не только сделки по отчуждению, но и сделки, направленные на приобретение недвижимости в собственность. По мнению Т.Ю. Синельниковой, рассматриваемое правило, не столько защищает права супруга, не участвующего в сделке, сколько осложняет гражданский оборот. В самом деле, супруг, не участвовавший в совершении покупки, становится, тем не менее, собственником приобретенного имущества, коль скоро на его приобретение были израсходованы общие средства. В этом смысле его имущественным правам ничто не угрожает. Что касается контроля за целевым использованием нажитых супругами средств, то вряд ли установление такового входит в задачу семейного законодательства. Установление неразумных запретов всегда встречает противодействие и порождает действия в обход закона. Что касается </w:t>
      </w:r>
      <w:r w:rsidRPr="00DA76A7">
        <w:rPr>
          <w:rFonts w:ascii="Arial" w:hAnsi="Arial" w:cs="Arial"/>
          <w:iCs/>
          <w:noProof/>
          <w:color w:val="000000" w:themeColor="text1"/>
          <w:sz w:val="22"/>
          <w:szCs w:val="22"/>
        </w:rPr>
        <w:t>сделок, направленных на отчуждение объектов совместной собственности,</w:t>
      </w:r>
      <w:r w:rsidRPr="00DA76A7">
        <w:rPr>
          <w:rFonts w:ascii="Arial" w:hAnsi="Arial" w:cs="Arial"/>
          <w:i/>
          <w:iCs/>
          <w:noProof/>
          <w:color w:val="000000" w:themeColor="text1"/>
          <w:sz w:val="22"/>
          <w:szCs w:val="22"/>
        </w:rPr>
        <w:t xml:space="preserve"> </w:t>
      </w:r>
      <w:r w:rsidRPr="00DA76A7">
        <w:rPr>
          <w:rFonts w:ascii="Arial" w:hAnsi="Arial" w:cs="Arial"/>
          <w:noProof/>
          <w:color w:val="000000" w:themeColor="text1"/>
          <w:sz w:val="22"/>
          <w:szCs w:val="22"/>
        </w:rPr>
        <w:t>то следует указать на тенденцию к расширительному толкованию нормы пункта 3 ст. 35 СК РФ и   СК РТ. При решении вопроса о том, подлежит ли та или иная сделка государственной регистрации, возникают затруднения.</w:t>
      </w:r>
      <w:r w:rsidRPr="00DA76A7">
        <w:rPr>
          <w:rFonts w:ascii="Arial" w:hAnsi="Arial" w:cs="Arial"/>
          <w:color w:val="000000" w:themeColor="text1"/>
          <w:sz w:val="22"/>
          <w:szCs w:val="22"/>
        </w:rPr>
        <w:t xml:space="preserve"> [5,24]</w:t>
      </w:r>
      <w:r w:rsidRPr="00DA76A7">
        <w:rPr>
          <w:rFonts w:ascii="Arial" w:eastAsia="Calibri" w:hAnsi="Arial" w:cs="Arial"/>
          <w:color w:val="000000" w:themeColor="text1"/>
          <w:sz w:val="22"/>
          <w:szCs w:val="22"/>
        </w:rPr>
        <w:t xml:space="preserve"> </w:t>
      </w:r>
      <w:r w:rsidRPr="00DA76A7">
        <w:rPr>
          <w:rFonts w:ascii="Arial" w:hAnsi="Arial" w:cs="Arial"/>
          <w:noProof/>
          <w:color w:val="000000" w:themeColor="text1"/>
          <w:sz w:val="22"/>
          <w:szCs w:val="22"/>
        </w:rPr>
        <w:t xml:space="preserve"> В определении Судебной коллегии по гражданским делам Верховного Суда от 14 января 2008 г. по делу № 12-В07-8 было подчеркнуто, что для признания недействительной сделки по указанному мотиву недостаточно одного только факта неполучения нотариально удостоверенного согласия второго супруга. Необходимо также доказать, что другая сторона в сделке действовала недобросовестно: совершая сделку, знала или должна была знать, что имущество относится к общему совместному имуществу супругов.</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По нашему мнению, специальное правило, предусмотренное в пункте 3 ст. 35 СК для распоряжения общим совместным имуществом супругов не должно распространяться на сделки по распоряжению общим имуществом, нажитым в браке, совершаемые бывшим супругом после расторжения брака. Такой вывод следует не только из текста пункта 3 ст. 35, но из других норм Семейного кодекса, в которых прямо оговаривается, что, то или иное положение относится к бывшим супругам (ст.ст. 90, 91 СК). К таким случаям должна применяться статья 253 ГК, устанавливающая презумпцию согласия всех участников совместной собственности на распоряжение их общим имуществом независимо от вида имущества и формы сделки. Не предоставляя повышенной охраны имущественных интересов бывшего супруга, законодатель, по мнению М.Л. Шелютто, тем самым стимулирует скорейший раздел общего совместного имущества, нажитого супругами в браке, в случае его расторжения. После прекращения брака, бывшие супруги перестают быть членами одной семьи, нередко становятся чуждыми друг другу. Общая совместная собственность, предполагающая, что ее субъекты связаны тесными, доверительными отношениями, по своей природе не отвечает характеру отношений между бывшими супругами.</w:t>
      </w:r>
      <w:r w:rsidRPr="00DA76A7">
        <w:rPr>
          <w:rFonts w:ascii="Arial" w:hAnsi="Arial" w:cs="Arial"/>
          <w:color w:val="000000" w:themeColor="text1"/>
          <w:sz w:val="22"/>
          <w:szCs w:val="22"/>
        </w:rPr>
        <w:t xml:space="preserve"> [6,76]</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 xml:space="preserve">С очевидностью супруги заключают не только двусторонние и возмездные сделки, но совершают </w:t>
      </w:r>
      <w:r w:rsidRPr="00DA76A7">
        <w:rPr>
          <w:rFonts w:ascii="Arial" w:hAnsi="Arial" w:cs="Arial"/>
          <w:iCs/>
          <w:noProof/>
          <w:color w:val="000000" w:themeColor="text1"/>
          <w:sz w:val="22"/>
          <w:szCs w:val="22"/>
        </w:rPr>
        <w:t>односторонние сделки,</w:t>
      </w:r>
      <w:r w:rsidRPr="00DA76A7">
        <w:rPr>
          <w:rFonts w:ascii="Arial" w:hAnsi="Arial" w:cs="Arial"/>
          <w:i/>
          <w:iCs/>
          <w:noProof/>
          <w:color w:val="000000" w:themeColor="text1"/>
          <w:sz w:val="22"/>
          <w:szCs w:val="22"/>
        </w:rPr>
        <w:t xml:space="preserve"> </w:t>
      </w:r>
      <w:r w:rsidRPr="00DA76A7">
        <w:rPr>
          <w:rFonts w:ascii="Arial" w:hAnsi="Arial" w:cs="Arial"/>
          <w:noProof/>
          <w:color w:val="000000" w:themeColor="text1"/>
          <w:sz w:val="22"/>
          <w:szCs w:val="22"/>
        </w:rPr>
        <w:t xml:space="preserve">которые безвозмездны по определению, а также вступают в безвозмездные договоры. К односторонним сделкам, совершаемым одним из супругов с совместным имуществом, правила статьи 253 ГК и статьи 35 СК, связывающие удовлетворение иска супруга, не участвовавшего в сделке, о признании ее недействительной по мотиву отсутствия согласия на ее заключение с добросовестностью контрагента не применимы, поскольку другой стороны нет и быть не может. </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Нередко по поводу имущества, находящегося в совместной собственности супругов, заключаются договоры дарения. Именно безвозмездность договора дарения побудила законодателя включить в статью 576 ГК «Ограничения дарения» пункт 2, устанавливающий, что дарение имущества, находящегося в общей совместной собственности, допускается по согласию всех участников совместной собственности с соблюдением правил, предусмотренных статьей 253 ГК. Само собой разумеется, что отсутствие прямой отсылки к пункту 3 ст. 35 СК РТ вовсе не исключает его применение. Однако защиты, предоставляемой статьей 253 ГК и статьей 35 СК супругу, чьи права нарушены вследствие совершения другим супругом безвозмездной передачи вещи в собственность третьего лица, либо имущественного права, либо освобождения его от обязанности, представляется недостаточной. Особенно очевиден этот факт применительно к обещанию дарения. Если до исполнения договора обещания дарения обнаруживается, что супруг дарителя своего согласия не давал, но одаряемый удовлетворяет признакам добросовестности, то оснований к признанию консенсуального договора недействительным не имеется. В результате налицо не только несправедливость, но и поощрение безнравственности. Поэтому пункт 2 ст. 253 ГК нуждается в изменении.</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Можно предложить следующую редакцию: «Договор дарения имущества, находящегося в общей совместной собственности, допускается по согласию всех участников совместной собственности. Договор, заключенный без такого согласия, действителен при условии его последующего письменного одобрения остальными участниками совместной собственности».</w:t>
      </w:r>
      <w:r w:rsidRPr="00DA76A7">
        <w:rPr>
          <w:rFonts w:ascii="Arial" w:hAnsi="Arial" w:cs="Arial"/>
          <w:color w:val="000000" w:themeColor="text1"/>
          <w:sz w:val="22"/>
          <w:szCs w:val="22"/>
        </w:rPr>
        <w:t xml:space="preserve"> [3,25]</w:t>
      </w:r>
    </w:p>
    <w:p w:rsidR="00181BA7" w:rsidRPr="00DA76A7" w:rsidRDefault="00181BA7" w:rsidP="00181BA7">
      <w:pPr>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Совершенствование действующего законодательства, направленного на защиту прав обоих супругов на совместно нажитое имущество от его неправомерного отчуждения или, напротив, от необоснованного воспрепятствования отчуждению, не должно ограничиваться внесением изменений в Семейный кодекс, в частности в статью 35. По нашему мнению, совершенствование правового регулирования следовало бы вести по следующим направлениям:</w:t>
      </w:r>
    </w:p>
    <w:p w:rsidR="00181BA7" w:rsidRPr="00DA76A7" w:rsidRDefault="00181BA7" w:rsidP="00D45D6B">
      <w:pPr>
        <w:numPr>
          <w:ilvl w:val="0"/>
          <w:numId w:val="44"/>
        </w:numPr>
        <w:tabs>
          <w:tab w:val="left" w:pos="581"/>
        </w:tabs>
        <w:snapToGrid w:val="0"/>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нормативно предусмотреть внесение сведений о праве совместной собственности с указанием ее субъектов во все реестры (кадастры);</w:t>
      </w:r>
    </w:p>
    <w:p w:rsidR="00181BA7" w:rsidRPr="00DA76A7" w:rsidRDefault="00181BA7" w:rsidP="00D45D6B">
      <w:pPr>
        <w:numPr>
          <w:ilvl w:val="0"/>
          <w:numId w:val="44"/>
        </w:numPr>
        <w:tabs>
          <w:tab w:val="left" w:pos="581"/>
        </w:tabs>
        <w:snapToGrid w:val="0"/>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требование о необходимости предварительного нотариально удостоверенного согласия следует ограничить сделками, направленными на распоряжение недвижимым имуществом, используемым для нужд семьи (для проживания, отдыха, ведения подсобного хозяйства, садоводства и огородничества);</w:t>
      </w:r>
    </w:p>
    <w:p w:rsidR="00181BA7" w:rsidRPr="00DA76A7" w:rsidRDefault="00181BA7" w:rsidP="00D45D6B">
      <w:pPr>
        <w:numPr>
          <w:ilvl w:val="0"/>
          <w:numId w:val="44"/>
        </w:numPr>
        <w:tabs>
          <w:tab w:val="left" w:pos="581"/>
        </w:tabs>
        <w:snapToGrid w:val="0"/>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прямо предусмотреть, что требование о необходимости предварительного нотариально удостоверенного согласия не распространяется на сделки, направленные на приобретение недвижимого имущества любого целевого назначения, а также на сделки с недвижимостью, используемой в предпринимательской деятельности, осуществляемой одним из супругов;</w:t>
      </w:r>
    </w:p>
    <w:p w:rsidR="00181BA7" w:rsidRPr="00DA76A7" w:rsidRDefault="00181BA7" w:rsidP="00D45D6B">
      <w:pPr>
        <w:numPr>
          <w:ilvl w:val="0"/>
          <w:numId w:val="44"/>
        </w:numPr>
        <w:tabs>
          <w:tab w:val="left" w:pos="581"/>
        </w:tabs>
        <w:snapToGrid w:val="0"/>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действительность сделки, совершенной одним из супругов без предварительного согласия другого, когда такое согласие было необходимо, поставить в зависимость от последующего одобрения сделки супругом, чье предварительное согласие на совершение сделки не было получено. Установить срок для одобрения сделки и считать одобренной сделку, если в течение установленного срока ответа не последовало;</w:t>
      </w:r>
    </w:p>
    <w:p w:rsidR="00181BA7" w:rsidRPr="00DA76A7" w:rsidRDefault="00181BA7" w:rsidP="00181BA7">
      <w:pPr>
        <w:tabs>
          <w:tab w:val="left" w:pos="581"/>
        </w:tabs>
        <w:ind w:firstLine="567"/>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на случай отказа одного из супругов в даче согласия на совершение сделки, а также при наличии труднопреодолимых препятствий для выяснения его отношения к сделке, предоставить другому супругу право обратиться в суд за разрешением на совершение сделки. Суд может дать соответствующее разрешение, если установит, что совершение сделки требуется в интересах семьи. Таким образом, предлагается внести соответствующие изменения в ст. 35 СК.</w:t>
      </w: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Семейный кодекс Республики Таджикистан от 13 ноября 1998 г. № 682 // Ахбори Маджлиси Оли Республики Таджикистан, 1998 г., №22, ст. 303; 2006 г., №4, ст. 196; 2008 г., №3, ст. 201; 2010 г., №7, ст. 546; 2011 г., №3, ст. 177, №12, ст. 855; 2013 г., №3, ст. 195; 2015 г., №11, ст. 960; 2016 г., №3, ст. 143; Закон РТ от 14.11.2016 г., №1365</w:t>
      </w:r>
    </w:p>
    <w:p w:rsidR="00181BA7" w:rsidRPr="00DA76A7" w:rsidRDefault="00181BA7" w:rsidP="00181BA7">
      <w:pPr>
        <w:pStyle w:val="af2"/>
        <w:ind w:firstLine="567"/>
        <w:jc w:val="both"/>
        <w:rPr>
          <w:rFonts w:ascii="Arial" w:eastAsia="Times New Roman" w:hAnsi="Arial" w:cs="Arial"/>
          <w:color w:val="000000" w:themeColor="text1"/>
          <w:sz w:val="22"/>
          <w:szCs w:val="22"/>
          <w:lang w:eastAsia="ru-RU"/>
        </w:rPr>
      </w:pPr>
      <w:r w:rsidRPr="00DA76A7">
        <w:rPr>
          <w:rFonts w:ascii="Arial" w:eastAsia="Times New Roman" w:hAnsi="Arial" w:cs="Arial"/>
          <w:color w:val="000000" w:themeColor="text1"/>
          <w:sz w:val="22"/>
          <w:szCs w:val="22"/>
          <w:lang w:eastAsia="ru-RU"/>
        </w:rPr>
        <w:t xml:space="preserve">2. </w:t>
      </w:r>
      <w:r w:rsidRPr="00DA76A7">
        <w:rPr>
          <w:rFonts w:ascii="Arial" w:hAnsi="Arial" w:cs="Arial"/>
          <w:color w:val="000000" w:themeColor="text1"/>
          <w:sz w:val="22"/>
          <w:szCs w:val="22"/>
        </w:rPr>
        <w:t>Брачный режим» как общее достояние? [Электронный ресурс]. – Режим доступа: http:// news.tj.</w:t>
      </w:r>
    </w:p>
    <w:p w:rsidR="00181BA7" w:rsidRPr="00DA76A7" w:rsidRDefault="00181BA7" w:rsidP="00181BA7">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Григорьева О.И. Проблемы защиты права собственности супругов  // Современное право. – 2008. – № 10. – С. 25.</w:t>
      </w:r>
    </w:p>
    <w:p w:rsidR="00181BA7" w:rsidRPr="00DA76A7" w:rsidRDefault="00181BA7" w:rsidP="00181BA7">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4.Пресс-конференция «Обязательное заключение брачных контрактов в Таджикистане [Электронный ресурс]. – Режим доступа: http:// eva.tj.». </w:t>
      </w:r>
    </w:p>
    <w:p w:rsidR="00181BA7" w:rsidRPr="00DA76A7" w:rsidRDefault="00181BA7" w:rsidP="00181BA7">
      <w:pPr>
        <w:pStyle w:val="af2"/>
        <w:ind w:firstLine="567"/>
        <w:jc w:val="both"/>
        <w:rPr>
          <w:rFonts w:ascii="Arial" w:eastAsia="Times New Roman" w:hAnsi="Arial" w:cs="Arial"/>
          <w:color w:val="000000" w:themeColor="text1"/>
          <w:sz w:val="22"/>
          <w:szCs w:val="22"/>
          <w:lang w:eastAsia="ru-RU"/>
        </w:rPr>
      </w:pPr>
      <w:r w:rsidRPr="00DA76A7">
        <w:rPr>
          <w:rFonts w:ascii="Arial" w:hAnsi="Arial" w:cs="Arial"/>
          <w:color w:val="000000" w:themeColor="text1"/>
          <w:sz w:val="22"/>
          <w:szCs w:val="22"/>
        </w:rPr>
        <w:t>5.</w:t>
      </w:r>
      <w:r w:rsidRPr="00DA76A7">
        <w:rPr>
          <w:rFonts w:ascii="Arial" w:eastAsia="Times New Roman" w:hAnsi="Arial" w:cs="Arial"/>
          <w:color w:val="000000" w:themeColor="text1"/>
          <w:sz w:val="22"/>
          <w:szCs w:val="22"/>
          <w:lang w:eastAsia="ru-RU"/>
        </w:rPr>
        <w:t>Синельникова Т.Ю. Имущественные отношения супругов как объект правового регулирования //Семейное и жилищное право.- 2007.- № 3. – С.28.</w:t>
      </w:r>
    </w:p>
    <w:p w:rsidR="00181BA7" w:rsidRPr="00DA76A7" w:rsidRDefault="00181BA7" w:rsidP="00181BA7">
      <w:pPr>
        <w:pStyle w:val="af2"/>
        <w:keepLines/>
        <w:ind w:firstLine="567"/>
        <w:jc w:val="both"/>
        <w:rPr>
          <w:rFonts w:ascii="Arial" w:hAnsi="Arial" w:cs="Arial"/>
          <w:color w:val="000000" w:themeColor="text1"/>
          <w:sz w:val="22"/>
          <w:szCs w:val="22"/>
        </w:rPr>
      </w:pPr>
      <w:r w:rsidRPr="00DA76A7">
        <w:rPr>
          <w:rFonts w:ascii="Arial" w:eastAsia="Times New Roman" w:hAnsi="Arial" w:cs="Arial"/>
          <w:color w:val="000000" w:themeColor="text1"/>
          <w:sz w:val="22"/>
          <w:szCs w:val="22"/>
          <w:lang w:eastAsia="ru-RU"/>
        </w:rPr>
        <w:t>6.</w:t>
      </w:r>
      <w:r w:rsidRPr="00DA76A7">
        <w:rPr>
          <w:rFonts w:ascii="Arial" w:hAnsi="Arial" w:cs="Arial"/>
          <w:iCs/>
          <w:color w:val="000000" w:themeColor="text1"/>
          <w:sz w:val="22"/>
          <w:szCs w:val="22"/>
        </w:rPr>
        <w:t xml:space="preserve"> Шелютто М.Л.</w:t>
      </w:r>
      <w:r w:rsidRPr="00DA76A7">
        <w:rPr>
          <w:rFonts w:ascii="Arial" w:hAnsi="Arial" w:cs="Arial"/>
          <w:i/>
          <w:iCs/>
          <w:color w:val="000000" w:themeColor="text1"/>
          <w:sz w:val="22"/>
          <w:szCs w:val="22"/>
        </w:rPr>
        <w:t xml:space="preserve"> </w:t>
      </w:r>
      <w:r w:rsidRPr="00DA76A7">
        <w:rPr>
          <w:rFonts w:ascii="Arial" w:hAnsi="Arial" w:cs="Arial"/>
          <w:color w:val="000000" w:themeColor="text1"/>
          <w:sz w:val="22"/>
          <w:szCs w:val="22"/>
        </w:rPr>
        <w:t>Оспаривание сделки по распоряжению общим совместным имуществом, нажитым в браке  // Комментарий судебной практики. Вып. 11. – М., Юридическая литература. 2010. – С. 112-113.</w:t>
      </w:r>
    </w:p>
    <w:p w:rsidR="00181BA7" w:rsidRPr="00DA76A7" w:rsidRDefault="00181BA7" w:rsidP="00181BA7">
      <w:pPr>
        <w:pStyle w:val="af2"/>
        <w:ind w:firstLine="567"/>
        <w:jc w:val="both"/>
        <w:rPr>
          <w:rFonts w:ascii="Arial" w:eastAsia="Times New Roman" w:hAnsi="Arial" w:cs="Arial"/>
          <w:color w:val="000000" w:themeColor="text1"/>
          <w:sz w:val="22"/>
          <w:szCs w:val="22"/>
          <w:lang w:eastAsia="ru-RU"/>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КЛАССИФИКАЦИЯ ОБЪЕДИНЕНИЯ КОРПОРАЦИЙ</w:t>
      </w:r>
    </w:p>
    <w:p w:rsidR="00181BA7" w:rsidRPr="00DA76A7" w:rsidRDefault="00181BA7" w:rsidP="00181BA7">
      <w:pPr>
        <w:tabs>
          <w:tab w:val="left" w:pos="851"/>
        </w:tabs>
        <w:jc w:val="center"/>
        <w:rPr>
          <w:rFonts w:ascii="Arial" w:hAnsi="Arial" w:cs="Arial"/>
          <w:b/>
          <w:color w:val="000000" w:themeColor="text1"/>
          <w:sz w:val="22"/>
          <w:szCs w:val="22"/>
        </w:rPr>
      </w:pPr>
    </w:p>
    <w:p w:rsidR="00181BA7" w:rsidRPr="00DA76A7" w:rsidRDefault="00181BA7" w:rsidP="00181BA7">
      <w:pPr>
        <w:tabs>
          <w:tab w:val="left" w:pos="851"/>
        </w:tabs>
        <w:jc w:val="center"/>
        <w:rPr>
          <w:rFonts w:ascii="Arial" w:hAnsi="Arial" w:cs="Arial"/>
          <w:b/>
          <w:color w:val="000000" w:themeColor="text1"/>
          <w:sz w:val="22"/>
          <w:szCs w:val="22"/>
        </w:rPr>
      </w:pPr>
      <w:r w:rsidRPr="00DA76A7">
        <w:rPr>
          <w:rFonts w:ascii="Arial" w:eastAsia="Calibri" w:hAnsi="Arial" w:cs="Arial"/>
          <w:b/>
          <w:color w:val="000000" w:themeColor="text1"/>
          <w:sz w:val="22"/>
          <w:szCs w:val="22"/>
        </w:rPr>
        <w:t>Азизов Курбонали Рахимович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bCs/>
          <w:color w:val="000000" w:themeColor="text1"/>
          <w:sz w:val="22"/>
          <w:szCs w:val="22"/>
        </w:rPr>
      </w:pPr>
      <w:r w:rsidRPr="00DA76A7">
        <w:rPr>
          <w:rFonts w:ascii="Arial" w:hAnsi="Arial" w:cs="Arial"/>
          <w:bCs/>
          <w:color w:val="000000" w:themeColor="text1"/>
          <w:sz w:val="22"/>
          <w:szCs w:val="22"/>
        </w:rPr>
        <w:t>Российско-Таджикского (Славянского) университета</w:t>
      </w:r>
    </w:p>
    <w:p w:rsidR="00181BA7" w:rsidRPr="00DA76A7" w:rsidRDefault="00181BA7" w:rsidP="00181BA7">
      <w:pPr>
        <w:jc w:val="center"/>
        <w:rPr>
          <w:rFonts w:ascii="Arial" w:hAnsi="Arial" w:cs="Arial"/>
          <w:bCs/>
          <w:color w:val="000000" w:themeColor="text1"/>
          <w:sz w:val="22"/>
          <w:szCs w:val="22"/>
        </w:rPr>
      </w:pPr>
      <w:r w:rsidRPr="00DA76A7">
        <w:rPr>
          <w:rFonts w:ascii="Arial" w:hAnsi="Arial" w:cs="Arial"/>
          <w:bCs/>
          <w:color w:val="000000" w:themeColor="text1"/>
          <w:sz w:val="22"/>
          <w:szCs w:val="22"/>
        </w:rPr>
        <w:t>734025, Республика Таджикистан, г. Душанбе, ул. М. Турсунзаде, 30</w:t>
      </w:r>
    </w:p>
    <w:p w:rsidR="00181BA7" w:rsidRPr="00AC7230"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AC7230">
        <w:rPr>
          <w:rFonts w:ascii="Arial" w:hAnsi="Arial" w:cs="Arial"/>
          <w:color w:val="000000" w:themeColor="text1"/>
          <w:sz w:val="22"/>
          <w:szCs w:val="22"/>
        </w:rPr>
        <w:t xml:space="preserve">.: (+992) </w:t>
      </w:r>
      <w:r w:rsidRPr="00AC7230">
        <w:rPr>
          <w:rFonts w:ascii="Arial" w:hAnsi="Arial" w:cs="Arial"/>
          <w:color w:val="000000" w:themeColor="text1"/>
          <w:sz w:val="22"/>
          <w:szCs w:val="22"/>
          <w:shd w:val="clear" w:color="auto" w:fill="FFFFFF"/>
        </w:rPr>
        <w:t>901000800</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rPr>
        <w:t>е</w:t>
      </w:r>
      <w:r w:rsidRPr="00AC7230">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AC7230">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lang w:val="en-US"/>
        </w:rPr>
        <w:t>azizov</w:t>
      </w:r>
      <w:r w:rsidRPr="00AC7230">
        <w:rPr>
          <w:rFonts w:ascii="Arial" w:hAnsi="Arial" w:cs="Arial"/>
          <w:color w:val="000000" w:themeColor="text1"/>
          <w:sz w:val="22"/>
          <w:szCs w:val="22"/>
          <w:shd w:val="clear" w:color="auto" w:fill="FFFFFF"/>
        </w:rPr>
        <w:t>_</w:t>
      </w:r>
      <w:r w:rsidRPr="00DA76A7">
        <w:rPr>
          <w:rFonts w:ascii="Arial" w:hAnsi="Arial" w:cs="Arial"/>
          <w:color w:val="000000" w:themeColor="text1"/>
          <w:sz w:val="22"/>
          <w:szCs w:val="22"/>
          <w:shd w:val="clear" w:color="auto" w:fill="FFFFFF"/>
          <w:lang w:val="en-US"/>
        </w:rPr>
        <w:t>k</w:t>
      </w:r>
      <w:r w:rsidRPr="00AC7230">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mail</w:t>
      </w:r>
      <w:r w:rsidRPr="00AC7230">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ru</w:t>
      </w:r>
    </w:p>
    <w:p w:rsidR="00181BA7" w:rsidRPr="00AC7230" w:rsidRDefault="00181BA7" w:rsidP="00181BA7">
      <w:pPr>
        <w:jc w:val="center"/>
        <w:rPr>
          <w:rFonts w:ascii="Arial" w:hAnsi="Arial" w:cs="Arial"/>
          <w:color w:val="000000" w:themeColor="text1"/>
          <w:sz w:val="22"/>
          <w:szCs w:val="22"/>
        </w:rPr>
      </w:pPr>
      <w:r w:rsidRPr="00AC7230">
        <w:rPr>
          <w:rFonts w:ascii="Arial" w:hAnsi="Arial" w:cs="Arial"/>
          <w:color w:val="000000" w:themeColor="text1"/>
          <w:sz w:val="22"/>
          <w:szCs w:val="22"/>
        </w:rPr>
        <w:t xml:space="preserve"> </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CLASSIFICATION OF THE UNION OF CORPORATIONS</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Azizov Kurbonali Rahimovich</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full-time department of the faculty of law</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lang w:val="en-US"/>
        </w:rPr>
        <w:t xml:space="preserve">tel.: (+992) </w:t>
      </w:r>
      <w:r w:rsidRPr="00DA76A7">
        <w:rPr>
          <w:rFonts w:ascii="Arial" w:hAnsi="Arial" w:cs="Arial"/>
          <w:color w:val="000000" w:themeColor="text1"/>
          <w:sz w:val="22"/>
          <w:szCs w:val="22"/>
          <w:shd w:val="clear" w:color="auto" w:fill="FFFFFF"/>
          <w:lang w:val="en-US"/>
        </w:rPr>
        <w:t>901000800</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96" w:history="1">
        <w:r w:rsidRPr="00DA76A7">
          <w:rPr>
            <w:rStyle w:val="af0"/>
            <w:rFonts w:ascii="Arial" w:hAnsi="Arial" w:cs="Arial"/>
            <w:color w:val="000000" w:themeColor="text1"/>
            <w:sz w:val="22"/>
            <w:szCs w:val="22"/>
            <w:u w:val="none"/>
            <w:shd w:val="clear" w:color="auto" w:fill="FFFFFF"/>
            <w:lang w:val="en-US"/>
          </w:rPr>
          <w:t>azizov_k@mail.ru</w:t>
        </w:r>
      </w:hyperlink>
    </w:p>
    <w:p w:rsidR="00181BA7" w:rsidRPr="00DA76A7" w:rsidRDefault="00181BA7" w:rsidP="00181BA7">
      <w:pPr>
        <w:ind w:firstLine="567"/>
        <w:jc w:val="right"/>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Рахимзода М.З.</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ind w:firstLine="567"/>
        <w:jc w:val="both"/>
        <w:rPr>
          <w:rFonts w:ascii="Arial" w:eastAsia="Calibri" w:hAnsi="Arial" w:cs="Arial"/>
          <w:b/>
          <w:bCs/>
          <w:i/>
          <w:color w:val="000000" w:themeColor="text1"/>
          <w:sz w:val="22"/>
          <w:szCs w:val="22"/>
        </w:rPr>
      </w:pPr>
      <w:r w:rsidRPr="00DA76A7">
        <w:rPr>
          <w:rFonts w:ascii="Arial" w:eastAsia="Calibri" w:hAnsi="Arial" w:cs="Arial"/>
          <w:b/>
          <w:bCs/>
          <w:i/>
          <w:color w:val="000000" w:themeColor="text1"/>
          <w:sz w:val="22"/>
          <w:szCs w:val="22"/>
        </w:rPr>
        <w:t xml:space="preserve">Аннотация. </w:t>
      </w:r>
      <w:r w:rsidRPr="00DA76A7">
        <w:rPr>
          <w:rFonts w:ascii="Arial" w:eastAsia="Calibri" w:hAnsi="Arial" w:cs="Arial"/>
          <w:bCs/>
          <w:i/>
          <w:color w:val="000000" w:themeColor="text1"/>
          <w:sz w:val="22"/>
          <w:szCs w:val="22"/>
        </w:rPr>
        <w:t>В статье</w:t>
      </w:r>
      <w:r w:rsidRPr="00DA76A7">
        <w:rPr>
          <w:rFonts w:ascii="Arial" w:eastAsia="Calibri" w:hAnsi="Arial" w:cs="Arial"/>
          <w:b/>
          <w:bCs/>
          <w:i/>
          <w:color w:val="000000" w:themeColor="text1"/>
          <w:sz w:val="22"/>
          <w:szCs w:val="22"/>
        </w:rPr>
        <w:t xml:space="preserve"> </w:t>
      </w:r>
      <w:r w:rsidRPr="00DA76A7">
        <w:rPr>
          <w:rFonts w:ascii="Arial" w:eastAsia="Calibri" w:hAnsi="Arial" w:cs="Arial"/>
          <w:bCs/>
          <w:i/>
          <w:color w:val="000000" w:themeColor="text1"/>
          <w:sz w:val="22"/>
          <w:szCs w:val="22"/>
        </w:rPr>
        <w:t xml:space="preserve">анализируются виды и формы объедения корпораций, существующих в современном хозяйственном обороте. </w:t>
      </w:r>
      <w:r w:rsidRPr="00DA76A7">
        <w:rPr>
          <w:rFonts w:ascii="Arial" w:eastAsia="Calibri" w:hAnsi="Arial" w:cs="Arial"/>
          <w:b/>
          <w:bCs/>
          <w:i/>
          <w:color w:val="000000" w:themeColor="text1"/>
          <w:sz w:val="22"/>
          <w:szCs w:val="22"/>
        </w:rPr>
        <w:t xml:space="preserve">  </w:t>
      </w:r>
    </w:p>
    <w:p w:rsidR="00181BA7" w:rsidRPr="00DA76A7" w:rsidRDefault="00181BA7" w:rsidP="00181BA7">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А</w:t>
      </w:r>
      <w:r w:rsidRPr="00DA76A7">
        <w:rPr>
          <w:rFonts w:ascii="Arial" w:hAnsi="Arial" w:cs="Arial"/>
          <w:b/>
          <w:i/>
          <w:color w:val="000000" w:themeColor="text1"/>
          <w:sz w:val="22"/>
          <w:szCs w:val="22"/>
          <w:lang w:val="en-US"/>
        </w:rPr>
        <w:t xml:space="preserve">nnotation. </w:t>
      </w:r>
      <w:r w:rsidRPr="00DA76A7">
        <w:rPr>
          <w:rFonts w:ascii="Arial" w:hAnsi="Arial" w:cs="Arial"/>
          <w:i/>
          <w:color w:val="000000" w:themeColor="text1"/>
          <w:sz w:val="22"/>
          <w:szCs w:val="22"/>
          <w:lang w:val="en-US"/>
        </w:rPr>
        <w:t>The article analyzes the types and forms of corrupting corporations existing with modern economic turnover.</w:t>
      </w: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Ключевые слова:</w:t>
      </w:r>
      <w:r w:rsidRPr="00DA76A7">
        <w:rPr>
          <w:rFonts w:ascii="Arial" w:eastAsia="Calibri" w:hAnsi="Arial" w:cs="Arial"/>
          <w:i/>
          <w:color w:val="000000" w:themeColor="text1"/>
          <w:sz w:val="22"/>
          <w:szCs w:val="22"/>
        </w:rPr>
        <w:t xml:space="preserve"> объединения корпораций, холдинг, некоммерческое партнерство, </w:t>
      </w:r>
      <w:r w:rsidRPr="00DA76A7">
        <w:rPr>
          <w:rFonts w:ascii="Arial" w:hAnsi="Arial" w:cs="Arial"/>
          <w:i/>
          <w:color w:val="000000" w:themeColor="text1"/>
          <w:sz w:val="22"/>
          <w:szCs w:val="22"/>
        </w:rPr>
        <w:t>картели, консорциумы, ассоциации.</w:t>
      </w:r>
    </w:p>
    <w:p w:rsidR="00181BA7" w:rsidRPr="00DA76A7" w:rsidRDefault="00181BA7" w:rsidP="00181BA7">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corporations associations, holding, non-commercial partnership, cartels, consortiums, associations.</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доктрине гражданского права используются различные критерии для проведения классификация объединения корпораций, наиболее значимыми из них являются, следующие: способ организации объединения, характер правосубъектность формы объединения корпораций, а также экономическое содержание цели создания объединения. На основе приведённых критериев также будет проводиться классификация объединения корпораций в рамках данного исследования [4, 51].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Способ организации объединения как критерий подразделения объединений выделяется исходя из того, каким образом осуществлено создание объединения, в добровольном или принудительном порядке. В соответствии с данным критерием производится выделение объединений вертикального и горизонтального типов.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
          <w:color w:val="000000" w:themeColor="text1"/>
          <w:sz w:val="22"/>
          <w:szCs w:val="22"/>
        </w:rPr>
        <w:t>Первый тип объединений</w:t>
      </w:r>
      <w:r w:rsidRPr="00DA76A7">
        <w:rPr>
          <w:rFonts w:ascii="Arial" w:hAnsi="Arial" w:cs="Arial"/>
          <w:color w:val="000000" w:themeColor="text1"/>
          <w:sz w:val="22"/>
          <w:szCs w:val="22"/>
        </w:rPr>
        <w:t xml:space="preserve"> (вертикальные объединение) возникают в результате экономического преобладания одного хозяйствующего субъекта над другими. В соответствии с положениями Гражданского кодекса РФ и РТ, положений законов о хозяйственных обществах РФ и РТ, под экономическим преобладанием, понимается правовая возможность одного хозяйствующего субъекта осуществлять контроль за деятельностью и определять решения другого хозяйствующего субъекта, ввиду преобладающего участия в его уставном капитале, на основании договора или иных обстоятельств[12, 44].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Преобладающим участие в данном случае будет нахождение в собственности контролирующего хозяйствующего субъекта пакета акций (доли участия) равной или превышающей 50% от общего размера уставного капитала подконтрольного хозяйствующего субъекта.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объединениям вертикального типа, в доктрине гражданского права принято относить: холдинги и объединения холдингового вида. При этом законодательство не содержит четкого юридического термина «холдинг». Однако на основании изучения различных точек зрения, приведенных в специальной литературе можно прийти к выводу, что под холдингом (в его чистом юридическом значении) следует понимать: «объединение хозяйственных обществ (АО, ООО), в котором основное общество в силу преобладающего участия в уставном капитале дочернего общества или на ином правовом основании, вправе осуществлять над ним контроль и определять его решения» [7, 62].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Выделение наряду с холдингом, также объединений холдингового вида связанно с тем обстоятельством, что холдинговая структура бизнеса может быть построена при объединении юридических лиц с различной организационно-правовой формой (не только хозяйственных обществ). Так, фактические холдинговые структуры  могут быть образованны унитарными предприятия с созданными им дочерними предприятиями, некоммерческими организациями (ассоциации, союзы, фонды) с подконтрольными им хозяйственными обществами, а также некоторые других комбинаций   объединений юридических лиц, в которых наличествует признаки экономической зависимости и концентрации капитала.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Общим признаком, как для собственно холдингов, так и для объединений холдингового вида, является наличие контроля одного участника над другими, причем этот фактор выступает ключевым элементом в организации холдинга [6, 79].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 тем формы контроля, как было указанно выше могут носить различный характер, к числу наиболее распространённых его форм имеющих место в хозяйственной практике можно отнести следующие из них:</w:t>
      </w:r>
    </w:p>
    <w:p w:rsidR="00181BA7" w:rsidRPr="00DA76A7" w:rsidRDefault="00181BA7" w:rsidP="00D45D6B">
      <w:pPr>
        <w:widowControl/>
        <w:numPr>
          <w:ilvl w:val="0"/>
          <w:numId w:val="106"/>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инвестиционный контроль, прямое или опосредованное обладание частью размещённых акций (долей участия) другого юридического лица, дающие их владельцу простое или квалифицированное большинство голосов при проведении общего собрания акционеров (участников) подконтрольного общества;</w:t>
      </w:r>
    </w:p>
    <w:p w:rsidR="00181BA7" w:rsidRPr="00DA76A7" w:rsidRDefault="00181BA7" w:rsidP="00D45D6B">
      <w:pPr>
        <w:widowControl/>
        <w:numPr>
          <w:ilvl w:val="0"/>
          <w:numId w:val="106"/>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договорной контроль, возникающий на основе специального договора предусматривающий возможность  основной компании определять порядок деятельности контролируемой компании посредством принятия соответствующих решений. Такая форма контроля не получила широкого распространения в хозяйственной практике РФ и РТ, а существующие примеры (главным образом в РФ) вызвали негативную оценку со стороны судов;</w:t>
      </w:r>
    </w:p>
    <w:p w:rsidR="00181BA7" w:rsidRPr="00DA76A7" w:rsidRDefault="00181BA7" w:rsidP="00D45D6B">
      <w:pPr>
        <w:widowControl/>
        <w:numPr>
          <w:ilvl w:val="0"/>
          <w:numId w:val="106"/>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корпоративный контроль, возможность, одного акционера (участника) определения порядок голосования других акционеров (участников) при проведении собрания акционеров (участников), а также возможность требовать совместной продажи принадлежащих акций (долей) при наличии определённых обстоятельств. Такого рода полномочия, как правило, возникают на основе такого института как – корпоративные соглашения (соглашения акционеров), это новый институт, который появился сравнительно недавно в законодательстве РФ, законодательству РТ, такой институт не известен.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Контрольный пакет акций (доля участия) является основной (универсальной) формой контроля в рамках холдинга, все остальные указанные формы контроля с точки зрения законодательства РФ и РТ носят вспомогательный характер.</w:t>
      </w:r>
    </w:p>
    <w:p w:rsidR="00181BA7" w:rsidRPr="00821AD4"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контроль в объединениях вертикального типа, можно определить, как возможность основного общества обеспечивать решающее влияние на принятие решений дочерними обществами, определять условия ведения ими </w:t>
      </w:r>
      <w:r w:rsidRPr="00821AD4">
        <w:rPr>
          <w:rFonts w:ascii="Arial" w:hAnsi="Arial" w:cs="Arial"/>
          <w:color w:val="000000" w:themeColor="text1"/>
          <w:sz w:val="22"/>
          <w:szCs w:val="22"/>
        </w:rPr>
        <w:t>предпринимательской деятельности.</w:t>
      </w:r>
    </w:p>
    <w:p w:rsidR="00181BA7" w:rsidRPr="00821AD4" w:rsidRDefault="00181BA7" w:rsidP="00181BA7">
      <w:pPr>
        <w:ind w:firstLine="567"/>
        <w:jc w:val="both"/>
        <w:rPr>
          <w:rFonts w:ascii="Arial" w:hAnsi="Arial" w:cs="Arial"/>
          <w:color w:val="000000" w:themeColor="text1"/>
          <w:sz w:val="22"/>
          <w:szCs w:val="22"/>
        </w:rPr>
      </w:pPr>
      <w:r w:rsidRPr="00821AD4">
        <w:rPr>
          <w:rFonts w:ascii="Arial" w:hAnsi="Arial" w:cs="Arial"/>
          <w:color w:val="000000" w:themeColor="text1"/>
          <w:sz w:val="22"/>
          <w:szCs w:val="22"/>
        </w:rPr>
        <w:t>Второй тип объединений (горизонтальные объединения) являются договорными формами объединений и возникают на основе добровольных отношениях кооперации между равноправными субъектами. Основными формами горизонтальных отношений являются, такие как: ассоциация (союз), некоммерческие партнерства и простые товарищества [11, 87].</w:t>
      </w:r>
    </w:p>
    <w:p w:rsidR="00181BA7" w:rsidRPr="00DA76A7" w:rsidRDefault="00181BA7" w:rsidP="00181BA7">
      <w:pPr>
        <w:ind w:firstLine="567"/>
        <w:jc w:val="both"/>
        <w:rPr>
          <w:rFonts w:ascii="Arial" w:hAnsi="Arial" w:cs="Arial"/>
          <w:color w:val="000000" w:themeColor="text1"/>
          <w:sz w:val="22"/>
          <w:szCs w:val="22"/>
        </w:rPr>
      </w:pPr>
      <w:r w:rsidRPr="00821AD4">
        <w:rPr>
          <w:rFonts w:ascii="Arial" w:hAnsi="Arial" w:cs="Arial"/>
          <w:color w:val="000000" w:themeColor="text1"/>
          <w:sz w:val="22"/>
          <w:szCs w:val="22"/>
        </w:rPr>
        <w:t>Данные тип объединений, относится к числу некоммерческих добровольных организаций, которые создаются на началах членства и не предназначены для непосредственного осуществления</w:t>
      </w:r>
      <w:r w:rsidRPr="00DA76A7">
        <w:rPr>
          <w:rFonts w:ascii="Arial" w:hAnsi="Arial" w:cs="Arial"/>
          <w:color w:val="000000" w:themeColor="text1"/>
          <w:sz w:val="22"/>
          <w:szCs w:val="22"/>
        </w:rPr>
        <w:t xml:space="preserve"> предпринимательской деятельности. Основным занятием данных объединений, как правило, является содействия и координации предпринимательской деятельности его участников, а также взаимодействие с  властными структурами для создания благоприятной среды для предпринимательской деятельности.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Наряду с указанными видами объединений, в специальной литературе часто указываются различные видов некоммерческих организаций, которые не охватываются понятием «объединения юридических лиц», но являются близких к ним по своей сущности и целям образования. Такого рода организации, создаются для поддержки предпринимательства и являются важными элементами инфраструктуры рынка. К ним, в первую очередь относятся адвокатские палаты (союзы), организации профессиональных участников рынка ценных бумаг, организации арбитражных управляющих, организации аудиторов, торгово-промышленные палаты, различные виды объединений работодателей  и др. [9, 12].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Следующим критерием классификация объединений корпораций, основывается на определении правового статуса (правосубъектности), признаваемого законом за соответствующим объединением корпораций.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общему правилу гражданское законодательство и доктрина гражданского права РФ и РТ признаёт в качестве коллективных субъектов гражданских правоотношений только юридических лиц. С этой точки зрения, правосубъектными объединениями являются только ассоциации (союзы), некоммерческие партнерства, торгово-промышленные палаты и другие некоммерческие объединения, все иные объединения статусом юридического лица не обладают и считаются неправосубъектными [12, 32].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 правосубъектностью в гражданском праве традиционно понимается определенное и признанное законом специальное юридическое свойство, позволяющие лицу или организации выступать в качестве субъектом права и участником правоотношения. Между тем вопрос относительно содержания правосубъектности, в науке гражданского права на данный момент остаётся дискуссионным [10, 95].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одними авторами указывается, что правосубъектность есть не что иное, как собственно правоспособность. Другие сходятся на мысли, что в содержание правосубъектность входят два элемента, правоспособность и дееспособность. Так, например одним из выдающихся советских правоведов О.А. Красавчиковым указывается, «что правоспособность является общей основой, определяющей характер и объем прав, которые допустимы к обладанию определённым субъектом. Дееспособность учёный характеризует, как возможность собственными действиями субъекта приобретать права и осуществлять обязанности. Соответственно отсутствие или ограничение правоспособности приводит фактически к невозможности приобретения прав, в то время как отсутствие дееспособности влечет невозможность приобретения прав своими собственными действиями» [5, 37-39].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Другая группа ученых выдвигает идею, согласно которой в содержании правосубъектности наряду с правоспособностью и дееспособностью входит также деликтоспособность [3, 133].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Принимая во внимание наличие различных научные позиции относительно определения понятия правосубъектность, на наш взгляд будет более правильным для целей настоящего исследования придерживаться господствующей в доктрине гражданского права позиции, согласно которой правосубъектность рассматривается как общее сочетания таких качеств, как правоспособность, дееспособность и деликтоспособность. При этом, применительно к юридическому лицу, правосубъектность выступает как некое объединительное понятие, которое указывает, что правоспособность и дееспособность для них, возникают одновременно, существуют неразделимо и прекращаются одномоментно [8, 86-88].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под правосубъектностью понимается способность лица выступать субъектом права и участником гражданских правоотношений. Действующие гражданское законодательство РФ и РТ признаёт свойство правосубъектности и называет в качестве основных субъектов права физических и юридических лиц. Правосубъектность физических лиц законом связывается с самим фактом рождения, в то время как для возникновения правосубъектность юридических лиц, помимо собственно действий по его созданию (принятие учредительных документов, формирование имущества и др.) требуется также акт уполномоченного государственного органа о регистрации и внесении сведений о юридическом лице в государственный реестр юридических лиц.</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Соответственно с учётом такого качества как правосубъектность коллективные образования выступающие предметом изучения в рамках данного исследования могут быть подразделены на организации, которые признаются субъектами права и те которые таковыми не признаются.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объединениям корпораций, которые согласно действующему гражданскому законодательству наделены статусом юридического лица, т.е. имеют право выступать участниками правоотношений (правоспособность), действиями своих органов создавать права и исполнять обязанности (дееспособность), а также нести ответственность за свои действия (деликтоспособность) относятся: ассоциация (союз) и некоммерческие партнерства (применительно к РФ).</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 объединениям корпораций, которые, статусом юридических лиц не наделены и не могут рассматриваться в качестве самостоятельных субъектов права, в соответствии с требованиями действующего Гражданского кодекса РФ и РТ, на данный момент причисляют холдинги (объединения холдингового вида) и простое товарищество.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 смотря на то, что холдинги и простые товарищества фактически представляют собой коллективное образование, участник которого объединены общей целью и осуществляют совместную деятельность, они не становится самостоятельными участником гражданского оборота и потому не приобретает свойств правосубъектности, т.е. не осуществляет от собственного имени права и не несет обязанности. Этим данные образования отличаются от юридического лица. Каждый из участников данного объединения является юридически самостоятельным субъектом права, независимо и автономно определяющий цели своей деятельности и порядок её осуществления в рамках установленных законодательством. Наличие фактических связей между участниками коллективного образования, которые могут носить различный характер, в том числе участие в уставном капитале, договор о совместной деятельности не влияет статус самого коллективного образования, которое не приобретает в связи с этим правосубъектности.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Помимо приведённых критериев в правовой и экономической литературе также распространён подход подразделение объединений корпораций исходя из консолидации и концентрации полномочий среди участников по осуществлению управления деятельностью объединения.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 данным подходом подразделение объединения корпораций, осуществляется следующем порядке:</w:t>
      </w:r>
    </w:p>
    <w:p w:rsidR="00181BA7" w:rsidRPr="00DA76A7" w:rsidRDefault="00181BA7" w:rsidP="00D45D6B">
      <w:pPr>
        <w:widowControl/>
        <w:numPr>
          <w:ilvl w:val="0"/>
          <w:numId w:val="107"/>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к объединениям, участники которых в полном объеме сохраняют свою независимость и правовой статус, относятся картели, консорциумы, ассоциации и т.п. Данные объединения создаются участниками в целях координации совместной деятельности и защиты общих интересов участников;</w:t>
      </w:r>
    </w:p>
    <w:p w:rsidR="00181BA7" w:rsidRPr="00DA76A7" w:rsidRDefault="00181BA7" w:rsidP="00D45D6B">
      <w:pPr>
        <w:widowControl/>
        <w:numPr>
          <w:ilvl w:val="0"/>
          <w:numId w:val="107"/>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к объединениям, участники которых соглашаются осуществлять определённый вид деятельности только по взаимному согласию и сохраняют автономию во всех иных вопроса организации собственной деятельности, относятся синдикаты, пулы, промышленные группы. Данные объединения нацелены на проведение скоординированной политики в той или иной области предпринимательской деятельности.</w:t>
      </w:r>
    </w:p>
    <w:p w:rsidR="00181BA7" w:rsidRPr="00DA76A7" w:rsidRDefault="00181BA7" w:rsidP="00D45D6B">
      <w:pPr>
        <w:widowControl/>
        <w:numPr>
          <w:ilvl w:val="0"/>
          <w:numId w:val="107"/>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к объединениям, в которых передают основные функции управления, переходят от одних участников к центральной компании, относятся тресты, концерны, холдинги.</w:t>
      </w:r>
    </w:p>
    <w:p w:rsidR="00181BA7" w:rsidRPr="00DA76A7" w:rsidRDefault="00181BA7" w:rsidP="00181BA7">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Вместе с тем, следует указать, что виды объединения выделенных при проведении классификации на основе экономического критерия, в хозяйственной практике РФ и РТ получают выражение в следующих правовых формах. Так, концерны, как правило, создаются в виде холдинга, картели, консорциумы, пулы образовываются на основе договора простого товарищества и т.д. [14, 23].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среди учёных юристов распространён подход по осуществлению классификации объединений корпораций исходя из экономической цели создания объединения. В соответствии с ним выделяют объединения направленные на ограничение конкуренции и установление монополии, к их числу принято относить картели, синдикаты, тресты. Организационно-правовые формы, в которых указанные виды объединений получают своё выражение на практике, как правило, являются холдинги и простое товарищество. В некоторых случаях объединения направленные на ограничение конкуренции могут основываться на иных видах договоров или вовсе существовать в форме устного соглашения между участниками [2].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Объединения корпораций также могут быть классифицированы по иным критериям, например, выделяющим тот или иной тип производственной кооперации (централизованная, конгломерат); в зависимости от области деятельности объединения (отраслевые, межотраслевые), с учётом многогранности деятельности объединения (монопрофильные, многопрофильные), исходя из масштабов деятельности объединения (региональные, транснациональные, межгосударственные) и др.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Поскольку большинство приведённых выше критериев классификации носят больше экономический, чем правовой характер, в законодательстве особенности правового регулирования такого вида объединения на данный момент не устанавливаются. </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Закон Республики Таджикистан «Об акционерных обществах» // Ахбори Маджлиси Оли  Республики Таджикистан, 2007 г., №3, ст. 170; от 14.11.2016 г., №1374.</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Закон Республики Таджикистан «О защите конкуренции» Ахбори Маджлиси Оли Республики Таджикистан, 2017 г., №5, ч. 1, ст. 274.</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eastAsia="Times New Roman" w:hAnsi="Arial" w:cs="Arial"/>
          <w:color w:val="000000" w:themeColor="text1"/>
          <w:sz w:val="22"/>
          <w:szCs w:val="22"/>
          <w:lang w:eastAsia="ru-RU"/>
        </w:rPr>
        <w:t>Алексеев С.С. Общая теория права: в 2 т. - М., 1982. Т. 2. – 360 с.</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Кирилловых А.А. Корпоративное право: курс лекций. - М.: «Юстицинформ», 2009. – 192 с.  </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eastAsia="Times New Roman" w:hAnsi="Arial" w:cs="Arial"/>
          <w:color w:val="000000" w:themeColor="text1"/>
          <w:sz w:val="22"/>
          <w:szCs w:val="22"/>
          <w:lang w:eastAsia="ru-RU"/>
        </w:rPr>
        <w:t>Красавчиков О.А. Юридические факты в современном гражданском праве. - М., 1958. 182 с.</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Павлова Е.А., Еремичева И.А. Корпоративное право: учебное пособие. - М.: Юнити-Дана. 2010. – 439 с.</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Портной К. Правовое положение холдингов в России: научно-практическое пособие. - М.: Волтерс Клувер, 2004. – 304 с.</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eastAsia="Times New Roman" w:hAnsi="Arial" w:cs="Arial"/>
          <w:color w:val="000000" w:themeColor="text1"/>
          <w:sz w:val="22"/>
          <w:szCs w:val="22"/>
          <w:lang w:eastAsia="ru-RU"/>
        </w:rPr>
        <w:t>Пятков Д.В. Коммерческие организации: проблемы приобретения дееспособности // Российский юридический журнал. - 1998. - №1. - С. 84-89</w:t>
      </w:r>
    </w:p>
    <w:p w:rsidR="00181BA7" w:rsidRPr="00DA76A7" w:rsidRDefault="00181BA7" w:rsidP="00D45D6B">
      <w:pPr>
        <w:pStyle w:val="ConsPlusNormal"/>
        <w:numPr>
          <w:ilvl w:val="0"/>
          <w:numId w:val="108"/>
        </w:numPr>
        <w:tabs>
          <w:tab w:val="left" w:pos="851"/>
          <w:tab w:val="left" w:pos="993"/>
        </w:tabs>
        <w:ind w:left="0" w:firstLine="567"/>
        <w:jc w:val="both"/>
        <w:rPr>
          <w:color w:val="000000" w:themeColor="text1"/>
          <w:sz w:val="22"/>
          <w:szCs w:val="22"/>
        </w:rPr>
      </w:pPr>
      <w:r w:rsidRPr="00DA76A7">
        <w:rPr>
          <w:color w:val="000000" w:themeColor="text1"/>
          <w:sz w:val="22"/>
          <w:szCs w:val="22"/>
        </w:rPr>
        <w:t>Суханов Е.А. Понятие и виды корпораций в зарубежном и российском праве // Хозяйство и право. - 2013. - № 11. - С. 3-24.</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Суханов Е.А. Российское гражданское право: учебник: в 2 т. -  М.: Статут, 2009. Т.1. – 1208 с.</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Шиткина И.С. Корпоративное право: учебник. - М: КНОРУС, 2015.  – 1080 с. </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Шиткина И.С. Межотраслевая унификация понятий, обозначающих экономическую зависимость, вовсе не обязательна // Вестник Федерального арбитражного суда Московского округа. - 2016. - № 4. - С. 6-20.</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Шиткина И.С. Холдинги: правовой и управленческий аспекты. - М.: Городец-издат., 2003 – 367 с.</w:t>
      </w:r>
    </w:p>
    <w:p w:rsidR="00181BA7" w:rsidRPr="00DA76A7" w:rsidRDefault="00181BA7" w:rsidP="00D45D6B">
      <w:pPr>
        <w:pStyle w:val="af2"/>
        <w:numPr>
          <w:ilvl w:val="0"/>
          <w:numId w:val="108"/>
        </w:numPr>
        <w:tabs>
          <w:tab w:val="left" w:pos="851"/>
          <w:tab w:val="left" w:pos="993"/>
        </w:tabs>
        <w:ind w:left="0" w:firstLine="567"/>
        <w:jc w:val="both"/>
        <w:rPr>
          <w:rFonts w:ascii="Arial" w:hAnsi="Arial" w:cs="Arial"/>
          <w:color w:val="000000" w:themeColor="text1"/>
          <w:sz w:val="22"/>
          <w:szCs w:val="22"/>
        </w:rPr>
      </w:pPr>
      <w:r w:rsidRPr="00DA76A7">
        <w:rPr>
          <w:rStyle w:val="af6"/>
          <w:rFonts w:ascii="Arial" w:hAnsi="Arial" w:cs="Arial"/>
          <w:i w:val="0"/>
          <w:color w:val="000000" w:themeColor="text1"/>
          <w:sz w:val="22"/>
          <w:szCs w:val="22"/>
          <w:bdr w:val="none" w:sz="0" w:space="0" w:color="auto" w:frame="1"/>
          <w:shd w:val="clear" w:color="auto" w:fill="FFFFFF"/>
        </w:rPr>
        <w:t>Шиткина И.С.</w:t>
      </w:r>
      <w:r w:rsidRPr="00DA76A7">
        <w:rPr>
          <w:rFonts w:ascii="Arial" w:hAnsi="Arial" w:cs="Arial"/>
          <w:color w:val="000000" w:themeColor="text1"/>
          <w:sz w:val="22"/>
          <w:szCs w:val="22"/>
          <w:shd w:val="clear" w:color="auto" w:fill="FFFFFF"/>
        </w:rPr>
        <w:t> Правовое регулирование экономической концентрации // </w:t>
      </w:r>
      <w:r w:rsidRPr="00DA76A7">
        <w:rPr>
          <w:rStyle w:val="af6"/>
          <w:rFonts w:ascii="Arial" w:hAnsi="Arial" w:cs="Arial"/>
          <w:i w:val="0"/>
          <w:color w:val="000000" w:themeColor="text1"/>
          <w:sz w:val="22"/>
          <w:szCs w:val="22"/>
          <w:bdr w:val="none" w:sz="0" w:space="0" w:color="auto" w:frame="1"/>
          <w:shd w:val="clear" w:color="auto" w:fill="FFFFFF"/>
        </w:rPr>
        <w:t>Хозяйство и право</w:t>
      </w:r>
      <w:r w:rsidRPr="00DA76A7">
        <w:rPr>
          <w:rFonts w:ascii="Arial" w:hAnsi="Arial" w:cs="Arial"/>
          <w:color w:val="000000" w:themeColor="text1"/>
          <w:sz w:val="22"/>
          <w:szCs w:val="22"/>
          <w:shd w:val="clear" w:color="auto" w:fill="FFFFFF"/>
        </w:rPr>
        <w:t>. - 2007. - № 1. – С. 14 -23.</w:t>
      </w:r>
    </w:p>
    <w:p w:rsidR="00181BA7" w:rsidRPr="00DA76A7" w:rsidRDefault="00181BA7" w:rsidP="00181BA7">
      <w:pPr>
        <w:ind w:firstLine="567"/>
        <w:jc w:val="center"/>
        <w:rPr>
          <w:rFonts w:ascii="Arial" w:hAnsi="Arial" w:cs="Arial"/>
          <w:color w:val="000000" w:themeColor="text1"/>
          <w:sz w:val="22"/>
          <w:szCs w:val="22"/>
        </w:rPr>
      </w:pPr>
    </w:p>
    <w:p w:rsidR="00181BA7" w:rsidRPr="00DA76A7" w:rsidRDefault="00181BA7" w:rsidP="00181BA7">
      <w:pPr>
        <w:tabs>
          <w:tab w:val="left" w:pos="851"/>
        </w:tabs>
        <w:ind w:firstLine="567"/>
        <w:jc w:val="center"/>
        <w:rPr>
          <w:rFonts w:ascii="Arial" w:hAnsi="Arial" w:cs="Arial"/>
          <w:b/>
          <w:color w:val="000000" w:themeColor="text1"/>
          <w:sz w:val="22"/>
          <w:szCs w:val="22"/>
        </w:rPr>
      </w:pPr>
    </w:p>
    <w:p w:rsidR="00181BA7" w:rsidRPr="00DA76A7" w:rsidRDefault="00181BA7" w:rsidP="00181BA7">
      <w:pPr>
        <w:tabs>
          <w:tab w:val="left" w:pos="851"/>
        </w:tabs>
        <w:jc w:val="center"/>
        <w:rPr>
          <w:rFonts w:ascii="Arial" w:hAnsi="Arial" w:cs="Arial"/>
          <w:b/>
          <w:color w:val="000000" w:themeColor="text1"/>
          <w:sz w:val="22"/>
          <w:szCs w:val="22"/>
        </w:rPr>
      </w:pPr>
      <w:r w:rsidRPr="00DA76A7">
        <w:rPr>
          <w:rFonts w:ascii="Arial" w:hAnsi="Arial" w:cs="Arial"/>
          <w:b/>
          <w:color w:val="000000" w:themeColor="text1"/>
          <w:sz w:val="22"/>
          <w:szCs w:val="22"/>
        </w:rPr>
        <w:t>ПОНЯТИЕ ОБЪЕДИНЕНИЯ КОРПОРАЦИЙ</w:t>
      </w:r>
    </w:p>
    <w:p w:rsidR="00181BA7" w:rsidRPr="00DA76A7" w:rsidRDefault="00181BA7" w:rsidP="00181BA7">
      <w:pPr>
        <w:tabs>
          <w:tab w:val="left" w:pos="851"/>
        </w:tabs>
        <w:jc w:val="center"/>
        <w:rPr>
          <w:rFonts w:ascii="Arial" w:hAnsi="Arial" w:cs="Arial"/>
          <w:b/>
          <w:color w:val="000000" w:themeColor="text1"/>
          <w:sz w:val="22"/>
          <w:szCs w:val="22"/>
        </w:rPr>
      </w:pPr>
    </w:p>
    <w:p w:rsidR="00181BA7" w:rsidRPr="00DA76A7" w:rsidRDefault="00181BA7" w:rsidP="00181BA7">
      <w:pPr>
        <w:tabs>
          <w:tab w:val="left" w:pos="851"/>
        </w:tabs>
        <w:jc w:val="center"/>
        <w:rPr>
          <w:rFonts w:ascii="Arial" w:hAnsi="Arial" w:cs="Arial"/>
          <w:b/>
          <w:color w:val="000000" w:themeColor="text1"/>
          <w:sz w:val="22"/>
          <w:szCs w:val="22"/>
        </w:rPr>
      </w:pPr>
      <w:r w:rsidRPr="00DA76A7">
        <w:rPr>
          <w:rFonts w:ascii="Arial" w:eastAsia="Calibri" w:hAnsi="Arial" w:cs="Arial"/>
          <w:b/>
          <w:color w:val="000000" w:themeColor="text1"/>
          <w:sz w:val="22"/>
          <w:szCs w:val="22"/>
        </w:rPr>
        <w:t>Азизов Курбонали Рахимович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bCs/>
          <w:color w:val="000000" w:themeColor="text1"/>
          <w:sz w:val="22"/>
          <w:szCs w:val="22"/>
        </w:rPr>
      </w:pPr>
      <w:r w:rsidRPr="00DA76A7">
        <w:rPr>
          <w:rFonts w:ascii="Arial" w:hAnsi="Arial" w:cs="Arial"/>
          <w:bCs/>
          <w:color w:val="000000" w:themeColor="text1"/>
          <w:sz w:val="22"/>
          <w:szCs w:val="22"/>
        </w:rPr>
        <w:t>Российско-Таджикского (Славянского) университета</w:t>
      </w:r>
    </w:p>
    <w:p w:rsidR="00181BA7" w:rsidRPr="00DA76A7" w:rsidRDefault="00181BA7" w:rsidP="00181BA7">
      <w:pPr>
        <w:jc w:val="center"/>
        <w:rPr>
          <w:rFonts w:ascii="Arial" w:hAnsi="Arial" w:cs="Arial"/>
          <w:bCs/>
          <w:color w:val="000000" w:themeColor="text1"/>
          <w:sz w:val="22"/>
          <w:szCs w:val="22"/>
        </w:rPr>
      </w:pPr>
      <w:r w:rsidRPr="00DA76A7">
        <w:rPr>
          <w:rFonts w:ascii="Arial" w:hAnsi="Arial" w:cs="Arial"/>
          <w:bCs/>
          <w:color w:val="000000" w:themeColor="text1"/>
          <w:sz w:val="22"/>
          <w:szCs w:val="22"/>
        </w:rPr>
        <w:t>734025, Республика Таджикистан, г. Душанбе, ул. М. Турсунзаде, 30</w:t>
      </w:r>
    </w:p>
    <w:p w:rsidR="00181BA7" w:rsidRPr="00542B0A"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(+992) </w:t>
      </w:r>
      <w:r w:rsidRPr="00542B0A">
        <w:rPr>
          <w:rFonts w:ascii="Arial" w:hAnsi="Arial" w:cs="Arial"/>
          <w:color w:val="000000" w:themeColor="text1"/>
          <w:sz w:val="22"/>
          <w:szCs w:val="22"/>
          <w:shd w:val="clear" w:color="auto" w:fill="FFFFFF"/>
          <w:lang w:val="en-US"/>
        </w:rPr>
        <w:t>901000800</w:t>
      </w:r>
      <w:r w:rsidRPr="00542B0A">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azizov</w:t>
      </w:r>
      <w:r w:rsidRPr="00542B0A">
        <w:rPr>
          <w:rFonts w:ascii="Arial" w:hAnsi="Arial" w:cs="Arial"/>
          <w:color w:val="000000" w:themeColor="text1"/>
          <w:sz w:val="22"/>
          <w:szCs w:val="22"/>
          <w:shd w:val="clear" w:color="auto" w:fill="FFFFFF"/>
          <w:lang w:val="en-US"/>
        </w:rPr>
        <w:t>_</w:t>
      </w:r>
      <w:r w:rsidRPr="00DA76A7">
        <w:rPr>
          <w:rFonts w:ascii="Arial" w:hAnsi="Arial" w:cs="Arial"/>
          <w:color w:val="000000" w:themeColor="text1"/>
          <w:sz w:val="22"/>
          <w:szCs w:val="22"/>
          <w:shd w:val="clear" w:color="auto" w:fill="FFFFFF"/>
          <w:lang w:val="en-US"/>
        </w:rPr>
        <w:t>k</w:t>
      </w:r>
      <w:r w:rsidRPr="00542B0A">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mail</w:t>
      </w:r>
      <w:r w:rsidRPr="00542B0A">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ru</w:t>
      </w:r>
    </w:p>
    <w:p w:rsidR="00181BA7" w:rsidRPr="00542B0A" w:rsidRDefault="00181BA7" w:rsidP="00181BA7">
      <w:pPr>
        <w:jc w:val="center"/>
        <w:rPr>
          <w:rFonts w:ascii="Arial" w:hAnsi="Arial" w:cs="Arial"/>
          <w:color w:val="000000" w:themeColor="text1"/>
          <w:sz w:val="22"/>
          <w:szCs w:val="22"/>
          <w:lang w:val="en-US"/>
        </w:rPr>
      </w:pPr>
      <w:r w:rsidRPr="00542B0A">
        <w:rPr>
          <w:rFonts w:ascii="Arial" w:hAnsi="Arial" w:cs="Arial"/>
          <w:color w:val="000000" w:themeColor="text1"/>
          <w:sz w:val="22"/>
          <w:szCs w:val="22"/>
          <w:lang w:val="en-US"/>
        </w:rPr>
        <w:t xml:space="preserve"> </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CONCEPT OF ASSOCIATION OF CORPORATIONS</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Azizov Kurbonali Rahimovich</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full-time department of the faculty of law</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lang w:val="en-US"/>
        </w:rPr>
        <w:t xml:space="preserve">tel.: (+992) </w:t>
      </w:r>
      <w:r w:rsidRPr="00DA76A7">
        <w:rPr>
          <w:rFonts w:ascii="Arial" w:hAnsi="Arial" w:cs="Arial"/>
          <w:color w:val="000000" w:themeColor="text1"/>
          <w:sz w:val="22"/>
          <w:szCs w:val="22"/>
          <w:shd w:val="clear" w:color="auto" w:fill="FFFFFF"/>
          <w:lang w:val="en-US"/>
        </w:rPr>
        <w:t>901000800</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97" w:history="1">
        <w:r w:rsidRPr="00DA76A7">
          <w:rPr>
            <w:rStyle w:val="af0"/>
            <w:rFonts w:ascii="Arial" w:hAnsi="Arial" w:cs="Arial"/>
            <w:color w:val="000000" w:themeColor="text1"/>
            <w:sz w:val="22"/>
            <w:szCs w:val="22"/>
            <w:u w:val="none"/>
            <w:shd w:val="clear" w:color="auto" w:fill="FFFFFF"/>
            <w:lang w:val="en-US"/>
          </w:rPr>
          <w:t>azizov_k@mail.ru</w:t>
        </w:r>
      </w:hyperlink>
    </w:p>
    <w:p w:rsidR="00181BA7" w:rsidRPr="00DA76A7" w:rsidRDefault="00181BA7" w:rsidP="00181BA7">
      <w:pPr>
        <w:ind w:firstLine="567"/>
        <w:jc w:val="right"/>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Рахимзода М.З.</w:t>
      </w: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709"/>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bCs/>
          <w:i/>
          <w:color w:val="000000" w:themeColor="text1"/>
          <w:sz w:val="22"/>
          <w:szCs w:val="22"/>
        </w:rPr>
        <w:t>В данной статье рассматривается понятие объедения корпораций, раскрываются основные точки зрения ученых по данному понятию.</w:t>
      </w:r>
    </w:p>
    <w:p w:rsidR="00181BA7" w:rsidRPr="00DA76A7" w:rsidRDefault="00181BA7" w:rsidP="00181BA7">
      <w:pPr>
        <w:ind w:firstLine="709"/>
        <w:jc w:val="both"/>
        <w:outlineLvl w:val="1"/>
        <w:rPr>
          <w:rFonts w:ascii="Arial" w:hAnsi="Arial" w:cs="Arial"/>
          <w:bCs/>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In this article the concept of corrupting corporations is considered, the main points of view of scientists on this concept are revealed.</w:t>
      </w: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Ключевые слова:</w:t>
      </w:r>
      <w:r w:rsidRPr="00DA76A7">
        <w:rPr>
          <w:rFonts w:ascii="Arial" w:eastAsia="Calibri" w:hAnsi="Arial" w:cs="Arial"/>
          <w:i/>
          <w:color w:val="000000" w:themeColor="text1"/>
          <w:sz w:val="22"/>
          <w:szCs w:val="22"/>
        </w:rPr>
        <w:t xml:space="preserve"> объединения корпораций, холдинг, некоммерческое партнерство, </w:t>
      </w:r>
      <w:r w:rsidRPr="00DA76A7">
        <w:rPr>
          <w:rFonts w:ascii="Arial" w:hAnsi="Arial" w:cs="Arial"/>
          <w:i/>
          <w:color w:val="000000" w:themeColor="text1"/>
          <w:sz w:val="22"/>
          <w:szCs w:val="22"/>
        </w:rPr>
        <w:t>картели, консорциумы, ассоциации.</w:t>
      </w:r>
    </w:p>
    <w:p w:rsidR="00181BA7" w:rsidRPr="00DA76A7" w:rsidRDefault="00181BA7" w:rsidP="00181BA7">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corporations associations, holding, non-commercial partnership, cartels, consortiums, associations.</w:t>
      </w:r>
    </w:p>
    <w:p w:rsidR="00181BA7" w:rsidRPr="00DA76A7" w:rsidRDefault="00181BA7" w:rsidP="00181BA7">
      <w:pPr>
        <w:ind w:firstLine="567"/>
        <w:jc w:val="center"/>
        <w:rPr>
          <w:rFonts w:ascii="Arial" w:hAnsi="Arial" w:cs="Arial"/>
          <w:b/>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Интеграционные процессы между индивидами, для совместного достижения определённых политических, экономических, духовных или иных целей, имелись на всех стадия развития человеческого общества. Собственно само человеческое общество выступает в качестве сложной, исторически сложившейся формы совместной деятельности людей, в которой функционируют и взаимодействуют различные социальные институты, группы и движения [10, 21]. Соответственно существующие на данный момент объединения организаций и граждан не являются продуктом современной экономики и права, а выступают результатом долгого социально-экономического развития общества [15, 59].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Уже в период зарождения примитивного первобытного общества, обозначились первые формы социального коллективизма (род, община, союз), представляющие собой способ организации жизни общества. Ключевой особенностью данных объединений являлась их принудительность для человека и не возможность их покинуть. Данная специфика была обусловлена беззащитностью человека перед силами природы, в связи, с чем только закрытостью и жёсткой внутренней организацией общины можно было обеспечить её выживаемость. Недаром «высшей» мерой наказания, в ту пору считалось изгнание из общины, поскольку это фактически означало смерть для изгнанника, оставшегося один на один с природой. В дальнейшем, по мере усложнения структуры социальных связей, возникновение товарно-денежных отношений, расслоения общества, для эффективной организации взаимодействия людей потребовались формы объединений основанные на принципиально иных началах.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Следующей ступенью исторического развития института современных объединений являются различные партнёрства (союзы) лиц для совместного осуществления торговой, ремесленной и прочей хозяйственной деятельности. Сведения об определённых зачатках деятельности такого рода партнёрств (союзов), могут быть обнаружить в памятниках права Древнего Египта и Вавилона, но только в Древнем Риме они получили окончательную форму и реальное правовое содержание. Римскими юристами для правового регулирования совместной хозяйственной деятельности отдельных граждан была разработана конструкция, так называемого договорного товарищества (</w:t>
      </w:r>
      <w:r w:rsidRPr="00DA76A7">
        <w:rPr>
          <w:rFonts w:ascii="Arial" w:hAnsi="Arial" w:cs="Arial"/>
          <w:color w:val="000000" w:themeColor="text1"/>
          <w:sz w:val="22"/>
          <w:szCs w:val="22"/>
          <w:lang w:val="en-US"/>
        </w:rPr>
        <w:t>s</w:t>
      </w:r>
      <w:r w:rsidRPr="00DA76A7">
        <w:rPr>
          <w:rFonts w:ascii="Arial" w:hAnsi="Arial" w:cs="Arial"/>
          <w:color w:val="000000" w:themeColor="text1"/>
          <w:sz w:val="22"/>
          <w:szCs w:val="22"/>
        </w:rPr>
        <w:t xml:space="preserve">ocietas), которое рассматривается как прообраз современного договора о совместной деятельности (договор простого товарищества) [16, 231].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Товарищества получили довольно широкое распространение в частном обороте и доминировали в нём довольно продолжительное время, в качестве универсальной формы осуществления хозяйственной кооперации. Вместе с тем данная правовая конструкция, не была лишена некоторых «недостатков», ключевыми из которых являлись отсутствие чёткого определения принадлежности имущества образующегося в результате деятельности товарищества и неограниченная ответственность товарищей по обязательствам совместного предприятия [12, 18].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целью нивелирования указанных недостатков, римскими юристами была выдвинута идея – юридического лица (</w:t>
      </w:r>
      <w:r w:rsidRPr="00DA76A7">
        <w:rPr>
          <w:rFonts w:ascii="Arial" w:hAnsi="Arial" w:cs="Arial"/>
          <w:bCs/>
          <w:color w:val="000000" w:themeColor="text1"/>
          <w:sz w:val="22"/>
          <w:szCs w:val="22"/>
        </w:rPr>
        <w:t>corpus habere</w:t>
      </w:r>
      <w:r w:rsidRPr="00DA76A7">
        <w:rPr>
          <w:rFonts w:ascii="Arial" w:hAnsi="Arial" w:cs="Arial"/>
          <w:color w:val="000000" w:themeColor="text1"/>
          <w:sz w:val="22"/>
          <w:szCs w:val="22"/>
        </w:rPr>
        <w:t>), данная правовая конструкция является наиболее удачной формой ведения хозяйственной деятельности, которая с учётом некоторой модернизации используется и по настоящее время [18, 10]. Однако, ввиду постоянного усложнения экономических связей, даже такой вид юридического лица, как акционерное общество, способное аккумулировать значительные активы и эффективно ими управлять, было не в состоянии отвечать современным тенденциям интеграции хозяйственной деятельности [13, 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На современном этапе развития, под влиянием роста промышленного производства, концентрации капитала и глобализации мировой экономики, хозяйственная кооперация субъектов экономической деятельности, находит свой выражение, в форме структурированных объединений юридических лиц. В рамках таких объединений, система взаимоотношений между юридическими лицами, строится по принципу строгой субординации и централизованной иерархии подчинения, зависимых (подконтрольных) юридических лиц, основному (контролирующему) юридическому лицу [23, 45].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Возникновение объединения юридических лиц, проходило на всём протяжении </w:t>
      </w:r>
      <w:r w:rsidRPr="00DA76A7">
        <w:rPr>
          <w:rFonts w:ascii="Arial" w:hAnsi="Arial" w:cs="Arial"/>
          <w:color w:val="000000" w:themeColor="text1"/>
          <w:sz w:val="22"/>
          <w:szCs w:val="22"/>
          <w:lang w:val="en-US"/>
        </w:rPr>
        <w:t>XX</w:t>
      </w:r>
      <w:r w:rsidRPr="00DA76A7">
        <w:rPr>
          <w:rFonts w:ascii="Arial" w:hAnsi="Arial" w:cs="Arial"/>
          <w:color w:val="000000" w:themeColor="text1"/>
          <w:sz w:val="22"/>
          <w:szCs w:val="22"/>
        </w:rPr>
        <w:t xml:space="preserve"> в. и продолжается до сих пор. Формирование объединения юридических лиц осуществляется главным образом путем «участия» в капитале зависимых юридических лиц (т.е. приобретение значительной доли акций, как правило, превышающей 50 или более процентов), так создаются холдинги и концерны. Формирование объединений юридических лиц возможно также путём заключения соглашений с целью производственной кооперации или разделов рынков сбыта товаров и услуг (картели, тресты). Последняя форма объединений может приводить к ограничению конкуренции на рынке, в связи, с чем она строго ограничивается законом, а в некоторых случаях прямо запрещается [22, 17].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Далее, для раскрытия правовой сущность объединения корпорации, помимо рассмотрения исторического аспекта их происхождения, необходимо определить правовое содержание, вкладываемое в понятие «объединения корпораций» действующим законодательством и наукой гражданского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Здесь следует указать, что на данный момент, в законодательстве Российской Федерации (РФ) и Республике Таджикистан (РТ) отсутствует правовое определение «объединения корпораций». Гражданское законодательство обоих стран использует термин – «объединение», только применительно к объединениям юридических лиц в форме ассоциаций или союзов, а также общественным и религиозным объединениям. Что касается термина «корпорация», в Российской Федерации он используется в качестве родового понятия для обозначения юридических лиц созданных на основе членства (ст. 65.1 Гражданский кодекс РФ), что касается гражданского  законодательства Республике Таджикистан такое понятие ему не известно вовсе. В связи с этим для раскрытия правовой сущности «объединения корпораций» требуется провести анализ каждого из элементов входящих в данное словосочетание в отдельности, а затем на основе полученных данных попытаться определить его действительное правовое содержание.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Во-первых, необходимо установить, что понимается под объединением в законодательстве и доктрине гражданского права.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Если исходить из  буквального значения данного слова в русском языке, то оно используется для обозначения действий связанных с соединением чего-либо воедино, обеспечение общности и согласованности позиций и т.п. Применительно к формам хозяйственной кооперации и интеграции, регулируемым гражданским правом, то правовую сущность объединения можно выразить как – </w:t>
      </w:r>
      <w:r w:rsidRPr="00DA76A7">
        <w:rPr>
          <w:rFonts w:ascii="Arial" w:hAnsi="Arial" w:cs="Arial"/>
          <w:i/>
          <w:color w:val="000000" w:themeColor="text1"/>
          <w:sz w:val="22"/>
          <w:szCs w:val="22"/>
        </w:rPr>
        <w:t xml:space="preserve">устойчивая совокупность субъектов права объединённых друг с другом определённой юридической связью, с целью осуществление согласованной деятельность и достижения определённого результата </w:t>
      </w:r>
      <w:r w:rsidRPr="00DA76A7">
        <w:rPr>
          <w:rFonts w:ascii="Arial" w:hAnsi="Arial" w:cs="Arial"/>
          <w:color w:val="000000" w:themeColor="text1"/>
          <w:sz w:val="22"/>
          <w:szCs w:val="22"/>
        </w:rPr>
        <w:t>[11, 19]. Однако под приведённое определение подпадают различные формы кооперации, имеющие место в системе современных общественных отношений. В связи с этим, необходимо провести чёткое подразделение основных форм объединений в соответствии с правовым основанием их возникновения, целью образования и деятельности, возможным составом участников, а также правовым статусом, признаваемым за ними законом.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Перед переходом собственно к анализу возможных форм объединений, необходимо указать, что для гражданского права имеет значение не любые формы объединений, возникающие в обществе, а только те из них, которые  опосредуют отношения по поводу создания и деятельности образований, основанных на началах членства, т.е. личном и/или имущественном участии. При этом отношения между участниками данных образований строятся на общих принципах гражданского права и регламентируются нормами права, в связи, с чем они приобретают свойства гражданского правоотношения, а сами образования правовой статус. От данных объединений следует отличать всевозможные неформальные союзы граждан, функционирование которых осуществляется за пределами действующего правового поля. Так, разные сообщества граждан, возникающие для удовлетворения личных нужд (культурных кружков, научных клубов, спортивных секций и т.д.) также характеризуемые определённой общностью субъектов и целей деятельности, тем не менее, не ставят перед собой задачи объективироваться для права и получить правовой статус. Соответственно, строго говоря, к объединениям в правовом смысле слова, указанные сообщества относиться не могут [24, 31].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Теперь можно перейти к рассмотрению критериев подразделения основных форм объединений указанных ранее. Первым из них является правовое основание возникновения объединений.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Под правовым основанием в гражданском праве понимаются различные юридические факты, т.е. определённые жизненные обстоятельства, с которыми закон связывает возникновение, изменение или прекращение правовых отношений. Юридические факты принято подразделять на </w:t>
      </w:r>
      <w:r w:rsidRPr="00DA76A7">
        <w:rPr>
          <w:rFonts w:ascii="Arial" w:hAnsi="Arial" w:cs="Arial"/>
          <w:bCs/>
          <w:color w:val="000000" w:themeColor="text1"/>
          <w:sz w:val="22"/>
          <w:szCs w:val="22"/>
        </w:rPr>
        <w:t>действия и события</w:t>
      </w:r>
      <w:r w:rsidRPr="00DA76A7">
        <w:rPr>
          <w:rFonts w:ascii="Arial" w:hAnsi="Arial" w:cs="Arial"/>
          <w:color w:val="000000" w:themeColor="text1"/>
          <w:sz w:val="22"/>
          <w:szCs w:val="22"/>
        </w:rPr>
        <w:t xml:space="preserve">, в зависимости возможности воздействия человека на их возникновение. С учётом дозволенности или недозволенности законом действий, выделяют правомерные и неправомерные действия. В свою очередь, правомерные действия, делятся на </w:t>
      </w:r>
      <w:r w:rsidRPr="00DA76A7">
        <w:rPr>
          <w:rFonts w:ascii="Arial" w:hAnsi="Arial" w:cs="Arial"/>
          <w:bCs/>
          <w:color w:val="000000" w:themeColor="text1"/>
          <w:sz w:val="22"/>
          <w:szCs w:val="22"/>
        </w:rPr>
        <w:t xml:space="preserve">юридические поступки и акты, исходя из направленности воли человека на достижение определённого правового результата. Для гражданского права, ввиду его диспозитивного характера, в качестве важнейшего </w:t>
      </w:r>
      <w:r w:rsidRPr="00DA76A7">
        <w:rPr>
          <w:rFonts w:ascii="Arial" w:hAnsi="Arial" w:cs="Arial"/>
          <w:color w:val="000000" w:themeColor="text1"/>
          <w:sz w:val="22"/>
          <w:szCs w:val="22"/>
        </w:rPr>
        <w:t xml:space="preserve">правового основание возникновения правоотношений </w:t>
      </w:r>
      <w:r w:rsidRPr="00DA76A7">
        <w:rPr>
          <w:rFonts w:ascii="Arial" w:hAnsi="Arial" w:cs="Arial"/>
          <w:bCs/>
          <w:color w:val="000000" w:themeColor="text1"/>
          <w:sz w:val="22"/>
          <w:szCs w:val="22"/>
        </w:rPr>
        <w:t>выступают юридические акты</w:t>
      </w:r>
      <w:r w:rsidRPr="00DA76A7">
        <w:rPr>
          <w:rFonts w:ascii="Arial" w:hAnsi="Arial" w:cs="Arial"/>
          <w:color w:val="000000" w:themeColor="text1"/>
          <w:sz w:val="22"/>
          <w:szCs w:val="22"/>
        </w:rPr>
        <w:t xml:space="preserve">. К числу юридических актов гражданское право относит разнообразные виды действий, наиболее значимы из которых, являются сделка и договор [17, 28].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Договор, в качестве соглашения между двумя и более сторонами, также может выступать правовым основанием возникновения объединений. Такой вывод можно сделать на том основании, что объединение это - коллективное образование, а его участники это - независимые лица, действующие в своём интересе, соответственно достижение соглашение между ними о создании объединения возможно только посредством заключения договора.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действующий Гражданский кодекс РФ (ст.1041) и РТ (ст.1058) предусматривает возможность создания путём использования конструкции договора совместной деятельности (простого товарищества), коллективного образования направленного на достижение определённых его участниками целей. Для достижения совместно определённых целей, которые могут носить, как коммерческий, так и некоммерческий характер, участниками формируется имущественная база, а также несутся соответственные расходы.   Особенностью коллективного образования созданного на основе договора простого товарищества заключается в том, что закон не признаёт за ним самостоятельной правосубъектности (субъектом права), как это имеет место с юридическими лицами. Всё ответственность за деятельность коллективного образования несут сами товарищи [7, 69].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Договор также может, выступает в качестве правового основания возникновения большого количества объединений наделённых действующим законодательством статусом юридического лица. В частности для всех форм общественных и религиозных объединений, объединений юридических лиц (ассоциаций и союзов), требуется заключение учредительного договора. Учредительный договор, представляет собой соглашение, в соответствии с которым, учредители обязуются создать юридическое лицо, определяют порядок совместной деятельности по его созданию, условия передачи ему своего имущества, участия в его деятельности и другие вопросы [9, 6].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Другие виды договоров, такие как договор купли продажи акций, уступки доли участия в ООО или доверительного управления акциями (доли участия), также могут служить правовым основанием возникновения объединения холдингового типа, если в результате этого в распоряжение лица поступает пакет акций или доля участия, превышающая 50% уставного капитала хозяйственного общества.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Помимо договоров, правовым основанием возникновения объединений могут выступать некоторые другие юридические факты. Так, например создание холдингового объединения может быть осуществлено посредством проведения реорганизации хозяйственного общества в форме выделения. Данный способ создания объединений холдингового типа используется при реструктуризации крупных предприятий, с целью оптимизации структуры управления, налогового планирования и ответственности. Технологически данный процесс представляет довольно собой сложную процедуру, урегулированную законодательством, при которой из одного хозяйственного общества (основного) выделяется нескольких других (дочерних), акции которых приобретаются самим реорганизуемым обществом.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Другой формой создания объединения холдингового типа, может выступать непосредственное учреждение дочерних хозяйственных обществ. Этот способ создания является менее  трудоемким, решение об учреждении дочернего хозяйственного общества, может быть принято на уровне исполнительного органа общества. Главным отличием создания холдинга путём реорганизации от создания холдинга путем учреждения материнским обществом дочерних обществ, является наличие правопреемства в первом случае и отсутствие такового во втором [19, 35].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Теперь что касается цели образования и деятельности объединений, которые преследуют участники объединения. Цели создания объединения, преследуемые его участниками, могут носить различный характер, как экономический, так и юридический. К числу экономических целей создания объединений, как правило, относят: сокращение затрат производства, увеличение производственных сил, привлечение финансовых ресурсов, установление ценового или сбытового контроля на рынке и пр. Юридические цели образования объединения, более конкретны и обычно заключаются в совместной защите и продвижения интересов участников объединения, разрешение возможного конфликта между участниками, разграничении налоговой и гражданско-правовой ответственности и пр.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Цель деятельности объединения, исходя из общего деления юридических лиц на коммерческие и некоммерческие организации, может быть направлена на получение прибыли, либо достижение иных общеполезных целей. От цели деятельности, которую ставит перед собой объединения, как правило, будет зависеть его правовой статус, это обусловлено тем что, все коммерческие организации подвергаются жёсткой правовой регламентации, в то время как некоммерческие организации в этом плане пользуются некоторыми преференциями. Исходя из цели деятельности объединений, можно выделить следующие правовые конструкции, в рамках которых объединения могут найти своё выражение в гражданском обороте:</w:t>
      </w:r>
    </w:p>
    <w:p w:rsidR="00181BA7" w:rsidRPr="00DA76A7" w:rsidRDefault="00181BA7" w:rsidP="00D45D6B">
      <w:pPr>
        <w:numPr>
          <w:ilvl w:val="0"/>
          <w:numId w:val="103"/>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объединения коммерческого типа, могут создаваться путём заключения договоров простого товарищества, а также посредством формирования структур холдингового типа; </w:t>
      </w:r>
    </w:p>
    <w:p w:rsidR="00181BA7" w:rsidRPr="00DA76A7" w:rsidRDefault="00181BA7" w:rsidP="00D45D6B">
      <w:pPr>
        <w:numPr>
          <w:ilvl w:val="0"/>
          <w:numId w:val="103"/>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объединения некоммерческого типа, создаются, только в формах некоммерческие организации (общественные и религиозные организации, ассоциации и союзы и пр.).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Первые из указанных типов объединений могут заниматься любыми видами деятельности, в то время как вторые только теми видами деятельности, которые предусмотрены уставом организаций.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Теперь, что касается, субъективного состава объединений, т.е. характер лиц, которые могут выступать участниками объединений. Данный вопрос также важен для установления правовой сущности термина «объединение».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Если исходить из общих подходов гражданского законодательства РФ и РТ, к установлению круга лиц, рассматриваемых, в качестве субъектов гражданского права, то к числу последних, принято относить: физических и юридических лиц, а также публичные образования. При этом следует задаться вопросом: могут ли физические и юридические лица выступать участниками объединений? На этот общий вопрос необходимо дать утвердительный ответ, но одновременно требуется привести некоторые уточнения. Возможность участия физических и юридических лиц зависит от правосубъектности данных субъектов [21, 87].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физические лица приобретают полную дееспособность, по достижении определённого законом возраста, до этого они считаются ограниченно дееспособными. Полностью дееспособные физические лица с учётом положений Гражданского кодекса РФ и РТ вправе вступать и самостоятельно создавать любые виды организаций предусмотренные законом. В том числе создавать хозяйственные общества и товарищества, приобретать статус члена кооператива, становится членом некоммерческих организаций, заключать договора с различными целями и задачами, которые не противоречат закону. Между тем, даже не полностью дееспособным физическим лицам, в некоторых  случаях допускается вступать в отдельные виды организаций, как правило, организации некоммерческого типа, в том числе производственной (потребительские кооперативы), а также общественные объединения (общественные движения и профсоюзы).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Что касается юридических лиц, то с учётом общей правоспособности закреплённой за большинством их видов, последние вправе выступать учредителем и вступать в уже действующие организации, если иное не предусмотрено законом. Применительно к отдельным видам юридических  лиц законом может быть предусмотрены некоторые ограничения (унитарные и казённые предприятия) [25, 143].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некоторых случаях возможность участия тех или иных лиц в определённых видах объединений может быть обусловлена правовым статусом соответствующего объединения. Так, в качестве участников договора простого товарищества, согласно требованиям Гражданского кодекса РФ и РТ могут выступать только коммерческие организации и индивидуальные предприниматели. Либо другой пример, так участниками ассоциаций и союзов согласно Гражданскому кодексу РТ могут выступать только юридические лица (в РФ этот подход несколько смягчён, после реформы гражданского законодательства). С другой стороны, участниками общественных и религиозных объединений, могут выступать только физические лица, за отдельными исключениями установленными законом.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завершении правовой характеристики термина объединение, необходимо определить какой правой статус закрепляет действующие законодательство за организациями, представляющими собой  объединения. Согласно гражданскому законодательству РФ и РТ субъектами права признаются граждане (физические лица), юридические лица и публичные образования. Принимая специфику объединения как организацию, интегрирующую определённое число лиц (коллективное образование) для настоящего исследования имеют значения только юридические лица, а также некоторые виды объединения признаваемых законом, без предоставления последним правового статуса юридического лица.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Объединения, за которыми гражданское законодательство признаёт статус юридического лица, представляют собой достаточно значительную группу, в которую входят в основном некоммерческие организации. Так, числу объединений (по крайней мере, по названию), законом относятся общественные и религиозные организации, ассоциации и союзы, профессиональные сообщества и объединения работодателей и пр. [14, 17].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Объединения фактические, которые регулируется законодательством, однако за которыми законом не признаётся статуса юридического лица, не так многочисленны, но не менее распространены в хозяйственной практике. К числу последних в научной литературе принято относить простые товарищества и холдинги. Некоторое время назад в РФ, к ним также можно было отнести финансово - промышленные группы, однако после отмены одноименного закона, деятельность финансово-промышленных групп  подлежит урегулированию в порядке аналогичном деятельности холдингов.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Во-вторых, необходимо установить, что понимается под корпорацией в законодательстве и доктрине гражданского права.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Впервые данный термин был выработан римскими юристами для правовой квалификации объединения лиц вступивших между собой в союз с целью достижения определённой цели или реализации общих интересов.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особенность понятия «</w:t>
      </w:r>
      <w:r w:rsidRPr="00DA76A7">
        <w:rPr>
          <w:rFonts w:ascii="Arial" w:hAnsi="Arial" w:cs="Arial"/>
          <w:bCs/>
          <w:color w:val="000000" w:themeColor="text1"/>
          <w:sz w:val="22"/>
          <w:szCs w:val="22"/>
        </w:rPr>
        <w:t xml:space="preserve">корпорация» </w:t>
      </w:r>
      <w:r w:rsidRPr="00DA76A7">
        <w:rPr>
          <w:rFonts w:ascii="Arial" w:hAnsi="Arial" w:cs="Arial"/>
          <w:color w:val="000000" w:themeColor="text1"/>
          <w:sz w:val="22"/>
          <w:szCs w:val="22"/>
        </w:rPr>
        <w:t xml:space="preserve">заключалась в том, что оно применялось для того чтобы подчеркнуть возникновения на основе союза лиц идеальной личности, самостоятельного образования, т.е. данная правовая конструкция использовалась для выделения нового субъекта права, наряду с натуральными лицами (гражданами).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дальнейшем идея корпорации стала предметом изучения средневековых юристов и философов нового времени, которыми были выдвинуты разнообразные теории, призванные обосновать правовую природу корпорации (теория фикции, теория целевого имущества, теория социальной реальности и некоторые др.), большинство из них сходились в том, что корпорация создаётся в результате объединения лиц, но её юридическая личность не тождественна личности участникам корпорации, а является самостоятельным субъектом права. так называемым юридическим лицом. Таким образом, понятие корпорации исторически возникла, как первое представление о правовой природе юридического лица [8, 78].</w:t>
      </w:r>
    </w:p>
    <w:p w:rsidR="00181BA7" w:rsidRPr="00DA76A7" w:rsidRDefault="00181BA7" w:rsidP="00181BA7">
      <w:pPr>
        <w:ind w:firstLine="567"/>
        <w:jc w:val="both"/>
        <w:rPr>
          <w:rFonts w:ascii="Arial" w:hAnsi="Arial" w:cs="Arial"/>
          <w:color w:val="000000" w:themeColor="text1"/>
          <w:sz w:val="22"/>
          <w:szCs w:val="22"/>
        </w:rPr>
      </w:pPr>
      <w:bookmarkStart w:id="17" w:name="Par155"/>
      <w:bookmarkStart w:id="18" w:name="Par165"/>
      <w:bookmarkEnd w:id="17"/>
      <w:bookmarkEnd w:id="18"/>
      <w:r w:rsidRPr="00DA76A7">
        <w:rPr>
          <w:rFonts w:ascii="Arial" w:hAnsi="Arial" w:cs="Arial"/>
          <w:color w:val="000000" w:themeColor="text1"/>
          <w:sz w:val="22"/>
          <w:szCs w:val="22"/>
        </w:rPr>
        <w:t>Кроме того, необходимо отметить, что правовой доктриной в противовес понятию «корпорация» производилось выделение также и такого типа юридической личности как «</w:t>
      </w:r>
      <w:r w:rsidRPr="00DA76A7">
        <w:rPr>
          <w:rFonts w:ascii="Arial" w:hAnsi="Arial" w:cs="Arial"/>
          <w:bCs/>
          <w:color w:val="000000" w:themeColor="text1"/>
          <w:sz w:val="22"/>
          <w:szCs w:val="22"/>
        </w:rPr>
        <w:t>учреждение»</w:t>
      </w:r>
      <w:r w:rsidRPr="00DA76A7">
        <w:rPr>
          <w:rFonts w:ascii="Arial" w:hAnsi="Arial" w:cs="Arial"/>
          <w:color w:val="000000" w:themeColor="text1"/>
          <w:sz w:val="22"/>
          <w:szCs w:val="22"/>
        </w:rPr>
        <w:t xml:space="preserve">, которое представляло собой правовое образование, не имеющей членства, основной целью которого являлось реализация общественно полезных интересов, не определяемых интересами учредителей. </w:t>
      </w:r>
      <w:bookmarkStart w:id="19" w:name="Par191"/>
      <w:bookmarkEnd w:id="19"/>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Применительно к современному этапу развития, необходимо отметить, что для большинства развитых правопорядков традиционным является деление юридических лиц на корпорации и учреждения. При этом </w:t>
      </w:r>
      <w:r w:rsidRPr="00DA76A7">
        <w:rPr>
          <w:rFonts w:ascii="Arial" w:hAnsi="Arial" w:cs="Arial"/>
          <w:bCs/>
          <w:color w:val="000000" w:themeColor="text1"/>
          <w:sz w:val="22"/>
          <w:szCs w:val="22"/>
        </w:rPr>
        <w:t xml:space="preserve">под корпорацией, </w:t>
      </w:r>
      <w:r w:rsidRPr="00DA76A7">
        <w:rPr>
          <w:rFonts w:ascii="Arial" w:hAnsi="Arial" w:cs="Arial"/>
          <w:color w:val="000000" w:themeColor="text1"/>
          <w:sz w:val="22"/>
          <w:szCs w:val="22"/>
        </w:rPr>
        <w:t xml:space="preserve">понимается организация, основанная на началах участия, которая создается для реализации интересов ее участников путем организации управления ею через особую систему органов.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 недавнего времени деление юридических лиц на корпорации и учреждения не было свойственным законодательству РФ и РТ. Как известно, классификация юридических лиц в Гражданском кодексе РФ и РТ осуществлялась по двум основным критериям. Во-первых, это цель деятельности, в соответствии с которым все юридические лица подразделялись на коммерческие и некоммерческие. Во-вторых, в зависимости от прав учредителей на имущество юридического лица, выделялись юридические лица, в отношении имущества которых их учредители имели обязательственные права, либо право собственности, либо не имели ни тех, ни других прав.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в дальнейшем с целью закрепления в действующем гражданском законодательстве общих принципов организации регулирования деятельности юридических лиц, построенных на началах членства, в 2014 году в РФ была проведена коренная реформа, гражданского законодательства в результате которой, в Гражданский кодекс РФ было введено понятие корпорации. На основании данного понятия проведена классификация юридических лиц на </w:t>
      </w:r>
      <w:r w:rsidRPr="00DA76A7">
        <w:rPr>
          <w:rFonts w:ascii="Arial" w:hAnsi="Arial" w:cs="Arial"/>
          <w:bCs/>
          <w:color w:val="000000" w:themeColor="text1"/>
          <w:sz w:val="22"/>
          <w:szCs w:val="22"/>
        </w:rPr>
        <w:t>корпоративные</w:t>
      </w:r>
      <w:r w:rsidRPr="00DA76A7">
        <w:rPr>
          <w:rFonts w:ascii="Arial" w:hAnsi="Arial" w:cs="Arial"/>
          <w:color w:val="000000" w:themeColor="text1"/>
          <w:sz w:val="22"/>
          <w:szCs w:val="22"/>
        </w:rPr>
        <w:t xml:space="preserve"> и </w:t>
      </w:r>
      <w:r w:rsidRPr="00DA76A7">
        <w:rPr>
          <w:rFonts w:ascii="Arial" w:hAnsi="Arial" w:cs="Arial"/>
          <w:bCs/>
          <w:color w:val="000000" w:themeColor="text1"/>
          <w:sz w:val="22"/>
          <w:szCs w:val="22"/>
        </w:rPr>
        <w:t xml:space="preserve">унитарные, наряду с общей классификацией на </w:t>
      </w:r>
      <w:r w:rsidRPr="00DA76A7">
        <w:rPr>
          <w:rFonts w:ascii="Arial" w:hAnsi="Arial" w:cs="Arial"/>
          <w:color w:val="000000" w:themeColor="text1"/>
          <w:sz w:val="22"/>
          <w:szCs w:val="22"/>
        </w:rPr>
        <w:t xml:space="preserve">коммерческие и некоммерческие [20, 8].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Юридические лица, учредители (участники) которых обладают правом на участие в управлении их деятельностью (право членства), признаются корпоративными организациями (корпорациями). К числу корпораций, относятся хозяйственные общества и товарищества, хозяйственные партнёрства, крестьянско-фермерские хозяйства, производственные и потребительские кооперативы, общественные организации граждан (такие как общины коренных народов, товарищество собственников недвижимости, казачьи общества), ассоциации, союзы.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Юридические лица, учредители которых не становятся их участниками и не приобретают в них прав членства, признаются унитарными организациями. Унитарными организациями являются унитарные предприятия, фонды, учреждения,  религиозные организации, автономно-некоммерческие организации и публично-правовые компании.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Что касается гражданского законодательства РТ, то понятия корпорации в нём не используются. В докторальном плане под корпорациями признаются предпринимательские организации, в первую очередь акционерные общества и общества с ограниченной ответственностью, в которых наиболее развиты демократические принципы управления.   </w:t>
      </w:r>
      <w:bookmarkStart w:id="20" w:name="Par296"/>
      <w:bookmarkEnd w:id="20"/>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на основании проведённого анализа можно прийти к выводу, что под объединением корпораций в действующем законодательстве и доктрине гражданского права РФ и РТ понимается: организация, образующаяся в результате объединения юридических лиц (в первую очередь хозяйственных обществ) для осуществления согласованной деятельности. Цель деятельность объединения корпораций может иметь как коммерческий, так и некоммерческий характер, а правовой статус зависеть от формы интеграции выбранной участниками (с приобретением статуса юридического лица или без такового). Основными формами объединения корпораций, предусмотренные гражданским законодательством РФ и РТ, являются: </w:t>
      </w:r>
    </w:p>
    <w:p w:rsidR="00181BA7" w:rsidRPr="00DA76A7" w:rsidRDefault="00181BA7" w:rsidP="00D45D6B">
      <w:pPr>
        <w:numPr>
          <w:ilvl w:val="0"/>
          <w:numId w:val="104"/>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ассоциации (союзы), некоммерческие партнерства;</w:t>
      </w:r>
    </w:p>
    <w:p w:rsidR="00181BA7" w:rsidRPr="00DA76A7" w:rsidRDefault="00181BA7" w:rsidP="00D45D6B">
      <w:pPr>
        <w:numPr>
          <w:ilvl w:val="0"/>
          <w:numId w:val="104"/>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холдинги;</w:t>
      </w:r>
    </w:p>
    <w:p w:rsidR="00181BA7" w:rsidRPr="00DA76A7" w:rsidRDefault="00181BA7" w:rsidP="00D45D6B">
      <w:pPr>
        <w:numPr>
          <w:ilvl w:val="0"/>
          <w:numId w:val="104"/>
        </w:numPr>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простые товарищества. </w:t>
      </w:r>
    </w:p>
    <w:p w:rsidR="00181BA7" w:rsidRPr="00DA76A7" w:rsidRDefault="00181BA7" w:rsidP="00181BA7">
      <w:pPr>
        <w:ind w:firstLine="567"/>
        <w:rPr>
          <w:rFonts w:ascii="Arial" w:hAnsi="Arial" w:cs="Arial"/>
          <w:color w:val="000000" w:themeColor="text1"/>
          <w:sz w:val="22"/>
          <w:szCs w:val="22"/>
          <w:lang w:val="en-US"/>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105"/>
        </w:numPr>
        <w:tabs>
          <w:tab w:val="left" w:pos="993"/>
        </w:tabs>
        <w:spacing w:after="0" w:line="240" w:lineRule="auto"/>
        <w:ind w:left="0" w:firstLine="567"/>
        <w:jc w:val="both"/>
        <w:rPr>
          <w:rFonts w:ascii="Arial" w:hAnsi="Arial" w:cs="Arial"/>
          <w:color w:val="000000" w:themeColor="text1"/>
        </w:rPr>
      </w:pPr>
      <w:r w:rsidRPr="00DA76A7">
        <w:rPr>
          <w:rFonts w:ascii="Arial" w:hAnsi="Arial" w:cs="Arial"/>
          <w:snapToGrid w:val="0"/>
          <w:color w:val="000000" w:themeColor="text1"/>
        </w:rPr>
        <w:t xml:space="preserve">Гражданский кодекс </w:t>
      </w:r>
      <w:r w:rsidRPr="00DA76A7">
        <w:rPr>
          <w:rFonts w:ascii="Arial" w:hAnsi="Arial" w:cs="Arial"/>
          <w:color w:val="000000" w:themeColor="text1"/>
        </w:rPr>
        <w:t>Республики Таджикистан. Часть 1. //Ахбори Маджлиси Оли  РТ, 1999 год, № 6, ст. 153; ЗРТ от 22.07.2013г. №976, ЗРТ от 23.07.2016 г., №1334.</w:t>
      </w:r>
    </w:p>
    <w:p w:rsidR="00181BA7" w:rsidRPr="00DA76A7" w:rsidRDefault="00181BA7" w:rsidP="00D45D6B">
      <w:pPr>
        <w:pStyle w:val="a6"/>
        <w:numPr>
          <w:ilvl w:val="0"/>
          <w:numId w:val="105"/>
        </w:numPr>
        <w:tabs>
          <w:tab w:val="left" w:pos="993"/>
        </w:tabs>
        <w:spacing w:after="0" w:line="240" w:lineRule="auto"/>
        <w:ind w:left="0" w:firstLine="567"/>
        <w:jc w:val="both"/>
        <w:rPr>
          <w:rFonts w:ascii="Arial" w:hAnsi="Arial" w:cs="Arial"/>
          <w:color w:val="000000" w:themeColor="text1"/>
        </w:rPr>
      </w:pPr>
      <w:r w:rsidRPr="00DA76A7">
        <w:rPr>
          <w:rFonts w:ascii="Arial" w:hAnsi="Arial" w:cs="Arial"/>
          <w:snapToGrid w:val="0"/>
          <w:color w:val="000000" w:themeColor="text1"/>
        </w:rPr>
        <w:t xml:space="preserve">Гражданский кодекс Российской Федерации: часть 1: [федер. закон: принят Гос. Думой 30 ноября 1994 г.: с измен. и доч. от </w:t>
      </w:r>
      <w:r w:rsidRPr="00DA76A7">
        <w:rPr>
          <w:rFonts w:ascii="Arial" w:hAnsi="Arial" w:cs="Arial"/>
          <w:color w:val="000000" w:themeColor="text1"/>
          <w:shd w:val="clear" w:color="auto" w:fill="FFFFFF"/>
        </w:rPr>
        <w:t> 29.12.2017 № 459-ФЗ)</w:t>
      </w:r>
      <w:r w:rsidRPr="00DA76A7">
        <w:rPr>
          <w:rFonts w:ascii="Arial" w:hAnsi="Arial" w:cs="Arial"/>
          <w:snapToGrid w:val="0"/>
          <w:color w:val="000000" w:themeColor="text1"/>
        </w:rPr>
        <w:t xml:space="preserve"> [Электронный ресурс]. – Режим доступа: СПС «КонсультантПлюс» (дата обращения: 11.01.2018 г.).</w:t>
      </w:r>
    </w:p>
    <w:p w:rsidR="00181BA7" w:rsidRPr="00DA76A7" w:rsidRDefault="00181BA7" w:rsidP="00D45D6B">
      <w:pPr>
        <w:pStyle w:val="a6"/>
        <w:numPr>
          <w:ilvl w:val="0"/>
          <w:numId w:val="105"/>
        </w:numPr>
        <w:tabs>
          <w:tab w:val="left" w:pos="993"/>
        </w:tabs>
        <w:spacing w:after="0" w:line="240" w:lineRule="auto"/>
        <w:ind w:left="0" w:firstLine="567"/>
        <w:jc w:val="both"/>
        <w:rPr>
          <w:rFonts w:ascii="Arial" w:hAnsi="Arial" w:cs="Arial"/>
          <w:color w:val="000000" w:themeColor="text1"/>
        </w:rPr>
      </w:pPr>
      <w:r w:rsidRPr="00DA76A7">
        <w:rPr>
          <w:rFonts w:ascii="Arial" w:hAnsi="Arial" w:cs="Arial"/>
          <w:snapToGrid w:val="0"/>
          <w:color w:val="000000" w:themeColor="text1"/>
        </w:rPr>
        <w:t xml:space="preserve">Гражданский кодекс Российской Федерации: часть 2: [федер. закон: принят  Гос. Думой 26 января 1996 г.: с измен. и доп. от </w:t>
      </w:r>
      <w:r w:rsidRPr="00DA76A7">
        <w:rPr>
          <w:rFonts w:ascii="Arial" w:hAnsi="Arial" w:cs="Arial"/>
          <w:color w:val="000000" w:themeColor="text1"/>
          <w:shd w:val="clear" w:color="auto" w:fill="FFFFFF"/>
        </w:rPr>
        <w:t> 05.12.2017 № 379-ФЗ)</w:t>
      </w:r>
      <w:r w:rsidRPr="00DA76A7">
        <w:rPr>
          <w:rFonts w:ascii="Arial" w:hAnsi="Arial" w:cs="Arial"/>
          <w:snapToGrid w:val="0"/>
          <w:color w:val="000000" w:themeColor="text1"/>
        </w:rPr>
        <w:t>) [Электронный ресурс]. – Режим доступа: СПС «КонсультантПлюс» (дата обращения: 11.01.2018 г.).</w:t>
      </w:r>
    </w:p>
    <w:p w:rsidR="00181BA7" w:rsidRPr="00DA76A7" w:rsidRDefault="00181BA7" w:rsidP="00D45D6B">
      <w:pPr>
        <w:pStyle w:val="a6"/>
        <w:widowControl w:val="0"/>
        <w:numPr>
          <w:ilvl w:val="0"/>
          <w:numId w:val="105"/>
        </w:numPr>
        <w:tabs>
          <w:tab w:val="left" w:pos="993"/>
        </w:tabs>
        <w:spacing w:after="0" w:line="240" w:lineRule="auto"/>
        <w:ind w:left="0" w:firstLine="567"/>
        <w:jc w:val="both"/>
        <w:rPr>
          <w:rFonts w:ascii="Arial" w:hAnsi="Arial" w:cs="Arial"/>
          <w:color w:val="000000" w:themeColor="text1"/>
        </w:rPr>
      </w:pPr>
      <w:r w:rsidRPr="00DA76A7">
        <w:rPr>
          <w:rFonts w:ascii="Arial" w:hAnsi="Arial" w:cs="Arial"/>
          <w:snapToGrid w:val="0"/>
          <w:color w:val="000000" w:themeColor="text1"/>
        </w:rPr>
        <w:t xml:space="preserve">Гражданский кодекс </w:t>
      </w:r>
      <w:r w:rsidRPr="00DA76A7">
        <w:rPr>
          <w:rFonts w:ascii="Arial" w:hAnsi="Arial" w:cs="Arial"/>
          <w:color w:val="000000" w:themeColor="text1"/>
        </w:rPr>
        <w:t>Республики Таджикистан. Часть 2. //Ахбори Маджлиси Оли Республики Таджикистан,  1999 год, №12, ст. 323; Закон РТ от 03.07.2012г., №849, ЗРТ от 22.07.2013г. №977.</w:t>
      </w:r>
    </w:p>
    <w:p w:rsidR="00181BA7" w:rsidRPr="00DA76A7" w:rsidRDefault="00181BA7" w:rsidP="00D45D6B">
      <w:pPr>
        <w:pStyle w:val="a6"/>
        <w:widowControl w:val="0"/>
        <w:numPr>
          <w:ilvl w:val="0"/>
          <w:numId w:val="105"/>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Закон РТ «Об общественных объединениях» // Ахбори Маджлиси Оли РТ, 2007 г., №5, ст.363; от 23.11.2015 г., № 1242.</w:t>
      </w:r>
    </w:p>
    <w:p w:rsidR="00181BA7" w:rsidRPr="00DA76A7" w:rsidRDefault="00181BA7" w:rsidP="00D45D6B">
      <w:pPr>
        <w:pStyle w:val="a6"/>
        <w:widowControl w:val="0"/>
        <w:numPr>
          <w:ilvl w:val="0"/>
          <w:numId w:val="105"/>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Федеральный закон от 22.06.2007 № 115-ФЗ «О признании утратившим силу Федерального закона «О финансово-промышленных группах» // Собрание законодательства РФ» от 25.06.2007, № 26, ст. 3088.</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Гонгало Б.М. Гражданское право: учебник: в 2 т.– М.: Статут, 2017. - Т.2. – 511 с.</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Грицай Н.В. Понятие и сущность корпорации // Вестник Самарской гуманитарной академии. - 2015. - № 1-2 (17). - С. 77 – 81.</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Style w:val="af6"/>
          <w:rFonts w:ascii="Arial" w:hAnsi="Arial" w:cs="Arial"/>
          <w:i w:val="0"/>
          <w:color w:val="000000" w:themeColor="text1"/>
          <w:sz w:val="22"/>
          <w:szCs w:val="22"/>
          <w:bdr w:val="none" w:sz="0" w:space="0" w:color="auto" w:frame="1"/>
          <w:shd w:val="clear" w:color="auto" w:fill="FFFFFF"/>
        </w:rPr>
        <w:t>Ем В.С., Козлова Н.В.</w:t>
      </w:r>
      <w:r w:rsidRPr="00DA76A7">
        <w:rPr>
          <w:rFonts w:ascii="Arial" w:hAnsi="Arial" w:cs="Arial"/>
          <w:i/>
          <w:color w:val="000000" w:themeColor="text1"/>
          <w:sz w:val="22"/>
          <w:szCs w:val="22"/>
          <w:shd w:val="clear" w:color="auto" w:fill="FFFFFF"/>
        </w:rPr>
        <w:t> </w:t>
      </w:r>
      <w:r w:rsidRPr="00DA76A7">
        <w:rPr>
          <w:rFonts w:ascii="Arial" w:hAnsi="Arial" w:cs="Arial"/>
          <w:color w:val="000000" w:themeColor="text1"/>
          <w:sz w:val="22"/>
          <w:szCs w:val="22"/>
          <w:shd w:val="clear" w:color="auto" w:fill="FFFFFF"/>
        </w:rPr>
        <w:t>Учредительный договор: понятие, содержание, сущность и правовая природа: комментарий действующего законодательства</w:t>
      </w:r>
      <w:r w:rsidRPr="00DA76A7">
        <w:rPr>
          <w:rFonts w:ascii="Arial" w:hAnsi="Arial" w:cs="Arial"/>
          <w:i/>
          <w:color w:val="000000" w:themeColor="text1"/>
          <w:sz w:val="22"/>
          <w:szCs w:val="22"/>
          <w:shd w:val="clear" w:color="auto" w:fill="FFFFFF"/>
        </w:rPr>
        <w:t xml:space="preserve"> // </w:t>
      </w:r>
      <w:r w:rsidRPr="00DA76A7">
        <w:rPr>
          <w:rStyle w:val="af6"/>
          <w:rFonts w:ascii="Arial" w:hAnsi="Arial" w:cs="Arial"/>
          <w:i w:val="0"/>
          <w:color w:val="000000" w:themeColor="text1"/>
          <w:sz w:val="22"/>
          <w:szCs w:val="22"/>
          <w:bdr w:val="none" w:sz="0" w:space="0" w:color="auto" w:frame="1"/>
          <w:shd w:val="clear" w:color="auto" w:fill="FFFFFF"/>
        </w:rPr>
        <w:t>Законодательство</w:t>
      </w:r>
      <w:r w:rsidRPr="00DA76A7">
        <w:rPr>
          <w:rFonts w:ascii="Arial" w:hAnsi="Arial" w:cs="Arial"/>
          <w:i/>
          <w:color w:val="000000" w:themeColor="text1"/>
          <w:sz w:val="22"/>
          <w:szCs w:val="22"/>
          <w:shd w:val="clear" w:color="auto" w:fill="FFFFFF"/>
        </w:rPr>
        <w:t xml:space="preserve">. - </w:t>
      </w:r>
      <w:r w:rsidRPr="00DA76A7">
        <w:rPr>
          <w:rFonts w:ascii="Arial" w:hAnsi="Arial" w:cs="Arial"/>
          <w:color w:val="000000" w:themeColor="text1"/>
          <w:sz w:val="22"/>
          <w:szCs w:val="22"/>
          <w:shd w:val="clear" w:color="auto" w:fill="FFFFFF"/>
        </w:rPr>
        <w:t>2000. - № 3. С. 5–14.</w:t>
      </w:r>
    </w:p>
    <w:p w:rsidR="00181BA7" w:rsidRPr="00DA76A7" w:rsidRDefault="00181BA7" w:rsidP="00D45D6B">
      <w:pPr>
        <w:pStyle w:val="a6"/>
        <w:widowControl w:val="0"/>
        <w:numPr>
          <w:ilvl w:val="0"/>
          <w:numId w:val="105"/>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Кальной И.И. Гражданское общество. - СПб.: Издательство «Юридический центр Пресс». 2000. – 256 с. </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Картамышев В.В. Понятие предпринимательского объединения // Юридические науки. - 2006. - № 3. - С. 18 -20.</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EFA"/>
        </w:rPr>
        <w:t>Козлова Н.В. Понятие и сущность юридического лица: учебное пособие - М.: Статут, 2003. – 318 с.</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Лаптев В. А. История возникновения предпринимательских (хозяйственных) объединений // Юрист. - 2005. - № 8. - С. 8 - 13</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Матвеев С.Ю. Некоммерческие организации. – М.: Бератор, 2004. – 360 с.</w:t>
      </w:r>
    </w:p>
    <w:p w:rsidR="00181BA7" w:rsidRPr="00DA76A7" w:rsidRDefault="00181BA7" w:rsidP="00D45D6B">
      <w:pPr>
        <w:pStyle w:val="a6"/>
        <w:numPr>
          <w:ilvl w:val="0"/>
          <w:numId w:val="105"/>
        </w:numPr>
        <w:tabs>
          <w:tab w:val="left" w:pos="993"/>
        </w:tabs>
        <w:spacing w:after="0" w:line="240" w:lineRule="auto"/>
        <w:ind w:left="0" w:firstLine="567"/>
        <w:jc w:val="both"/>
        <w:rPr>
          <w:rFonts w:ascii="Arial" w:hAnsi="Arial" w:cs="Arial"/>
          <w:color w:val="000000" w:themeColor="text1"/>
        </w:rPr>
      </w:pPr>
      <w:r w:rsidRPr="00DA76A7">
        <w:rPr>
          <w:rFonts w:ascii="Arial" w:hAnsi="Arial" w:cs="Arial"/>
          <w:bCs/>
          <w:color w:val="000000" w:themeColor="text1"/>
        </w:rPr>
        <w:t xml:space="preserve">Нерсесянц В.С. Общая теория права и государства. – </w:t>
      </w:r>
      <w:r w:rsidRPr="00DA76A7">
        <w:rPr>
          <w:rFonts w:ascii="Arial" w:hAnsi="Arial" w:cs="Arial"/>
          <w:color w:val="000000" w:themeColor="text1"/>
        </w:rPr>
        <w:t>М.: Норма: ИНФРА-М, 2012. – 560 с.</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Новицкий И.Б., Перетерский И.С. Римское частное право: учебник. – М.: Зерцало - М. 2012. – 560 с.</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Рожкова М.А. Юридические факты в гражданском праве // Приложение к журналу «Хозяйство и Право». - 2006. - №7. – 80 с.</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Филиппова С.Ю. Корпорация как способ организации предпринимательской деятельности // Российский судья. - 2007. -№ 7. - С. 7–13.</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Шиткина И. С. Основания установления холдинговых отношений // Предпринимательское право.  - 2005. -  № 2. - С. 35-38.</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Шиткина И. С. Реформа корпоративного законодательства: наука, образование, практика // Законодательство. - 2015. - № 12. - С. 2-20.</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Шиткина И.С. Корпоративное право: учебник. - М: КНОРУС, 2015.  – 334 с.</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Шиткина И.С. Объединения предпринимателей: ассоциации, холдинги, финансово-промышленные группы, простое товарищество: научно-практическое пособие. - М., 2001 134 с.</w:t>
      </w:r>
    </w:p>
    <w:p w:rsidR="00181BA7" w:rsidRPr="00DA76A7" w:rsidRDefault="00181BA7" w:rsidP="00D45D6B">
      <w:pPr>
        <w:pStyle w:val="af2"/>
        <w:numPr>
          <w:ilvl w:val="0"/>
          <w:numId w:val="105"/>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Шиткина И.С. Правовое регулирование экономической зависимости // Приложение к журналу «Хозяйство и Право». - 2017. - № 6. 56 с.</w:t>
      </w:r>
    </w:p>
    <w:p w:rsidR="00181BA7" w:rsidRPr="00DA76A7" w:rsidRDefault="00181BA7" w:rsidP="00D45D6B">
      <w:pPr>
        <w:pStyle w:val="af2"/>
        <w:numPr>
          <w:ilvl w:val="0"/>
          <w:numId w:val="105"/>
        </w:numPr>
        <w:tabs>
          <w:tab w:val="left" w:pos="993"/>
        </w:tabs>
        <w:ind w:left="0" w:firstLine="567"/>
        <w:jc w:val="both"/>
        <w:rPr>
          <w:rFonts w:ascii="Arial" w:hAnsi="Arial" w:cs="Arial"/>
          <w:i/>
          <w:color w:val="000000" w:themeColor="text1"/>
          <w:sz w:val="22"/>
          <w:szCs w:val="22"/>
        </w:rPr>
      </w:pPr>
      <w:r w:rsidRPr="00DA76A7">
        <w:rPr>
          <w:rStyle w:val="af6"/>
          <w:rFonts w:ascii="Arial" w:hAnsi="Arial" w:cs="Arial"/>
          <w:i w:val="0"/>
          <w:color w:val="000000" w:themeColor="text1"/>
          <w:sz w:val="22"/>
          <w:szCs w:val="22"/>
          <w:bdr w:val="none" w:sz="0" w:space="0" w:color="auto" w:frame="1"/>
          <w:shd w:val="clear" w:color="auto" w:fill="FFFFFF"/>
        </w:rPr>
        <w:t>Шиткина И.С.</w:t>
      </w:r>
      <w:r w:rsidRPr="00DA76A7">
        <w:rPr>
          <w:rFonts w:ascii="Arial" w:hAnsi="Arial" w:cs="Arial"/>
          <w:i/>
          <w:color w:val="000000" w:themeColor="text1"/>
          <w:sz w:val="22"/>
          <w:szCs w:val="22"/>
          <w:shd w:val="clear" w:color="auto" w:fill="FFFFFF"/>
        </w:rPr>
        <w:t xml:space="preserve"> </w:t>
      </w:r>
      <w:r w:rsidRPr="00DA76A7">
        <w:rPr>
          <w:rFonts w:ascii="Arial" w:hAnsi="Arial" w:cs="Arial"/>
          <w:color w:val="000000" w:themeColor="text1"/>
          <w:sz w:val="22"/>
          <w:szCs w:val="22"/>
          <w:shd w:val="clear" w:color="auto" w:fill="FFFFFF"/>
        </w:rPr>
        <w:t xml:space="preserve">Корпоративные формы предпринимательской деятельности // </w:t>
      </w:r>
      <w:r w:rsidRPr="00DA76A7">
        <w:rPr>
          <w:rFonts w:ascii="Arial" w:hAnsi="Arial" w:cs="Arial"/>
          <w:color w:val="000000" w:themeColor="text1"/>
          <w:sz w:val="22"/>
          <w:szCs w:val="22"/>
        </w:rPr>
        <w:t xml:space="preserve">Приложение к журналу «Хозяйство и Право». - </w:t>
      </w:r>
      <w:r w:rsidRPr="00DA76A7">
        <w:rPr>
          <w:rFonts w:ascii="Arial" w:hAnsi="Arial" w:cs="Arial"/>
          <w:color w:val="000000" w:themeColor="text1"/>
          <w:sz w:val="22"/>
          <w:szCs w:val="22"/>
          <w:shd w:val="clear" w:color="auto" w:fill="FFFFFF"/>
        </w:rPr>
        <w:t>2015. - № 11. – 59 с.</w:t>
      </w:r>
    </w:p>
    <w:p w:rsidR="00181BA7" w:rsidRPr="00DA76A7" w:rsidRDefault="00181BA7" w:rsidP="00D45D6B">
      <w:pPr>
        <w:pStyle w:val="af2"/>
        <w:numPr>
          <w:ilvl w:val="0"/>
          <w:numId w:val="105"/>
        </w:numPr>
        <w:tabs>
          <w:tab w:val="left" w:pos="993"/>
        </w:tabs>
        <w:ind w:left="0" w:firstLine="567"/>
        <w:jc w:val="both"/>
        <w:rPr>
          <w:rFonts w:ascii="Arial" w:hAnsi="Arial" w:cs="Arial"/>
          <w:i/>
          <w:color w:val="000000" w:themeColor="text1"/>
          <w:sz w:val="22"/>
          <w:szCs w:val="22"/>
        </w:rPr>
      </w:pPr>
      <w:r w:rsidRPr="00DA76A7">
        <w:rPr>
          <w:rFonts w:ascii="Arial" w:hAnsi="Arial" w:cs="Arial"/>
          <w:color w:val="000000" w:themeColor="text1"/>
          <w:sz w:val="22"/>
          <w:szCs w:val="22"/>
        </w:rPr>
        <w:t>Эриашвили Н.Д., Коршунов Н.М. Предпринимательское право. – М.: ЮНИТИ-ДАНА 2012 . – 535 с.</w:t>
      </w:r>
    </w:p>
    <w:p w:rsidR="00181BA7" w:rsidRPr="00DA76A7" w:rsidRDefault="00181BA7" w:rsidP="00181BA7">
      <w:pPr>
        <w:ind w:firstLine="567"/>
        <w:jc w:val="both"/>
        <w:rPr>
          <w:rFonts w:ascii="Arial" w:hAnsi="Arial" w:cs="Arial"/>
          <w:color w:val="000000" w:themeColor="text1"/>
          <w:sz w:val="22"/>
          <w:szCs w:val="22"/>
        </w:rPr>
      </w:pPr>
    </w:p>
    <w:p w:rsidR="00181BA7" w:rsidRDefault="00181BA7" w:rsidP="00181BA7">
      <w:pPr>
        <w:ind w:firstLine="567"/>
        <w:jc w:val="center"/>
        <w:rPr>
          <w:rFonts w:ascii="Arial" w:hAnsi="Arial" w:cs="Arial"/>
          <w:b/>
          <w:color w:val="000000" w:themeColor="text1"/>
          <w:sz w:val="22"/>
          <w:szCs w:val="22"/>
        </w:rPr>
      </w:pPr>
    </w:p>
    <w:p w:rsidR="003A625F" w:rsidRDefault="003A625F" w:rsidP="00181BA7">
      <w:pPr>
        <w:ind w:firstLine="567"/>
        <w:jc w:val="center"/>
        <w:rPr>
          <w:rFonts w:ascii="Arial" w:hAnsi="Arial" w:cs="Arial"/>
          <w:b/>
          <w:color w:val="000000" w:themeColor="text1"/>
          <w:sz w:val="22"/>
          <w:szCs w:val="22"/>
        </w:rPr>
      </w:pPr>
    </w:p>
    <w:p w:rsidR="003A625F" w:rsidRDefault="003A625F" w:rsidP="00181BA7">
      <w:pPr>
        <w:ind w:firstLine="567"/>
        <w:jc w:val="center"/>
        <w:rPr>
          <w:rFonts w:ascii="Arial" w:hAnsi="Arial" w:cs="Arial"/>
          <w:b/>
          <w:color w:val="000000" w:themeColor="text1"/>
          <w:sz w:val="22"/>
          <w:szCs w:val="22"/>
        </w:rPr>
      </w:pPr>
    </w:p>
    <w:p w:rsidR="003A625F" w:rsidRDefault="003A625F" w:rsidP="00181BA7">
      <w:pPr>
        <w:ind w:firstLine="567"/>
        <w:jc w:val="center"/>
        <w:rPr>
          <w:rFonts w:ascii="Arial" w:hAnsi="Arial" w:cs="Arial"/>
          <w:b/>
          <w:color w:val="000000" w:themeColor="text1"/>
          <w:sz w:val="22"/>
          <w:szCs w:val="22"/>
        </w:rPr>
      </w:pPr>
    </w:p>
    <w:p w:rsidR="003A625F" w:rsidRDefault="003A625F" w:rsidP="00181BA7">
      <w:pPr>
        <w:ind w:firstLine="567"/>
        <w:jc w:val="center"/>
        <w:rPr>
          <w:rFonts w:ascii="Arial" w:hAnsi="Arial" w:cs="Arial"/>
          <w:b/>
          <w:color w:val="000000" w:themeColor="text1"/>
          <w:sz w:val="22"/>
          <w:szCs w:val="22"/>
        </w:rPr>
      </w:pPr>
    </w:p>
    <w:p w:rsidR="003A625F" w:rsidRDefault="003A625F" w:rsidP="00181BA7">
      <w:pPr>
        <w:ind w:firstLine="567"/>
        <w:jc w:val="center"/>
        <w:rPr>
          <w:rFonts w:ascii="Arial" w:hAnsi="Arial" w:cs="Arial"/>
          <w:b/>
          <w:color w:val="000000" w:themeColor="text1"/>
          <w:sz w:val="22"/>
          <w:szCs w:val="22"/>
        </w:rPr>
      </w:pPr>
    </w:p>
    <w:p w:rsidR="003A625F" w:rsidRDefault="003A625F" w:rsidP="00181BA7">
      <w:pPr>
        <w:ind w:firstLine="567"/>
        <w:jc w:val="center"/>
        <w:rPr>
          <w:rFonts w:ascii="Arial" w:hAnsi="Arial" w:cs="Arial"/>
          <w:b/>
          <w:color w:val="000000" w:themeColor="text1"/>
          <w:sz w:val="22"/>
          <w:szCs w:val="22"/>
        </w:rPr>
      </w:pPr>
    </w:p>
    <w:p w:rsidR="003A625F" w:rsidRDefault="003A625F" w:rsidP="00181BA7">
      <w:pPr>
        <w:ind w:firstLine="567"/>
        <w:jc w:val="center"/>
        <w:rPr>
          <w:rFonts w:ascii="Arial" w:hAnsi="Arial" w:cs="Arial"/>
          <w:b/>
          <w:color w:val="000000" w:themeColor="text1"/>
          <w:sz w:val="22"/>
          <w:szCs w:val="22"/>
        </w:rPr>
      </w:pPr>
    </w:p>
    <w:p w:rsidR="003A625F" w:rsidRDefault="003A625F" w:rsidP="00181BA7">
      <w:pPr>
        <w:ind w:firstLine="567"/>
        <w:jc w:val="center"/>
        <w:rPr>
          <w:rFonts w:ascii="Arial" w:hAnsi="Arial" w:cs="Arial"/>
          <w:b/>
          <w:color w:val="000000" w:themeColor="text1"/>
          <w:sz w:val="22"/>
          <w:szCs w:val="22"/>
        </w:rPr>
      </w:pPr>
    </w:p>
    <w:p w:rsidR="003A625F" w:rsidRPr="00DA76A7" w:rsidRDefault="003A625F" w:rsidP="00181BA7">
      <w:pPr>
        <w:ind w:firstLine="567"/>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НЕКОТОРЫЕ ВОПРОСЫ  ИСТОРИИ РАЗВИТИЯ СЕМЕЙНОГО ПРАВА</w:t>
      </w:r>
    </w:p>
    <w:p w:rsidR="00181BA7" w:rsidRPr="00DA76A7" w:rsidRDefault="00181BA7" w:rsidP="00181BA7">
      <w:pPr>
        <w:jc w:val="center"/>
        <w:rPr>
          <w:rFonts w:ascii="Arial" w:hAnsi="Arial" w:cs="Arial"/>
          <w:b/>
          <w:bCs/>
          <w:color w:val="000000" w:themeColor="text1"/>
          <w:sz w:val="22"/>
          <w:szCs w:val="22"/>
        </w:rPr>
      </w:pPr>
      <w:r w:rsidRPr="00DA76A7">
        <w:rPr>
          <w:rFonts w:ascii="Arial" w:hAnsi="Arial" w:cs="Arial"/>
          <w:b/>
          <w:bCs/>
          <w:color w:val="000000" w:themeColor="text1"/>
          <w:sz w:val="22"/>
          <w:szCs w:val="22"/>
        </w:rPr>
        <w:tab/>
      </w:r>
    </w:p>
    <w:p w:rsidR="00181BA7" w:rsidRPr="00DA76A7" w:rsidRDefault="00181BA7" w:rsidP="00181BA7">
      <w:pPr>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Азизова Мадина Абдувахобовна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181BA7" w:rsidRPr="00542B0A"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(+992) 372 2276740, </w:t>
      </w:r>
      <w:r w:rsidRPr="00DA76A7">
        <w:rPr>
          <w:rFonts w:ascii="Arial" w:hAnsi="Arial" w:cs="Arial"/>
          <w:color w:val="000000" w:themeColor="text1"/>
          <w:sz w:val="22"/>
          <w:szCs w:val="22"/>
          <w:lang w:val="en-US"/>
        </w:rPr>
        <w:t>e</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grajdan</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pravo</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p>
    <w:p w:rsidR="00181BA7" w:rsidRPr="00542B0A" w:rsidRDefault="00181BA7" w:rsidP="00181BA7">
      <w:pPr>
        <w:jc w:val="center"/>
        <w:rPr>
          <w:rFonts w:ascii="Arial" w:hAnsi="Arial" w:cs="Arial"/>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SOME ISSUES OF THE HISTORY OF DEVELOPMENT FAMILY LAW</w:t>
      </w:r>
    </w:p>
    <w:p w:rsidR="00181BA7" w:rsidRPr="00DA76A7" w:rsidRDefault="00181BA7" w:rsidP="00181BA7">
      <w:pPr>
        <w:jc w:val="center"/>
        <w:rPr>
          <w:rFonts w:ascii="Arial" w:hAnsi="Arial" w:cs="Arial"/>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Azizova Madina Abduvahobovna</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The Russian-Tajik (Slavonic) university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 372 2276740, e-mail: grajdan.pravo@mail.ru</w:t>
      </w:r>
    </w:p>
    <w:p w:rsidR="00181BA7" w:rsidRPr="00DA76A7" w:rsidRDefault="00181BA7" w:rsidP="00181BA7">
      <w:pPr>
        <w:ind w:firstLine="567"/>
        <w:jc w:val="right"/>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академик Махмудзода М.А.</w:t>
      </w:r>
    </w:p>
    <w:p w:rsidR="00181BA7" w:rsidRPr="00DA76A7" w:rsidRDefault="00181BA7" w:rsidP="00181BA7">
      <w:pPr>
        <w:ind w:firstLine="567"/>
        <w:jc w:val="both"/>
        <w:rPr>
          <w:rFonts w:ascii="Arial" w:eastAsia="Calibri" w:hAnsi="Arial" w:cs="Arial"/>
          <w:b/>
          <w:bCs/>
          <w:color w:val="000000" w:themeColor="text1"/>
          <w:sz w:val="22"/>
          <w:szCs w:val="22"/>
        </w:rPr>
      </w:pP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bCs/>
          <w:i/>
          <w:color w:val="000000" w:themeColor="text1"/>
          <w:sz w:val="22"/>
          <w:szCs w:val="22"/>
        </w:rPr>
        <w:t xml:space="preserve">Аннотация. </w:t>
      </w:r>
      <w:r w:rsidRPr="00DA76A7">
        <w:rPr>
          <w:rFonts w:ascii="Arial" w:eastAsia="Calibri" w:hAnsi="Arial" w:cs="Arial"/>
          <w:i/>
          <w:color w:val="000000" w:themeColor="text1"/>
          <w:sz w:val="22"/>
          <w:szCs w:val="22"/>
        </w:rPr>
        <w:t xml:space="preserve">Предметом исследования настоящей статьи  послужили  вопросы истории семейного законодательства, регистрация и расторжение брака. </w:t>
      </w:r>
    </w:p>
    <w:p w:rsidR="00181BA7" w:rsidRPr="00DA76A7" w:rsidRDefault="00181BA7" w:rsidP="00181BA7">
      <w:pPr>
        <w:ind w:firstLine="567"/>
        <w:jc w:val="both"/>
        <w:rPr>
          <w:rFonts w:ascii="Arial" w:eastAsia="Calibri" w:hAnsi="Arial" w:cs="Arial"/>
          <w:i/>
          <w:color w:val="000000" w:themeColor="text1"/>
          <w:sz w:val="22"/>
          <w:szCs w:val="22"/>
          <w:shd w:val="clear" w:color="auto" w:fill="FFFFFF"/>
          <w:lang w:val="en-US"/>
        </w:rPr>
      </w:pPr>
      <w:r w:rsidRPr="00DA76A7">
        <w:rPr>
          <w:rFonts w:ascii="Arial" w:eastAsia="Calibri" w:hAnsi="Arial" w:cs="Arial"/>
          <w:b/>
          <w:bCs/>
          <w:i/>
          <w:color w:val="000000" w:themeColor="text1"/>
          <w:sz w:val="22"/>
          <w:szCs w:val="22"/>
          <w:lang w:val="en-US"/>
        </w:rPr>
        <w:t xml:space="preserve">Annotation. </w:t>
      </w:r>
      <w:r w:rsidRPr="00DA76A7">
        <w:rPr>
          <w:rFonts w:ascii="Arial" w:eastAsia="Calibri" w:hAnsi="Arial" w:cs="Arial"/>
          <w:i/>
          <w:color w:val="000000" w:themeColor="text1"/>
          <w:sz w:val="22"/>
          <w:szCs w:val="22"/>
          <w:shd w:val="clear" w:color="auto" w:fill="FFFFFF"/>
          <w:lang w:val="en-US"/>
        </w:rPr>
        <w:t xml:space="preserve"> The subject of this article was the history of family legislation, registration and dissolution of marriage.</w:t>
      </w: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Ключевые слова:</w:t>
      </w:r>
      <w:r w:rsidRPr="00DA76A7">
        <w:rPr>
          <w:rFonts w:ascii="Arial" w:eastAsia="Calibri" w:hAnsi="Arial" w:cs="Arial"/>
          <w:i/>
          <w:color w:val="000000" w:themeColor="text1"/>
          <w:sz w:val="22"/>
          <w:szCs w:val="22"/>
        </w:rPr>
        <w:t xml:space="preserve"> семейное право, семейные правоотношения, семья, брак, история.</w:t>
      </w:r>
    </w:p>
    <w:p w:rsidR="00181BA7" w:rsidRPr="00DA76A7" w:rsidRDefault="00181BA7" w:rsidP="00181BA7">
      <w:pPr>
        <w:shd w:val="clear" w:color="auto" w:fill="FFFFFF"/>
        <w:ind w:firstLine="567"/>
        <w:rPr>
          <w:rFonts w:ascii="Arial" w:eastAsia="Calibri" w:hAnsi="Arial" w:cs="Arial"/>
          <w:i/>
          <w:color w:val="000000" w:themeColor="text1"/>
          <w:sz w:val="22"/>
          <w:szCs w:val="22"/>
          <w:shd w:val="clear" w:color="auto" w:fill="FFFFFF"/>
          <w:lang w:val="en-US"/>
        </w:rPr>
      </w:pPr>
      <w:r w:rsidRPr="00DA76A7">
        <w:rPr>
          <w:rFonts w:ascii="Arial" w:eastAsia="Calibri" w:hAnsi="Arial" w:cs="Arial"/>
          <w:b/>
          <w:i/>
          <w:color w:val="000000" w:themeColor="text1"/>
          <w:sz w:val="22"/>
          <w:szCs w:val="22"/>
          <w:lang w:val="en-US"/>
        </w:rPr>
        <w:t>Key words:</w:t>
      </w:r>
      <w:r w:rsidRPr="00DA76A7">
        <w:rPr>
          <w:rFonts w:ascii="Arial" w:eastAsia="Calibri" w:hAnsi="Arial" w:cs="Arial"/>
          <w:i/>
          <w:color w:val="000000" w:themeColor="text1"/>
          <w:sz w:val="22"/>
          <w:szCs w:val="22"/>
          <w:shd w:val="clear" w:color="auto" w:fill="FFFFFF"/>
          <w:lang w:val="en-US"/>
        </w:rPr>
        <w:t xml:space="preserve"> family law, family legal relations, family, marriage, history.</w:t>
      </w:r>
    </w:p>
    <w:p w:rsidR="00181BA7" w:rsidRPr="00DA76A7" w:rsidRDefault="00181BA7" w:rsidP="00181BA7">
      <w:pPr>
        <w:ind w:firstLine="567"/>
        <w:jc w:val="both"/>
        <w:rPr>
          <w:rFonts w:ascii="Arial" w:hAnsi="Arial" w:cs="Arial"/>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1923 г. разрабатывается новый семейный кодекс, проект которого в 1925 г. был вынесен на всенародное обсуждение, а в 1926 г. принят Кодекс законов о браке, семье и опеке (КЗоБСО). Наиболее существенным нововведением этого кодекса было придание правового значения фактическим брачным отношениям. Регистрация брака не была отменена, но фактические брачные отношения были во многом приравнены к зарегистрированному браку. Полного равенства между ними не было, но в дальнейшем судебная практика их уравняла.</w:t>
      </w:r>
      <w:r w:rsidRPr="00DA76A7">
        <w:rPr>
          <w:rFonts w:ascii="Arial" w:eastAsia="Calibri" w:hAnsi="Arial" w:cs="Arial"/>
          <w:color w:val="000000" w:themeColor="text1"/>
          <w:sz w:val="22"/>
          <w:szCs w:val="22"/>
        </w:rPr>
        <w:t>[5,45].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признания юридической силы за фактическими брачными отношениями необходимо было доказать: совместное жительство фактических супругов, ведение при этом сожительстве общего хозяйства и выявление супружеских отношений перед третьими лицами, а также взаимную материальную поддержку и совместное воспитание детей. «Доказательствами брачного сожительства в случае, если брак не был зарегистрирован, для суда являются: факт совместного сожительства, наличие при этом сожительстве общего хозяйства и выявление супружеских отношений перед третьими лицами в личной переписке и других документах, а также, в зависимости от обстоятельств, взаимная материальная поддержка, совместное воспитание детей и пр.»</w:t>
      </w:r>
      <w:r w:rsidRPr="00DA76A7">
        <w:rPr>
          <w:rFonts w:ascii="Arial" w:eastAsia="SimSun" w:hAnsi="Arial" w:cs="Arial"/>
          <w:color w:val="000000" w:themeColor="text1"/>
          <w:sz w:val="22"/>
          <w:szCs w:val="22"/>
          <w:lang w:eastAsia="zh-CN"/>
        </w:rPr>
        <w:t xml:space="preserve"> </w:t>
      </w:r>
      <w:r w:rsidRPr="00DA76A7">
        <w:rPr>
          <w:rFonts w:ascii="Arial" w:eastAsia="Calibri" w:hAnsi="Arial" w:cs="Arial"/>
          <w:color w:val="000000" w:themeColor="text1"/>
          <w:sz w:val="22"/>
          <w:szCs w:val="22"/>
        </w:rPr>
        <w:t>[2,10].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Признание силы законного брака за фактическими брачными отношениями привело к изменениям в трактовке самого значения регистрации брака. Брак по Кодексу 1926 г. является не моментом совершения брака, а его оформлением. В связи с этим возникли проблемы «конкуренции» между фактическим и зарегистрированным браком. Нерешенным оставался вопрос о параллельном существовании нескольких фактических браков.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Существенные изменения были внесены в регулирование брака. Так, был установлен и для женщин и для мужчин единый брачный возраст – 18 лет. В Кодексе 1918 года брачный возраст для женщин составлял 16 лет, для мужчин составлял 18 лет. Кодекс закрепил право супругов при вступлении в брак по своему выбору сохранить добрачную фамилию или именоваться общей. Расторжение брака в суде было отменено. Брак расторгался в органах ЗАГСа, причем без вызова второго супруга, ему только сообщалось о факте развода. В случае нарушения условий вступления в брак речь могла идти об оспаривании регистрации брака. «Записи, занесенные в книгу, могут быть оспариваемы заинтересованными лицами в судебном порядке»</w:t>
      </w:r>
      <w:r w:rsidRPr="00DA76A7">
        <w:rPr>
          <w:rFonts w:ascii="Arial" w:eastAsia="SimSun" w:hAnsi="Arial" w:cs="Arial"/>
          <w:color w:val="000000" w:themeColor="text1"/>
          <w:sz w:val="22"/>
          <w:szCs w:val="22"/>
          <w:lang w:eastAsia="zh-CN"/>
        </w:rPr>
        <w:t xml:space="preserve">« </w:t>
      </w:r>
      <w:r w:rsidRPr="00DA76A7">
        <w:rPr>
          <w:rFonts w:ascii="Arial" w:eastAsia="Calibri" w:hAnsi="Arial" w:cs="Arial"/>
          <w:color w:val="000000" w:themeColor="text1"/>
          <w:sz w:val="22"/>
          <w:szCs w:val="22"/>
        </w:rPr>
        <w:t>[1,12].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Запись об отце внебрачного ребенка производилась по заявлению матери, поданному после рождения ребенка. Никаких доказательств от нее не требовалось. Отцу лишь сообщалось о такой записи и предоставлялось право обжаловать ее в суде в течение года. Был восстановлен институт усыновления, отмененный в 1918 г.</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принятием КЗоБСО 1926 г. семейное законодательство начинает приобретать стабильный характер: Кодекс просуществовал до 1968 г., хотя в 1936 и 1944 годах в него вносились значительные изменения. 27 июня 1936 г. было принято Постановление ЦИК и СНК «О запрещении абортов, увеличении материальной помощи роженицам, установлении государственной помощи многосемейным, расширении сети родильных домов, детских яслей и детских садов, усилении уголовного наказания за неплатеж алиментов и о некоторых изменениях в законодательстве о разводах». Запрещение абортов в стране, население которой не имело представлений о планировании семьи, возможно привело к большому количеству незаконных абортов, многие из которых скорее всего заканчивались негативными последствиями такими как проблемы со здоровьем и уголовным законом. Этим же постановлением было введено взыскание алиментов на несовершеннолетних детей в долевом отношении к заработку плательщика: 1/4 – на одного ребенка, 1/3 – на двоих детей и 1/2 – на трех и более детей. Данные размеры ставок существуют и в настоящее время, хотя экономического обоснования размеров данных ставок как не было так и нет.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июля 1944 г. был принят Указ Президиума Верховного Совета СССР «Об увеличении государственной помощи беременным женщинам, многодетным и одиноким матерям, усилении охраны материнства и детства, об установлении почетного звания «Мать героиня» и учреждении ордена «Материнская слава» и медали «Медаль материнства». Указ запрещал установление отцовства в отношении детей, рожденных вне брака. Ни добровольное признание отцовства, ни отыскание его в судебном порядке более не допускалось. Только в 1945 г. Указом от 14 марта 1945 г. было разрешено признание отцом внебрачного ребенка в случае вступления в брак с его матерью. Эти меры прикрывались лишенными всякого основания заверениями о том, что права внебрачных детей не нарушаются, так как заботу о них берет на себя социалистическое государство. Во-первых, мизерные пособия, установленные для одиноких матерей, не могли заменить алименты. Во-вторых, дети лишались права знать своего отца, а отец не мог узаконить отношения с родными детьми, что для любящих отцов и детей могло быть настоящей трагедией.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Время для подобного мероприятия было выбрано самое неудачное. Военные действия привели к массовым перемещениям населения, разлучению семей и возникновению многочисленных внебрачных связей. Права детей были ограничены и тем, что в свидетельстве о рождении ребенка в графе «отец» ставился прочерк, что сразу указывало на внебрачное происхождение ребенка, и, хотя формально права внебрачных детей и детей, рожденных в браке, признавались равными, на практике это нередко приводило к дискриминации.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Второй мерой, предусмотренной Указом от 8 июля 1944 г., было придание правового значения только зарегистрированному браку. Всем лицам, вступившим в фактические брачные отношения с 1926 по 1944 г., предписывалось зарегистрировать брак, указав при этом дату фактического вступления в фактические брачные отношения и общих детей. В противном случае их брак терял юридическое значение. «Лица, фактически состоящие в брачных отношениях до издания настоящего Указа, могут оформить свои отношения путем регистрации брака с указанием срока фактической совместной жизни»</w:t>
      </w:r>
      <w:r w:rsidRPr="00DA76A7">
        <w:rPr>
          <w:rFonts w:ascii="Arial" w:eastAsia="SimSun" w:hAnsi="Arial" w:cs="Arial"/>
          <w:color w:val="000000" w:themeColor="text1"/>
          <w:sz w:val="22"/>
          <w:szCs w:val="22"/>
          <w:lang w:eastAsia="zh-CN"/>
        </w:rPr>
        <w:t xml:space="preserve">« </w:t>
      </w:r>
      <w:r w:rsidRPr="00DA76A7">
        <w:rPr>
          <w:rFonts w:ascii="Arial" w:eastAsia="Calibri" w:hAnsi="Arial" w:cs="Arial"/>
          <w:color w:val="000000" w:themeColor="text1"/>
          <w:sz w:val="22"/>
          <w:szCs w:val="22"/>
        </w:rPr>
        <w:t>[2,22].</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Исключением из общего правила для заключения брака является положение, предусмотренное п. 7 ст. 169 СК РФ, на основании которого браки граждан Российской Федерации, совершенные по религиозным обрядам на оккупированных территориях, входивших в состав СССР в период Великой Отечественной войны, до восстановления на этих территориях государственных органов загса, являются действительными и имеют правовую силу. Такие браки не нуждались в последующей государственной регистрации в органах загса»</w:t>
      </w:r>
      <w:r w:rsidRPr="00DA76A7">
        <w:rPr>
          <w:rFonts w:ascii="Arial" w:eastAsia="SimSun" w:hAnsi="Arial" w:cs="Arial"/>
          <w:color w:val="000000" w:themeColor="text1"/>
          <w:sz w:val="22"/>
          <w:szCs w:val="22"/>
          <w:lang w:eastAsia="zh-CN"/>
        </w:rPr>
        <w:t xml:space="preserve">« </w:t>
      </w:r>
      <w:r w:rsidRPr="00DA76A7">
        <w:rPr>
          <w:rFonts w:ascii="Arial" w:eastAsia="Calibri" w:hAnsi="Arial" w:cs="Arial"/>
          <w:color w:val="000000" w:themeColor="text1"/>
          <w:sz w:val="22"/>
          <w:szCs w:val="22"/>
        </w:rPr>
        <w:t>[4,123].</w:t>
      </w:r>
      <w:r w:rsidRPr="00DA76A7">
        <w:rPr>
          <w:rFonts w:ascii="Arial" w:hAnsi="Arial" w:cs="Arial"/>
          <w:color w:val="000000" w:themeColor="text1"/>
          <w:sz w:val="22"/>
          <w:szCs w:val="22"/>
          <w:shd w:val="clear" w:color="auto" w:fill="FFFFFF"/>
        </w:rPr>
        <w:t xml:space="preserve"> </w:t>
      </w:r>
      <w:r w:rsidRPr="00DA76A7">
        <w:rPr>
          <w:rFonts w:ascii="Arial" w:hAnsi="Arial" w:cs="Arial"/>
          <w:color w:val="000000" w:themeColor="text1"/>
          <w:sz w:val="22"/>
          <w:szCs w:val="22"/>
        </w:rPr>
        <w:t>Необходимо отметить, что 10 ноября 1944 г. вышел Указ Президиума Верховного Совета СССР «</w:t>
      </w:r>
      <w:r w:rsidRPr="00DA76A7">
        <w:rPr>
          <w:rFonts w:ascii="Arial" w:hAnsi="Arial" w:cs="Arial"/>
          <w:color w:val="000000" w:themeColor="text1"/>
          <w:sz w:val="22"/>
          <w:szCs w:val="22"/>
          <w:shd w:val="clear" w:color="auto" w:fill="FFFFFF"/>
        </w:rPr>
        <w:t>О порядке признания фактических брачных отношений в случае пропажи без вести на фронте одного из супругов», позволяющий узаконить фактические брачные отношения, которые не могли быть зарегистрированы вследствие смерти или вследствие пропажи без вести одного из лиц, состоявших в таких отношениях.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Процедура развода была ужесточена: брак расторгался только в том случае, если суд признал необходимость его прекращения. Таким образом, суду было дано право отказаться от требования о разводе, даже если оба супруга настояли на разводе. Кроме того, сама процедура развода усложнилась. Заявление о разводе с указанием мотивов развода было подано в народный суд. После этого в местной газете было сделано заявление об инициировании дела, затем супруг-подсудимый был вызван в суд. Народный суд рассмотрел дело и принял меры по согласованию пары. Затем дело было направлено в суд второй инстанции, которая рассмотрела его по существу и вынесла мотивированное решение о разводе или об отказе в расторжении брака. Одновременно суд должен был определить, с кем остались несовершеннолетние дети, и кто из родителей несет ответственность за их содержание. По просьбе супруга суд может также разделить имущество и предоставить супругу добрачную фамилию.</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Постановлением от 15 февраля 1947 года браки между советскими гражданами и иностранцами были запрещены. «Запретить браки между гражданами СССР и иностранцами». «Этот вопрос был неоднозначно решен даже после 1917 года, когда браки советских граждан с иностранными гражданами не только не поощрялись, но часто были поводом для политических репрессий. Постановлением Президиума Верховного Совета СССР от 15 февраля 1947 года» О запрете браков между гражданами СССР и иностранцев «им вообще не разрешалось». Долгое время в СССР применение норм иностранного семейного права не допускалось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Указ Президиума Верховного Совета СССР «Об определенном изменении порядка рассмотрения дел о разводе в судах» от 10 декабря 1965 года. Отменена обязательная предварительная публикация о разводе и утверждении решения суда вышестоящим органом,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 этой форме семейное законодательство до 1968 года. В 1968 году впервые был принят всесоюзный семейный правовой акт, такой как Основы законодательства о браке и семье СССР и республик. На его основе в 1969-1970 гг. разработаны семейные кодексы союзных республик. Кодексы союзных республик повторяли положения Основ и содержали нормы, позволяющие более детально регулировать семейные отношения. Между законами отдельных республик практически не было расхождений.</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w:t>
      </w:r>
      <w:r w:rsidRPr="00DA76A7">
        <w:rPr>
          <w:rFonts w:ascii="Arial" w:hAnsi="Arial" w:cs="Arial"/>
          <w:bCs/>
          <w:color w:val="000000" w:themeColor="text1"/>
          <w:sz w:val="22"/>
          <w:szCs w:val="22"/>
        </w:rPr>
        <w:t xml:space="preserve">Кодекс законов о браке, семье и опеке 1926г. </w:t>
      </w:r>
      <w:r w:rsidRPr="00DA76A7">
        <w:rPr>
          <w:rFonts w:ascii="Arial" w:hAnsi="Arial" w:cs="Arial"/>
          <w:color w:val="000000" w:themeColor="text1"/>
          <w:sz w:val="22"/>
          <w:szCs w:val="22"/>
        </w:rPr>
        <w:t>// ИБ Консультант Плюс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Указ Президиума Верховного Совета СССР от 08.07.1944 «Об увеличении государственной помощи беременным женщинам, многодетным и одиноким матерям, усилении охраны материнства и детства, об установлении высшей степени отличия - звания «Мать-героиня» и учреждении ордена «Материнская слава» и медали «Медаль материнства» // ИБ Консультант Плюс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Косарева И.А. Некоторые проблемы принципа добровольности заключения брака // Современное право. – 2007. – № 9. – С. 27-45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Низамиева О.Н. Комментарий к Семейному кодексу. – М.:  «Проспект», 2010. – 400 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5. Свердлов Г.М. Советское семейное право. – М.: «Юридическая литература». 1958. – 500 с. </w:t>
      </w:r>
    </w:p>
    <w:p w:rsidR="00181BA7" w:rsidRDefault="00181BA7" w:rsidP="00181BA7">
      <w:pPr>
        <w:ind w:firstLine="567"/>
        <w:jc w:val="both"/>
        <w:rPr>
          <w:rFonts w:ascii="Arial" w:hAnsi="Arial" w:cs="Arial"/>
          <w:color w:val="000000" w:themeColor="text1"/>
          <w:sz w:val="22"/>
          <w:szCs w:val="22"/>
        </w:rPr>
      </w:pPr>
    </w:p>
    <w:p w:rsidR="003A625F" w:rsidRDefault="003A625F" w:rsidP="00181BA7">
      <w:pPr>
        <w:ind w:firstLine="567"/>
        <w:jc w:val="both"/>
        <w:rPr>
          <w:rFonts w:ascii="Arial" w:hAnsi="Arial" w:cs="Arial"/>
          <w:color w:val="000000" w:themeColor="text1"/>
          <w:sz w:val="22"/>
          <w:szCs w:val="22"/>
        </w:rPr>
      </w:pPr>
    </w:p>
    <w:p w:rsidR="003A625F" w:rsidRDefault="003A625F" w:rsidP="00181BA7">
      <w:pPr>
        <w:ind w:firstLine="567"/>
        <w:jc w:val="both"/>
        <w:rPr>
          <w:rFonts w:ascii="Arial" w:hAnsi="Arial" w:cs="Arial"/>
          <w:color w:val="000000" w:themeColor="text1"/>
          <w:sz w:val="22"/>
          <w:szCs w:val="22"/>
        </w:rPr>
      </w:pPr>
    </w:p>
    <w:p w:rsidR="003A625F" w:rsidRDefault="003A625F" w:rsidP="00181BA7">
      <w:pPr>
        <w:ind w:firstLine="567"/>
        <w:jc w:val="both"/>
        <w:rPr>
          <w:rFonts w:ascii="Arial" w:hAnsi="Arial" w:cs="Arial"/>
          <w:color w:val="000000" w:themeColor="text1"/>
          <w:sz w:val="22"/>
          <w:szCs w:val="22"/>
        </w:rPr>
      </w:pPr>
    </w:p>
    <w:p w:rsidR="003A625F" w:rsidRPr="00DA76A7" w:rsidRDefault="003A625F" w:rsidP="00181BA7">
      <w:pPr>
        <w:ind w:firstLine="567"/>
        <w:jc w:val="both"/>
        <w:rPr>
          <w:rFonts w:ascii="Arial" w:hAnsi="Arial" w:cs="Arial"/>
          <w:color w:val="000000" w:themeColor="text1"/>
          <w:sz w:val="22"/>
          <w:szCs w:val="22"/>
        </w:rPr>
      </w:pP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АБСОЛЮТНЫЕ И ОТНОСИТЕЛЬНЫЕ ГРАЖДАНСКИЕ ПРАВООТНОШЕНИЯ</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color w:val="000000" w:themeColor="text1"/>
          <w:sz w:val="22"/>
          <w:szCs w:val="22"/>
        </w:rPr>
      </w:pPr>
      <w:r w:rsidRPr="00DA76A7">
        <w:rPr>
          <w:rFonts w:ascii="Arial" w:hAnsi="Arial" w:cs="Arial"/>
          <w:b/>
          <w:color w:val="000000" w:themeColor="text1"/>
          <w:sz w:val="22"/>
          <w:szCs w:val="22"/>
        </w:rPr>
        <w:t xml:space="preserve">Алимова Фарахбахш Абдуразоковна                                                    </w:t>
      </w:r>
      <w:r w:rsidRPr="00DA76A7">
        <w:rPr>
          <w:rFonts w:ascii="Arial" w:hAnsi="Arial" w:cs="Arial"/>
          <w:color w:val="000000" w:themeColor="text1"/>
          <w:sz w:val="22"/>
          <w:szCs w:val="22"/>
        </w:rPr>
        <w:t xml:space="preserve">                </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 xml:space="preserve"> студентка 3-го курса очного отделения юридического факультета</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Российско-Таджикский (Славянский) университет</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734025, Республика Таджикистан, г. Душанбе, ул. М</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Турсунзаде</w:t>
      </w:r>
      <w:r w:rsidRPr="00DA76A7">
        <w:rPr>
          <w:rFonts w:ascii="Arial" w:hAnsi="Arial" w:cs="Arial"/>
          <w:color w:val="000000" w:themeColor="text1"/>
          <w:sz w:val="22"/>
          <w:szCs w:val="22"/>
          <w:lang w:val="en-US"/>
        </w:rPr>
        <w:t xml:space="preserve">, 30                               </w:t>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988-88-08-84,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98" w:history="1">
        <w:r w:rsidRPr="00DA76A7">
          <w:rPr>
            <w:rStyle w:val="af0"/>
            <w:rFonts w:ascii="Arial" w:hAnsi="Arial" w:cs="Arial"/>
            <w:color w:val="000000" w:themeColor="text1"/>
            <w:sz w:val="22"/>
            <w:szCs w:val="22"/>
            <w:u w:val="none"/>
            <w:lang w:val="en-US"/>
          </w:rPr>
          <w:t>alimova_farajon@mail.ru</w:t>
        </w:r>
      </w:hyperlink>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ABSOLUTE AND RELATIVE CIVIL LEGAL RELATIONS</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Alimova Farahbakhsh Abdurazokovna</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of the 3rd year full-time department of the law faculty</w:t>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734025, Republic of Tajikistan, Dushanbe, M. Tursunzade str., 30</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 xml:space="preserve"> tel.: 988-88-08-84, e-mail: </w:t>
      </w:r>
      <w:hyperlink r:id="rId99" w:history="1">
        <w:r w:rsidRPr="00DA76A7">
          <w:rPr>
            <w:rStyle w:val="af0"/>
            <w:rFonts w:ascii="Arial" w:hAnsi="Arial" w:cs="Arial"/>
            <w:color w:val="000000" w:themeColor="text1"/>
            <w:sz w:val="22"/>
            <w:szCs w:val="22"/>
            <w:u w:val="none"/>
            <w:lang w:val="en-US"/>
          </w:rPr>
          <w:t>alimova_farajon@mail.ru</w:t>
        </w:r>
      </w:hyperlink>
    </w:p>
    <w:p w:rsidR="00181BA7" w:rsidRPr="00DA76A7" w:rsidRDefault="00181BA7" w:rsidP="00181BA7">
      <w:pPr>
        <w:ind w:firstLine="567"/>
        <w:jc w:val="right"/>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преподаватель Сидиков Д.А.</w:t>
      </w:r>
    </w:p>
    <w:p w:rsidR="00181BA7" w:rsidRPr="00DA76A7" w:rsidRDefault="00181BA7" w:rsidP="00181BA7">
      <w:pPr>
        <w:ind w:firstLine="567"/>
        <w:rPr>
          <w:rFonts w:ascii="Arial" w:hAnsi="Arial" w:cs="Arial"/>
          <w:b/>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общие положения абсолютных и относительных гражданских правоотношений, в частности понятие гражданских правоотношений, взаимодействие, права и обязанности сторон между собой, содержание и его правовая форма.</w:t>
      </w:r>
    </w:p>
    <w:p w:rsidR="00181BA7" w:rsidRPr="00DA76A7" w:rsidRDefault="00181BA7" w:rsidP="00181BA7">
      <w:pPr>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rPr>
        <w:t xml:space="preserve"> </w:t>
      </w: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shd w:val="clear" w:color="auto" w:fill="FFFFFF"/>
          <w:lang w:val="en-US"/>
        </w:rPr>
        <w:t>This article discusses the General provisions absolute and relative civil legal relations, in particular the concept of civil legal relations , the interaction, the rights and obligations of the parties between themselves, the contents and its legal form.</w:t>
      </w:r>
    </w:p>
    <w:p w:rsidR="00181BA7" w:rsidRPr="00DA76A7" w:rsidRDefault="00181BA7" w:rsidP="00181BA7">
      <w:pPr>
        <w:ind w:firstLine="567"/>
        <w:jc w:val="both"/>
        <w:rPr>
          <w:rFonts w:ascii="Arial" w:hAnsi="Arial" w:cs="Arial"/>
          <w:i/>
          <w:color w:val="000000" w:themeColor="text1"/>
          <w:sz w:val="22"/>
          <w:szCs w:val="22"/>
          <w:shd w:val="clear" w:color="auto" w:fill="FFFFFF"/>
        </w:rPr>
      </w:pPr>
      <w:r w:rsidRPr="00DA76A7">
        <w:rPr>
          <w:rFonts w:ascii="Arial" w:hAnsi="Arial" w:cs="Arial"/>
          <w:b/>
          <w:i/>
          <w:color w:val="000000" w:themeColor="text1"/>
          <w:sz w:val="22"/>
          <w:szCs w:val="22"/>
          <w:shd w:val="clear" w:color="auto" w:fill="FFFFFF"/>
        </w:rPr>
        <w:t>Ключевые слова</w:t>
      </w:r>
      <w:r w:rsidRPr="00DA76A7">
        <w:rPr>
          <w:rFonts w:ascii="Arial" w:hAnsi="Arial" w:cs="Arial"/>
          <w:i/>
          <w:color w:val="000000" w:themeColor="text1"/>
          <w:sz w:val="22"/>
          <w:szCs w:val="22"/>
          <w:shd w:val="clear" w:color="auto" w:fill="FFFFFF"/>
        </w:rPr>
        <w:t>: абсолютные и относительные правоотношения, имущественные права, гражданское право.</w:t>
      </w:r>
    </w:p>
    <w:p w:rsidR="00181BA7" w:rsidRPr="00DA76A7" w:rsidRDefault="00181BA7" w:rsidP="00181BA7">
      <w:pPr>
        <w:ind w:firstLine="567"/>
        <w:jc w:val="both"/>
        <w:rPr>
          <w:rFonts w:ascii="Arial" w:hAnsi="Arial" w:cs="Arial"/>
          <w:b/>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 xml:space="preserve">Key words: </w:t>
      </w:r>
      <w:r w:rsidRPr="00DA76A7">
        <w:rPr>
          <w:rFonts w:ascii="Arial" w:hAnsi="Arial" w:cs="Arial"/>
          <w:i/>
          <w:color w:val="000000" w:themeColor="text1"/>
          <w:sz w:val="22"/>
          <w:szCs w:val="22"/>
          <w:shd w:val="clear" w:color="auto" w:fill="FFFFFF"/>
          <w:lang w:val="en-US"/>
        </w:rPr>
        <w:t>absolute and relative legal relations, property rights, civil law</w:t>
      </w:r>
      <w:r w:rsidRPr="00DA76A7">
        <w:rPr>
          <w:rFonts w:ascii="Arial" w:hAnsi="Arial" w:cs="Arial"/>
          <w:color w:val="000000" w:themeColor="text1"/>
          <w:sz w:val="22"/>
          <w:szCs w:val="22"/>
          <w:shd w:val="clear" w:color="auto" w:fill="FFFFFF"/>
          <w:lang w:val="en-US"/>
        </w:rPr>
        <w:t>.</w:t>
      </w:r>
    </w:p>
    <w:p w:rsidR="00181BA7" w:rsidRPr="00DA76A7" w:rsidRDefault="00181BA7" w:rsidP="00181BA7">
      <w:pPr>
        <w:ind w:firstLine="567"/>
        <w:jc w:val="both"/>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shd w:val="clear" w:color="auto" w:fill="FFFFFF"/>
          <w:lang w:val="en-US"/>
        </w:rPr>
        <w:tab/>
      </w:r>
    </w:p>
    <w:p w:rsidR="00181BA7" w:rsidRPr="00DA76A7" w:rsidRDefault="00181BA7" w:rsidP="00181BA7">
      <w:pPr>
        <w:ind w:firstLine="567"/>
        <w:jc w:val="both"/>
        <w:rPr>
          <w:rFonts w:ascii="Arial" w:hAnsi="Arial" w:cs="Arial"/>
          <w:b/>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повседневной жизни мы связаны чем-то с друзьями, соседями, коллегами и другими незнакомым людьми. В своем роде это связь с обществом, которое мы можем назвать общественным отношением. В юриспруденции такие отношения называются правоотношением. И так правоотношения - это идеологические надстроечные отношения, являющиеся особым видом социальных связей субъектов, возникающих и существующих на основе правовых норм.</w:t>
      </w:r>
      <w:r w:rsidRPr="00DA76A7">
        <w:rPr>
          <w:rFonts w:ascii="Arial" w:hAnsi="Arial" w:cs="Arial"/>
          <w:b/>
          <w:color w:val="000000" w:themeColor="text1"/>
          <w:sz w:val="22"/>
          <w:szCs w:val="22"/>
          <w:shd w:val="clear" w:color="auto" w:fill="FFFFFF"/>
        </w:rPr>
        <w:t xml:space="preserve"> </w:t>
      </w:r>
      <w:r w:rsidRPr="00DA76A7">
        <w:rPr>
          <w:rFonts w:ascii="Arial" w:hAnsi="Arial" w:cs="Arial"/>
          <w:color w:val="000000" w:themeColor="text1"/>
          <w:sz w:val="22"/>
          <w:szCs w:val="22"/>
        </w:rPr>
        <w:t>В гражданском законодательстве закреплен широкий круг правовых норм, направленных на урегулирование отношений, возникающих вследствие причинения имущественного вреда одним лицом другому лицу. Каждому субъекту при нормальном течении событий обязанности причинителя имущественного вреда по его полному возмещению, по порядку, способам и формам возмещения вреда, право потерпевшего требовать возмещения причиненного вреда и сформулированные в вышеуказанных нормах права, представляются абстрактно-возможными, то есть они имеют абстрактные возможности.</w:t>
      </w:r>
      <w:r w:rsidRPr="00DA76A7">
        <w:rPr>
          <w:rFonts w:ascii="Arial" w:hAnsi="Arial" w:cs="Arial"/>
          <w:b/>
          <w:color w:val="000000" w:themeColor="text1"/>
          <w:sz w:val="22"/>
          <w:szCs w:val="22"/>
          <w:shd w:val="clear" w:color="auto" w:fill="FFFFFF"/>
        </w:rPr>
        <w:t xml:space="preserve"> </w:t>
      </w:r>
      <w:r w:rsidRPr="00DA76A7">
        <w:rPr>
          <w:rFonts w:ascii="Arial" w:hAnsi="Arial" w:cs="Arial"/>
          <w:color w:val="000000" w:themeColor="text1"/>
          <w:sz w:val="22"/>
          <w:szCs w:val="22"/>
        </w:rPr>
        <w:t>Но если субъекту в результате противоправных действий другого субъекта наносится имущественный вред, и он становится потерпевшим, то абстрактно-возможное право требования полного возмещения вреда превращается в лично ему принадлежащее конкретное право, а для причинителя вреда абстрактно-возможная обязанность возместить причиненный вред трансформируется в его личную обязанность.</w:t>
      </w:r>
      <w:r w:rsidRPr="00DA76A7">
        <w:rPr>
          <w:rFonts w:ascii="Arial" w:hAnsi="Arial" w:cs="Arial"/>
          <w:b/>
          <w:color w:val="000000" w:themeColor="text1"/>
          <w:sz w:val="22"/>
          <w:szCs w:val="22"/>
          <w:shd w:val="clear" w:color="auto" w:fill="FFFFFF"/>
        </w:rPr>
        <w:t xml:space="preserve"> </w:t>
      </w:r>
      <w:r w:rsidRPr="00DA76A7">
        <w:rPr>
          <w:rFonts w:ascii="Arial" w:hAnsi="Arial" w:cs="Arial"/>
          <w:color w:val="000000" w:themeColor="text1"/>
          <w:sz w:val="22"/>
          <w:szCs w:val="22"/>
        </w:rPr>
        <w:t>Потерпевший и причинитель вреда оказываются связанными друг с другом возникшими у них правами и обязанностями. Между ними устанавливается юридическая связь –то есть правоотношение. Содержание этой связи составляют их права и обязанности, которое именуется в теории права субъективными.</w:t>
      </w:r>
      <w:r w:rsidRPr="00DA76A7">
        <w:rPr>
          <w:rFonts w:ascii="Arial" w:hAnsi="Arial" w:cs="Arial"/>
          <w:b/>
          <w:color w:val="000000" w:themeColor="text1"/>
          <w:sz w:val="22"/>
          <w:szCs w:val="22"/>
          <w:shd w:val="clear" w:color="auto" w:fill="FFFFFF"/>
        </w:rPr>
        <w:t xml:space="preserve"> Сам </w:t>
      </w:r>
      <w:r w:rsidRPr="00DA76A7">
        <w:rPr>
          <w:rFonts w:ascii="Arial" w:hAnsi="Arial" w:cs="Arial"/>
          <w:color w:val="000000" w:themeColor="text1"/>
          <w:sz w:val="22"/>
          <w:szCs w:val="22"/>
        </w:rPr>
        <w:t>термин «субъективное» используется для характеристики прав и обязанностей как элементов содержания правоотношения не в философском аспекте, а в прикладном, исключительно с целью показать принадлежность данных прав и обязанностей строго определенным субъектам правоотношения.</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Основания возникновения, изменения и прекращения правоотношения называются юридическими фактами. Юридические факты – это жизненные обстоятельства, с которыми закон связывает возникновение, изменение или прекращение правоотношения. (В нашем примере юридическим фактом выступает неправомерное причинение вреда, так называемый деликт.) Юридические факты весьма разнообразны и классифицируются различными признаками [5, 201].</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Субъектный состав правоотношения -это совокупность лиц, участвующих в данном правоотношении. В правоотношении во всех случаях участвуют не менее двух субъектов – управомоченный и обязанный.                                                                   </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Содержание правоотношения составляют субъективные права и обязанности его субъектов. Структура содержания правоотношения - это способ взаимосвязи субъективных прав и обязанностей, которое составляют содержание правоотношения. Структура содержания правоотношений может быть простой и сложной.</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Объектом правоотношения является то, по поводу чего возникает и осуществляется деятельность его субъектов. Особенности гражданских правоотношений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Гражданские правоотношения -это один из видов правоотношений. В силу этого им присущи как общие черты и признаки, характерные для всех правоотношений, так и специфические, обусловленные тем, что гражданские правоотношения возникают в результате гражданско-правового регулирования имущественных и некоторых личных неимущественных отношений. Иначе говоря, специфические черты и признаки гражданских правоотношений предопределены особенностями самого гражданского права и гражданских отношений. Например: субъекты гражданских правоотношений обособлены друг от друга как в имущественном, так и в организационном плане, в силу чего они самостоятельны, независимы друг от друга, соотносятся друг с другом как равные, равенство участников общественных отношений, составляющих предмет гражданско-правового регулирования, заложено в данных отношениях, в качестве юридических гарантий реализации гражданских правоотношений применяются присущие только гражданскому праву меры защиты субъективных гражданских прав и меры ответственности за неисполнение обязанностей, которые обладают главным образом имущественным характером [6, 66].</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зависимости от структуры межсубъектной связи все гражданские правоотношения делятся   на:</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1. относительные                                                                                                                   </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2. абсолютные.</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Абсолютные правоотношения - это такие правоотношения, в которых управомоченному лицу противостоит неопределенный круг обязанностей субъектов. Например, правоотношения, имеющие место между собственником и всеми третьими лицами; между обладателем исключительных прав на произведения науки, литературы и искусства и иные результаты интеллектуальной деятельности и всеми третьими лицами. В этих правоотношениях праву собственника, исключительному праву автора результата интеллектуальной деятельности корреспондирует обязанность неопределенного круга лиц не нарушать данные права. Поэтому подобные права именуются абсолютными, а обязанности, противостоящие им, являются общерегулятивными обязанностями каждого правосубъектного лица не нарушать законов. Вместе с тем абсолютному праву коррелируют и обязанности самого управомоченного субъекта, вытекающие из запретов, устанавливающих пределы осуществления абсолютного субъективного права.</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Относительными называются гражданские правоотношения, в которых управомоченному лицу (лицам) противостоит строго определенное обязанное лицо (лица). Круг относительных гражданских правоотношений весьма широк. Он включает обязательственные правоотношения; правоотношения, возникающие в результате передачи в пользование произведений, изобретений; правоотношения по реализации мер гражданско-правовой защиты и т.п. В силу того, что в таких правоотношениях стороны - как управомоченная, так и правообязанная - строго определены, их права и обязанности так же строго соотносимы, в силу чего и именуются относительными. Для относительных отношений характерна сложная, системная структура содержания. Ядро их содержания составляют основные права и обязанности сторон. Помимо них элементами содержания являются права и обязанности сторон, определяющие порядок осуществления основных субъективных прав и исполнения основных обязанностей сторон [7, 99].</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Практическое разграничение абсолютных и относительных правоотношений состоит в том, что при нарушении абсолютного права меры защиты и ответственности могут быть применены к любому нарушителю, а при нарушении относительного права может отвечать только строго определенное лицо, обязанное своими действиями удовлетворять интересы управомоченного лица. При этом в законодательстве формируется два самостоятельных блока гражданско-правовых мер защиты: один - предназначенный для защиты абсолютных прав, а другой - для защиты относительных прав.</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Также следует иметь в виду, что деление гражданских правоотношений на абсолютные и относительные носит в значительной степени условный характер, поскольку во многих гражданских правоотношениях сочетаются как абсолютные, так и относительные элементы. Так, арендное правоотношение носит относительный характер. Между тем право арендатора может быть нарушено и защищается от нарушений со стороны не только арендодателя, но и других окружающих арендатора лиц.</w:t>
      </w:r>
    </w:p>
    <w:p w:rsidR="00181BA7" w:rsidRPr="00DA76A7" w:rsidRDefault="00181BA7" w:rsidP="00181BA7">
      <w:pPr>
        <w:shd w:val="clear" w:color="auto" w:fill="FFFFFF"/>
        <w:ind w:firstLine="567"/>
        <w:jc w:val="both"/>
        <w:textAlignment w:val="baseline"/>
        <w:rPr>
          <w:rFonts w:ascii="Arial" w:hAnsi="Arial" w:cs="Arial"/>
          <w:b/>
          <w:bCs/>
          <w:color w:val="000000" w:themeColor="text1"/>
          <w:sz w:val="22"/>
          <w:szCs w:val="22"/>
        </w:rPr>
      </w:pPr>
      <w:r w:rsidRPr="00DA76A7">
        <w:rPr>
          <w:rFonts w:ascii="Arial" w:hAnsi="Arial" w:cs="Arial"/>
          <w:b/>
          <w:bCs/>
          <w:color w:val="000000" w:themeColor="text1"/>
          <w:sz w:val="22"/>
          <w:szCs w:val="22"/>
        </w:rPr>
        <w:t xml:space="preserve">                           </w:t>
      </w:r>
    </w:p>
    <w:p w:rsidR="00181BA7" w:rsidRPr="00DA76A7" w:rsidRDefault="00181BA7" w:rsidP="00181BA7">
      <w:pPr>
        <w:shd w:val="clear" w:color="auto" w:fill="FFFFFF"/>
        <w:ind w:firstLine="567"/>
        <w:jc w:val="center"/>
        <w:textAlignment w:val="baseline"/>
        <w:rPr>
          <w:rFonts w:ascii="Arial" w:hAnsi="Arial" w:cs="Arial"/>
          <w:b/>
          <w:bCs/>
          <w:color w:val="000000" w:themeColor="text1"/>
          <w:sz w:val="22"/>
          <w:szCs w:val="22"/>
        </w:rPr>
      </w:pPr>
      <w:r w:rsidRPr="00DA76A7">
        <w:rPr>
          <w:rFonts w:ascii="Arial" w:hAnsi="Arial" w:cs="Arial"/>
          <w:b/>
          <w:bCs/>
          <w:color w:val="000000" w:themeColor="text1"/>
          <w:sz w:val="22"/>
          <w:szCs w:val="22"/>
        </w:rPr>
        <w:t>Список литературы:</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1. Конституция Российской Федерации. Принята на всенародном референдуме 12 декабря 1993 // Российская газета. 25 декабря 1993. №237</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2. Конституция Республики Таджикистан от 6 ноября 1994 г., [Электронный ресурс]. – Режим доступа: </w:t>
      </w:r>
      <w:hyperlink r:id="rId100" w:history="1">
        <w:r w:rsidRPr="00DA76A7">
          <w:rPr>
            <w:rStyle w:val="af0"/>
            <w:rFonts w:ascii="Arial" w:hAnsi="Arial" w:cs="Arial"/>
            <w:color w:val="000000" w:themeColor="text1"/>
            <w:sz w:val="22"/>
            <w:szCs w:val="22"/>
            <w:u w:val="none"/>
          </w:rPr>
          <w:t>http://www.president.tj/ru/taxonomy/term/5/112</w:t>
        </w:r>
      </w:hyperlink>
      <w:r w:rsidRPr="00DA76A7">
        <w:rPr>
          <w:rFonts w:ascii="Arial" w:hAnsi="Arial" w:cs="Arial"/>
          <w:color w:val="000000" w:themeColor="text1"/>
          <w:sz w:val="22"/>
          <w:szCs w:val="22"/>
        </w:rPr>
        <w:t xml:space="preserve"> (дата обращения: 2.03.2018)</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Гражданский кодекс Российской Федерации. Часть первая. Принят Государственной Думой РФ 21 октября 1994 г. // СЗ РФ. 1994 №15. Ст. 330</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Гражданский кодекс Республики Таджикистан. Ч. 1 от 30 июня 1999года // Ахбори Маджлиси Оли Республики Таджикистан, 1999 г., №6, ст. 153; ст. 154; 2001 г., №7, ст. 508; 2002 г., №4, ч. 1, ст. 170; 2005 г., №3, ст. 125; 2006 г., №4, ст. 193; 2007 г., №5, ст. 356; 2010 г., №3, ст. 156; №12, ч. 1, ст. 802; 2012 г., №7, ст. 700; №12, ч. 1, ст. 1021; 2013 г., №7, ст. 504; 2015 г., №3, ст. 200.</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Гражданский кодекс Республики Таджикистан. Ч. 2 от 11 декабря 1999 года // Ахбори Маджлиси Оли Республики Таджикистан. – 1999. – № 12.– Ст. 323; 2002. – № 4. ч.1. – Ст. 170; 2006. – № 4. – Ст. 193; – 2009. – № 12. –Ст. 821; 2010. – № 7. – Ст. 540; 2012. – № 7. – Ст. 699; 2013. – № 7. – Ст. 505.</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Алексий П.В. Гражданское право. – М.: “ЮНИТИ” , 2008 – 895 с.</w:t>
      </w:r>
    </w:p>
    <w:p w:rsidR="00821AD4" w:rsidRPr="003A625F" w:rsidRDefault="00181BA7" w:rsidP="003A625F">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Вавилин Е.В. Понятиеи механизм осуществления гражданских правоотношений, и исполнение обязанностей. – М.: «Статут», 2004 –56 с.</w:t>
      </w:r>
    </w:p>
    <w:p w:rsidR="00821AD4" w:rsidRDefault="00821AD4" w:rsidP="0035387D">
      <w:pPr>
        <w:pStyle w:val="ConsPlusTitle"/>
        <w:widowControl/>
        <w:jc w:val="center"/>
        <w:outlineLvl w:val="0"/>
        <w:rPr>
          <w:rFonts w:ascii="Arial" w:hAnsi="Arial" w:cs="Arial"/>
          <w:color w:val="000000" w:themeColor="text1"/>
          <w:szCs w:val="22"/>
        </w:rPr>
      </w:pPr>
    </w:p>
    <w:p w:rsidR="0035387D" w:rsidRPr="00DA76A7" w:rsidRDefault="0035387D" w:rsidP="0035387D">
      <w:pPr>
        <w:pStyle w:val="ConsPlusTitle"/>
        <w:widowControl/>
        <w:jc w:val="center"/>
        <w:outlineLvl w:val="0"/>
        <w:rPr>
          <w:rFonts w:ascii="Arial" w:hAnsi="Arial" w:cs="Arial"/>
          <w:color w:val="000000" w:themeColor="text1"/>
          <w:szCs w:val="22"/>
        </w:rPr>
      </w:pPr>
      <w:r w:rsidRPr="00DA76A7">
        <w:rPr>
          <w:rFonts w:ascii="Arial" w:hAnsi="Arial" w:cs="Arial"/>
          <w:color w:val="000000" w:themeColor="text1"/>
          <w:szCs w:val="22"/>
        </w:rPr>
        <w:t xml:space="preserve">ДОЛЕВАЯ МНОЖЕСТВЕННОСТЬ В ГРАЖДАНСКОМ ПРАВЕ РОССИЙСКОЙ ФЕДЕРАЦИИ </w:t>
      </w:r>
    </w:p>
    <w:p w:rsidR="0035387D" w:rsidRPr="00DA76A7" w:rsidRDefault="0035387D" w:rsidP="0035387D">
      <w:pPr>
        <w:pStyle w:val="16"/>
        <w:shd w:val="clear" w:color="auto" w:fill="auto"/>
        <w:spacing w:before="0" w:line="240" w:lineRule="auto"/>
        <w:ind w:firstLine="0"/>
        <w:jc w:val="center"/>
        <w:rPr>
          <w:rFonts w:ascii="Arial" w:hAnsi="Arial" w:cs="Arial"/>
          <w:color w:val="000000" w:themeColor="text1"/>
          <w:sz w:val="22"/>
          <w:szCs w:val="22"/>
          <w:lang w:eastAsia="ru-RU" w:bidi="ru-RU"/>
        </w:rPr>
      </w:pPr>
    </w:p>
    <w:p w:rsidR="0035387D" w:rsidRPr="00DA76A7" w:rsidRDefault="0035387D" w:rsidP="0035387D">
      <w:pPr>
        <w:pStyle w:val="16"/>
        <w:shd w:val="clear" w:color="auto" w:fill="auto"/>
        <w:spacing w:before="0" w:line="240" w:lineRule="auto"/>
        <w:ind w:firstLine="0"/>
        <w:jc w:val="center"/>
        <w:rPr>
          <w:rFonts w:ascii="Arial" w:hAnsi="Arial" w:cs="Arial"/>
          <w:b/>
          <w:color w:val="000000" w:themeColor="text1"/>
          <w:sz w:val="22"/>
          <w:szCs w:val="22"/>
          <w:lang w:eastAsia="ru-RU" w:bidi="ru-RU"/>
        </w:rPr>
      </w:pPr>
      <w:r w:rsidRPr="00DA76A7">
        <w:rPr>
          <w:rFonts w:ascii="Arial" w:hAnsi="Arial" w:cs="Arial"/>
          <w:b/>
          <w:color w:val="000000" w:themeColor="text1"/>
          <w:sz w:val="22"/>
          <w:szCs w:val="22"/>
          <w:lang w:eastAsia="ru-RU" w:bidi="ru-RU"/>
        </w:rPr>
        <w:t>Базарова Назокат Арслановна</w:t>
      </w:r>
    </w:p>
    <w:p w:rsidR="0035387D" w:rsidRPr="00DA76A7" w:rsidRDefault="0035387D" w:rsidP="0035387D">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35387D" w:rsidRPr="00DA76A7" w:rsidRDefault="0035387D" w:rsidP="0035387D">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Российско-Таджикский (Славянский) университет </w:t>
      </w:r>
    </w:p>
    <w:p w:rsidR="0035387D" w:rsidRPr="00DA76A7" w:rsidRDefault="0035387D" w:rsidP="0035387D">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35387D" w:rsidRPr="00542B0A" w:rsidRDefault="0035387D" w:rsidP="003538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(+992) 93</w:t>
      </w:r>
      <w:r w:rsidRPr="00DA76A7">
        <w:rPr>
          <w:rFonts w:ascii="Arial" w:hAnsi="Arial" w:cs="Arial"/>
          <w:color w:val="000000" w:themeColor="text1"/>
          <w:sz w:val="22"/>
          <w:szCs w:val="22"/>
          <w:lang w:val="en-US"/>
        </w:rPr>
        <w:t> </w:t>
      </w:r>
      <w:r w:rsidRPr="00542B0A">
        <w:rPr>
          <w:rFonts w:ascii="Arial" w:hAnsi="Arial" w:cs="Arial"/>
          <w:color w:val="000000" w:themeColor="text1"/>
          <w:sz w:val="22"/>
          <w:szCs w:val="22"/>
          <w:lang w:val="en-US"/>
        </w:rPr>
        <w:t xml:space="preserve">453 53 52,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hyperlink r:id="rId101" w:history="1">
        <w:r w:rsidRPr="00DA76A7">
          <w:rPr>
            <w:rStyle w:val="af0"/>
            <w:rFonts w:ascii="Arial" w:hAnsi="Arial" w:cs="Arial"/>
            <w:color w:val="000000" w:themeColor="text1"/>
            <w:sz w:val="22"/>
            <w:szCs w:val="22"/>
            <w:u w:val="none"/>
            <w:lang w:val="en-US"/>
          </w:rPr>
          <w:t>nazokat</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b</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mail</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p>
    <w:p w:rsidR="0035387D" w:rsidRPr="00542B0A" w:rsidRDefault="0035387D" w:rsidP="003538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themeColor="text1"/>
          <w:sz w:val="22"/>
          <w:szCs w:val="22"/>
          <w:lang w:val="en-US"/>
        </w:rPr>
      </w:pPr>
    </w:p>
    <w:p w:rsidR="0035387D" w:rsidRPr="00DA76A7" w:rsidRDefault="0035387D" w:rsidP="003538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MULTIPLE AREA IN THE CIVIL RIGHTS OF THE RUSSIAN FEDERATION</w:t>
      </w:r>
    </w:p>
    <w:p w:rsidR="0035387D" w:rsidRPr="00DA76A7" w:rsidRDefault="0035387D" w:rsidP="003538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themeColor="text1"/>
          <w:sz w:val="22"/>
          <w:szCs w:val="22"/>
          <w:lang w:val="en-US"/>
        </w:rPr>
      </w:pPr>
    </w:p>
    <w:p w:rsidR="0035387D" w:rsidRPr="00DA76A7" w:rsidRDefault="0035387D" w:rsidP="003538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Bazarova Nazokat Arslanovna</w:t>
      </w:r>
    </w:p>
    <w:p w:rsidR="0035387D" w:rsidRPr="00DA76A7" w:rsidRDefault="0035387D" w:rsidP="0035387D">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35387D" w:rsidRPr="00DA76A7" w:rsidRDefault="0035387D" w:rsidP="0035387D">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 -</w:t>
      </w:r>
      <w:r w:rsidRPr="00DA76A7">
        <w:rPr>
          <w:rFonts w:ascii="Arial" w:eastAsiaTheme="minorHAnsi" w:hAnsi="Arial" w:cs="Arial"/>
          <w:color w:val="000000" w:themeColor="text1"/>
          <w:lang w:val="ru-RU"/>
        </w:rPr>
        <w:t>Т</w:t>
      </w:r>
      <w:r w:rsidRPr="00DA76A7">
        <w:rPr>
          <w:rFonts w:ascii="Arial" w:eastAsiaTheme="minorHAnsi" w:hAnsi="Arial" w:cs="Arial"/>
          <w:color w:val="000000" w:themeColor="text1"/>
        </w:rPr>
        <w:t>ajik (Slavonic) university</w:t>
      </w:r>
    </w:p>
    <w:p w:rsidR="0035387D" w:rsidRPr="00DA76A7" w:rsidRDefault="0035387D" w:rsidP="0035387D">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 xml:space="preserve">blic of Tajikistan, Dushanbe, </w:t>
      </w:r>
      <w:r w:rsidRPr="00DA76A7">
        <w:rPr>
          <w:rFonts w:ascii="Arial" w:eastAsiaTheme="minorHAnsi" w:hAnsi="Arial" w:cs="Arial"/>
          <w:color w:val="000000" w:themeColor="text1"/>
        </w:rPr>
        <w:t xml:space="preserve">M. Tursunzade </w:t>
      </w:r>
      <w:r w:rsidRPr="00DA76A7">
        <w:rPr>
          <w:rFonts w:ascii="Arial" w:eastAsiaTheme="minorHAnsi" w:hAnsi="Arial" w:cs="Arial"/>
          <w:iCs/>
          <w:color w:val="000000" w:themeColor="text1"/>
        </w:rPr>
        <w:t>str</w:t>
      </w:r>
      <w:r w:rsidRPr="00DA76A7">
        <w:rPr>
          <w:rFonts w:ascii="Arial" w:eastAsiaTheme="minorHAnsi" w:hAnsi="Arial" w:cs="Arial"/>
          <w:color w:val="000000" w:themeColor="text1"/>
        </w:rPr>
        <w:t>., 30</w:t>
      </w:r>
    </w:p>
    <w:p w:rsidR="0035387D" w:rsidRPr="00DA76A7" w:rsidRDefault="0035387D" w:rsidP="0035387D">
      <w:pPr>
        <w:pStyle w:val="52"/>
        <w:shd w:val="clear" w:color="auto" w:fill="auto"/>
        <w:spacing w:after="0" w:line="240" w:lineRule="auto"/>
        <w:ind w:firstLine="0"/>
        <w:jc w:val="center"/>
        <w:rPr>
          <w:rStyle w:val="af0"/>
          <w:rFonts w:ascii="Arial" w:eastAsiaTheme="minorHAnsi" w:hAnsi="Arial" w:cs="Arial"/>
          <w:i w:val="0"/>
          <w:iCs w:val="0"/>
          <w:color w:val="000000" w:themeColor="text1"/>
          <w:spacing w:val="0"/>
          <w:sz w:val="22"/>
          <w:szCs w:val="22"/>
          <w:u w:val="none"/>
          <w:lang w:val="en-US"/>
        </w:rPr>
      </w:pPr>
      <w:r w:rsidRPr="00DA76A7">
        <w:rPr>
          <w:rFonts w:ascii="Arial" w:eastAsiaTheme="minorHAnsi" w:hAnsi="Arial" w:cs="Arial"/>
          <w:i w:val="0"/>
          <w:iCs w:val="0"/>
          <w:color w:val="000000" w:themeColor="text1"/>
          <w:spacing w:val="0"/>
          <w:sz w:val="22"/>
          <w:szCs w:val="22"/>
          <w:lang w:val="en-US"/>
        </w:rPr>
        <w:t xml:space="preserve">tel.: (+992) 93 453 53 52, </w:t>
      </w:r>
      <w:hyperlink r:id="rId102" w:history="1">
        <w:r w:rsidRPr="00DA76A7">
          <w:rPr>
            <w:rStyle w:val="af0"/>
            <w:rFonts w:ascii="Arial" w:eastAsiaTheme="minorHAnsi" w:hAnsi="Arial" w:cs="Arial"/>
            <w:i w:val="0"/>
            <w:iCs w:val="0"/>
            <w:color w:val="000000" w:themeColor="text1"/>
            <w:spacing w:val="0"/>
            <w:sz w:val="22"/>
            <w:szCs w:val="22"/>
            <w:u w:val="none"/>
            <w:lang w:val="en-US"/>
          </w:rPr>
          <w:t>e-mail: nazokat-b@mail.ru</w:t>
        </w:r>
      </w:hyperlink>
    </w:p>
    <w:p w:rsidR="0035387D" w:rsidRPr="00DA76A7" w:rsidRDefault="0035387D" w:rsidP="0035387D">
      <w:pPr>
        <w:pStyle w:val="52"/>
        <w:shd w:val="clear" w:color="auto" w:fill="auto"/>
        <w:spacing w:after="0" w:line="240" w:lineRule="auto"/>
        <w:ind w:firstLine="567"/>
        <w:jc w:val="center"/>
        <w:rPr>
          <w:rFonts w:ascii="Arial" w:eastAsiaTheme="minorHAnsi" w:hAnsi="Arial" w:cs="Arial"/>
          <w:i w:val="0"/>
          <w:iCs w:val="0"/>
          <w:color w:val="000000" w:themeColor="text1"/>
          <w:spacing w:val="0"/>
          <w:sz w:val="22"/>
          <w:szCs w:val="22"/>
          <w:lang w:val="en-US"/>
        </w:rPr>
      </w:pPr>
    </w:p>
    <w:p w:rsidR="0035387D" w:rsidRPr="00DA76A7" w:rsidRDefault="0035387D" w:rsidP="0035387D">
      <w:pPr>
        <w:pStyle w:val="52"/>
        <w:shd w:val="clear" w:color="auto" w:fill="auto"/>
        <w:spacing w:after="0" w:line="240" w:lineRule="auto"/>
        <w:ind w:firstLine="567"/>
        <w:jc w:val="right"/>
        <w:rPr>
          <w:rFonts w:ascii="Arial" w:hAnsi="Arial" w:cs="Arial"/>
          <w:i w:val="0"/>
          <w:color w:val="000000" w:themeColor="text1"/>
          <w:sz w:val="22"/>
          <w:szCs w:val="22"/>
          <w:lang w:eastAsia="ru-RU" w:bidi="ru-RU"/>
        </w:rPr>
      </w:pPr>
      <w:r w:rsidRPr="00DA76A7">
        <w:rPr>
          <w:rFonts w:ascii="Arial" w:hAnsi="Arial" w:cs="Arial"/>
          <w:i w:val="0"/>
          <w:color w:val="000000" w:themeColor="text1"/>
          <w:sz w:val="22"/>
          <w:szCs w:val="22"/>
        </w:rPr>
        <w:t>Научный руководитель: д.ю.н., профессор Муртазокулов Дж.С.</w:t>
      </w:r>
    </w:p>
    <w:p w:rsidR="0035387D" w:rsidRPr="00DA76A7" w:rsidRDefault="0035387D" w:rsidP="0035387D">
      <w:pPr>
        <w:pStyle w:val="ConsPlusNormal"/>
        <w:widowControl/>
        <w:ind w:firstLine="567"/>
        <w:jc w:val="both"/>
        <w:rPr>
          <w:i/>
          <w:color w:val="000000" w:themeColor="text1"/>
          <w:sz w:val="22"/>
          <w:szCs w:val="22"/>
        </w:rPr>
      </w:pPr>
      <w:r w:rsidRPr="00DA76A7">
        <w:rPr>
          <w:b/>
          <w:i/>
          <w:color w:val="000000" w:themeColor="text1"/>
          <w:sz w:val="22"/>
          <w:szCs w:val="22"/>
        </w:rPr>
        <w:t>Аннотация.</w:t>
      </w:r>
      <w:r w:rsidRPr="00DA76A7">
        <w:rPr>
          <w:i/>
          <w:color w:val="000000" w:themeColor="text1"/>
          <w:sz w:val="22"/>
          <w:szCs w:val="22"/>
        </w:rPr>
        <w:t xml:space="preserve"> В данной статье рассматривается институт обязательства с участием несколько кредиторов и должников, их равные обязанности по гражданскому законодательству и другие особенности исследуемого вопроса. </w:t>
      </w:r>
    </w:p>
    <w:p w:rsidR="0035387D" w:rsidRPr="00DA76A7" w:rsidRDefault="0035387D" w:rsidP="0035387D">
      <w:pPr>
        <w:pStyle w:val="ConsPlusNormal"/>
        <w:widowControl/>
        <w:ind w:firstLine="567"/>
        <w:jc w:val="both"/>
        <w:rPr>
          <w:i/>
          <w:color w:val="000000" w:themeColor="text1"/>
          <w:sz w:val="22"/>
          <w:szCs w:val="22"/>
          <w:lang w:val="en-US"/>
        </w:rPr>
      </w:pPr>
      <w:r w:rsidRPr="00DA76A7">
        <w:rPr>
          <w:b/>
          <w:i/>
          <w:color w:val="000000" w:themeColor="text1"/>
          <w:sz w:val="22"/>
          <w:szCs w:val="22"/>
          <w:lang w:val="en-US"/>
        </w:rPr>
        <w:t>Annotation.</w:t>
      </w:r>
      <w:r w:rsidRPr="00DA76A7">
        <w:rPr>
          <w:i/>
          <w:color w:val="000000" w:themeColor="text1"/>
          <w:sz w:val="22"/>
          <w:szCs w:val="22"/>
          <w:lang w:val="en-US"/>
        </w:rPr>
        <w:t xml:space="preserve"> This article examines the institution of the obligation with the participation of several creditors and debtors, their equal responsibilities under civil law and other features of the issue under investigation.   </w:t>
      </w:r>
    </w:p>
    <w:p w:rsidR="0035387D" w:rsidRPr="00DA76A7" w:rsidRDefault="0035387D" w:rsidP="0035387D">
      <w:pPr>
        <w:pStyle w:val="ConsPlusNormal"/>
        <w:widowControl/>
        <w:ind w:firstLine="567"/>
        <w:jc w:val="both"/>
        <w:rPr>
          <w:i/>
          <w:color w:val="000000" w:themeColor="text1"/>
          <w:sz w:val="22"/>
          <w:szCs w:val="22"/>
        </w:rPr>
      </w:pPr>
      <w:r w:rsidRPr="00DA76A7">
        <w:rPr>
          <w:b/>
          <w:i/>
          <w:color w:val="000000" w:themeColor="text1"/>
          <w:sz w:val="22"/>
          <w:szCs w:val="22"/>
        </w:rPr>
        <w:t>Ключевые слова:</w:t>
      </w:r>
      <w:r w:rsidRPr="00DA76A7">
        <w:rPr>
          <w:i/>
          <w:color w:val="000000" w:themeColor="text1"/>
          <w:sz w:val="22"/>
          <w:szCs w:val="22"/>
        </w:rPr>
        <w:t xml:space="preserve"> обязательства, долевая множественность, кредитор, должник, исполнение обязательства, гражданское законодательство, долевые договора.   </w:t>
      </w:r>
    </w:p>
    <w:p w:rsidR="0035387D" w:rsidRPr="00DA76A7" w:rsidRDefault="0035387D" w:rsidP="0035387D">
      <w:pPr>
        <w:pStyle w:val="ConsPlusNormal"/>
        <w:widowControl/>
        <w:ind w:firstLine="567"/>
        <w:jc w:val="both"/>
        <w:rPr>
          <w:i/>
          <w:color w:val="000000" w:themeColor="text1"/>
          <w:sz w:val="22"/>
          <w:szCs w:val="22"/>
          <w:lang w:val="en-US"/>
        </w:rPr>
      </w:pPr>
      <w:r w:rsidRPr="00DA76A7">
        <w:rPr>
          <w:b/>
          <w:i/>
          <w:color w:val="000000" w:themeColor="text1"/>
          <w:sz w:val="22"/>
          <w:szCs w:val="22"/>
          <w:lang w:val="en-US"/>
        </w:rPr>
        <w:t xml:space="preserve">Key words: </w:t>
      </w:r>
      <w:r w:rsidRPr="00DA76A7">
        <w:rPr>
          <w:i/>
          <w:color w:val="000000" w:themeColor="text1"/>
          <w:sz w:val="22"/>
          <w:szCs w:val="22"/>
          <w:lang w:val="en-US"/>
        </w:rPr>
        <w:t>obligations, shared multiplicity, creditor, debtor, fulfillment of obligations, civil legislation, equity agreements.</w:t>
      </w:r>
    </w:p>
    <w:p w:rsidR="0035387D" w:rsidRPr="00DA76A7" w:rsidRDefault="0035387D" w:rsidP="0035387D">
      <w:pPr>
        <w:pStyle w:val="ConsPlusNormal"/>
        <w:widowControl/>
        <w:ind w:firstLine="567"/>
        <w:jc w:val="both"/>
        <w:rPr>
          <w:color w:val="000000" w:themeColor="text1"/>
          <w:sz w:val="22"/>
          <w:szCs w:val="22"/>
          <w:lang w:val="en-US"/>
        </w:rPr>
      </w:pPr>
    </w:p>
    <w:p w:rsidR="0035387D" w:rsidRPr="00DA76A7" w:rsidRDefault="0035387D" w:rsidP="0035387D">
      <w:pPr>
        <w:pStyle w:val="ConsPlusNormal"/>
        <w:widowControl/>
        <w:ind w:firstLine="567"/>
        <w:jc w:val="both"/>
        <w:rPr>
          <w:color w:val="000000" w:themeColor="text1"/>
          <w:sz w:val="22"/>
          <w:szCs w:val="22"/>
        </w:rPr>
      </w:pPr>
      <w:r w:rsidRPr="00DA76A7">
        <w:rPr>
          <w:color w:val="000000" w:themeColor="text1"/>
          <w:sz w:val="22"/>
          <w:szCs w:val="22"/>
        </w:rPr>
        <w:t xml:space="preserve">В соответствии со </w:t>
      </w:r>
      <w:hyperlink r:id="rId103" w:history="1">
        <w:r w:rsidRPr="00DA76A7">
          <w:rPr>
            <w:color w:val="000000" w:themeColor="text1"/>
            <w:sz w:val="22"/>
            <w:szCs w:val="22"/>
          </w:rPr>
          <w:t>ст. 321</w:t>
        </w:r>
      </w:hyperlink>
      <w:r w:rsidRPr="00DA76A7">
        <w:rPr>
          <w:color w:val="000000" w:themeColor="text1"/>
          <w:sz w:val="22"/>
          <w:szCs w:val="22"/>
        </w:rPr>
        <w:t xml:space="preserve"> ГК РФ, если в обязательстве участвуют несколько кредиторов или несколько должников, то каждый из кредиторов имеет право требовать исполнения, а каждый из должников обязан исполнить обязательство в равной доле с другими постольку, поскольку из закона, иных правовых актов или условий обязательства не вытекает иное.</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Регулирование исполнения долевых обязательств в иностранных правопорядках в основном совпадает с подходами российского права [1. 301]. </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гражданских правоотношениях предполагается равенство долей, с тем учетом, того, что если это не вытекает из закона, иных нормативно правовых актов или условий обязательства. Однако вышесказанные условия не вполне ясно отражают природу равенства долей участников гражданских правоотношений. Гражданское Российское законодательство, не устанавливает не каких специальных правил для этого случая, что влечет применение норм </w:t>
      </w:r>
      <w:hyperlink r:id="rId104" w:history="1">
        <w:r w:rsidRPr="00DA76A7">
          <w:rPr>
            <w:rFonts w:ascii="Arial" w:hAnsi="Arial" w:cs="Arial"/>
            <w:color w:val="000000" w:themeColor="text1"/>
            <w:sz w:val="22"/>
            <w:szCs w:val="22"/>
          </w:rPr>
          <w:t>ст. 431</w:t>
        </w:r>
      </w:hyperlink>
      <w:r w:rsidRPr="00DA76A7">
        <w:rPr>
          <w:rFonts w:ascii="Arial" w:hAnsi="Arial" w:cs="Arial"/>
          <w:color w:val="000000" w:themeColor="text1"/>
          <w:sz w:val="22"/>
          <w:szCs w:val="22"/>
        </w:rPr>
        <w:t xml:space="preserve"> ГК РФ о правилах толкования договоров. В немецком праве можно усмотреть наличие соответствующей презумпции. Так, в § 420 Германского гражданского уложения (далее - BGB) сказано, что если несколько лиц обязаны предоставить исполнения по частям или несколько лиц могут требовать исполнения по частям, то при наличии сомнения каждый должник обязан исполнить обязательство, а каждый кредитор может требовать исполнения лишь в равной с другими доле.</w:t>
      </w:r>
    </w:p>
    <w:p w:rsidR="0035387D" w:rsidRPr="00DA76A7" w:rsidRDefault="0035387D" w:rsidP="0035387D">
      <w:pPr>
        <w:pStyle w:val="ConsPlusNormal"/>
        <w:widowControl/>
        <w:ind w:firstLine="567"/>
        <w:jc w:val="both"/>
        <w:rPr>
          <w:color w:val="000000" w:themeColor="text1"/>
          <w:sz w:val="22"/>
          <w:szCs w:val="22"/>
        </w:rPr>
      </w:pPr>
      <w:r w:rsidRPr="00DA76A7">
        <w:rPr>
          <w:color w:val="000000" w:themeColor="text1"/>
          <w:sz w:val="22"/>
          <w:szCs w:val="22"/>
        </w:rPr>
        <w:t>Множественность субъектов в обязательстве, ставит вопрос о  соотношении их волеизъявления, в процесс исполнения обязательства. В.А. Белов относит долевые требования и долги к категории общих прав и обязанностей [2. 692]. При этом общие права и обязанности характеризуются им следующим образом. Под общими гражданскими правами мы понимаем, прав, принадлежащих одновременно нескольким лицам, предопределяется возможностью юриспруденции отделить сферу отношений управомоченных лиц друг с другом от сферы их отношений с другими лицами. А именно: гражданская наука учитывает общую волю участников, при этом  противопоставляет другим лицам - общее для всех управомоченных волеизъявление. Автор в этом, случай полагает, что все другие лица воспринимают не отдельные акты волеизъявления каждого из управомоченных лиц, а единый, выработанный ими по внутренним правилам акт волеизъявления. Это утверждение не вполне точно определяет сущность долевых обязательств. Особенность долевых обязательств, с позиции активности и пассивности заключается, в том, что каждый из кредиторов управомочен истребовать исполнения лишь в «своей» доле, а каждый из должников обязан исполнить также лишь в «своей» части. Поэтому волеизъявление на предложение исполнения, равно как и волеизъявление на принятие исполнения, - суть индивидуальное, а не общее волеизъявление всех участников обязательства.</w:t>
      </w:r>
    </w:p>
    <w:p w:rsidR="0035387D" w:rsidRPr="00DA76A7" w:rsidRDefault="0035387D" w:rsidP="0035387D">
      <w:pPr>
        <w:pStyle w:val="ConsPlusNormal"/>
        <w:widowControl/>
        <w:ind w:firstLine="567"/>
        <w:jc w:val="both"/>
        <w:rPr>
          <w:color w:val="000000" w:themeColor="text1"/>
          <w:sz w:val="22"/>
          <w:szCs w:val="22"/>
        </w:rPr>
      </w:pPr>
      <w:r w:rsidRPr="00DA76A7">
        <w:rPr>
          <w:color w:val="000000" w:themeColor="text1"/>
          <w:sz w:val="22"/>
          <w:szCs w:val="22"/>
        </w:rPr>
        <w:t>В научных литературах отмечается, что исполнения обязательств, вытекающих из условия долевых договоров, не имеет никаких специфических особенности в отличие от процесса исполнения обычных обязательств. В действительности, некоторые долевые обязательства, можно теоретически разделить окончательным образом. В самом деле, если представить долевое обязательство как несколько ординарных, то есть единичных, это означает не осложненных множественностью правоотношений обязательственного типа, то тогда эти несколько обязательств можно разъединить, не оставив между ними никакой тесной связи, о которой говорил Г.Ф. Шершеневич, общим образом характеризуя обязательства со множественностью лиц [3. 385]. Например, по договору беспроцентного кредита должник обязан уплатить двум долевым кредиторам по 50% долга. Каждый из кредиторов может исходя из требования договора займа, требовать только половину долга, и должник обязан уплатить каждому кредитору соответственно по половине. Исходя из вышесказанного, можно его считать  как два самостоятельных займа, ибо никакой особой связи они не имеют. Представим, если бы должник получил долг у двух кредиторов на общих условиях, но по отдельным договорам, в данный момент правовая квалификация его отношений по исполнению обязанности ровным счетом не изменилась бы. Поэтому, в научных литературах обязательства с долевой множественностью характеризуется, как совокупность отдельных гражданских правоотношений. О видимости единого обязательства говорил и Д.И. Мейер, иллюстрируя это на следующем примере. Лица А, В, С вступают в договор с D, по которому обязываются доставить ему известное количество пшеницы; известное, определенное количество обязывается доставить А, известное - В и известное - С; но все они вместе заключают договор с D. Тем не менее здесь представляется совокупность обязательств, а не одно; здесь столько же договоров, сколько отдельных обязанных лиц, и только от совокупного заключения отдельных договоров дело принимает такой вид, как будто в данном случае одно обязательство [4. 109]. Итак, вслед за В. Голевинским можно сказать, что единство совокупного обязательства больше кажущееся, нежели действительное, если оно не укреплено солидарностью участников или неделимостью предмета [5. 213]</w:t>
      </w:r>
    </w:p>
    <w:p w:rsidR="0035387D" w:rsidRPr="00DA76A7" w:rsidRDefault="00666D87" w:rsidP="0035387D">
      <w:pPr>
        <w:ind w:firstLine="567"/>
        <w:jc w:val="both"/>
        <w:rPr>
          <w:rFonts w:ascii="Arial" w:hAnsi="Arial" w:cs="Arial"/>
          <w:color w:val="000000" w:themeColor="text1"/>
          <w:sz w:val="22"/>
          <w:szCs w:val="22"/>
        </w:rPr>
      </w:pPr>
      <w:hyperlink r:id="rId105" w:history="1">
        <w:r w:rsidR="0035387D" w:rsidRPr="00DA76A7">
          <w:rPr>
            <w:rFonts w:ascii="Arial" w:hAnsi="Arial" w:cs="Arial"/>
            <w:color w:val="000000" w:themeColor="text1"/>
            <w:sz w:val="22"/>
            <w:szCs w:val="22"/>
          </w:rPr>
          <w:t>Статья 321</w:t>
        </w:r>
      </w:hyperlink>
      <w:r w:rsidR="0035387D" w:rsidRPr="00DA76A7">
        <w:rPr>
          <w:rFonts w:ascii="Arial" w:hAnsi="Arial" w:cs="Arial"/>
          <w:color w:val="000000" w:themeColor="text1"/>
          <w:sz w:val="22"/>
          <w:szCs w:val="22"/>
        </w:rPr>
        <w:t xml:space="preserve"> ГК РФ содержит по существу два правила: о праве кредитора требовать исполнения от содолжника лишь в его доле (и корреспондирующей обязанности последнего) и о равенстве долей. Причем далее по тексту нормы устанавливается возможность изъятия законом, иными правовыми актами или условиями обязательства. Однако следует задаться вопросом: указанное изъятие касается обоих правил или только последнего, посвященного равенству долей? М.И. Брагинский указывает, что неравные доли у сокредиторов и содолжников - у одного большая, а у другого - меньшая, могут быть установлены законом и иными правовыми актами или условиями обязательства [6. 602]. При этом ничего не говорится о том, может ли быть изъятие из правила, которое гласит: каждый из кредиторов вправе требовать исполнения, а каждый из должников обязан исполнить обязательство в части падающей на него доли. По мнению Г.Д. Отнюковой, диспозитивность относится к равенству долей. Она указывает, что доля признается равной, если иное, т.е. неравенство долей, не вытекает из условий обязательства [7. 22].</w:t>
      </w:r>
    </w:p>
    <w:p w:rsidR="0035387D" w:rsidRPr="00DA76A7" w:rsidRDefault="0035387D" w:rsidP="0035387D">
      <w:pPr>
        <w:pStyle w:val="ConsPlusNormal"/>
        <w:widowControl/>
        <w:ind w:firstLine="567"/>
        <w:jc w:val="both"/>
        <w:rPr>
          <w:color w:val="000000" w:themeColor="text1"/>
          <w:sz w:val="22"/>
          <w:szCs w:val="22"/>
        </w:rPr>
      </w:pPr>
      <w:r w:rsidRPr="00DA76A7">
        <w:rPr>
          <w:color w:val="000000" w:themeColor="text1"/>
          <w:sz w:val="22"/>
          <w:szCs w:val="22"/>
        </w:rPr>
        <w:t>Мы полагаем, что процедура изъятие может быть установлено в первом и во втором правиле. В данном случае это приведет к возникновению более сложного асимметричного солидарно-долевого типа.</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Гражданский оборот иногда приводит к такому положению вещей, когда при наличии видимой множественности доля одного из участников вовсе равняется нулю. Это наблюдается, например, в подрядных отношениях, когда в них участвуют три субъекта: подрядчик, заказчик, инвестор. В силу того, что законодательство выдвигает определенные требования к заказчику, которые не все из них могут исполнить, достаточно распространена практика заключения соглашений о выполнении функций заказчика, при этом оплата работ производится полностью инвестором, а заказчик получает известное вознаграждения от инвестора за выполнение своих функций. По существу отношения между заказчиком и инвестором весьма близки к комиссионным отношениям. В таких случаях суды нередко хотя и ссылаются на наличие множественности в обязательстве, исходя из условий последнего, при рассмотрении споров о взыскании оплаты работ производят взыскание лишь с инвестора.</w:t>
      </w:r>
    </w:p>
    <w:p w:rsidR="0035387D" w:rsidRPr="00DA76A7" w:rsidRDefault="0035387D" w:rsidP="0035387D">
      <w:pPr>
        <w:ind w:firstLine="567"/>
        <w:jc w:val="both"/>
        <w:rPr>
          <w:rFonts w:ascii="Arial" w:hAnsi="Arial" w:cs="Arial"/>
          <w:color w:val="000000" w:themeColor="text1"/>
          <w:sz w:val="22"/>
          <w:szCs w:val="22"/>
        </w:rPr>
      </w:pPr>
    </w:p>
    <w:p w:rsidR="0035387D" w:rsidRPr="00DA76A7" w:rsidRDefault="0035387D" w:rsidP="0035387D">
      <w:pPr>
        <w:pStyle w:val="a6"/>
        <w:spacing w:after="0" w:line="240" w:lineRule="auto"/>
        <w:ind w:left="0" w:firstLine="567"/>
        <w:jc w:val="center"/>
        <w:rPr>
          <w:rFonts w:ascii="Arial" w:hAnsi="Arial" w:cs="Arial"/>
          <w:b/>
          <w:color w:val="000000" w:themeColor="text1"/>
        </w:rPr>
      </w:pPr>
      <w:r w:rsidRPr="00DA76A7">
        <w:rPr>
          <w:rFonts w:ascii="Arial" w:hAnsi="Arial" w:cs="Arial"/>
          <w:b/>
          <w:color w:val="000000" w:themeColor="text1"/>
        </w:rPr>
        <w:t>Список литературы:</w:t>
      </w:r>
    </w:p>
    <w:p w:rsidR="0035387D" w:rsidRPr="00DA76A7" w:rsidRDefault="0035387D" w:rsidP="0035387D">
      <w:pPr>
        <w:pStyle w:val="a6"/>
        <w:numPr>
          <w:ilvl w:val="0"/>
          <w:numId w:val="4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Белов В.А. Гражданское право. Общая и Особенная части: Учебник. - М., 2003. -  787с.</w:t>
      </w:r>
    </w:p>
    <w:p w:rsidR="0035387D" w:rsidRPr="00DA76A7" w:rsidRDefault="0035387D" w:rsidP="0035387D">
      <w:pPr>
        <w:pStyle w:val="ConsPlusNormal"/>
        <w:widowControl/>
        <w:numPr>
          <w:ilvl w:val="0"/>
          <w:numId w:val="46"/>
        </w:numPr>
        <w:tabs>
          <w:tab w:val="left" w:pos="851"/>
        </w:tabs>
        <w:ind w:left="0" w:firstLine="567"/>
        <w:jc w:val="both"/>
        <w:rPr>
          <w:color w:val="000000" w:themeColor="text1"/>
          <w:sz w:val="22"/>
          <w:szCs w:val="22"/>
        </w:rPr>
      </w:pPr>
      <w:r w:rsidRPr="00DA76A7">
        <w:rPr>
          <w:color w:val="000000" w:themeColor="text1"/>
          <w:sz w:val="22"/>
          <w:szCs w:val="22"/>
        </w:rPr>
        <w:t>Голевинский В.О. Происхождении и делении обязательств. – Варшава., 1872. -  356с.</w:t>
      </w:r>
    </w:p>
    <w:p w:rsidR="0035387D" w:rsidRPr="00DA76A7" w:rsidRDefault="0035387D" w:rsidP="0035387D">
      <w:pPr>
        <w:pStyle w:val="a6"/>
        <w:numPr>
          <w:ilvl w:val="0"/>
          <w:numId w:val="4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Гражданское и торговое право капиталистических государств / Отв. ред. Е.А. Васильев.- М., 1998. -  533с.</w:t>
      </w:r>
    </w:p>
    <w:p w:rsidR="0035387D" w:rsidRPr="00DA76A7" w:rsidRDefault="0035387D" w:rsidP="0035387D">
      <w:pPr>
        <w:pStyle w:val="ConsPlusNormal"/>
        <w:widowControl/>
        <w:numPr>
          <w:ilvl w:val="0"/>
          <w:numId w:val="46"/>
        </w:numPr>
        <w:tabs>
          <w:tab w:val="left" w:pos="851"/>
        </w:tabs>
        <w:ind w:left="0" w:firstLine="567"/>
        <w:jc w:val="both"/>
        <w:rPr>
          <w:color w:val="000000" w:themeColor="text1"/>
          <w:sz w:val="22"/>
          <w:szCs w:val="22"/>
        </w:rPr>
      </w:pPr>
      <w:r w:rsidRPr="00DA76A7">
        <w:rPr>
          <w:color w:val="000000" w:themeColor="text1"/>
          <w:sz w:val="22"/>
          <w:szCs w:val="22"/>
        </w:rPr>
        <w:t>Мейер Д.И. Русское гражданское право. В 2 ч. - М., 1997. ч. 2. – 344с.</w:t>
      </w:r>
    </w:p>
    <w:p w:rsidR="0035387D" w:rsidRPr="00DA76A7" w:rsidRDefault="0035387D" w:rsidP="0035387D">
      <w:pPr>
        <w:pStyle w:val="ConsPlusNormal"/>
        <w:widowControl/>
        <w:numPr>
          <w:ilvl w:val="0"/>
          <w:numId w:val="46"/>
        </w:numPr>
        <w:tabs>
          <w:tab w:val="left" w:pos="851"/>
        </w:tabs>
        <w:ind w:left="0" w:firstLine="567"/>
        <w:jc w:val="both"/>
        <w:rPr>
          <w:color w:val="000000" w:themeColor="text1"/>
          <w:sz w:val="22"/>
          <w:szCs w:val="22"/>
        </w:rPr>
      </w:pPr>
      <w:r w:rsidRPr="00DA76A7">
        <w:rPr>
          <w:color w:val="000000" w:themeColor="text1"/>
          <w:sz w:val="22"/>
          <w:szCs w:val="22"/>
        </w:rPr>
        <w:t>Новицкий И.Б., Лунц Л.А. Общее учение об обязательстве. / И.Б. Новицкий, Л.А. Лунц - М., 1950. – 298с.</w:t>
      </w:r>
    </w:p>
    <w:p w:rsidR="0035387D" w:rsidRPr="00DA76A7" w:rsidRDefault="0035387D" w:rsidP="0035387D">
      <w:pPr>
        <w:pStyle w:val="ConsPlusNormal"/>
        <w:widowControl/>
        <w:numPr>
          <w:ilvl w:val="0"/>
          <w:numId w:val="46"/>
        </w:numPr>
        <w:tabs>
          <w:tab w:val="left" w:pos="851"/>
        </w:tabs>
        <w:ind w:left="0" w:firstLine="567"/>
        <w:jc w:val="both"/>
        <w:rPr>
          <w:color w:val="000000" w:themeColor="text1"/>
          <w:sz w:val="22"/>
          <w:szCs w:val="22"/>
        </w:rPr>
      </w:pPr>
      <w:r w:rsidRPr="00DA76A7">
        <w:rPr>
          <w:color w:val="000000" w:themeColor="text1"/>
          <w:sz w:val="22"/>
          <w:szCs w:val="22"/>
        </w:rPr>
        <w:t>Шершеневич Г.Ф. Учебник русского гражданского права. 4-е изд. - Казань, 1902. – 512с.</w:t>
      </w:r>
    </w:p>
    <w:p w:rsidR="0035387D" w:rsidRPr="00DA76A7" w:rsidRDefault="0035387D" w:rsidP="00181BA7">
      <w:pPr>
        <w:pStyle w:val="16"/>
        <w:shd w:val="clear" w:color="auto" w:fill="auto"/>
        <w:spacing w:before="0" w:line="240" w:lineRule="auto"/>
        <w:ind w:firstLine="567"/>
        <w:jc w:val="center"/>
        <w:rPr>
          <w:rFonts w:ascii="Arial" w:hAnsi="Arial" w:cs="Arial"/>
          <w:b/>
          <w:color w:val="000000" w:themeColor="text1"/>
          <w:sz w:val="22"/>
          <w:szCs w:val="22"/>
          <w:lang w:eastAsia="ru-RU" w:bidi="ru-RU"/>
        </w:rPr>
      </w:pPr>
    </w:p>
    <w:p w:rsidR="0035387D" w:rsidRPr="00DA76A7" w:rsidRDefault="0035387D" w:rsidP="00181BA7">
      <w:pPr>
        <w:pStyle w:val="16"/>
        <w:shd w:val="clear" w:color="auto" w:fill="auto"/>
        <w:spacing w:before="0" w:line="240" w:lineRule="auto"/>
        <w:ind w:firstLine="567"/>
        <w:jc w:val="center"/>
        <w:rPr>
          <w:rFonts w:ascii="Arial" w:hAnsi="Arial" w:cs="Arial"/>
          <w:b/>
          <w:color w:val="000000" w:themeColor="text1"/>
          <w:sz w:val="22"/>
          <w:szCs w:val="22"/>
          <w:lang w:eastAsia="ru-RU" w:bidi="ru-RU"/>
        </w:rPr>
      </w:pPr>
    </w:p>
    <w:p w:rsidR="00181BA7" w:rsidRPr="00DA76A7" w:rsidRDefault="00181BA7" w:rsidP="00181BA7">
      <w:pPr>
        <w:pStyle w:val="16"/>
        <w:shd w:val="clear" w:color="auto" w:fill="auto"/>
        <w:spacing w:before="0" w:line="240" w:lineRule="auto"/>
        <w:ind w:firstLine="567"/>
        <w:jc w:val="center"/>
        <w:rPr>
          <w:rFonts w:ascii="Arial" w:hAnsi="Arial" w:cs="Arial"/>
          <w:b/>
          <w:color w:val="000000" w:themeColor="text1"/>
          <w:sz w:val="22"/>
          <w:szCs w:val="22"/>
          <w:lang w:eastAsia="ru-RU" w:bidi="ru-RU"/>
        </w:rPr>
      </w:pPr>
      <w:r w:rsidRPr="00DA76A7">
        <w:rPr>
          <w:rFonts w:ascii="Arial" w:hAnsi="Arial" w:cs="Arial"/>
          <w:b/>
          <w:color w:val="000000" w:themeColor="text1"/>
          <w:sz w:val="22"/>
          <w:szCs w:val="22"/>
          <w:lang w:eastAsia="ru-RU" w:bidi="ru-RU"/>
        </w:rPr>
        <w:t>ПОНЯТИЕ ГРАЖДАНСКО-ПРАВОВОГО ОБЯЗАТЕЛЬСТВА</w:t>
      </w:r>
    </w:p>
    <w:p w:rsidR="00181BA7" w:rsidRPr="00DA76A7" w:rsidRDefault="00181BA7" w:rsidP="00181BA7">
      <w:pPr>
        <w:pStyle w:val="16"/>
        <w:shd w:val="clear" w:color="auto" w:fill="auto"/>
        <w:spacing w:before="0" w:line="240" w:lineRule="auto"/>
        <w:ind w:firstLine="567"/>
        <w:jc w:val="center"/>
        <w:rPr>
          <w:rFonts w:ascii="Arial" w:hAnsi="Arial" w:cs="Arial"/>
          <w:color w:val="000000" w:themeColor="text1"/>
          <w:sz w:val="22"/>
          <w:szCs w:val="22"/>
          <w:lang w:eastAsia="ru-RU" w:bidi="ru-RU"/>
        </w:rPr>
      </w:pPr>
    </w:p>
    <w:p w:rsidR="00181BA7" w:rsidRPr="00DA76A7" w:rsidRDefault="00181BA7" w:rsidP="00181BA7">
      <w:pPr>
        <w:pStyle w:val="16"/>
        <w:shd w:val="clear" w:color="auto" w:fill="auto"/>
        <w:spacing w:before="0" w:line="240" w:lineRule="auto"/>
        <w:ind w:firstLine="567"/>
        <w:jc w:val="center"/>
        <w:rPr>
          <w:rFonts w:ascii="Arial" w:hAnsi="Arial" w:cs="Arial"/>
          <w:b/>
          <w:color w:val="000000" w:themeColor="text1"/>
          <w:sz w:val="22"/>
          <w:szCs w:val="22"/>
          <w:lang w:eastAsia="ru-RU" w:bidi="ru-RU"/>
        </w:rPr>
      </w:pPr>
      <w:r w:rsidRPr="00DA76A7">
        <w:rPr>
          <w:rFonts w:ascii="Arial" w:hAnsi="Arial" w:cs="Arial"/>
          <w:b/>
          <w:color w:val="000000" w:themeColor="text1"/>
          <w:sz w:val="22"/>
          <w:szCs w:val="22"/>
          <w:lang w:eastAsia="ru-RU" w:bidi="ru-RU"/>
        </w:rPr>
        <w:t>Базарова Назокат Арслановна</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2 -го года обучения очного отделения юридического факультета </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Российско-Таджикский (Славянский) университет </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542B0A"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(+992) 93</w:t>
      </w:r>
      <w:r w:rsidRPr="00DA76A7">
        <w:rPr>
          <w:rFonts w:ascii="Arial" w:hAnsi="Arial" w:cs="Arial"/>
          <w:color w:val="000000" w:themeColor="text1"/>
          <w:sz w:val="22"/>
          <w:szCs w:val="22"/>
          <w:lang w:val="en-US"/>
        </w:rPr>
        <w:t> </w:t>
      </w:r>
      <w:r w:rsidRPr="00542B0A">
        <w:rPr>
          <w:rFonts w:ascii="Arial" w:hAnsi="Arial" w:cs="Arial"/>
          <w:color w:val="000000" w:themeColor="text1"/>
          <w:sz w:val="22"/>
          <w:szCs w:val="22"/>
          <w:lang w:val="en-US"/>
        </w:rPr>
        <w:t xml:space="preserve">453 53 52,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hyperlink r:id="rId106" w:history="1">
        <w:r w:rsidRPr="00DA76A7">
          <w:rPr>
            <w:rStyle w:val="af0"/>
            <w:rFonts w:ascii="Arial" w:hAnsi="Arial" w:cs="Arial"/>
            <w:color w:val="000000" w:themeColor="text1"/>
            <w:sz w:val="22"/>
            <w:szCs w:val="22"/>
            <w:u w:val="none"/>
            <w:lang w:val="en-US"/>
          </w:rPr>
          <w:t>nazokat</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b</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mail</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p>
    <w:p w:rsidR="00181BA7" w:rsidRPr="00542B0A"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Arial" w:hAnsi="Arial" w:cs="Arial"/>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THE CONCEPT OF CIVIL LEGAL LIABILITY </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Bazarova Nazokat Arslanovna</w:t>
      </w:r>
    </w:p>
    <w:p w:rsidR="00181BA7" w:rsidRPr="00DA76A7" w:rsidRDefault="00181BA7" w:rsidP="00181BA7">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181BA7" w:rsidRPr="00DA76A7" w:rsidRDefault="00181BA7" w:rsidP="00181BA7">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 xml:space="preserve">blic of Tajikistan, Dushanbe, </w:t>
      </w:r>
      <w:r w:rsidRPr="00DA76A7">
        <w:rPr>
          <w:rFonts w:ascii="Arial" w:eastAsiaTheme="minorHAnsi" w:hAnsi="Arial" w:cs="Arial"/>
          <w:color w:val="000000" w:themeColor="text1"/>
        </w:rPr>
        <w:t xml:space="preserve">M. Tursunzade </w:t>
      </w:r>
      <w:r w:rsidRPr="00DA76A7">
        <w:rPr>
          <w:rFonts w:ascii="Arial" w:eastAsiaTheme="minorHAnsi" w:hAnsi="Arial" w:cs="Arial"/>
          <w:iCs/>
          <w:color w:val="000000" w:themeColor="text1"/>
        </w:rPr>
        <w:t>str</w:t>
      </w:r>
      <w:r w:rsidRPr="00DA76A7">
        <w:rPr>
          <w:rFonts w:ascii="Arial" w:eastAsiaTheme="minorHAnsi" w:hAnsi="Arial" w:cs="Arial"/>
          <w:color w:val="000000" w:themeColor="text1"/>
        </w:rPr>
        <w:t>., 30</w:t>
      </w:r>
    </w:p>
    <w:p w:rsidR="00181BA7" w:rsidRPr="00DA76A7" w:rsidRDefault="00181BA7" w:rsidP="00181BA7">
      <w:pPr>
        <w:pStyle w:val="52"/>
        <w:shd w:val="clear" w:color="auto" w:fill="auto"/>
        <w:spacing w:after="0" w:line="240" w:lineRule="auto"/>
        <w:ind w:firstLine="567"/>
        <w:jc w:val="center"/>
        <w:rPr>
          <w:rFonts w:ascii="Arial" w:eastAsiaTheme="minorHAnsi" w:hAnsi="Arial" w:cs="Arial"/>
          <w:i w:val="0"/>
          <w:iCs w:val="0"/>
          <w:color w:val="000000" w:themeColor="text1"/>
          <w:spacing w:val="0"/>
          <w:sz w:val="22"/>
          <w:szCs w:val="22"/>
          <w:lang w:val="en-US"/>
        </w:rPr>
      </w:pPr>
      <w:r w:rsidRPr="00DA76A7">
        <w:rPr>
          <w:rFonts w:ascii="Arial" w:eastAsiaTheme="minorHAnsi" w:hAnsi="Arial" w:cs="Arial"/>
          <w:i w:val="0"/>
          <w:iCs w:val="0"/>
          <w:color w:val="000000" w:themeColor="text1"/>
          <w:spacing w:val="0"/>
          <w:sz w:val="22"/>
          <w:szCs w:val="22"/>
          <w:lang w:val="en-US"/>
        </w:rPr>
        <w:t xml:space="preserve">tel.: (+992) 93 453 53 52, </w:t>
      </w:r>
      <w:hyperlink r:id="rId107" w:history="1">
        <w:r w:rsidRPr="00DA76A7">
          <w:rPr>
            <w:rStyle w:val="af0"/>
            <w:rFonts w:ascii="Arial" w:eastAsiaTheme="minorHAnsi" w:hAnsi="Arial" w:cs="Arial"/>
            <w:color w:val="000000" w:themeColor="text1"/>
            <w:spacing w:val="0"/>
            <w:sz w:val="22"/>
            <w:szCs w:val="22"/>
            <w:u w:val="none"/>
            <w:lang w:val="en-US"/>
          </w:rPr>
          <w:t>e-mail: nazokat-b@mail.ru</w:t>
        </w:r>
      </w:hyperlink>
    </w:p>
    <w:p w:rsidR="00181BA7" w:rsidRPr="00DA76A7" w:rsidRDefault="00181BA7" w:rsidP="00181BA7">
      <w:pPr>
        <w:pStyle w:val="52"/>
        <w:shd w:val="clear" w:color="auto" w:fill="auto"/>
        <w:spacing w:after="0" w:line="240" w:lineRule="auto"/>
        <w:ind w:firstLine="567"/>
        <w:jc w:val="center"/>
        <w:rPr>
          <w:rFonts w:ascii="Arial" w:hAnsi="Arial" w:cs="Arial"/>
          <w:i w:val="0"/>
          <w:color w:val="000000" w:themeColor="text1"/>
          <w:sz w:val="22"/>
          <w:szCs w:val="22"/>
          <w:lang w:val="en-US" w:eastAsia="ru-RU" w:bidi="ru-RU"/>
        </w:rPr>
      </w:pPr>
    </w:p>
    <w:p w:rsidR="00181BA7" w:rsidRPr="00DA76A7" w:rsidRDefault="00181BA7" w:rsidP="00181BA7">
      <w:pPr>
        <w:pStyle w:val="52"/>
        <w:shd w:val="clear" w:color="auto" w:fill="auto"/>
        <w:spacing w:after="0" w:line="240" w:lineRule="auto"/>
        <w:ind w:firstLine="567"/>
        <w:jc w:val="right"/>
        <w:rPr>
          <w:rFonts w:ascii="Arial" w:hAnsi="Arial" w:cs="Arial"/>
          <w:i w:val="0"/>
          <w:color w:val="000000" w:themeColor="text1"/>
          <w:sz w:val="22"/>
          <w:szCs w:val="22"/>
          <w:lang w:eastAsia="ru-RU" w:bidi="ru-RU"/>
        </w:rPr>
      </w:pPr>
      <w:r w:rsidRPr="00DA76A7">
        <w:rPr>
          <w:rFonts w:ascii="Arial" w:hAnsi="Arial" w:cs="Arial"/>
          <w:i w:val="0"/>
          <w:color w:val="000000" w:themeColor="text1"/>
          <w:sz w:val="22"/>
          <w:szCs w:val="22"/>
        </w:rPr>
        <w:t>Научный руководитель: д.ю.н., профессор Муртазокулов Дж.С.</w:t>
      </w:r>
    </w:p>
    <w:p w:rsidR="00181BA7" w:rsidRPr="00DA76A7" w:rsidRDefault="00181BA7" w:rsidP="00181BA7">
      <w:pPr>
        <w:pStyle w:val="ac"/>
        <w:ind w:firstLine="567"/>
        <w:jc w:val="both"/>
        <w:rPr>
          <w:rFonts w:ascii="Arial" w:hAnsi="Arial" w:cs="Arial"/>
          <w:b/>
          <w:i/>
          <w:color w:val="000000" w:themeColor="text1"/>
          <w:lang w:eastAsia="ru-RU" w:bidi="ru-RU"/>
        </w:rPr>
      </w:pPr>
    </w:p>
    <w:p w:rsidR="00181BA7" w:rsidRPr="00DA76A7" w:rsidRDefault="00181BA7" w:rsidP="00181BA7">
      <w:pPr>
        <w:pStyle w:val="ac"/>
        <w:ind w:firstLine="567"/>
        <w:jc w:val="both"/>
        <w:rPr>
          <w:rFonts w:ascii="Arial" w:hAnsi="Arial" w:cs="Arial"/>
          <w:i/>
          <w:color w:val="000000" w:themeColor="text1"/>
          <w:lang w:eastAsia="ru-RU" w:bidi="ru-RU"/>
        </w:rPr>
      </w:pPr>
      <w:r w:rsidRPr="00DA76A7">
        <w:rPr>
          <w:rFonts w:ascii="Arial" w:hAnsi="Arial" w:cs="Arial"/>
          <w:b/>
          <w:i/>
          <w:color w:val="000000" w:themeColor="text1"/>
          <w:lang w:eastAsia="ru-RU" w:bidi="ru-RU"/>
        </w:rPr>
        <w:t>Аннотация</w:t>
      </w:r>
      <w:r w:rsidRPr="00DA76A7">
        <w:rPr>
          <w:rFonts w:ascii="Arial" w:hAnsi="Arial" w:cs="Arial"/>
          <w:b/>
          <w:i/>
          <w:color w:val="000000" w:themeColor="text1"/>
          <w:lang w:val="tg-Cyrl-TJ" w:eastAsia="ru-RU" w:bidi="ru-RU"/>
        </w:rPr>
        <w:t>.</w:t>
      </w:r>
      <w:r w:rsidRPr="00DA76A7">
        <w:rPr>
          <w:rFonts w:ascii="Arial" w:hAnsi="Arial" w:cs="Arial"/>
          <w:i/>
          <w:color w:val="000000" w:themeColor="text1"/>
          <w:lang w:val="tg-Cyrl-TJ" w:eastAsia="ru-RU" w:bidi="ru-RU"/>
        </w:rPr>
        <w:t xml:space="preserve"> </w:t>
      </w:r>
      <w:r w:rsidRPr="00DA76A7">
        <w:rPr>
          <w:rFonts w:ascii="Arial" w:hAnsi="Arial" w:cs="Arial"/>
          <w:i/>
          <w:color w:val="000000" w:themeColor="text1"/>
          <w:lang w:eastAsia="ru-RU" w:bidi="ru-RU"/>
        </w:rPr>
        <w:t>В статье рассматривается гражданско-правовая категория обязательства, анализируется законодательное определение обязательства и различные позиции исследователей с целью формулирования наиболее полного определения, максимально отра</w:t>
      </w:r>
      <w:r w:rsidRPr="00DA76A7">
        <w:rPr>
          <w:rFonts w:ascii="Arial" w:hAnsi="Arial" w:cs="Arial"/>
          <w:i/>
          <w:color w:val="000000" w:themeColor="text1"/>
          <w:lang w:eastAsia="ru-RU" w:bidi="ru-RU"/>
        </w:rPr>
        <w:softHyphen/>
        <w:t>жающего признаки гражданско-правового обяза</w:t>
      </w:r>
      <w:r w:rsidRPr="00DA76A7">
        <w:rPr>
          <w:rFonts w:ascii="Arial" w:hAnsi="Arial" w:cs="Arial"/>
          <w:i/>
          <w:color w:val="000000" w:themeColor="text1"/>
          <w:lang w:eastAsia="ru-RU" w:bidi="ru-RU"/>
        </w:rPr>
        <w:softHyphen/>
        <w:t>тельства.</w:t>
      </w:r>
    </w:p>
    <w:p w:rsidR="00181BA7" w:rsidRPr="00DA76A7" w:rsidRDefault="00181BA7" w:rsidP="00181BA7">
      <w:pPr>
        <w:pStyle w:val="ac"/>
        <w:ind w:firstLine="567"/>
        <w:jc w:val="both"/>
        <w:rPr>
          <w:rStyle w:val="50pt"/>
          <w:rFonts w:ascii="Arial" w:hAnsi="Arial" w:cs="Arial"/>
          <w:b w:val="0"/>
          <w:iCs w:val="0"/>
          <w:color w:val="000000" w:themeColor="text1"/>
          <w:sz w:val="22"/>
          <w:szCs w:val="22"/>
          <w:lang w:val="en-US"/>
        </w:rPr>
      </w:pPr>
      <w:r w:rsidRPr="00DA76A7">
        <w:rPr>
          <w:rStyle w:val="50pt"/>
          <w:rFonts w:ascii="Arial" w:hAnsi="Arial" w:cs="Arial"/>
          <w:color w:val="000000" w:themeColor="text1"/>
          <w:sz w:val="22"/>
          <w:szCs w:val="22"/>
          <w:lang w:val="en-US"/>
        </w:rPr>
        <w:t xml:space="preserve">Annotation. </w:t>
      </w:r>
      <w:r w:rsidRPr="00DA76A7">
        <w:rPr>
          <w:rStyle w:val="50pt"/>
          <w:rFonts w:ascii="Arial" w:hAnsi="Arial" w:cs="Arial"/>
          <w:b w:val="0"/>
          <w:color w:val="000000" w:themeColor="text1"/>
          <w:sz w:val="22"/>
          <w:szCs w:val="22"/>
          <w:lang w:val="en-US"/>
        </w:rPr>
        <w:t>The article deals with the civil legal category of the obligation, analyzes the legislative definition of the obligation and the various positions of the researchers with a view to formulating the most complete definition reflecting as much as possible the signs of a civil obligation.</w:t>
      </w:r>
    </w:p>
    <w:p w:rsidR="00181BA7" w:rsidRPr="00DA76A7" w:rsidRDefault="00181BA7" w:rsidP="00181BA7">
      <w:pPr>
        <w:pStyle w:val="ac"/>
        <w:ind w:firstLine="567"/>
        <w:jc w:val="both"/>
        <w:rPr>
          <w:rFonts w:ascii="Arial" w:hAnsi="Arial" w:cs="Arial"/>
          <w:i/>
          <w:color w:val="000000" w:themeColor="text1"/>
        </w:rPr>
      </w:pPr>
      <w:r w:rsidRPr="00DA76A7">
        <w:rPr>
          <w:rStyle w:val="50pt"/>
          <w:rFonts w:ascii="Arial" w:hAnsi="Arial" w:cs="Arial"/>
          <w:color w:val="000000" w:themeColor="text1"/>
          <w:sz w:val="22"/>
          <w:szCs w:val="22"/>
        </w:rPr>
        <w:t xml:space="preserve">Ключевые слова: </w:t>
      </w:r>
      <w:r w:rsidRPr="00DA76A7">
        <w:rPr>
          <w:rFonts w:ascii="Arial" w:hAnsi="Arial" w:cs="Arial"/>
          <w:i/>
          <w:color w:val="000000" w:themeColor="text1"/>
          <w:lang w:eastAsia="ru-RU" w:bidi="ru-RU"/>
        </w:rPr>
        <w:t xml:space="preserve">обязательство, кредитор, должник, права, обязанности, обязательственное правоотношение, определение, гражданско-правовые отношения. </w:t>
      </w:r>
    </w:p>
    <w:p w:rsidR="00181BA7" w:rsidRPr="00DA76A7" w:rsidRDefault="00181BA7" w:rsidP="00181BA7">
      <w:pPr>
        <w:pStyle w:val="16"/>
        <w:shd w:val="clear" w:color="auto" w:fill="auto"/>
        <w:spacing w:before="0" w:line="240" w:lineRule="auto"/>
        <w:ind w:firstLine="567"/>
        <w:rPr>
          <w:rFonts w:ascii="Arial" w:hAnsi="Arial" w:cs="Arial"/>
          <w:i/>
          <w:color w:val="000000" w:themeColor="text1"/>
          <w:sz w:val="22"/>
          <w:szCs w:val="22"/>
          <w:lang w:val="en-US" w:eastAsia="ru-RU" w:bidi="ru-RU"/>
        </w:rPr>
      </w:pPr>
      <w:r w:rsidRPr="00DA76A7">
        <w:rPr>
          <w:rFonts w:ascii="Arial" w:hAnsi="Arial" w:cs="Arial"/>
          <w:b/>
          <w:i/>
          <w:color w:val="000000" w:themeColor="text1"/>
          <w:sz w:val="22"/>
          <w:szCs w:val="22"/>
          <w:lang w:val="en-US" w:eastAsia="ru-RU" w:bidi="ru-RU"/>
        </w:rPr>
        <w:t>Key words</w:t>
      </w:r>
      <w:r w:rsidRPr="00DA76A7">
        <w:rPr>
          <w:rFonts w:ascii="Arial" w:hAnsi="Arial" w:cs="Arial"/>
          <w:i/>
          <w:color w:val="000000" w:themeColor="text1"/>
          <w:sz w:val="22"/>
          <w:szCs w:val="22"/>
          <w:lang w:val="en-US" w:eastAsia="ru-RU" w:bidi="ru-RU"/>
        </w:rPr>
        <w:t>: obligation, creditor, debtor, rights, obligations, legal relationship, definition, civil relations.</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lang w:val="en-US" w:eastAsia="ru-RU" w:bidi="ru-RU"/>
        </w:rPr>
      </w:pP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Обязательство, является  явлением  многообразное в гражданском праве. Справедливо отмечает Ю.Н. Анд</w:t>
      </w:r>
      <w:r w:rsidRPr="00DA76A7">
        <w:rPr>
          <w:rFonts w:ascii="Arial" w:hAnsi="Arial" w:cs="Arial"/>
          <w:color w:val="000000" w:themeColor="text1"/>
          <w:sz w:val="22"/>
          <w:szCs w:val="22"/>
          <w:lang w:eastAsia="ru-RU" w:bidi="ru-RU"/>
        </w:rPr>
        <w:softHyphen/>
        <w:t>реев, что термин «обязательство» по разному  используется в теории и практике в гражданских правоотношениях: как документ, обязанность должника (долг, ответ</w:t>
      </w:r>
      <w:r w:rsidRPr="00DA76A7">
        <w:rPr>
          <w:rFonts w:ascii="Arial" w:hAnsi="Arial" w:cs="Arial"/>
          <w:color w:val="000000" w:themeColor="text1"/>
          <w:sz w:val="22"/>
          <w:szCs w:val="22"/>
          <w:lang w:eastAsia="ru-RU" w:bidi="ru-RU"/>
        </w:rPr>
        <w:softHyphen/>
        <w:t>ственность) и как отдельный вид (подвид) граж</w:t>
      </w:r>
      <w:r w:rsidRPr="00DA76A7">
        <w:rPr>
          <w:rFonts w:ascii="Arial" w:hAnsi="Arial" w:cs="Arial"/>
          <w:color w:val="000000" w:themeColor="text1"/>
          <w:sz w:val="22"/>
          <w:szCs w:val="22"/>
          <w:lang w:eastAsia="ru-RU" w:bidi="ru-RU"/>
        </w:rPr>
        <w:softHyphen/>
        <w:t>данского правоотношения, которому характерна определенная совокупность прав и обязанностей [1, 194].</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lang w:eastAsia="ru-RU" w:bidi="ru-RU"/>
        </w:rPr>
      </w:pPr>
      <w:r w:rsidRPr="00DA76A7">
        <w:rPr>
          <w:rFonts w:ascii="Arial" w:hAnsi="Arial" w:cs="Arial"/>
          <w:color w:val="000000" w:themeColor="text1"/>
          <w:sz w:val="22"/>
          <w:szCs w:val="22"/>
          <w:lang w:eastAsia="ru-RU" w:bidi="ru-RU"/>
        </w:rPr>
        <w:t>Глава 21 гражданского кодекса Российской Фе</w:t>
      </w:r>
      <w:r w:rsidRPr="00DA76A7">
        <w:rPr>
          <w:rFonts w:ascii="Arial" w:hAnsi="Arial" w:cs="Arial"/>
          <w:color w:val="000000" w:themeColor="text1"/>
          <w:sz w:val="22"/>
          <w:szCs w:val="22"/>
          <w:lang w:eastAsia="ru-RU" w:bidi="ru-RU"/>
        </w:rPr>
        <w:softHyphen/>
        <w:t>дерации (далее — ГК РФ) посвящается понятию обязательства. Согласно ст. 307 ГК РФ в силу обязательства одно лицо (должник) обязано совершить в пользу другого лица (кредитора) определенное действие, как то: передать имуще</w:t>
      </w:r>
      <w:r w:rsidRPr="00DA76A7">
        <w:rPr>
          <w:rFonts w:ascii="Arial" w:hAnsi="Arial" w:cs="Arial"/>
          <w:color w:val="000000" w:themeColor="text1"/>
          <w:sz w:val="22"/>
          <w:szCs w:val="22"/>
          <w:lang w:eastAsia="ru-RU" w:bidi="ru-RU"/>
        </w:rPr>
        <w:softHyphen/>
        <w:t>ство, выполнить работу, оказать услугу, внести вклад в совместную деятельность, уплатить деньги и т. п., либо воздержаться от определен</w:t>
      </w:r>
      <w:r w:rsidRPr="00DA76A7">
        <w:rPr>
          <w:rFonts w:ascii="Arial" w:hAnsi="Arial" w:cs="Arial"/>
          <w:color w:val="000000" w:themeColor="text1"/>
          <w:sz w:val="22"/>
          <w:szCs w:val="22"/>
          <w:lang w:eastAsia="ru-RU" w:bidi="ru-RU"/>
        </w:rPr>
        <w:softHyphen/>
        <w:t>ного действия, а кредитор имеет право требовать от должника исполнения его обязанности.</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При этом юридическими фактами в данном случаях является,  договоры и другие сделки, причинение вреда, неосновательное обогащение, а также иные основания, указанные в ГК РФ (п. 2 ст. 307 ГК РФ).</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В соответствии с п. 3 ст. 307 ГК РФ при установлении, исполнении обязательства и после его прекращения стороны обязаны действовать добросовестно, учитывая права и законные интересы друг друга, взаимно оказывая необходимое содействие для достижения цели обязательства, а также предоставляя друг другу необходимую информацию.</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 xml:space="preserve"> В.В. Витрянского, отмечает, что в ст. 307 ГК РФ не хватает указания на необходимость соблюдения требований разумности и справедливости в формировании и исполнении обязательственных правоотношений [2, 14]. Мы не можем согласиться с такой позиции, в силу того, что разумность и справедливость не являются грантам для исполнения обязательства. Только соблюдение указанных норм гражданского законодательства способствует исполнение надлежавшего обязательства. Установление гражданских санкций способствует возникновению чувства ответственности, что уже является неким гарантам исполнение обязательства.    </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Со страны многих исследователей теории гражданского права предлагаются различные научные понятия обязательства, в которых отражается наиболее существенные признаки, позволяющие отграничить понятие этого правоотношения от смежных.</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Так, Г.Ф. Шершеневич утверждал, что под обязательством понимается «юридическое отношение, из которого обнаруживается право лица на известное действие другого определенного лица» [3, 8].</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М.М. Агарков дополнил определение обязательства указанием на допустимость множественности лиц в обязательстве, как на стороне кредитора, так и на стороне должника. Автор данного понятие определяет обязательства как гражданское правоотношение, в силу которого одно лицо (или несколько лиц) имеет право требовать от другого лица (или нескольких других лиц) совершения опре</w:t>
      </w:r>
      <w:r w:rsidRPr="00DA76A7">
        <w:rPr>
          <w:rFonts w:ascii="Arial" w:hAnsi="Arial" w:cs="Arial"/>
          <w:color w:val="000000" w:themeColor="text1"/>
          <w:sz w:val="22"/>
          <w:szCs w:val="22"/>
          <w:lang w:eastAsia="ru-RU" w:bidi="ru-RU"/>
        </w:rPr>
        <w:softHyphen/>
        <w:t>деленного действия либо воздержания от совершения какого-либо действия [4, 177].</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В.Ф. Попондопуло рассматривает позиции некоторых исследователей, определяющих обязательство со стороны его экономической сущности. В частности, анализируя определение обязательства, данное С.И. Вильнянским, рассматривающим его как «гражданское правоотношение, которое является юридическим выражением отношений обмена» [5, 9], В.Ф. Попондопуло анализируя данную дилемму приходит к заключению, что здесь с точки зрения науки не объективна ограничиваются обязательственные отношения лиц гражданского оборота, что влечет выбытие за пределы такого понимания обязательства безвозмездных (например, дарения) и компенсационных (например, деликтных) обязательств.</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В целях поддержки экономического определения обязательства О.С. Иоффе заменил термин «обмен» на термин «перемещение», определяя обязательство как «закрепленное гражданским законом общественное отношение по перемещению имущества и иных результатов труда, в силу которого одно лицо (кредитор) вправе требовать от другого лица (должника) совершения определенных действий и обусловленного этим воздержания от совершения определенных других действий» [6, 360]. Однако, такового рода трактовки обязательства подверглось критике со страны цивилистов в силу того, что термин «перемещение» в данном контексте звучит как абстракция и недопусти</w:t>
      </w:r>
      <w:r w:rsidRPr="00DA76A7">
        <w:rPr>
          <w:rFonts w:ascii="Arial" w:hAnsi="Arial" w:cs="Arial"/>
          <w:color w:val="000000" w:themeColor="text1"/>
          <w:sz w:val="22"/>
          <w:szCs w:val="22"/>
          <w:lang w:eastAsia="ru-RU" w:bidi="ru-RU"/>
        </w:rPr>
        <w:softHyphen/>
        <w:t>мостью ограничения должника только воздержанием от совершения каких- либо действий.</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С учетом вышесказанного автора обязательства формулирует следующее определение обязательства: «относительное гражданское правоотношение по перемещению имущества и иных результатов труда, имеющих имущественный характер, в силу которого одно лицо (кредитор) вправе требовать от другого лица (должника) совершения определенных активных действий, либо совершения определенных активных действий и обусловленного этим воздержания от совершения определенных других действий, либо только воздержания от совершения определенных действий, а другое лицо (должник) обязано исполнить долг в пользу кредитора».</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lang w:eastAsia="ru-RU" w:bidi="ru-RU"/>
        </w:rPr>
      </w:pPr>
      <w:r w:rsidRPr="00DA76A7">
        <w:rPr>
          <w:rFonts w:ascii="Arial" w:hAnsi="Arial" w:cs="Arial"/>
          <w:color w:val="000000" w:themeColor="text1"/>
          <w:sz w:val="22"/>
          <w:szCs w:val="22"/>
          <w:lang w:eastAsia="ru-RU" w:bidi="ru-RU"/>
        </w:rPr>
        <w:t xml:space="preserve">В результате проведенного анализа и выявление специфических признаков и особенностей гражданско-правового обязательства Ю.Н. Андреев приходит к выводу о том, что «гражданско-правовое обязательство понимается как особая относительная правовая связь (взаимосвязь) кредитора и должника, обязанного выполнить предусмотренные законом или договором активные действия по исполнению своего долга в интересах кредитора, направленные на передачу имущества, выполнение работ, оказание услуг, возмещение вреда, возврат неосновательно полученного (сбереженного), защиту личных неимущественных прав и др., соблюдать режим бездействия, претерпевать правомерное осуществление кредитором своих субъективных прав (правом требования), не препятствовать ему в этом, воздерживаться от совершения своих действий в интересах кредитора в случаях, предусмотренных источниками обязательственного права, под угрозой применения мер обязательственно-правовой защиты и ответственности» [7, 47]. Автор, объективно излагает процессы исполнения обязательства с учетом применение соответствующих секционных мер предусмотренным гражданским законодательствам. </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В заключение предлагаем следующее определение гражданско-правового обязательства: гражданско-правовые обязательства – это определенная субъективная связь участников гражданского правоотношения, которые возникают, изминаются и прекращаются на основание гражданско-правового договора в силу которой обязанное лицо (должник) в пользу управомоченного лица (кредитора) обязано совершить определенное правовые действия либо воздержаться от определенного действия, а кредитор имеет право на основание гражданско-правового договора требовать  от должника исполнения его обязанности, при условии соблюдения сторонами требований предусмотренным гражданским законодательством.</w:t>
      </w:r>
    </w:p>
    <w:p w:rsidR="00181BA7" w:rsidRPr="00DA76A7" w:rsidRDefault="00181BA7" w:rsidP="00181BA7">
      <w:pPr>
        <w:pStyle w:val="16"/>
        <w:shd w:val="clear" w:color="auto" w:fill="auto"/>
        <w:spacing w:before="0" w:line="240" w:lineRule="auto"/>
        <w:ind w:firstLine="567"/>
        <w:rPr>
          <w:rFonts w:ascii="Arial" w:hAnsi="Arial" w:cs="Arial"/>
          <w:color w:val="000000" w:themeColor="text1"/>
          <w:sz w:val="22"/>
          <w:szCs w:val="22"/>
        </w:rPr>
      </w:pPr>
    </w:p>
    <w:p w:rsidR="00181BA7" w:rsidRPr="00DA76A7" w:rsidRDefault="00181BA7" w:rsidP="00181BA7">
      <w:pPr>
        <w:pStyle w:val="a9"/>
        <w:ind w:firstLine="567"/>
        <w:jc w:val="center"/>
        <w:rPr>
          <w:rFonts w:ascii="Arial" w:hAnsi="Arial" w:cs="Arial"/>
          <w:b/>
          <w:color w:val="000000" w:themeColor="text1"/>
          <w:lang w:val="ru-RU" w:eastAsia="ru-RU" w:bidi="ru-RU"/>
        </w:rPr>
      </w:pPr>
      <w:r w:rsidRPr="00DA76A7">
        <w:rPr>
          <w:rFonts w:ascii="Arial" w:hAnsi="Arial" w:cs="Arial"/>
          <w:b/>
          <w:color w:val="000000" w:themeColor="text1"/>
          <w:lang w:eastAsia="ru-RU" w:bidi="ru-RU"/>
        </w:rPr>
        <w:t xml:space="preserve">Список </w:t>
      </w:r>
      <w:r w:rsidRPr="00DA76A7">
        <w:rPr>
          <w:rFonts w:ascii="Arial" w:hAnsi="Arial" w:cs="Arial"/>
          <w:b/>
          <w:color w:val="000000" w:themeColor="text1"/>
          <w:lang w:val="ru-RU" w:eastAsia="ru-RU" w:bidi="ru-RU"/>
        </w:rPr>
        <w:t>л</w:t>
      </w:r>
      <w:r w:rsidRPr="00DA76A7">
        <w:rPr>
          <w:rFonts w:ascii="Arial" w:hAnsi="Arial" w:cs="Arial"/>
          <w:b/>
          <w:color w:val="000000" w:themeColor="text1"/>
          <w:lang w:eastAsia="ru-RU" w:bidi="ru-RU"/>
        </w:rPr>
        <w:t>итературы</w:t>
      </w:r>
      <w:r w:rsidRPr="00DA76A7">
        <w:rPr>
          <w:rFonts w:ascii="Arial" w:hAnsi="Arial" w:cs="Arial"/>
          <w:b/>
          <w:color w:val="000000" w:themeColor="text1"/>
          <w:lang w:val="ru-RU" w:eastAsia="ru-RU" w:bidi="ru-RU"/>
        </w:rPr>
        <w:t>:</w:t>
      </w:r>
    </w:p>
    <w:p w:rsidR="00181BA7" w:rsidRPr="00DA76A7" w:rsidRDefault="00181BA7" w:rsidP="00D45D6B">
      <w:pPr>
        <w:pStyle w:val="a9"/>
        <w:numPr>
          <w:ilvl w:val="0"/>
          <w:numId w:val="45"/>
        </w:numPr>
        <w:tabs>
          <w:tab w:val="left" w:pos="851"/>
        </w:tabs>
        <w:ind w:left="0" w:firstLine="567"/>
        <w:rPr>
          <w:rFonts w:ascii="Arial" w:hAnsi="Arial" w:cs="Arial"/>
          <w:color w:val="000000" w:themeColor="text1"/>
          <w:lang w:val="ru-RU"/>
        </w:rPr>
      </w:pPr>
      <w:r w:rsidRPr="00DA76A7">
        <w:rPr>
          <w:rStyle w:val="60pt"/>
          <w:rFonts w:ascii="Arial" w:hAnsi="Arial" w:cs="Arial"/>
          <w:i w:val="0"/>
          <w:color w:val="000000" w:themeColor="text1"/>
          <w:sz w:val="22"/>
          <w:szCs w:val="22"/>
        </w:rPr>
        <w:t>Агарков М.М.</w:t>
      </w:r>
      <w:r w:rsidRPr="00DA76A7">
        <w:rPr>
          <w:rFonts w:ascii="Arial" w:hAnsi="Arial" w:cs="Arial"/>
          <w:color w:val="000000" w:themeColor="text1"/>
          <w:lang w:val="ru-RU" w:eastAsia="ru-RU" w:bidi="ru-RU"/>
        </w:rPr>
        <w:t xml:space="preserve"> Избранные труды по гражданскому праву: в 2 т. – М., 2002. -  </w:t>
      </w:r>
      <w:r w:rsidRPr="00DA76A7">
        <w:rPr>
          <w:rFonts w:ascii="Arial" w:hAnsi="Arial" w:cs="Arial"/>
          <w:color w:val="000000" w:themeColor="text1"/>
          <w:lang w:val="tg-Cyrl-TJ" w:eastAsia="ru-RU" w:bidi="ru-RU"/>
        </w:rPr>
        <w:t>том 2. -</w:t>
      </w:r>
      <w:r w:rsidRPr="00DA76A7">
        <w:rPr>
          <w:rFonts w:ascii="Arial" w:hAnsi="Arial" w:cs="Arial"/>
          <w:color w:val="000000" w:themeColor="text1"/>
          <w:lang w:val="ru-RU" w:eastAsia="ru-RU" w:bidi="ru-RU"/>
        </w:rPr>
        <w:t xml:space="preserve"> 360 с.</w:t>
      </w:r>
    </w:p>
    <w:p w:rsidR="00181BA7" w:rsidRPr="00DA76A7" w:rsidRDefault="00181BA7" w:rsidP="00D45D6B">
      <w:pPr>
        <w:pStyle w:val="a9"/>
        <w:numPr>
          <w:ilvl w:val="0"/>
          <w:numId w:val="45"/>
        </w:numPr>
        <w:tabs>
          <w:tab w:val="left" w:pos="851"/>
        </w:tabs>
        <w:ind w:left="0" w:firstLine="567"/>
        <w:rPr>
          <w:rFonts w:ascii="Arial" w:hAnsi="Arial" w:cs="Arial"/>
          <w:color w:val="000000" w:themeColor="text1"/>
          <w:lang w:val="ru-RU"/>
        </w:rPr>
      </w:pPr>
      <w:r w:rsidRPr="00DA76A7">
        <w:rPr>
          <w:rStyle w:val="60pt"/>
          <w:rFonts w:ascii="Arial" w:hAnsi="Arial" w:cs="Arial"/>
          <w:i w:val="0"/>
          <w:color w:val="000000" w:themeColor="text1"/>
          <w:sz w:val="22"/>
          <w:szCs w:val="22"/>
        </w:rPr>
        <w:t>Андреев Ю.Н.</w:t>
      </w:r>
      <w:r w:rsidRPr="00DA76A7">
        <w:rPr>
          <w:rFonts w:ascii="Arial" w:hAnsi="Arial" w:cs="Arial"/>
          <w:color w:val="000000" w:themeColor="text1"/>
          <w:lang w:val="ru-RU" w:eastAsia="ru-RU" w:bidi="ru-RU"/>
        </w:rPr>
        <w:t xml:space="preserve"> О понятии «обязательство» в гражданском праве России // Известия Юго-западного государственного университета. - 2014. - № 5.  - С. 194—201.</w:t>
      </w:r>
    </w:p>
    <w:p w:rsidR="00181BA7" w:rsidRPr="00DA76A7" w:rsidRDefault="00181BA7" w:rsidP="00D45D6B">
      <w:pPr>
        <w:pStyle w:val="a9"/>
        <w:numPr>
          <w:ilvl w:val="0"/>
          <w:numId w:val="45"/>
        </w:numPr>
        <w:tabs>
          <w:tab w:val="left" w:pos="851"/>
        </w:tabs>
        <w:ind w:left="0" w:firstLine="567"/>
        <w:rPr>
          <w:rFonts w:ascii="Arial" w:hAnsi="Arial" w:cs="Arial"/>
          <w:color w:val="000000" w:themeColor="text1"/>
          <w:lang w:val="ru-RU"/>
        </w:rPr>
      </w:pPr>
      <w:r w:rsidRPr="00DA76A7">
        <w:rPr>
          <w:rStyle w:val="60pt"/>
          <w:rFonts w:ascii="Arial" w:hAnsi="Arial" w:cs="Arial"/>
          <w:i w:val="0"/>
          <w:color w:val="000000" w:themeColor="text1"/>
          <w:sz w:val="22"/>
          <w:szCs w:val="22"/>
        </w:rPr>
        <w:t>Витрянский В. В.</w:t>
      </w:r>
      <w:r w:rsidRPr="00DA76A7">
        <w:rPr>
          <w:rFonts w:ascii="Arial" w:hAnsi="Arial" w:cs="Arial"/>
          <w:color w:val="000000" w:themeColor="text1"/>
          <w:lang w:val="ru-RU" w:eastAsia="ru-RU" w:bidi="ru-RU"/>
        </w:rPr>
        <w:t xml:space="preserve"> Некоторые основные положения Концепции развития гражданского законодательства Российской Федерации об обязательствах // Журнал российского права. - 2010. - № 1. - С. 13—25.</w:t>
      </w:r>
    </w:p>
    <w:p w:rsidR="00181BA7" w:rsidRPr="00DA76A7" w:rsidRDefault="00181BA7" w:rsidP="00D45D6B">
      <w:pPr>
        <w:pStyle w:val="a9"/>
        <w:numPr>
          <w:ilvl w:val="0"/>
          <w:numId w:val="45"/>
        </w:numPr>
        <w:tabs>
          <w:tab w:val="left" w:pos="851"/>
        </w:tabs>
        <w:ind w:left="0" w:firstLine="567"/>
        <w:rPr>
          <w:rFonts w:ascii="Arial" w:hAnsi="Arial" w:cs="Arial"/>
          <w:color w:val="000000" w:themeColor="text1"/>
          <w:lang w:val="ru-RU"/>
        </w:rPr>
      </w:pPr>
      <w:r w:rsidRPr="00DA76A7">
        <w:rPr>
          <w:rStyle w:val="60pt"/>
          <w:rFonts w:ascii="Arial" w:hAnsi="Arial" w:cs="Arial"/>
          <w:i w:val="0"/>
          <w:color w:val="000000" w:themeColor="text1"/>
          <w:sz w:val="22"/>
          <w:szCs w:val="22"/>
        </w:rPr>
        <w:t>Попондопуло В. Ф.</w:t>
      </w:r>
      <w:r w:rsidRPr="00DA76A7">
        <w:rPr>
          <w:rFonts w:ascii="Arial" w:hAnsi="Arial" w:cs="Arial"/>
          <w:color w:val="000000" w:themeColor="text1"/>
          <w:lang w:val="ru-RU" w:eastAsia="ru-RU" w:bidi="ru-RU"/>
        </w:rPr>
        <w:t xml:space="preserve"> Обязательственное право: общая характеристика и проблемы // Ленинградский юридический журнал. - 2009. - № 1. - С. 7—38.</w:t>
      </w:r>
    </w:p>
    <w:p w:rsidR="00181BA7" w:rsidRPr="00DA76A7" w:rsidRDefault="00181BA7" w:rsidP="00D45D6B">
      <w:pPr>
        <w:pStyle w:val="a9"/>
        <w:numPr>
          <w:ilvl w:val="0"/>
          <w:numId w:val="45"/>
        </w:numPr>
        <w:tabs>
          <w:tab w:val="left" w:pos="851"/>
        </w:tabs>
        <w:ind w:left="0" w:firstLine="567"/>
        <w:rPr>
          <w:rFonts w:ascii="Arial" w:hAnsi="Arial" w:cs="Arial"/>
          <w:color w:val="000000" w:themeColor="text1"/>
          <w:lang w:val="ru-RU"/>
        </w:rPr>
      </w:pPr>
      <w:r w:rsidRPr="00DA76A7">
        <w:rPr>
          <w:rStyle w:val="60pt"/>
          <w:rFonts w:ascii="Arial" w:hAnsi="Arial" w:cs="Arial"/>
          <w:i w:val="0"/>
          <w:color w:val="000000" w:themeColor="text1"/>
          <w:sz w:val="22"/>
          <w:szCs w:val="22"/>
        </w:rPr>
        <w:t>Шершеневич Г. Ф.</w:t>
      </w:r>
      <w:r w:rsidRPr="00DA76A7">
        <w:rPr>
          <w:rFonts w:ascii="Arial" w:hAnsi="Arial" w:cs="Arial"/>
          <w:color w:val="000000" w:themeColor="text1"/>
          <w:lang w:val="ru-RU" w:eastAsia="ru-RU" w:bidi="ru-RU"/>
        </w:rPr>
        <w:t xml:space="preserve"> Учебник русского гражданского права: в 4 т. – М., - 2005. – Т. 2. - 462 с.</w:t>
      </w:r>
    </w:p>
    <w:p w:rsidR="00181BA7" w:rsidRPr="00DA76A7" w:rsidRDefault="00181BA7" w:rsidP="00181BA7">
      <w:pPr>
        <w:ind w:firstLine="567"/>
        <w:jc w:val="center"/>
        <w:rPr>
          <w:rFonts w:ascii="Arial" w:hAnsi="Arial" w:cs="Arial"/>
          <w:b/>
          <w:color w:val="000000" w:themeColor="text1"/>
          <w:sz w:val="22"/>
          <w:szCs w:val="22"/>
        </w:rPr>
      </w:pPr>
    </w:p>
    <w:p w:rsidR="0035387D" w:rsidRPr="00DA76A7" w:rsidRDefault="0035387D" w:rsidP="00181BA7">
      <w:pPr>
        <w:ind w:firstLine="567"/>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ДЕНЬГИ КАК ОБЪЕКТ ГРАЖДАНСКИХ ПРАВ</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color w:val="000000" w:themeColor="text1"/>
          <w:sz w:val="22"/>
          <w:szCs w:val="22"/>
        </w:rPr>
      </w:pPr>
      <w:r w:rsidRPr="00DA76A7">
        <w:rPr>
          <w:rFonts w:ascii="Arial" w:hAnsi="Arial" w:cs="Arial"/>
          <w:b/>
          <w:color w:val="000000" w:themeColor="text1"/>
          <w:sz w:val="22"/>
          <w:szCs w:val="22"/>
        </w:rPr>
        <w:t>Бободжонов Озаррахш Шодикулович</w:t>
      </w:r>
      <w:r w:rsidRPr="00DA76A7">
        <w:rPr>
          <w:rFonts w:ascii="Arial" w:hAnsi="Arial" w:cs="Arial"/>
          <w:b/>
          <w:color w:val="000000" w:themeColor="text1"/>
          <w:sz w:val="22"/>
          <w:szCs w:val="22"/>
        </w:rPr>
        <w:br/>
      </w:r>
      <w:r w:rsidRPr="00DA76A7">
        <w:rPr>
          <w:rFonts w:ascii="Arial" w:hAnsi="Arial" w:cs="Arial"/>
          <w:color w:val="000000" w:themeColor="text1"/>
          <w:sz w:val="22"/>
          <w:szCs w:val="22"/>
        </w:rPr>
        <w:t>студент 3-го курса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542B0A"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92-997-57-85, </w:t>
      </w:r>
      <w:r w:rsidRPr="00DA76A7">
        <w:rPr>
          <w:rFonts w:ascii="Arial" w:hAnsi="Arial" w:cs="Arial"/>
          <w:color w:val="000000" w:themeColor="text1"/>
          <w:sz w:val="22"/>
          <w:szCs w:val="22"/>
          <w:lang w:val="en-US"/>
        </w:rPr>
        <w:t>e</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hyperlink r:id="rId108" w:history="1">
        <w:r w:rsidRPr="00DA76A7">
          <w:rPr>
            <w:rStyle w:val="af0"/>
            <w:rFonts w:ascii="Arial" w:hAnsi="Arial" w:cs="Arial"/>
            <w:color w:val="000000" w:themeColor="text1"/>
            <w:sz w:val="22"/>
            <w:szCs w:val="22"/>
            <w:u w:val="none"/>
            <w:lang w:val="en-US"/>
          </w:rPr>
          <w:t>bobodzhonov</w:t>
        </w:r>
        <w:r w:rsidRPr="00542B0A">
          <w:rPr>
            <w:rStyle w:val="af0"/>
            <w:rFonts w:ascii="Arial" w:hAnsi="Arial" w:cs="Arial"/>
            <w:color w:val="000000" w:themeColor="text1"/>
            <w:sz w:val="22"/>
            <w:szCs w:val="22"/>
            <w:u w:val="none"/>
            <w:lang w:val="en-US"/>
          </w:rPr>
          <w:t>97@</w:t>
        </w:r>
        <w:r w:rsidRPr="00DA76A7">
          <w:rPr>
            <w:rStyle w:val="af0"/>
            <w:rFonts w:ascii="Arial" w:hAnsi="Arial" w:cs="Arial"/>
            <w:color w:val="000000" w:themeColor="text1"/>
            <w:sz w:val="22"/>
            <w:szCs w:val="22"/>
            <w:u w:val="none"/>
            <w:lang w:val="en-US"/>
          </w:rPr>
          <w:t>list</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r w:rsidRPr="00542B0A">
        <w:rPr>
          <w:rFonts w:ascii="Arial" w:hAnsi="Arial" w:cs="Arial"/>
          <w:color w:val="000000" w:themeColor="text1"/>
          <w:sz w:val="22"/>
          <w:szCs w:val="22"/>
          <w:lang w:val="en-US"/>
        </w:rPr>
        <w:t xml:space="preserve"> </w:t>
      </w:r>
    </w:p>
    <w:p w:rsidR="00181BA7" w:rsidRPr="00542B0A" w:rsidRDefault="00181BA7" w:rsidP="00181BA7">
      <w:pPr>
        <w:jc w:val="center"/>
        <w:rPr>
          <w:rFonts w:ascii="Arial" w:hAnsi="Arial" w:cs="Arial"/>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MONEY AS AN OBJECT OF CIVIL LAW</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Bobojonov Ozarakhsh Shodikulovich</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student of the 3rd year full-time department of the law faculty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30706E"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734025,  Republic of Tajikistan, Dushanbe,  </w:t>
      </w:r>
      <w:r w:rsidRPr="0030706E">
        <w:rPr>
          <w:rFonts w:ascii="Arial" w:hAnsi="Arial" w:cs="Arial"/>
          <w:color w:val="000000" w:themeColor="text1"/>
          <w:sz w:val="22"/>
          <w:szCs w:val="22"/>
          <w:lang w:val="en-US"/>
        </w:rPr>
        <w:t>M. Tursunzade str., 30</w:t>
      </w:r>
    </w:p>
    <w:p w:rsidR="00181BA7" w:rsidRPr="0030706E" w:rsidRDefault="00181BA7" w:rsidP="00181BA7">
      <w:pPr>
        <w:jc w:val="center"/>
        <w:rPr>
          <w:rFonts w:ascii="Arial" w:hAnsi="Arial" w:cs="Arial"/>
          <w:color w:val="000000" w:themeColor="text1"/>
          <w:sz w:val="22"/>
          <w:szCs w:val="22"/>
          <w:lang w:val="en-US"/>
        </w:rPr>
      </w:pPr>
      <w:r w:rsidRPr="0030706E">
        <w:rPr>
          <w:rFonts w:ascii="Arial" w:hAnsi="Arial" w:cs="Arial"/>
          <w:color w:val="000000" w:themeColor="text1"/>
          <w:sz w:val="22"/>
          <w:szCs w:val="22"/>
          <w:lang w:val="en-US"/>
        </w:rPr>
        <w:t xml:space="preserve">tel.: 92-997-57-85, e-mail: </w:t>
      </w:r>
      <w:hyperlink r:id="rId109" w:history="1">
        <w:r w:rsidRPr="0030706E">
          <w:rPr>
            <w:rStyle w:val="af0"/>
            <w:rFonts w:ascii="Arial" w:hAnsi="Arial" w:cs="Arial"/>
            <w:color w:val="000000" w:themeColor="text1"/>
            <w:sz w:val="22"/>
            <w:szCs w:val="22"/>
            <w:u w:val="none"/>
            <w:lang w:val="en-US"/>
          </w:rPr>
          <w:t>bobodzhonov97@list.ru</w:t>
        </w:r>
      </w:hyperlink>
    </w:p>
    <w:p w:rsidR="00181BA7" w:rsidRPr="0030706E" w:rsidRDefault="00181BA7" w:rsidP="00181BA7">
      <w:pPr>
        <w:ind w:firstLine="567"/>
        <w:jc w:val="center"/>
        <w:rPr>
          <w:rFonts w:ascii="Arial" w:hAnsi="Arial" w:cs="Arial"/>
          <w:b/>
          <w:color w:val="000000" w:themeColor="text1"/>
          <w:sz w:val="22"/>
          <w:szCs w:val="22"/>
          <w:lang w:val="en-US"/>
        </w:rPr>
      </w:pPr>
    </w:p>
    <w:p w:rsidR="00181BA7" w:rsidRPr="0030706E" w:rsidRDefault="00181BA7" w:rsidP="00181BA7">
      <w:pPr>
        <w:ind w:firstLine="567"/>
        <w:jc w:val="right"/>
        <w:rPr>
          <w:rFonts w:ascii="Arial" w:hAnsi="Arial" w:cs="Arial"/>
          <w:color w:val="000000" w:themeColor="text1"/>
          <w:sz w:val="22"/>
          <w:szCs w:val="22"/>
        </w:rPr>
      </w:pPr>
      <w:r w:rsidRPr="0030706E">
        <w:rPr>
          <w:rFonts w:ascii="Arial" w:hAnsi="Arial" w:cs="Arial"/>
          <w:color w:val="000000" w:themeColor="text1"/>
          <w:sz w:val="22"/>
          <w:szCs w:val="22"/>
        </w:rPr>
        <w:t xml:space="preserve">Научный руководитель: </w:t>
      </w:r>
      <w:r w:rsidR="0030706E" w:rsidRPr="0030706E">
        <w:rPr>
          <w:rFonts w:ascii="Arial" w:hAnsi="Arial" w:cs="Arial"/>
          <w:color w:val="000000" w:themeColor="text1"/>
          <w:sz w:val="22"/>
          <w:szCs w:val="22"/>
        </w:rPr>
        <w:t>преподавател</w:t>
      </w:r>
      <w:r w:rsidR="0030706E">
        <w:rPr>
          <w:rFonts w:ascii="Arial" w:hAnsi="Arial" w:cs="Arial"/>
          <w:color w:val="000000" w:themeColor="text1"/>
          <w:sz w:val="22"/>
          <w:szCs w:val="22"/>
        </w:rPr>
        <w:t>ь</w:t>
      </w:r>
      <w:r w:rsidR="0030706E" w:rsidRPr="0030706E">
        <w:rPr>
          <w:rFonts w:ascii="Arial" w:hAnsi="Arial" w:cs="Arial"/>
          <w:color w:val="000000" w:themeColor="text1"/>
          <w:sz w:val="22"/>
          <w:szCs w:val="22"/>
        </w:rPr>
        <w:t xml:space="preserve"> Сидиков Д.А.</w:t>
      </w:r>
      <w:r w:rsidRPr="0030706E">
        <w:rPr>
          <w:rFonts w:ascii="Arial" w:hAnsi="Arial" w:cs="Arial"/>
          <w:color w:val="000000" w:themeColor="text1"/>
          <w:sz w:val="22"/>
          <w:szCs w:val="22"/>
        </w:rPr>
        <w:t xml:space="preserve"> </w:t>
      </w:r>
    </w:p>
    <w:p w:rsidR="00181BA7" w:rsidRPr="0030706E"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30706E">
        <w:rPr>
          <w:rFonts w:ascii="Arial" w:hAnsi="Arial" w:cs="Arial"/>
          <w:b/>
          <w:i/>
          <w:color w:val="000000" w:themeColor="text1"/>
          <w:sz w:val="22"/>
          <w:szCs w:val="22"/>
        </w:rPr>
        <w:t xml:space="preserve">Аннотация. </w:t>
      </w:r>
      <w:r w:rsidRPr="0030706E">
        <w:rPr>
          <w:rFonts w:ascii="Arial" w:hAnsi="Arial" w:cs="Arial"/>
          <w:i/>
          <w:color w:val="000000" w:themeColor="text1"/>
          <w:sz w:val="22"/>
          <w:szCs w:val="22"/>
        </w:rPr>
        <w:t>В данной статье рассматриваются деньги</w:t>
      </w:r>
      <w:r w:rsidRPr="00DA76A7">
        <w:rPr>
          <w:rFonts w:ascii="Arial" w:hAnsi="Arial" w:cs="Arial"/>
          <w:i/>
          <w:color w:val="000000" w:themeColor="text1"/>
          <w:sz w:val="22"/>
          <w:szCs w:val="22"/>
        </w:rPr>
        <w:t xml:space="preserve"> как объект гражданских прав, наличные и безналичные денежные средства, а также затрагиваются некоторые вопросы касательно иностранной валюты.</w:t>
      </w:r>
    </w:p>
    <w:p w:rsidR="00181BA7" w:rsidRPr="00DA76A7" w:rsidRDefault="00181BA7" w:rsidP="00181BA7">
      <w:pPr>
        <w:pStyle w:val="HTML"/>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this article, consider money as an object of civil law, cash and non-cash funds, as well as some issues related to foreign currency.</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деньги, наличные и безналичные денежные средства, объекты гражданского права, иностранная валюта.</w:t>
      </w:r>
    </w:p>
    <w:p w:rsidR="00181BA7" w:rsidRPr="00DA76A7" w:rsidRDefault="00181BA7" w:rsidP="00181BA7">
      <w:pPr>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money, cash and non-cash funds, objects of civil law, foreign currency.</w:t>
      </w:r>
    </w:p>
    <w:p w:rsidR="00181BA7" w:rsidRPr="00DA76A7" w:rsidRDefault="00181BA7" w:rsidP="00181BA7">
      <w:pPr>
        <w:ind w:firstLine="567"/>
        <w:jc w:val="both"/>
        <w:rPr>
          <w:rFonts w:ascii="Arial" w:hAnsi="Arial" w:cs="Arial"/>
          <w:i/>
          <w:color w:val="000000" w:themeColor="text1"/>
          <w:sz w:val="22"/>
          <w:szCs w:val="22"/>
          <w:lang w:val="en-US"/>
        </w:rPr>
      </w:pP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В силу экономической функции, которую и выполняют деньги, выступают в гражданском обороте как эквивалент стоимости вещей в возмездных гражданско-правовых обязательствах (они существуют в абстрактной форме). Также являются средствами расчетов (то есть средством платежа), средством исполнения денежных обязательств, могут быть самостоятельным предметом гражданско-правового обязательства (к примеру: договоров займа, кредита и т.д.).</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Если, в общем сказать объектами гражданских прав являются вещи:</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1. документарные ценные бумаги и наличные деньги:</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2. иное имущество, в которую входят: бездокументарные ценные бумаги, безналичные денежные средства, имущественные права, результаты интеллектуальной деятельности, результаты работ и оказание различного рода услуг, а также средства индивидуализации (то есть интеллектуальная собственность), нематериальные блага и тому подобное [5, </w:t>
      </w:r>
      <w:r w:rsidRPr="00DA76A7">
        <w:rPr>
          <w:rFonts w:ascii="Arial" w:eastAsiaTheme="minorEastAsia" w:hAnsi="Arial" w:cs="Arial"/>
          <w:color w:val="000000" w:themeColor="text1"/>
          <w:sz w:val="22"/>
          <w:szCs w:val="22"/>
          <w:lang w:val="en-US"/>
        </w:rPr>
        <w:t>c</w:t>
      </w:r>
      <w:r w:rsidRPr="00DA76A7">
        <w:rPr>
          <w:rFonts w:ascii="Arial" w:eastAsiaTheme="minorEastAsia" w:hAnsi="Arial" w:cs="Arial"/>
          <w:color w:val="000000" w:themeColor="text1"/>
          <w:sz w:val="22"/>
          <w:szCs w:val="22"/>
        </w:rPr>
        <w:t>. 44].</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То есть, как мы отметили к вещам относятся деньги также документарные ценные бумаги, но а к иному имуществу  безналичные денежные средства, бездокументарные ценные бумаги, имущественные права и т.д.  В итоге  из всего сказанного следует, что деньги (наличные) входят в группу тех объектов, которые являются вещами, а безналичные деньги – это только имущественные права, но никак  не вещи.</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Согласно гражданскому Кодексу РФ рубль является законным платежным средством, обязательным к приему по нарицательной стоимости на всей территории Российской Федерации (это ст. 140 ГК РФ). </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Такое положение есть и в нашем законодательстве, то есть в пункте 2, статьи 155 Гражданского Кодекса РТ говорится, что платежи на территории Республики Таджикистан совершаются посредством наличных и безналичных расчетов [2].</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Деньги материальные, то есть как вещи и они выступают как денежные знаки: во первых как бумажных которыми являются банкноты, банковские билеты, во вторых как мы знаем металлических, например монет. Эти знаки являются объектами права собственности.</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Эмиссия (выпуск денег в обращение) – это  монопольное право  Национального Банка РТ предоставленное законом. Деньги материальные, то есть как вещи и они бывают в виде денежных знаков в том числе: бумажных которыми являются банкноты, банковские билеты, а также как мы знаем металлических, например монет и другие. И эти знаки являются объектами права собственности. Эмиссия (выпуск этих денег в обращение) – это монопольное право  Национального Банка РТ предоставленное законом.</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Деньги это движимая (это те вещи, не относящиеся к группе недвижимости),   заменяемая (ну тут понятно из названия, что это такое) и делимая вещь (это те вещи, которые можно разделить без изменения её назначения) . Это объясняется тем, что сущность и ценность денег заключаются не в их материально-вещественной форме, а в той сумме, которая этой формой выражается. В то же время денежные знаки могут выступать и в качестве индивидуально-определенных вещей, например, если они являются предметом коллекционирования либо индивидуализированы посредством специальных отметок, фиксации номеров купюр (к примеру, выступают в качестве вещественных доказательств). В этих случаях деньги становятся неделимыми, незаменимыми вещами и могут быть предметом договоров купли-продажи, мены, объектом истребования по виндикационному иску.</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Иная форма существования финансов или капитала представляет собой денежные средства на счетах в банках и других кредитных организациях. В такой закономерности деньги наличествуют не в физической конфигурации, а в облике записей на счетах, расчеты делаются посредством видоизменения показанных записей и зовутся безналичными. Запись о находящейся на счете определенной денежной сумме, по существу, подтверждает наличие обязательственного права владельца счета по отношению к банку, в котором счет открыт. Правила безналичных расчетов установлены подзаконными нормативными актами [4, </w:t>
      </w:r>
      <w:r w:rsidRPr="00DA76A7">
        <w:rPr>
          <w:rFonts w:ascii="Arial" w:eastAsiaTheme="minorEastAsia" w:hAnsi="Arial" w:cs="Arial"/>
          <w:color w:val="000000" w:themeColor="text1"/>
          <w:sz w:val="22"/>
          <w:szCs w:val="22"/>
          <w:lang w:val="en-US"/>
        </w:rPr>
        <w:t>c</w:t>
      </w:r>
      <w:r w:rsidRPr="00DA76A7">
        <w:rPr>
          <w:rFonts w:ascii="Arial" w:eastAsiaTheme="minorEastAsia" w:hAnsi="Arial" w:cs="Arial"/>
          <w:color w:val="000000" w:themeColor="text1"/>
          <w:sz w:val="22"/>
          <w:szCs w:val="22"/>
        </w:rPr>
        <w:t>. 101].</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Расчеты регламентированы положениями гл. 46 части второй ГК РФ, которая начинается со статьи 861, охватывающая следующие тезисы о наличных и безналичных расчетах: платы с участием граждан, не соединённые с реализацией ими предпринимательской деятельности, могут делаться наличными деньгами без ограничения суммы или в безналичном режиме (это был пункт 1); </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-расчеты между организациями и учреждениями, в общем юридическими лицами могут, а также расчеты с участием граждан, связанные с реализацией ими предпринимательской деятельности, делаются в безналичном режиме; </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-расчеты между этими субъектами могут совершаются и наличными деньгами, если иное не определено законом (это был пункт 2); </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-безналичные расчеты свершаются посредством банков, иных кредитных организациях, в которых открыты определённые счета, если иное не следует из закона и не определено применяемой формой расчетов (п. 3).</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Пункт 3 ст. 155 ГК РТ предусматривает, что случаи, распорядок и условия применения иностранной валюты на территории Республики Таджикистан определяются законом Республики Таджикистан. В соответствии с принесённым положением и кое-какими другими положениями регулирующий настоящий вопрос применение иностранной валюты, а также платежных документов в иностранной валюте при материализации расчетов на территории страны  по обязательствам допускается в случаях, в порядке и на обстоятельствах, определенных законом или в установленном им порядке [2].</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Понятие “иностранная валюта” установлено в пунктах. 2 и 4 части. 1 статьи. 1 ФЗ от 10 декабря 2003 г. N 173-ФЗ “О валютном регулировании и валютном контроле”. Также в Республике Таджикистан есть такой закон с таким же названием т.е. это ЗРТ “О валютном контроле и валютном регулировании” и в этих нормативно правовых актах понятие иностранной валюте принесено: </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 xml:space="preserve">а) такие денежные знаки как банкноты, казначейские билеты, монеты, которые находящиеся в гражданском обороте и могут быть легальным средством наличного платежа на территории надлежащего иностранного государства (группы иностранных государств), а также исключаемые либо изъятые из этого оборота, но подлежащие мене данные денежные знаки; </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б) средства на банковских счетах и в банковских вкладах в денежных единицах иностранных государств и международных денежных или расчетных единицах.</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Существенная функция денег – это предназначаться средством оплаты. В гражданском обороте деньги оцениваются в количественных выражения их единиц, а не числом банкнот или монет. Сомон является одним-единственным, законным средством наличного платежа на территории Республики Таджикистан, и поэтому формулирующие его платежеспособные банкноты и монеты (это уже дирами как мы знаем) обязательны к зачислению во все виды плат по их нарицательной стоимости. Другими словами, в данном  качестве наличные деньги могут погашать всякие денежные долговые обязательства.</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Для поддержания настоящего свойства денег публичная власть не только определяет монополию Национального банка на эмиссию, но также оглашает их своим безусловным обязательством, снабжаемой всеми его. И содержание предоставленного обязательства законом не раскрывается (то есть в свое время оно состояло в обмене наличных денег на надлежащее число ценных металлов, произведенных из них монет или прочих банковских активов, но перестало из-за прекращения золотого или другого снабжения эмитированных наличных денег). Принесенное обстоятельство исключает вероятность признания наличных денег ценными бумагами, поскольку никакого права касательно выпустившего их эмитента они в себе больше не содержат.</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Наряду с этим деньги могут быть и особым товаром - независимого предмета отдельных сделок, например займа и кредита (вот кредит представляет собой торговлю деньгами). Наличные деньги не могут быть истребованы от их законного приобретателя (статья 302 ГК РФ), в том числе и при условии их индивидуализации.</w:t>
      </w:r>
    </w:p>
    <w:p w:rsidR="00181BA7" w:rsidRPr="00DA76A7" w:rsidRDefault="00181BA7" w:rsidP="00181BA7">
      <w:pPr>
        <w:pStyle w:val="a7"/>
        <w:spacing w:before="0" w:beforeAutospacing="0" w:after="0" w:afterAutospacing="0"/>
        <w:ind w:firstLine="567"/>
        <w:jc w:val="both"/>
        <w:rPr>
          <w:rFonts w:ascii="Arial" w:eastAsiaTheme="minorEastAsia" w:hAnsi="Arial" w:cs="Arial"/>
          <w:color w:val="000000" w:themeColor="text1"/>
          <w:sz w:val="22"/>
          <w:szCs w:val="22"/>
        </w:rPr>
      </w:pPr>
      <w:r w:rsidRPr="00DA76A7">
        <w:rPr>
          <w:rFonts w:ascii="Arial" w:eastAsiaTheme="minorEastAsia" w:hAnsi="Arial" w:cs="Arial"/>
          <w:color w:val="000000" w:themeColor="text1"/>
          <w:sz w:val="22"/>
          <w:szCs w:val="22"/>
        </w:rPr>
        <w:t>В современном денежном обороте множество расчетов реализуются в безналичном порядке, с применением денежных средств, находящихся в банковских счетах и в депозитах. Безналичные деньги также обширно применяются в обороте как платежное средство, также как особый товар. Они довольно просто переводятся в наличные деньги и в большинстве случаях принимаются контрагентами-кредиторами в плату долга. Этим они как бы выполняют функции денег.</w:t>
      </w:r>
    </w:p>
    <w:p w:rsidR="00181BA7" w:rsidRPr="00DA76A7" w:rsidRDefault="00181BA7" w:rsidP="00181BA7">
      <w:pPr>
        <w:ind w:firstLine="567"/>
        <w:jc w:val="both"/>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 литературы</w:t>
      </w:r>
      <w:r w:rsidRPr="00DA76A7">
        <w:rPr>
          <w:rFonts w:ascii="Arial" w:hAnsi="Arial" w:cs="Arial"/>
          <w:b/>
          <w:color w:val="000000" w:themeColor="text1"/>
          <w:sz w:val="22"/>
          <w:szCs w:val="22"/>
          <w:lang w:val="en-US"/>
        </w:rPr>
        <w:t>:</w:t>
      </w:r>
    </w:p>
    <w:p w:rsidR="00181BA7" w:rsidRPr="00DA76A7" w:rsidRDefault="00181BA7" w:rsidP="00D45D6B">
      <w:pPr>
        <w:pStyle w:val="a6"/>
        <w:numPr>
          <w:ilvl w:val="0"/>
          <w:numId w:val="47"/>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Конституция Российской Федерации. Принята на всенародном референдуме 12 декабря 1993 // Российская газета. 25 декабря 1993. №237</w:t>
      </w:r>
    </w:p>
    <w:p w:rsidR="00181BA7" w:rsidRPr="00DA76A7" w:rsidRDefault="00181BA7" w:rsidP="00D45D6B">
      <w:pPr>
        <w:pStyle w:val="a6"/>
        <w:numPr>
          <w:ilvl w:val="0"/>
          <w:numId w:val="47"/>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Гражданский кодекс Республики Таджикистан. Ч. 1 от 30 июня 1999года // Ахбори Маджлиси Оли Республики Таджикистан, 1999 г., №6, ст. 153; ст. 154; 2001 г., №7, ст. 508; 2002 г., №4, ч. 1, ст. 170; 2005 г., №3, ст. 125; 2006 г., №4, ст. 193; 2007 г., №5, ст. 356; 2010 г., №3, ст. 156; №12, ч. 1, ст. 802; 2012 г., №7, ст. 700; №12, ч. 1, ст. 1021; 2013 г., №7, ст. 504; 2015 г., №3, ст. 200.</w:t>
      </w:r>
    </w:p>
    <w:p w:rsidR="00181BA7" w:rsidRPr="00DA76A7" w:rsidRDefault="00181BA7" w:rsidP="00D45D6B">
      <w:pPr>
        <w:pStyle w:val="a6"/>
        <w:numPr>
          <w:ilvl w:val="0"/>
          <w:numId w:val="47"/>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Гражданский кодекс Российской Федерации. Часть первая. Принят Государственной Думой РФ 21 октября 1994 г. // СЗ РФ. 1994 №15. Ст. 3301 </w:t>
      </w:r>
    </w:p>
    <w:p w:rsidR="00181BA7" w:rsidRPr="00DA76A7" w:rsidRDefault="00181BA7" w:rsidP="00D45D6B">
      <w:pPr>
        <w:pStyle w:val="a6"/>
        <w:numPr>
          <w:ilvl w:val="0"/>
          <w:numId w:val="47"/>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Зенин И. А.  Гражданское право: учеб. для академ. бакалавриата. - М.:Юрайт, 2015. - 655 с.</w:t>
      </w:r>
    </w:p>
    <w:p w:rsidR="00181BA7" w:rsidRPr="00DA76A7" w:rsidRDefault="00181BA7" w:rsidP="00D45D6B">
      <w:pPr>
        <w:pStyle w:val="a6"/>
        <w:numPr>
          <w:ilvl w:val="0"/>
          <w:numId w:val="47"/>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Гражданское право: учебник в 3-х т. Т. 3 / В. В. Безбах [и др.]; отв. ред. В. П. Мозолин. - М.: Проспект, 2014. - 699 с.</w:t>
      </w:r>
    </w:p>
    <w:p w:rsidR="00821AD4" w:rsidRDefault="00821AD4" w:rsidP="001713F3">
      <w:pPr>
        <w:pStyle w:val="a9"/>
        <w:ind w:firstLine="0"/>
        <w:rPr>
          <w:rFonts w:ascii="Arial" w:hAnsi="Arial" w:cs="Arial"/>
          <w:b/>
          <w:color w:val="000000" w:themeColor="text1"/>
          <w:lang w:val="ru-RU"/>
        </w:rPr>
      </w:pPr>
    </w:p>
    <w:p w:rsidR="00821AD4" w:rsidRDefault="00821AD4" w:rsidP="00181BA7">
      <w:pPr>
        <w:pStyle w:val="a9"/>
        <w:ind w:firstLine="0"/>
        <w:jc w:val="center"/>
        <w:rPr>
          <w:rFonts w:ascii="Arial" w:hAnsi="Arial" w:cs="Arial"/>
          <w:b/>
          <w:color w:val="000000" w:themeColor="text1"/>
          <w:lang w:val="ru-RU"/>
        </w:rPr>
      </w:pPr>
    </w:p>
    <w:p w:rsidR="00181BA7" w:rsidRPr="00DA76A7" w:rsidRDefault="00181BA7" w:rsidP="00181BA7">
      <w:pPr>
        <w:pStyle w:val="a9"/>
        <w:ind w:firstLine="0"/>
        <w:jc w:val="center"/>
        <w:rPr>
          <w:rFonts w:ascii="Arial" w:hAnsi="Arial" w:cs="Arial"/>
          <w:b/>
          <w:color w:val="000000" w:themeColor="text1"/>
          <w:lang w:val="ru-RU"/>
        </w:rPr>
      </w:pPr>
      <w:r w:rsidRPr="00DA76A7">
        <w:rPr>
          <w:rFonts w:ascii="Arial" w:hAnsi="Arial" w:cs="Arial"/>
          <w:b/>
          <w:color w:val="000000" w:themeColor="text1"/>
          <w:lang w:val="ru-RU"/>
        </w:rPr>
        <w:t>ВИДЫ ГРАЖДАНСКО-ПРАВОВОЙ ОТВЕТСТВЕННОСТИ</w:t>
      </w:r>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Бобоев Некру Хайриддинович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2 - 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Российско-Таджикский (Славянский) университет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542B0A"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(+992) 907-44-22-88, </w:t>
      </w:r>
      <w:r w:rsidRPr="00DA76A7">
        <w:rPr>
          <w:rFonts w:ascii="Arial" w:hAnsi="Arial" w:cs="Arial"/>
          <w:color w:val="000000" w:themeColor="text1"/>
          <w:sz w:val="22"/>
          <w:szCs w:val="22"/>
          <w:lang w:val="en-US"/>
        </w:rPr>
        <w:t>e</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nekru</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b</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p>
    <w:p w:rsidR="00181BA7" w:rsidRPr="00542B0A"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lang w:val="en-US"/>
        </w:rPr>
        <w:t>TYPES OF CIVIL LEGAL LIABILITY</w:t>
      </w:r>
      <w:r w:rsidRPr="00DA76A7">
        <w:rPr>
          <w:rFonts w:ascii="Arial" w:hAnsi="Arial" w:cs="Arial"/>
          <w:b/>
          <w:color w:val="000000" w:themeColor="text1"/>
          <w:sz w:val="22"/>
          <w:szCs w:val="22"/>
          <w:shd w:val="clear" w:color="auto" w:fill="FFFFFF"/>
          <w:lang w:val="en-US"/>
        </w:rPr>
        <w:t>SAIDOV IDRIS DILSODOVICH</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Boboev Nekru Hayriddinovich</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 xml:space="preserve">tel.: (+992) 907-44-22-88, e-mail: </w:t>
      </w:r>
      <w:hyperlink r:id="rId110" w:history="1">
        <w:r w:rsidRPr="00DA76A7">
          <w:rPr>
            <w:rStyle w:val="af0"/>
            <w:rFonts w:ascii="Arial" w:eastAsiaTheme="minorHAnsi" w:hAnsi="Arial" w:cs="Arial"/>
            <w:color w:val="000000" w:themeColor="text1"/>
            <w:u w:val="none"/>
          </w:rPr>
          <w:t>nekru-b@mail.ru</w:t>
        </w:r>
      </w:hyperlink>
    </w:p>
    <w:p w:rsidR="00181BA7" w:rsidRPr="00DA76A7" w:rsidRDefault="00181BA7" w:rsidP="00181BA7">
      <w:pPr>
        <w:pStyle w:val="a9"/>
        <w:ind w:firstLine="0"/>
        <w:jc w:val="center"/>
        <w:rPr>
          <w:rFonts w:ascii="Arial" w:hAnsi="Arial" w:cs="Arial"/>
          <w:color w:val="000000" w:themeColor="text1"/>
        </w:rPr>
      </w:pPr>
    </w:p>
    <w:p w:rsidR="00181BA7" w:rsidRPr="00DA76A7" w:rsidRDefault="00181BA7" w:rsidP="00181BA7">
      <w:pPr>
        <w:pStyle w:val="a9"/>
        <w:ind w:firstLine="0"/>
        <w:jc w:val="right"/>
        <w:rPr>
          <w:rFonts w:ascii="Arial" w:hAnsi="Arial" w:cs="Arial"/>
          <w:color w:val="000000" w:themeColor="text1"/>
          <w:lang w:val="ru-RU"/>
        </w:rPr>
      </w:pPr>
      <w:r w:rsidRPr="00DA76A7">
        <w:rPr>
          <w:rFonts w:ascii="Arial" w:hAnsi="Arial" w:cs="Arial"/>
          <w:color w:val="000000" w:themeColor="text1"/>
          <w:lang w:val="ru-RU"/>
        </w:rPr>
        <w:t>Научный руководитель: к.ю.н., доцент Мирзоев П.И.</w:t>
      </w:r>
    </w:p>
    <w:p w:rsidR="00181BA7" w:rsidRPr="00DA76A7" w:rsidRDefault="00181BA7" w:rsidP="00181BA7">
      <w:pPr>
        <w:pStyle w:val="a9"/>
        <w:ind w:firstLine="567"/>
        <w:rPr>
          <w:rFonts w:ascii="Arial" w:hAnsi="Arial" w:cs="Arial"/>
          <w:b/>
          <w:color w:val="000000" w:themeColor="text1"/>
          <w:lang w:val="ru-RU"/>
        </w:rPr>
      </w:pPr>
    </w:p>
    <w:p w:rsidR="00181BA7" w:rsidRPr="00DA76A7" w:rsidRDefault="00181BA7" w:rsidP="00181BA7">
      <w:pPr>
        <w:pStyle w:val="a9"/>
        <w:ind w:firstLine="567"/>
        <w:rPr>
          <w:rFonts w:ascii="Arial" w:hAnsi="Arial" w:cs="Arial"/>
          <w:i/>
          <w:color w:val="000000" w:themeColor="text1"/>
          <w:spacing w:val="-4"/>
          <w:lang w:val="ru-RU"/>
        </w:rPr>
      </w:pPr>
      <w:r w:rsidRPr="00DA76A7">
        <w:rPr>
          <w:rFonts w:ascii="Arial" w:hAnsi="Arial" w:cs="Arial"/>
          <w:b/>
          <w:i/>
          <w:color w:val="000000" w:themeColor="text1"/>
          <w:lang w:val="ru-RU"/>
        </w:rPr>
        <w:t>Аннотация.</w:t>
      </w:r>
      <w:r w:rsidRPr="00DA76A7">
        <w:rPr>
          <w:rFonts w:ascii="Arial" w:hAnsi="Arial" w:cs="Arial"/>
          <w:i/>
          <w:color w:val="000000" w:themeColor="text1"/>
          <w:lang w:val="ru-RU"/>
        </w:rPr>
        <w:t xml:space="preserve"> В</w:t>
      </w:r>
      <w:r w:rsidRPr="00DA76A7">
        <w:rPr>
          <w:rFonts w:ascii="Arial" w:hAnsi="Arial" w:cs="Arial"/>
          <w:i/>
          <w:color w:val="000000" w:themeColor="text1"/>
          <w:spacing w:val="-23"/>
          <w:lang w:val="ru-RU"/>
        </w:rPr>
        <w:t xml:space="preserve"> </w:t>
      </w:r>
      <w:r w:rsidRPr="00DA76A7">
        <w:rPr>
          <w:rFonts w:ascii="Arial" w:hAnsi="Arial" w:cs="Arial"/>
          <w:i/>
          <w:color w:val="000000" w:themeColor="text1"/>
          <w:lang w:val="ru-RU"/>
        </w:rPr>
        <w:t>статье</w:t>
      </w:r>
      <w:r w:rsidRPr="00DA76A7">
        <w:rPr>
          <w:rFonts w:ascii="Arial" w:hAnsi="Arial" w:cs="Arial"/>
          <w:i/>
          <w:color w:val="000000" w:themeColor="text1"/>
          <w:spacing w:val="-26"/>
          <w:lang w:val="ru-RU"/>
        </w:rPr>
        <w:t xml:space="preserve"> </w:t>
      </w:r>
      <w:r w:rsidRPr="00DA76A7">
        <w:rPr>
          <w:rFonts w:ascii="Arial" w:hAnsi="Arial" w:cs="Arial"/>
          <w:i/>
          <w:color w:val="000000" w:themeColor="text1"/>
          <w:lang w:val="ru-RU"/>
        </w:rPr>
        <w:t>анализируются</w:t>
      </w:r>
      <w:r w:rsidRPr="00DA76A7">
        <w:rPr>
          <w:rFonts w:ascii="Arial" w:hAnsi="Arial" w:cs="Arial"/>
          <w:i/>
          <w:color w:val="000000" w:themeColor="text1"/>
          <w:spacing w:val="-22"/>
          <w:lang w:val="ru-RU"/>
        </w:rPr>
        <w:t xml:space="preserve"> </w:t>
      </w:r>
      <w:r w:rsidRPr="00DA76A7">
        <w:rPr>
          <w:rFonts w:ascii="Arial" w:hAnsi="Arial" w:cs="Arial"/>
          <w:i/>
          <w:color w:val="000000" w:themeColor="text1"/>
          <w:lang w:val="ru-RU"/>
        </w:rPr>
        <w:t>особенности</w:t>
      </w:r>
      <w:r w:rsidRPr="00DA76A7">
        <w:rPr>
          <w:rFonts w:ascii="Arial" w:hAnsi="Arial" w:cs="Arial"/>
          <w:i/>
          <w:color w:val="000000" w:themeColor="text1"/>
          <w:spacing w:val="-19"/>
          <w:lang w:val="ru-RU"/>
        </w:rPr>
        <w:t xml:space="preserve"> </w:t>
      </w:r>
      <w:r w:rsidRPr="00DA76A7">
        <w:rPr>
          <w:rFonts w:ascii="Arial" w:hAnsi="Arial" w:cs="Arial"/>
          <w:i/>
          <w:color w:val="000000" w:themeColor="text1"/>
          <w:lang w:val="ru-RU"/>
        </w:rPr>
        <w:t>деления</w:t>
      </w:r>
      <w:r w:rsidRPr="00DA76A7">
        <w:rPr>
          <w:rFonts w:ascii="Arial" w:hAnsi="Arial" w:cs="Arial"/>
          <w:i/>
          <w:color w:val="000000" w:themeColor="text1"/>
          <w:spacing w:val="-21"/>
          <w:lang w:val="ru-RU"/>
        </w:rPr>
        <w:t xml:space="preserve"> </w:t>
      </w:r>
      <w:r w:rsidRPr="00DA76A7">
        <w:rPr>
          <w:rFonts w:ascii="Arial" w:hAnsi="Arial" w:cs="Arial"/>
          <w:i/>
          <w:color w:val="000000" w:themeColor="text1"/>
          <w:lang w:val="ru-RU"/>
        </w:rPr>
        <w:t>гражданско-правовой</w:t>
      </w:r>
      <w:r w:rsidRPr="00DA76A7">
        <w:rPr>
          <w:rFonts w:ascii="Arial" w:hAnsi="Arial" w:cs="Arial"/>
          <w:i/>
          <w:color w:val="000000" w:themeColor="text1"/>
          <w:spacing w:val="-12"/>
          <w:lang w:val="ru-RU"/>
        </w:rPr>
        <w:t xml:space="preserve"> </w:t>
      </w:r>
      <w:r w:rsidRPr="00DA76A7">
        <w:rPr>
          <w:rFonts w:ascii="Arial" w:hAnsi="Arial" w:cs="Arial"/>
          <w:i/>
          <w:color w:val="000000" w:themeColor="text1"/>
          <w:lang w:val="ru-RU"/>
        </w:rPr>
        <w:t>ответственности</w:t>
      </w:r>
      <w:r w:rsidRPr="00DA76A7">
        <w:rPr>
          <w:rFonts w:ascii="Arial" w:hAnsi="Arial" w:cs="Arial"/>
          <w:i/>
          <w:color w:val="000000" w:themeColor="text1"/>
          <w:spacing w:val="-7"/>
          <w:lang w:val="ru-RU"/>
        </w:rPr>
        <w:t xml:space="preserve"> </w:t>
      </w:r>
      <w:r w:rsidRPr="00DA76A7">
        <w:rPr>
          <w:rFonts w:ascii="Arial" w:hAnsi="Arial" w:cs="Arial"/>
          <w:i/>
          <w:color w:val="000000" w:themeColor="text1"/>
          <w:lang w:val="ru-RU"/>
        </w:rPr>
        <w:t>на</w:t>
      </w:r>
      <w:r w:rsidRPr="00DA76A7">
        <w:rPr>
          <w:rFonts w:ascii="Arial" w:hAnsi="Arial" w:cs="Arial"/>
          <w:i/>
          <w:color w:val="000000" w:themeColor="text1"/>
          <w:spacing w:val="-12"/>
          <w:lang w:val="ru-RU"/>
        </w:rPr>
        <w:t xml:space="preserve"> </w:t>
      </w:r>
      <w:r w:rsidRPr="00DA76A7">
        <w:rPr>
          <w:rFonts w:ascii="Arial" w:hAnsi="Arial" w:cs="Arial"/>
          <w:i/>
          <w:color w:val="000000" w:themeColor="text1"/>
          <w:lang w:val="ru-RU"/>
        </w:rPr>
        <w:t>виды,</w:t>
      </w:r>
      <w:r w:rsidRPr="00DA76A7">
        <w:rPr>
          <w:rFonts w:ascii="Arial" w:hAnsi="Arial" w:cs="Arial"/>
          <w:i/>
          <w:color w:val="000000" w:themeColor="text1"/>
          <w:spacing w:val="-6"/>
          <w:lang w:val="ru-RU"/>
        </w:rPr>
        <w:t xml:space="preserve"> </w:t>
      </w:r>
      <w:r w:rsidRPr="00DA76A7">
        <w:rPr>
          <w:rFonts w:ascii="Arial" w:hAnsi="Arial" w:cs="Arial"/>
          <w:i/>
          <w:color w:val="000000" w:themeColor="text1"/>
          <w:lang w:val="ru-RU"/>
        </w:rPr>
        <w:t>рассматриваются</w:t>
      </w:r>
      <w:r w:rsidRPr="00DA76A7">
        <w:rPr>
          <w:rFonts w:ascii="Arial" w:hAnsi="Arial" w:cs="Arial"/>
          <w:i/>
          <w:color w:val="000000" w:themeColor="text1"/>
          <w:spacing w:val="-15"/>
          <w:lang w:val="ru-RU"/>
        </w:rPr>
        <w:t xml:space="preserve"> </w:t>
      </w:r>
      <w:r w:rsidRPr="00DA76A7">
        <w:rPr>
          <w:rFonts w:ascii="Arial" w:hAnsi="Arial" w:cs="Arial"/>
          <w:i/>
          <w:color w:val="000000" w:themeColor="text1"/>
          <w:lang w:val="ru-RU"/>
        </w:rPr>
        <w:t>условия наступления</w:t>
      </w:r>
      <w:r w:rsidRPr="00DA76A7">
        <w:rPr>
          <w:rFonts w:ascii="Arial" w:hAnsi="Arial" w:cs="Arial"/>
          <w:i/>
          <w:color w:val="000000" w:themeColor="text1"/>
          <w:spacing w:val="-22"/>
          <w:lang w:val="ru-RU"/>
        </w:rPr>
        <w:t xml:space="preserve"> </w:t>
      </w:r>
      <w:r w:rsidRPr="00DA76A7">
        <w:rPr>
          <w:rFonts w:ascii="Arial" w:hAnsi="Arial" w:cs="Arial"/>
          <w:i/>
          <w:color w:val="000000" w:themeColor="text1"/>
          <w:lang w:val="ru-RU"/>
        </w:rPr>
        <w:t>гражданско-правовой</w:t>
      </w:r>
      <w:r w:rsidRPr="00DA76A7">
        <w:rPr>
          <w:rFonts w:ascii="Arial" w:hAnsi="Arial" w:cs="Arial"/>
          <w:i/>
          <w:color w:val="000000" w:themeColor="text1"/>
          <w:spacing w:val="-19"/>
          <w:lang w:val="ru-RU"/>
        </w:rPr>
        <w:t xml:space="preserve"> </w:t>
      </w:r>
      <w:r w:rsidRPr="00DA76A7">
        <w:rPr>
          <w:rFonts w:ascii="Arial" w:hAnsi="Arial" w:cs="Arial"/>
          <w:i/>
          <w:color w:val="000000" w:themeColor="text1"/>
          <w:lang w:val="ru-RU"/>
        </w:rPr>
        <w:t>ответственности</w:t>
      </w:r>
      <w:r w:rsidRPr="00DA76A7">
        <w:rPr>
          <w:rFonts w:ascii="Arial" w:hAnsi="Arial" w:cs="Arial"/>
          <w:i/>
          <w:color w:val="000000" w:themeColor="text1"/>
          <w:spacing w:val="-19"/>
          <w:lang w:val="ru-RU"/>
        </w:rPr>
        <w:t xml:space="preserve"> </w:t>
      </w:r>
      <w:r w:rsidRPr="00DA76A7">
        <w:rPr>
          <w:rFonts w:ascii="Arial" w:hAnsi="Arial" w:cs="Arial"/>
          <w:i/>
          <w:color w:val="000000" w:themeColor="text1"/>
          <w:lang w:val="ru-RU"/>
        </w:rPr>
        <w:t>и</w:t>
      </w:r>
      <w:r w:rsidRPr="00DA76A7">
        <w:rPr>
          <w:rFonts w:ascii="Arial" w:hAnsi="Arial" w:cs="Arial"/>
          <w:i/>
          <w:color w:val="000000" w:themeColor="text1"/>
          <w:spacing w:val="-19"/>
          <w:lang w:val="ru-RU"/>
        </w:rPr>
        <w:t xml:space="preserve"> </w:t>
      </w:r>
      <w:r w:rsidRPr="00DA76A7">
        <w:rPr>
          <w:rFonts w:ascii="Arial" w:hAnsi="Arial" w:cs="Arial"/>
          <w:i/>
          <w:color w:val="000000" w:themeColor="text1"/>
          <w:lang w:val="ru-RU"/>
        </w:rPr>
        <w:t xml:space="preserve">условия освобождения </w:t>
      </w:r>
      <w:r w:rsidRPr="00DA76A7">
        <w:rPr>
          <w:rFonts w:ascii="Arial" w:hAnsi="Arial" w:cs="Arial"/>
          <w:i/>
          <w:color w:val="000000" w:themeColor="text1"/>
          <w:spacing w:val="-3"/>
          <w:lang w:val="ru-RU"/>
        </w:rPr>
        <w:t>от</w:t>
      </w:r>
      <w:r w:rsidRPr="00DA76A7">
        <w:rPr>
          <w:rFonts w:ascii="Arial" w:hAnsi="Arial" w:cs="Arial"/>
          <w:i/>
          <w:color w:val="000000" w:themeColor="text1"/>
          <w:spacing w:val="-10"/>
          <w:lang w:val="ru-RU"/>
        </w:rPr>
        <w:t xml:space="preserve"> </w:t>
      </w:r>
      <w:r w:rsidRPr="00DA76A7">
        <w:rPr>
          <w:rFonts w:ascii="Arial" w:hAnsi="Arial" w:cs="Arial"/>
          <w:i/>
          <w:color w:val="000000" w:themeColor="text1"/>
          <w:spacing w:val="-4"/>
          <w:lang w:val="ru-RU"/>
        </w:rPr>
        <w:t>нее.</w:t>
      </w:r>
    </w:p>
    <w:p w:rsidR="00181BA7" w:rsidRPr="00DA76A7" w:rsidRDefault="00181BA7" w:rsidP="00181BA7">
      <w:pPr>
        <w:pStyle w:val="a9"/>
        <w:ind w:firstLine="567"/>
        <w:rPr>
          <w:rFonts w:ascii="Arial" w:hAnsi="Arial" w:cs="Arial"/>
          <w:i/>
          <w:color w:val="000000" w:themeColor="text1"/>
          <w:spacing w:val="-4"/>
        </w:rPr>
      </w:pPr>
      <w:r w:rsidRPr="00DA76A7">
        <w:rPr>
          <w:rFonts w:ascii="Arial" w:hAnsi="Arial" w:cs="Arial"/>
          <w:b/>
          <w:i/>
          <w:color w:val="000000" w:themeColor="text1"/>
          <w:spacing w:val="-4"/>
        </w:rPr>
        <w:t>Annotation.</w:t>
      </w:r>
      <w:r w:rsidRPr="00DA76A7">
        <w:rPr>
          <w:rFonts w:ascii="Arial" w:hAnsi="Arial" w:cs="Arial"/>
          <w:i/>
          <w:color w:val="000000" w:themeColor="text1"/>
          <w:spacing w:val="-4"/>
        </w:rPr>
        <w:t xml:space="preserve">  The article analyzes the features of the division of civil liability into species, examines the conditions for the onset of civil liability and the conditions for exempting it from civil liability.</w:t>
      </w:r>
    </w:p>
    <w:p w:rsidR="00181BA7" w:rsidRPr="00DA76A7" w:rsidRDefault="00181BA7" w:rsidP="00181BA7">
      <w:pPr>
        <w:pStyle w:val="a9"/>
        <w:ind w:firstLine="567"/>
        <w:rPr>
          <w:rFonts w:ascii="Arial" w:hAnsi="Arial" w:cs="Arial"/>
          <w:i/>
          <w:color w:val="000000" w:themeColor="text1"/>
          <w:lang w:val="ru-RU"/>
        </w:rPr>
      </w:pPr>
      <w:r w:rsidRPr="00DA76A7">
        <w:rPr>
          <w:rFonts w:ascii="Arial" w:hAnsi="Arial" w:cs="Arial"/>
          <w:b/>
          <w:i/>
          <w:color w:val="000000" w:themeColor="text1"/>
          <w:lang w:val="ru-RU"/>
        </w:rPr>
        <w:t xml:space="preserve">Ключевые </w:t>
      </w:r>
      <w:r w:rsidRPr="00DA76A7">
        <w:rPr>
          <w:rFonts w:ascii="Arial" w:hAnsi="Arial" w:cs="Arial"/>
          <w:b/>
          <w:i/>
          <w:color w:val="000000" w:themeColor="text1"/>
          <w:spacing w:val="2"/>
          <w:lang w:val="ru-RU"/>
        </w:rPr>
        <w:t>слова:</w:t>
      </w:r>
      <w:r w:rsidRPr="00DA76A7">
        <w:rPr>
          <w:rFonts w:ascii="Arial" w:hAnsi="Arial" w:cs="Arial"/>
          <w:i/>
          <w:color w:val="000000" w:themeColor="text1"/>
          <w:spacing w:val="2"/>
          <w:lang w:val="ru-RU"/>
        </w:rPr>
        <w:t xml:space="preserve"> гражданско-правовая </w:t>
      </w:r>
      <w:r w:rsidRPr="00DA76A7">
        <w:rPr>
          <w:rFonts w:ascii="Arial" w:hAnsi="Arial" w:cs="Arial"/>
          <w:i/>
          <w:color w:val="000000" w:themeColor="text1"/>
          <w:lang w:val="ru-RU"/>
        </w:rPr>
        <w:t xml:space="preserve">ответственность, виды гражданско-правовой ответственности, восстановление и </w:t>
      </w:r>
      <w:r w:rsidRPr="00DA76A7">
        <w:rPr>
          <w:rFonts w:ascii="Arial" w:hAnsi="Arial" w:cs="Arial"/>
          <w:i/>
          <w:color w:val="000000" w:themeColor="text1"/>
          <w:spacing w:val="11"/>
          <w:lang w:val="ru-RU"/>
        </w:rPr>
        <w:t xml:space="preserve">защита нарушенных гражданских прав, </w:t>
      </w:r>
      <w:r w:rsidRPr="00DA76A7">
        <w:rPr>
          <w:rFonts w:ascii="Arial" w:hAnsi="Arial" w:cs="Arial"/>
          <w:i/>
          <w:color w:val="000000" w:themeColor="text1"/>
          <w:spacing w:val="10"/>
          <w:lang w:val="ru-RU"/>
        </w:rPr>
        <w:t xml:space="preserve">договорная </w:t>
      </w:r>
      <w:r w:rsidRPr="00DA76A7">
        <w:rPr>
          <w:rFonts w:ascii="Arial" w:hAnsi="Arial" w:cs="Arial"/>
          <w:i/>
          <w:color w:val="000000" w:themeColor="text1"/>
          <w:lang w:val="ru-RU"/>
        </w:rPr>
        <w:t>ответственность,</w:t>
      </w:r>
      <w:r w:rsidRPr="00DA76A7">
        <w:rPr>
          <w:rFonts w:ascii="Arial" w:hAnsi="Arial" w:cs="Arial"/>
          <w:i/>
          <w:color w:val="000000" w:themeColor="text1"/>
          <w:spacing w:val="-19"/>
          <w:lang w:val="ru-RU"/>
        </w:rPr>
        <w:t xml:space="preserve"> </w:t>
      </w:r>
      <w:r w:rsidRPr="00DA76A7">
        <w:rPr>
          <w:rFonts w:ascii="Arial" w:hAnsi="Arial" w:cs="Arial"/>
          <w:i/>
          <w:color w:val="000000" w:themeColor="text1"/>
          <w:lang w:val="ru-RU"/>
        </w:rPr>
        <w:t>внедоговорная</w:t>
      </w:r>
      <w:r w:rsidRPr="00DA76A7">
        <w:rPr>
          <w:rFonts w:ascii="Arial" w:hAnsi="Arial" w:cs="Arial"/>
          <w:i/>
          <w:color w:val="000000" w:themeColor="text1"/>
          <w:spacing w:val="-20"/>
          <w:lang w:val="ru-RU"/>
        </w:rPr>
        <w:t xml:space="preserve"> </w:t>
      </w:r>
      <w:r w:rsidRPr="00DA76A7">
        <w:rPr>
          <w:rFonts w:ascii="Arial" w:hAnsi="Arial" w:cs="Arial"/>
          <w:i/>
          <w:color w:val="000000" w:themeColor="text1"/>
          <w:lang w:val="ru-RU"/>
        </w:rPr>
        <w:t>(деликтная)</w:t>
      </w:r>
      <w:r w:rsidRPr="00DA76A7">
        <w:rPr>
          <w:rFonts w:ascii="Arial" w:hAnsi="Arial" w:cs="Arial"/>
          <w:i/>
          <w:color w:val="000000" w:themeColor="text1"/>
          <w:spacing w:val="-22"/>
          <w:lang w:val="ru-RU"/>
        </w:rPr>
        <w:t xml:space="preserve"> </w:t>
      </w:r>
      <w:r w:rsidRPr="00DA76A7">
        <w:rPr>
          <w:rFonts w:ascii="Arial" w:hAnsi="Arial" w:cs="Arial"/>
          <w:i/>
          <w:color w:val="000000" w:themeColor="text1"/>
          <w:lang w:val="ru-RU"/>
        </w:rPr>
        <w:t>ответственность, наступление гражданско-правовой</w:t>
      </w:r>
      <w:r w:rsidRPr="00DA76A7">
        <w:rPr>
          <w:rFonts w:ascii="Arial" w:hAnsi="Arial" w:cs="Arial"/>
          <w:i/>
          <w:color w:val="000000" w:themeColor="text1"/>
          <w:spacing w:val="-9"/>
          <w:lang w:val="ru-RU"/>
        </w:rPr>
        <w:t xml:space="preserve"> </w:t>
      </w:r>
      <w:r w:rsidRPr="00DA76A7">
        <w:rPr>
          <w:rFonts w:ascii="Arial" w:hAnsi="Arial" w:cs="Arial"/>
          <w:i/>
          <w:color w:val="000000" w:themeColor="text1"/>
          <w:lang w:val="ru-RU"/>
        </w:rPr>
        <w:t>ответственности.</w:t>
      </w:r>
    </w:p>
    <w:p w:rsidR="00181BA7" w:rsidRPr="00DA76A7" w:rsidRDefault="00181BA7" w:rsidP="00181BA7">
      <w:pPr>
        <w:pStyle w:val="a9"/>
        <w:ind w:firstLine="567"/>
        <w:rPr>
          <w:rFonts w:ascii="Arial" w:hAnsi="Arial" w:cs="Arial"/>
          <w:i/>
          <w:color w:val="000000" w:themeColor="text1"/>
        </w:rPr>
      </w:pPr>
      <w:r w:rsidRPr="00DA76A7">
        <w:rPr>
          <w:rFonts w:ascii="Arial" w:hAnsi="Arial" w:cs="Arial"/>
          <w:b/>
          <w:i/>
          <w:color w:val="000000" w:themeColor="text1"/>
        </w:rPr>
        <w:t>Key words:</w:t>
      </w:r>
      <w:r w:rsidRPr="00DA76A7">
        <w:rPr>
          <w:rFonts w:ascii="Arial" w:hAnsi="Arial" w:cs="Arial"/>
          <w:i/>
          <w:color w:val="000000" w:themeColor="text1"/>
        </w:rPr>
        <w:t xml:space="preserve"> civil liability, types of civil liability, restoration and protection of violated civil rights, contractual liability, non-contractual (tortious) liability, civil liability.</w:t>
      </w:r>
    </w:p>
    <w:p w:rsidR="00181BA7" w:rsidRPr="00DA76A7" w:rsidRDefault="00181BA7" w:rsidP="00181BA7">
      <w:pPr>
        <w:pStyle w:val="a9"/>
        <w:ind w:firstLine="567"/>
        <w:rPr>
          <w:rFonts w:ascii="Arial" w:hAnsi="Arial" w:cs="Arial"/>
          <w:color w:val="000000" w:themeColor="text1"/>
        </w:rPr>
      </w:pP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В </w:t>
      </w:r>
      <w:r w:rsidRPr="00DA76A7">
        <w:rPr>
          <w:rFonts w:ascii="Arial" w:hAnsi="Arial" w:cs="Arial"/>
          <w:color w:val="000000" w:themeColor="text1"/>
          <w:spacing w:val="-4"/>
          <w:lang w:val="ru-RU"/>
        </w:rPr>
        <w:t xml:space="preserve">ст. </w:t>
      </w:r>
      <w:r w:rsidRPr="00DA76A7">
        <w:rPr>
          <w:rFonts w:ascii="Arial" w:hAnsi="Arial" w:cs="Arial"/>
          <w:color w:val="000000" w:themeColor="text1"/>
          <w:lang w:val="ru-RU"/>
        </w:rPr>
        <w:t xml:space="preserve">1-го </w:t>
      </w:r>
      <w:r w:rsidRPr="00DA76A7">
        <w:rPr>
          <w:rFonts w:ascii="Arial" w:hAnsi="Arial" w:cs="Arial"/>
          <w:color w:val="000000" w:themeColor="text1"/>
          <w:spacing w:val="-2"/>
          <w:lang w:val="ru-RU"/>
        </w:rPr>
        <w:t xml:space="preserve">Гражданского </w:t>
      </w:r>
      <w:r w:rsidRPr="00DA76A7">
        <w:rPr>
          <w:rFonts w:ascii="Arial" w:hAnsi="Arial" w:cs="Arial"/>
          <w:color w:val="000000" w:themeColor="text1"/>
          <w:spacing w:val="-5"/>
          <w:lang w:val="ru-RU"/>
        </w:rPr>
        <w:t xml:space="preserve">кодекса </w:t>
      </w:r>
      <w:r w:rsidRPr="00DA76A7">
        <w:rPr>
          <w:rFonts w:ascii="Arial" w:hAnsi="Arial" w:cs="Arial"/>
          <w:color w:val="000000" w:themeColor="text1"/>
          <w:lang w:val="ru-RU"/>
        </w:rPr>
        <w:t xml:space="preserve">РТ и РФ [1, 26] </w:t>
      </w:r>
      <w:r w:rsidRPr="00DA76A7">
        <w:rPr>
          <w:rFonts w:ascii="Arial" w:hAnsi="Arial" w:cs="Arial"/>
          <w:color w:val="000000" w:themeColor="text1"/>
          <w:spacing w:val="-3"/>
          <w:lang w:val="ru-RU"/>
        </w:rPr>
        <w:t xml:space="preserve">указывается о необходимости </w:t>
      </w:r>
      <w:r w:rsidRPr="00DA76A7">
        <w:rPr>
          <w:rFonts w:ascii="Arial" w:hAnsi="Arial" w:cs="Arial"/>
          <w:color w:val="000000" w:themeColor="text1"/>
          <w:lang w:val="ru-RU"/>
        </w:rPr>
        <w:t xml:space="preserve">восстановления и защиты нарушенных субъективных прав граждан, юридических лиц и публичных образований, </w:t>
      </w:r>
      <w:r w:rsidRPr="00DA76A7">
        <w:rPr>
          <w:rFonts w:ascii="Arial" w:hAnsi="Arial" w:cs="Arial"/>
          <w:color w:val="000000" w:themeColor="text1"/>
          <w:spacing w:val="-3"/>
          <w:lang w:val="ru-RU"/>
        </w:rPr>
        <w:t xml:space="preserve">что </w:t>
      </w:r>
      <w:r w:rsidRPr="00DA76A7">
        <w:rPr>
          <w:rFonts w:ascii="Arial" w:hAnsi="Arial" w:cs="Arial"/>
          <w:color w:val="000000" w:themeColor="text1"/>
          <w:lang w:val="ru-RU"/>
        </w:rPr>
        <w:t xml:space="preserve">по своей сути представляет </w:t>
      </w:r>
      <w:r w:rsidRPr="00DA76A7">
        <w:rPr>
          <w:rFonts w:ascii="Arial" w:hAnsi="Arial" w:cs="Arial"/>
          <w:color w:val="000000" w:themeColor="text1"/>
          <w:spacing w:val="4"/>
          <w:lang w:val="ru-RU"/>
        </w:rPr>
        <w:t xml:space="preserve">важнейшей </w:t>
      </w:r>
      <w:r w:rsidRPr="00DA76A7">
        <w:rPr>
          <w:rFonts w:ascii="Arial" w:hAnsi="Arial" w:cs="Arial"/>
          <w:color w:val="000000" w:themeColor="text1"/>
          <w:spacing w:val="6"/>
          <w:lang w:val="ru-RU"/>
        </w:rPr>
        <w:t xml:space="preserve">гарантией </w:t>
      </w:r>
      <w:r w:rsidRPr="00DA76A7">
        <w:rPr>
          <w:rFonts w:ascii="Arial" w:hAnsi="Arial" w:cs="Arial"/>
          <w:color w:val="000000" w:themeColor="text1"/>
          <w:spacing w:val="5"/>
          <w:lang w:val="ru-RU"/>
        </w:rPr>
        <w:t xml:space="preserve">защиты гражданских </w:t>
      </w:r>
      <w:r w:rsidRPr="00DA76A7">
        <w:rPr>
          <w:rFonts w:ascii="Arial" w:hAnsi="Arial" w:cs="Arial"/>
          <w:color w:val="000000" w:themeColor="text1"/>
          <w:spacing w:val="6"/>
          <w:lang w:val="ru-RU"/>
        </w:rPr>
        <w:t>прав</w:t>
      </w:r>
      <w:r w:rsidRPr="00DA76A7">
        <w:rPr>
          <w:rFonts w:ascii="Arial" w:hAnsi="Arial" w:cs="Arial"/>
          <w:color w:val="000000" w:themeColor="text1"/>
          <w:lang w:val="ru-RU"/>
        </w:rPr>
        <w:t>. В основе восстановления и защиты нарушенных гражданских прав лежит механизм привлечения к гражданско-правовой ответственности. Исходя</w:t>
      </w:r>
      <w:r w:rsidRPr="00DA76A7">
        <w:rPr>
          <w:rFonts w:ascii="Arial" w:hAnsi="Arial" w:cs="Arial"/>
          <w:color w:val="000000" w:themeColor="text1"/>
          <w:spacing w:val="-5"/>
          <w:lang w:val="ru-RU"/>
        </w:rPr>
        <w:t>, из этого</w:t>
      </w:r>
      <w:r w:rsidRPr="00DA76A7">
        <w:rPr>
          <w:rFonts w:ascii="Arial" w:hAnsi="Arial" w:cs="Arial"/>
          <w:color w:val="000000" w:themeColor="text1"/>
          <w:lang w:val="ru-RU"/>
        </w:rPr>
        <w:t xml:space="preserve">, институт гражданско-правовой ответственности представляет собой </w:t>
      </w:r>
      <w:r w:rsidRPr="00DA76A7">
        <w:rPr>
          <w:rFonts w:ascii="Arial" w:hAnsi="Arial" w:cs="Arial"/>
          <w:color w:val="000000" w:themeColor="text1"/>
          <w:spacing w:val="-3"/>
          <w:lang w:val="ru-RU"/>
        </w:rPr>
        <w:t xml:space="preserve">одну </w:t>
      </w:r>
      <w:r w:rsidRPr="00DA76A7">
        <w:rPr>
          <w:rFonts w:ascii="Arial" w:hAnsi="Arial" w:cs="Arial"/>
          <w:color w:val="000000" w:themeColor="text1"/>
          <w:lang w:val="ru-RU"/>
        </w:rPr>
        <w:t>из важнейших механизмом восстановления нарушенных гражданских прав.</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3"/>
          <w:lang w:val="ru-RU"/>
        </w:rPr>
        <w:t xml:space="preserve">Современные концепции о гражданско-правовой ответственности возникают и реализуются </w:t>
      </w:r>
      <w:r w:rsidRPr="00DA76A7">
        <w:rPr>
          <w:rFonts w:ascii="Arial" w:hAnsi="Arial" w:cs="Arial"/>
          <w:color w:val="000000" w:themeColor="text1"/>
          <w:lang w:val="ru-RU"/>
        </w:rPr>
        <w:t xml:space="preserve">в рамках </w:t>
      </w:r>
      <w:r w:rsidRPr="00DA76A7">
        <w:rPr>
          <w:rFonts w:ascii="Arial" w:hAnsi="Arial" w:cs="Arial"/>
          <w:color w:val="000000" w:themeColor="text1"/>
          <w:spacing w:val="-3"/>
          <w:lang w:val="ru-RU"/>
        </w:rPr>
        <w:t>особого</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обязательственного</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правоотношения. В</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данном</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случае</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речь</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идет</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о</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 xml:space="preserve">существовании особого института охранительного правоотношения, при возникновении </w:t>
      </w:r>
      <w:r w:rsidRPr="00DA76A7">
        <w:rPr>
          <w:rFonts w:ascii="Arial" w:hAnsi="Arial" w:cs="Arial"/>
          <w:color w:val="000000" w:themeColor="text1"/>
          <w:spacing w:val="-5"/>
          <w:lang w:val="ru-RU"/>
        </w:rPr>
        <w:t xml:space="preserve">которого </w:t>
      </w:r>
      <w:r w:rsidRPr="00DA76A7">
        <w:rPr>
          <w:rFonts w:ascii="Arial" w:hAnsi="Arial" w:cs="Arial"/>
          <w:color w:val="000000" w:themeColor="text1"/>
          <w:lang w:val="ru-RU"/>
        </w:rPr>
        <w:t xml:space="preserve">у </w:t>
      </w:r>
      <w:r w:rsidRPr="00DA76A7">
        <w:rPr>
          <w:rFonts w:ascii="Arial" w:hAnsi="Arial" w:cs="Arial"/>
          <w:color w:val="000000" w:themeColor="text1"/>
          <w:spacing w:val="-3"/>
          <w:lang w:val="ru-RU"/>
        </w:rPr>
        <w:t xml:space="preserve">кредитора </w:t>
      </w:r>
      <w:r w:rsidRPr="00DA76A7">
        <w:rPr>
          <w:rFonts w:ascii="Arial" w:hAnsi="Arial" w:cs="Arial"/>
          <w:color w:val="000000" w:themeColor="text1"/>
          <w:lang w:val="ru-RU"/>
        </w:rPr>
        <w:t>либо иного</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лица</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возникает</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право</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требования</w:t>
      </w:r>
      <w:r w:rsidRPr="00DA76A7">
        <w:rPr>
          <w:rFonts w:ascii="Arial" w:hAnsi="Arial" w:cs="Arial"/>
          <w:color w:val="000000" w:themeColor="text1"/>
          <w:spacing w:val="-17"/>
          <w:lang w:val="ru-RU"/>
        </w:rPr>
        <w:t xml:space="preserve">  на </w:t>
      </w:r>
      <w:r w:rsidRPr="00DA76A7">
        <w:rPr>
          <w:rFonts w:ascii="Arial" w:hAnsi="Arial" w:cs="Arial"/>
          <w:color w:val="000000" w:themeColor="text1"/>
          <w:spacing w:val="-3"/>
          <w:lang w:val="ru-RU"/>
        </w:rPr>
        <w:t>возмещения</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причиненного</w:t>
      </w:r>
      <w:r w:rsidRPr="00DA76A7">
        <w:rPr>
          <w:rFonts w:ascii="Arial" w:hAnsi="Arial" w:cs="Arial"/>
          <w:color w:val="000000" w:themeColor="text1"/>
          <w:spacing w:val="-20"/>
          <w:lang w:val="ru-RU"/>
        </w:rPr>
        <w:t xml:space="preserve"> </w:t>
      </w:r>
      <w:r w:rsidRPr="00DA76A7">
        <w:rPr>
          <w:rFonts w:ascii="Arial" w:hAnsi="Arial" w:cs="Arial"/>
          <w:color w:val="000000" w:themeColor="text1"/>
          <w:spacing w:val="-3"/>
          <w:lang w:val="ru-RU"/>
        </w:rPr>
        <w:t>ущерба.</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 xml:space="preserve">Е.М. Михайленко </w:t>
      </w:r>
      <w:r w:rsidRPr="00DA76A7">
        <w:rPr>
          <w:rFonts w:ascii="Arial" w:hAnsi="Arial" w:cs="Arial"/>
          <w:color w:val="000000" w:themeColor="text1"/>
          <w:spacing w:val="-3"/>
          <w:lang w:val="ru-RU"/>
        </w:rPr>
        <w:t xml:space="preserve">указывает, что </w:t>
      </w:r>
      <w:r w:rsidRPr="00DA76A7">
        <w:rPr>
          <w:rFonts w:ascii="Arial" w:hAnsi="Arial" w:cs="Arial"/>
          <w:color w:val="000000" w:themeColor="text1"/>
          <w:lang w:val="ru-RU"/>
        </w:rPr>
        <w:t xml:space="preserve">в </w:t>
      </w:r>
      <w:r w:rsidRPr="00DA76A7">
        <w:rPr>
          <w:rFonts w:ascii="Arial" w:hAnsi="Arial" w:cs="Arial"/>
          <w:color w:val="000000" w:themeColor="text1"/>
          <w:spacing w:val="-3"/>
          <w:lang w:val="ru-RU"/>
        </w:rPr>
        <w:t xml:space="preserve">основу </w:t>
      </w:r>
      <w:r w:rsidRPr="00DA76A7">
        <w:rPr>
          <w:rFonts w:ascii="Arial" w:hAnsi="Arial" w:cs="Arial"/>
          <w:color w:val="000000" w:themeColor="text1"/>
          <w:lang w:val="ru-RU"/>
        </w:rPr>
        <w:t xml:space="preserve">классификации гражданско- правовой ответственности </w:t>
      </w:r>
      <w:r w:rsidRPr="00DA76A7">
        <w:rPr>
          <w:rFonts w:ascii="Arial" w:hAnsi="Arial" w:cs="Arial"/>
          <w:color w:val="000000" w:themeColor="text1"/>
          <w:spacing w:val="-3"/>
          <w:lang w:val="ru-RU"/>
        </w:rPr>
        <w:t xml:space="preserve">могут </w:t>
      </w:r>
      <w:r w:rsidRPr="00DA76A7">
        <w:rPr>
          <w:rFonts w:ascii="Arial" w:hAnsi="Arial" w:cs="Arial"/>
          <w:color w:val="000000" w:themeColor="text1"/>
          <w:lang w:val="ru-RU"/>
        </w:rPr>
        <w:t xml:space="preserve">быть положены различные основания [2, 322]. Так, по утверждению данного автора, в зависимости </w:t>
      </w:r>
      <w:r w:rsidRPr="00DA76A7">
        <w:rPr>
          <w:rFonts w:ascii="Arial" w:hAnsi="Arial" w:cs="Arial"/>
          <w:color w:val="000000" w:themeColor="text1"/>
          <w:spacing w:val="-3"/>
          <w:lang w:val="ru-RU"/>
        </w:rPr>
        <w:t xml:space="preserve">от </w:t>
      </w:r>
      <w:r w:rsidRPr="00DA76A7">
        <w:rPr>
          <w:rFonts w:ascii="Arial" w:hAnsi="Arial" w:cs="Arial"/>
          <w:color w:val="000000" w:themeColor="text1"/>
          <w:lang w:val="ru-RU"/>
        </w:rPr>
        <w:t xml:space="preserve">основания возникновения ответственности </w:t>
      </w:r>
      <w:r w:rsidRPr="00DA76A7">
        <w:rPr>
          <w:rFonts w:ascii="Arial" w:hAnsi="Arial" w:cs="Arial"/>
          <w:color w:val="000000" w:themeColor="text1"/>
          <w:spacing w:val="-3"/>
          <w:lang w:val="ru-RU"/>
        </w:rPr>
        <w:t>следует</w:t>
      </w:r>
      <w:r w:rsidRPr="00DA76A7">
        <w:rPr>
          <w:rFonts w:ascii="Arial" w:hAnsi="Arial" w:cs="Arial"/>
          <w:color w:val="000000" w:themeColor="text1"/>
          <w:spacing w:val="9"/>
          <w:lang w:val="ru-RU"/>
        </w:rPr>
        <w:t xml:space="preserve"> </w:t>
      </w:r>
      <w:r w:rsidRPr="00DA76A7">
        <w:rPr>
          <w:rFonts w:ascii="Arial" w:hAnsi="Arial" w:cs="Arial"/>
          <w:color w:val="000000" w:themeColor="text1"/>
          <w:lang w:val="ru-RU"/>
        </w:rPr>
        <w:t>различать:</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а) ответственность по договору – наступление, </w:t>
      </w:r>
      <w:r w:rsidRPr="00DA76A7">
        <w:rPr>
          <w:rFonts w:ascii="Arial" w:hAnsi="Arial" w:cs="Arial"/>
          <w:color w:val="000000" w:themeColor="text1"/>
          <w:spacing w:val="-5"/>
          <w:lang w:val="ru-RU"/>
        </w:rPr>
        <w:t xml:space="preserve">которого </w:t>
      </w:r>
      <w:r w:rsidRPr="00DA76A7">
        <w:rPr>
          <w:rFonts w:ascii="Arial" w:hAnsi="Arial" w:cs="Arial"/>
          <w:color w:val="000000" w:themeColor="text1"/>
          <w:spacing w:val="-3"/>
          <w:lang w:val="ru-RU"/>
        </w:rPr>
        <w:t xml:space="preserve">обусловлена </w:t>
      </w:r>
      <w:r w:rsidRPr="00DA76A7">
        <w:rPr>
          <w:rFonts w:ascii="Arial" w:hAnsi="Arial" w:cs="Arial"/>
          <w:color w:val="000000" w:themeColor="text1"/>
          <w:lang w:val="ru-RU"/>
        </w:rPr>
        <w:t xml:space="preserve">неисполнением или ненадлежащим исполнением обязательств, </w:t>
      </w:r>
      <w:r w:rsidRPr="00DA76A7">
        <w:rPr>
          <w:rFonts w:ascii="Arial" w:hAnsi="Arial" w:cs="Arial"/>
          <w:color w:val="000000" w:themeColor="text1"/>
          <w:spacing w:val="-3"/>
          <w:lang w:val="ru-RU"/>
        </w:rPr>
        <w:t xml:space="preserve">обусловленных </w:t>
      </w:r>
      <w:r w:rsidRPr="00DA76A7">
        <w:rPr>
          <w:rFonts w:ascii="Arial" w:hAnsi="Arial" w:cs="Arial"/>
          <w:color w:val="000000" w:themeColor="text1"/>
          <w:lang w:val="ru-RU"/>
        </w:rPr>
        <w:t>условиями договора</w:t>
      </w:r>
      <w:r w:rsidRPr="00DA76A7">
        <w:rPr>
          <w:rFonts w:ascii="Arial" w:hAnsi="Arial" w:cs="Arial"/>
          <w:color w:val="000000" w:themeColor="text1"/>
          <w:spacing w:val="-3"/>
          <w:lang w:val="ru-RU"/>
        </w:rPr>
        <w:t>;</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б) внедоговорная (деликтная) ответственность – наступление, </w:t>
      </w:r>
      <w:r w:rsidRPr="00DA76A7">
        <w:rPr>
          <w:rFonts w:ascii="Arial" w:hAnsi="Arial" w:cs="Arial"/>
          <w:color w:val="000000" w:themeColor="text1"/>
          <w:spacing w:val="-5"/>
          <w:lang w:val="ru-RU"/>
        </w:rPr>
        <w:t xml:space="preserve">которой </w:t>
      </w:r>
      <w:r w:rsidRPr="00DA76A7">
        <w:rPr>
          <w:rFonts w:ascii="Arial" w:hAnsi="Arial" w:cs="Arial"/>
          <w:color w:val="000000" w:themeColor="text1"/>
          <w:spacing w:val="-3"/>
          <w:lang w:val="ru-RU"/>
        </w:rPr>
        <w:t xml:space="preserve">обусловлено </w:t>
      </w:r>
      <w:r w:rsidRPr="00DA76A7">
        <w:rPr>
          <w:rFonts w:ascii="Arial" w:hAnsi="Arial" w:cs="Arial"/>
          <w:color w:val="000000" w:themeColor="text1"/>
          <w:spacing w:val="-4"/>
          <w:lang w:val="ru-RU"/>
        </w:rPr>
        <w:t xml:space="preserve">фактом </w:t>
      </w:r>
      <w:r w:rsidRPr="00DA76A7">
        <w:rPr>
          <w:rFonts w:ascii="Arial" w:hAnsi="Arial" w:cs="Arial"/>
          <w:color w:val="000000" w:themeColor="text1"/>
          <w:lang w:val="ru-RU"/>
        </w:rPr>
        <w:t xml:space="preserve">причинения вреда (имущественного или морального) лицом, не являющимся </w:t>
      </w:r>
      <w:r w:rsidRPr="00DA76A7">
        <w:rPr>
          <w:rFonts w:ascii="Arial" w:hAnsi="Arial" w:cs="Arial"/>
          <w:color w:val="000000" w:themeColor="text1"/>
          <w:spacing w:val="-3"/>
          <w:lang w:val="ru-RU"/>
        </w:rPr>
        <w:t xml:space="preserve">участником </w:t>
      </w:r>
      <w:r w:rsidRPr="00DA76A7">
        <w:rPr>
          <w:rFonts w:ascii="Arial" w:hAnsi="Arial" w:cs="Arial"/>
          <w:color w:val="000000" w:themeColor="text1"/>
          <w:lang w:val="ru-RU"/>
        </w:rPr>
        <w:t>обязательственного правоотношения с потерпевшим..</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Е.В.</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Рузанова</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3"/>
          <w:lang w:val="ru-RU"/>
        </w:rPr>
        <w:t>определяет</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обязательства</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вследствие</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причинения</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вреда</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как</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внедоговорные</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обязательства, возникновение</w:t>
      </w:r>
      <w:r w:rsidRPr="00DA76A7">
        <w:rPr>
          <w:rFonts w:ascii="Arial" w:hAnsi="Arial" w:cs="Arial"/>
          <w:color w:val="000000" w:themeColor="text1"/>
          <w:spacing w:val="-20"/>
          <w:lang w:val="ru-RU"/>
        </w:rPr>
        <w:t xml:space="preserve"> </w:t>
      </w:r>
      <w:r w:rsidRPr="00DA76A7">
        <w:rPr>
          <w:rFonts w:ascii="Arial" w:hAnsi="Arial" w:cs="Arial"/>
          <w:color w:val="000000" w:themeColor="text1"/>
          <w:spacing w:val="-6"/>
          <w:lang w:val="ru-RU"/>
        </w:rPr>
        <w:t>которых</w:t>
      </w:r>
      <w:r w:rsidRPr="00DA76A7">
        <w:rPr>
          <w:rFonts w:ascii="Arial" w:hAnsi="Arial" w:cs="Arial"/>
          <w:color w:val="000000" w:themeColor="text1"/>
          <w:spacing w:val="-13"/>
          <w:lang w:val="ru-RU"/>
        </w:rPr>
        <w:t xml:space="preserve"> </w:t>
      </w:r>
      <w:r w:rsidRPr="00DA76A7">
        <w:rPr>
          <w:rFonts w:ascii="Arial" w:hAnsi="Arial" w:cs="Arial"/>
          <w:color w:val="000000" w:themeColor="text1"/>
          <w:spacing w:val="-3"/>
          <w:lang w:val="ru-RU"/>
        </w:rPr>
        <w:t>опосредовано</w:t>
      </w:r>
      <w:r w:rsidRPr="00DA76A7">
        <w:rPr>
          <w:rFonts w:ascii="Arial" w:hAnsi="Arial" w:cs="Arial"/>
          <w:color w:val="000000" w:themeColor="text1"/>
          <w:spacing w:val="-18"/>
          <w:lang w:val="ru-RU"/>
        </w:rPr>
        <w:t xml:space="preserve"> </w:t>
      </w:r>
      <w:r w:rsidRPr="00DA76A7">
        <w:rPr>
          <w:rFonts w:ascii="Arial" w:hAnsi="Arial" w:cs="Arial"/>
          <w:color w:val="000000" w:themeColor="text1"/>
          <w:spacing w:val="-3"/>
          <w:lang w:val="ru-RU"/>
        </w:rPr>
        <w:t>нарушением</w:t>
      </w:r>
      <w:r w:rsidRPr="00DA76A7">
        <w:rPr>
          <w:rFonts w:ascii="Arial" w:hAnsi="Arial" w:cs="Arial"/>
          <w:color w:val="000000" w:themeColor="text1"/>
          <w:spacing w:val="-14"/>
          <w:lang w:val="ru-RU"/>
        </w:rPr>
        <w:t xml:space="preserve"> </w:t>
      </w:r>
      <w:r w:rsidRPr="00DA76A7">
        <w:rPr>
          <w:rFonts w:ascii="Arial" w:hAnsi="Arial" w:cs="Arial"/>
          <w:color w:val="000000" w:themeColor="text1"/>
          <w:lang w:val="ru-RU"/>
        </w:rPr>
        <w:t>носящих</w:t>
      </w:r>
      <w:r w:rsidRPr="00DA76A7">
        <w:rPr>
          <w:rFonts w:ascii="Arial" w:hAnsi="Arial" w:cs="Arial"/>
          <w:color w:val="000000" w:themeColor="text1"/>
          <w:spacing w:val="-13"/>
          <w:lang w:val="ru-RU"/>
        </w:rPr>
        <w:t xml:space="preserve"> </w:t>
      </w:r>
      <w:r w:rsidRPr="00DA76A7">
        <w:rPr>
          <w:rFonts w:ascii="Arial" w:hAnsi="Arial" w:cs="Arial"/>
          <w:color w:val="000000" w:themeColor="text1"/>
          <w:spacing w:val="-3"/>
          <w:lang w:val="ru-RU"/>
        </w:rPr>
        <w:t>абсолютный</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3"/>
          <w:lang w:val="ru-RU"/>
        </w:rPr>
        <w:t>характер</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имущественных</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и</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личных неимущественных прав потерпевшего [3, 12]. Целью обязательства всегда является</w:t>
      </w:r>
      <w:r w:rsidRPr="00DA76A7">
        <w:rPr>
          <w:rFonts w:ascii="Arial" w:hAnsi="Arial" w:cs="Arial"/>
          <w:color w:val="000000" w:themeColor="text1"/>
          <w:spacing w:val="4"/>
          <w:lang w:val="ru-RU"/>
        </w:rPr>
        <w:t xml:space="preserve"> полное восстановление </w:t>
      </w:r>
      <w:r w:rsidRPr="00DA76A7">
        <w:rPr>
          <w:rFonts w:ascii="Arial" w:hAnsi="Arial" w:cs="Arial"/>
          <w:color w:val="000000" w:themeColor="text1"/>
          <w:spacing w:val="6"/>
          <w:lang w:val="ru-RU"/>
        </w:rPr>
        <w:t xml:space="preserve">прав </w:t>
      </w:r>
      <w:r w:rsidRPr="00DA76A7">
        <w:rPr>
          <w:rFonts w:ascii="Arial" w:hAnsi="Arial" w:cs="Arial"/>
          <w:color w:val="000000" w:themeColor="text1"/>
          <w:spacing w:val="4"/>
          <w:lang w:val="ru-RU"/>
        </w:rPr>
        <w:t xml:space="preserve">потерпевшего </w:t>
      </w:r>
      <w:r w:rsidRPr="00DA76A7">
        <w:rPr>
          <w:rFonts w:ascii="Arial" w:hAnsi="Arial" w:cs="Arial"/>
          <w:color w:val="000000" w:themeColor="text1"/>
          <w:spacing w:val="3"/>
          <w:lang w:val="ru-RU"/>
        </w:rPr>
        <w:t xml:space="preserve">посредством </w:t>
      </w:r>
      <w:r w:rsidRPr="00DA76A7">
        <w:rPr>
          <w:rFonts w:ascii="Arial" w:hAnsi="Arial" w:cs="Arial"/>
          <w:color w:val="000000" w:themeColor="text1"/>
          <w:spacing w:val="4"/>
          <w:lang w:val="ru-RU"/>
        </w:rPr>
        <w:t xml:space="preserve">возмещения </w:t>
      </w:r>
      <w:r w:rsidRPr="00DA76A7">
        <w:rPr>
          <w:rFonts w:ascii="Arial" w:hAnsi="Arial" w:cs="Arial"/>
          <w:color w:val="000000" w:themeColor="text1"/>
          <w:spacing w:val="3"/>
          <w:lang w:val="ru-RU"/>
        </w:rPr>
        <w:t xml:space="preserve">вреда (морального или имущественного) </w:t>
      </w:r>
      <w:r w:rsidRPr="00DA76A7">
        <w:rPr>
          <w:rFonts w:ascii="Arial" w:hAnsi="Arial" w:cs="Arial"/>
          <w:color w:val="000000" w:themeColor="text1"/>
          <w:lang w:val="ru-RU"/>
        </w:rPr>
        <w:t xml:space="preserve">потерпевшему либо иному </w:t>
      </w:r>
      <w:r w:rsidRPr="00DA76A7">
        <w:rPr>
          <w:rFonts w:ascii="Arial" w:hAnsi="Arial" w:cs="Arial"/>
          <w:color w:val="000000" w:themeColor="text1"/>
          <w:spacing w:val="-5"/>
          <w:lang w:val="ru-RU"/>
        </w:rPr>
        <w:t xml:space="preserve">лицу, </w:t>
      </w:r>
      <w:r w:rsidRPr="00DA76A7">
        <w:rPr>
          <w:rFonts w:ascii="Arial" w:hAnsi="Arial" w:cs="Arial"/>
          <w:color w:val="000000" w:themeColor="text1"/>
          <w:spacing w:val="-4"/>
          <w:lang w:val="ru-RU"/>
        </w:rPr>
        <w:t xml:space="preserve">которое </w:t>
      </w:r>
      <w:r w:rsidRPr="00DA76A7">
        <w:rPr>
          <w:rFonts w:ascii="Arial" w:hAnsi="Arial" w:cs="Arial"/>
          <w:color w:val="000000" w:themeColor="text1"/>
          <w:lang w:val="ru-RU"/>
        </w:rPr>
        <w:t>понесло имущественные потери в связи с причинением вреда причинителем</w:t>
      </w:r>
      <w:r w:rsidRPr="00DA76A7">
        <w:rPr>
          <w:rFonts w:ascii="Arial" w:hAnsi="Arial" w:cs="Arial"/>
          <w:color w:val="000000" w:themeColor="text1"/>
          <w:spacing w:val="-13"/>
          <w:lang w:val="ru-RU"/>
        </w:rPr>
        <w:t xml:space="preserve"> </w:t>
      </w:r>
      <w:r w:rsidRPr="00DA76A7">
        <w:rPr>
          <w:rFonts w:ascii="Arial" w:hAnsi="Arial" w:cs="Arial"/>
          <w:color w:val="000000" w:themeColor="text1"/>
          <w:spacing w:val="-3"/>
          <w:lang w:val="ru-RU"/>
        </w:rPr>
        <w:t>вреда</w:t>
      </w:r>
      <w:r w:rsidRPr="00DA76A7">
        <w:rPr>
          <w:rFonts w:ascii="Arial" w:hAnsi="Arial" w:cs="Arial"/>
          <w:color w:val="000000" w:themeColor="text1"/>
          <w:lang w:val="ru-RU"/>
        </w:rPr>
        <w:t xml:space="preserve"> либо</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иными</w:t>
      </w:r>
      <w:r w:rsidRPr="00DA76A7">
        <w:rPr>
          <w:rFonts w:ascii="Arial" w:hAnsi="Arial" w:cs="Arial"/>
          <w:color w:val="000000" w:themeColor="text1"/>
          <w:spacing w:val="-6"/>
          <w:lang w:val="ru-RU"/>
        </w:rPr>
        <w:t xml:space="preserve"> </w:t>
      </w:r>
      <w:r w:rsidRPr="00DA76A7">
        <w:rPr>
          <w:rFonts w:ascii="Arial" w:hAnsi="Arial" w:cs="Arial"/>
          <w:color w:val="000000" w:themeColor="text1"/>
          <w:lang w:val="ru-RU"/>
        </w:rPr>
        <w:t>лицами,</w:t>
      </w:r>
      <w:r w:rsidRPr="00DA76A7">
        <w:rPr>
          <w:rFonts w:ascii="Arial" w:hAnsi="Arial" w:cs="Arial"/>
          <w:color w:val="000000" w:themeColor="text1"/>
          <w:spacing w:val="-9"/>
          <w:lang w:val="ru-RU"/>
        </w:rPr>
        <w:t xml:space="preserve"> </w:t>
      </w:r>
      <w:r w:rsidRPr="00DA76A7">
        <w:rPr>
          <w:rFonts w:ascii="Arial" w:hAnsi="Arial" w:cs="Arial"/>
          <w:color w:val="000000" w:themeColor="text1"/>
          <w:lang w:val="ru-RU"/>
        </w:rPr>
        <w:t>указанными</w:t>
      </w:r>
      <w:r w:rsidRPr="00DA76A7">
        <w:rPr>
          <w:rFonts w:ascii="Arial" w:hAnsi="Arial" w:cs="Arial"/>
          <w:color w:val="000000" w:themeColor="text1"/>
          <w:spacing w:val="-6"/>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3"/>
          <w:lang w:val="ru-RU"/>
        </w:rPr>
        <w:t>законе.</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По</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мнению</w:t>
      </w:r>
      <w:r w:rsidRPr="00DA76A7">
        <w:rPr>
          <w:rFonts w:ascii="Arial" w:hAnsi="Arial" w:cs="Arial"/>
          <w:color w:val="000000" w:themeColor="text1"/>
          <w:spacing w:val="-9"/>
          <w:lang w:val="ru-RU"/>
        </w:rPr>
        <w:t xml:space="preserve"> </w:t>
      </w:r>
      <w:r w:rsidRPr="00DA76A7">
        <w:rPr>
          <w:rFonts w:ascii="Arial" w:hAnsi="Arial" w:cs="Arial"/>
          <w:color w:val="000000" w:themeColor="text1"/>
          <w:lang w:val="ru-RU"/>
        </w:rPr>
        <w:t>И.С.</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Шиткиной,</w:t>
      </w:r>
      <w:r w:rsidRPr="00DA76A7">
        <w:rPr>
          <w:rFonts w:ascii="Arial" w:hAnsi="Arial" w:cs="Arial"/>
          <w:color w:val="000000" w:themeColor="text1"/>
          <w:spacing w:val="-5"/>
          <w:lang w:val="ru-RU"/>
        </w:rPr>
        <w:t xml:space="preserve"> </w:t>
      </w:r>
      <w:r w:rsidRPr="00DA76A7">
        <w:rPr>
          <w:rFonts w:ascii="Arial" w:hAnsi="Arial" w:cs="Arial"/>
          <w:color w:val="000000" w:themeColor="text1"/>
          <w:lang w:val="ru-RU"/>
        </w:rPr>
        <w:t>основанием</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деления</w:t>
      </w:r>
      <w:r w:rsidRPr="00DA76A7">
        <w:rPr>
          <w:rFonts w:ascii="Arial" w:hAnsi="Arial" w:cs="Arial"/>
          <w:color w:val="000000" w:themeColor="text1"/>
          <w:spacing w:val="-8"/>
          <w:lang w:val="ru-RU"/>
        </w:rPr>
        <w:t xml:space="preserve"> </w:t>
      </w:r>
      <w:r w:rsidRPr="00DA76A7">
        <w:rPr>
          <w:rFonts w:ascii="Arial" w:hAnsi="Arial" w:cs="Arial"/>
          <w:color w:val="000000" w:themeColor="text1"/>
          <w:lang w:val="ru-RU"/>
        </w:rPr>
        <w:t>гражданско-правовой</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ответственности</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на виды</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4"/>
          <w:lang w:val="ru-RU"/>
        </w:rPr>
        <w:t xml:space="preserve">может </w:t>
      </w:r>
      <w:r w:rsidRPr="00DA76A7">
        <w:rPr>
          <w:rFonts w:ascii="Arial" w:hAnsi="Arial" w:cs="Arial"/>
          <w:color w:val="000000" w:themeColor="text1"/>
          <w:lang w:val="ru-RU"/>
        </w:rPr>
        <w:t xml:space="preserve">выступать характер распределения ответственности между несколькими лицами </w:t>
      </w:r>
      <w:r w:rsidRPr="00DA76A7">
        <w:rPr>
          <w:rFonts w:ascii="Arial" w:hAnsi="Arial" w:cs="Arial"/>
          <w:color w:val="000000" w:themeColor="text1"/>
          <w:spacing w:val="-3"/>
          <w:lang w:val="ru-RU"/>
        </w:rPr>
        <w:t xml:space="preserve">[4, </w:t>
      </w:r>
      <w:r w:rsidRPr="00DA76A7">
        <w:rPr>
          <w:rFonts w:ascii="Arial" w:hAnsi="Arial" w:cs="Arial"/>
          <w:color w:val="000000" w:themeColor="text1"/>
          <w:lang w:val="ru-RU"/>
        </w:rPr>
        <w:t xml:space="preserve"> 8]. По </w:t>
      </w:r>
      <w:r w:rsidRPr="00DA76A7">
        <w:rPr>
          <w:rFonts w:ascii="Arial" w:hAnsi="Arial" w:cs="Arial"/>
          <w:color w:val="000000" w:themeColor="text1"/>
          <w:spacing w:val="-3"/>
          <w:lang w:val="ru-RU"/>
        </w:rPr>
        <w:t xml:space="preserve">мнению данного </w:t>
      </w:r>
      <w:r w:rsidRPr="00DA76A7">
        <w:rPr>
          <w:rFonts w:ascii="Arial" w:hAnsi="Arial" w:cs="Arial"/>
          <w:color w:val="000000" w:themeColor="text1"/>
          <w:spacing w:val="-4"/>
          <w:lang w:val="ru-RU"/>
        </w:rPr>
        <w:t xml:space="preserve">автора, выделению </w:t>
      </w:r>
      <w:r w:rsidRPr="00DA76A7">
        <w:rPr>
          <w:rFonts w:ascii="Arial" w:hAnsi="Arial" w:cs="Arial"/>
          <w:color w:val="000000" w:themeColor="text1"/>
          <w:spacing w:val="-5"/>
          <w:lang w:val="ru-RU"/>
        </w:rPr>
        <w:t xml:space="preserve">подлежат </w:t>
      </w:r>
      <w:r w:rsidRPr="00DA76A7">
        <w:rPr>
          <w:rFonts w:ascii="Arial" w:hAnsi="Arial" w:cs="Arial"/>
          <w:color w:val="000000" w:themeColor="text1"/>
          <w:spacing w:val="-3"/>
          <w:lang w:val="ru-RU"/>
        </w:rPr>
        <w:t xml:space="preserve">виды </w:t>
      </w:r>
      <w:r w:rsidRPr="00DA76A7">
        <w:rPr>
          <w:rFonts w:ascii="Arial" w:hAnsi="Arial" w:cs="Arial"/>
          <w:color w:val="000000" w:themeColor="text1"/>
          <w:spacing w:val="-4"/>
          <w:lang w:val="ru-RU"/>
        </w:rPr>
        <w:t xml:space="preserve">гражданско-правовой ответственности, </w:t>
      </w:r>
      <w:r w:rsidRPr="00DA76A7">
        <w:rPr>
          <w:rFonts w:ascii="Arial" w:hAnsi="Arial" w:cs="Arial"/>
          <w:color w:val="000000" w:themeColor="text1"/>
          <w:lang w:val="ru-RU"/>
        </w:rPr>
        <w:t>представленные:</w:t>
      </w:r>
    </w:p>
    <w:p w:rsidR="00181BA7" w:rsidRPr="00DA76A7" w:rsidRDefault="00181BA7" w:rsidP="00D45D6B">
      <w:pPr>
        <w:pStyle w:val="a6"/>
        <w:widowControl w:val="0"/>
        <w:numPr>
          <w:ilvl w:val="0"/>
          <w:numId w:val="48"/>
        </w:numPr>
        <w:tabs>
          <w:tab w:val="left" w:pos="980"/>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5"/>
        </w:rPr>
        <w:t>долевая</w:t>
      </w:r>
      <w:r w:rsidRPr="00DA76A7">
        <w:rPr>
          <w:rFonts w:ascii="Arial" w:hAnsi="Arial" w:cs="Arial"/>
          <w:color w:val="000000" w:themeColor="text1"/>
          <w:spacing w:val="-6"/>
        </w:rPr>
        <w:t xml:space="preserve"> </w:t>
      </w:r>
      <w:r w:rsidRPr="00DA76A7">
        <w:rPr>
          <w:rFonts w:ascii="Arial" w:hAnsi="Arial" w:cs="Arial"/>
          <w:color w:val="000000" w:themeColor="text1"/>
          <w:spacing w:val="-3"/>
        </w:rPr>
        <w:t>ответственность -</w:t>
      </w:r>
      <w:r w:rsidRPr="00DA76A7">
        <w:rPr>
          <w:rFonts w:ascii="Arial" w:hAnsi="Arial" w:cs="Arial"/>
          <w:color w:val="000000" w:themeColor="text1"/>
          <w:spacing w:val="-11"/>
        </w:rPr>
        <w:t xml:space="preserve"> </w:t>
      </w:r>
      <w:r w:rsidRPr="00DA76A7">
        <w:rPr>
          <w:rFonts w:ascii="Arial" w:hAnsi="Arial" w:cs="Arial"/>
          <w:color w:val="000000" w:themeColor="text1"/>
          <w:spacing w:val="-5"/>
        </w:rPr>
        <w:t xml:space="preserve"> </w:t>
      </w:r>
      <w:r w:rsidRPr="00DA76A7">
        <w:rPr>
          <w:rFonts w:ascii="Arial" w:hAnsi="Arial" w:cs="Arial"/>
          <w:color w:val="000000" w:themeColor="text1"/>
          <w:spacing w:val="-4"/>
        </w:rPr>
        <w:t>возможно</w:t>
      </w:r>
      <w:r w:rsidRPr="00DA76A7">
        <w:rPr>
          <w:rFonts w:ascii="Arial" w:hAnsi="Arial" w:cs="Arial"/>
          <w:color w:val="000000" w:themeColor="text1"/>
          <w:spacing w:val="-13"/>
        </w:rPr>
        <w:t xml:space="preserve"> </w:t>
      </w:r>
      <w:r w:rsidRPr="00DA76A7">
        <w:rPr>
          <w:rFonts w:ascii="Arial" w:hAnsi="Arial" w:cs="Arial"/>
          <w:color w:val="000000" w:themeColor="text1"/>
        </w:rPr>
        <w:t>в</w:t>
      </w:r>
      <w:r w:rsidRPr="00DA76A7">
        <w:rPr>
          <w:rFonts w:ascii="Arial" w:hAnsi="Arial" w:cs="Arial"/>
          <w:color w:val="000000" w:themeColor="text1"/>
          <w:spacing w:val="-12"/>
        </w:rPr>
        <w:t xml:space="preserve"> </w:t>
      </w:r>
      <w:r w:rsidRPr="00DA76A7">
        <w:rPr>
          <w:rFonts w:ascii="Arial" w:hAnsi="Arial" w:cs="Arial"/>
          <w:color w:val="000000" w:themeColor="text1"/>
        </w:rPr>
        <w:t>случаях</w:t>
      </w:r>
      <w:r w:rsidRPr="00DA76A7">
        <w:rPr>
          <w:rFonts w:ascii="Arial" w:hAnsi="Arial" w:cs="Arial"/>
          <w:color w:val="000000" w:themeColor="text1"/>
          <w:spacing w:val="-8"/>
        </w:rPr>
        <w:t xml:space="preserve"> </w:t>
      </w:r>
      <w:r w:rsidRPr="00DA76A7">
        <w:rPr>
          <w:rFonts w:ascii="Arial" w:hAnsi="Arial" w:cs="Arial"/>
          <w:color w:val="000000" w:themeColor="text1"/>
          <w:spacing w:val="-3"/>
        </w:rPr>
        <w:t>участия</w:t>
      </w:r>
      <w:r w:rsidRPr="00DA76A7">
        <w:rPr>
          <w:rFonts w:ascii="Arial" w:hAnsi="Arial" w:cs="Arial"/>
          <w:color w:val="000000" w:themeColor="text1"/>
          <w:spacing w:val="-9"/>
        </w:rPr>
        <w:t xml:space="preserve"> </w:t>
      </w:r>
      <w:r w:rsidRPr="00DA76A7">
        <w:rPr>
          <w:rFonts w:ascii="Arial" w:hAnsi="Arial" w:cs="Arial"/>
          <w:color w:val="000000" w:themeColor="text1"/>
        </w:rPr>
        <w:t>в</w:t>
      </w:r>
      <w:r w:rsidRPr="00DA76A7">
        <w:rPr>
          <w:rFonts w:ascii="Arial" w:hAnsi="Arial" w:cs="Arial"/>
          <w:color w:val="000000" w:themeColor="text1"/>
          <w:spacing w:val="-6"/>
        </w:rPr>
        <w:t xml:space="preserve"> </w:t>
      </w:r>
      <w:r w:rsidRPr="00DA76A7">
        <w:rPr>
          <w:rFonts w:ascii="Arial" w:hAnsi="Arial" w:cs="Arial"/>
          <w:color w:val="000000" w:themeColor="text1"/>
          <w:spacing w:val="-4"/>
        </w:rPr>
        <w:t>обязательстве</w:t>
      </w:r>
      <w:r w:rsidRPr="00DA76A7">
        <w:rPr>
          <w:rFonts w:ascii="Arial" w:hAnsi="Arial" w:cs="Arial"/>
          <w:color w:val="000000" w:themeColor="text1"/>
          <w:spacing w:val="-16"/>
        </w:rPr>
        <w:t xml:space="preserve"> </w:t>
      </w:r>
      <w:r w:rsidRPr="00DA76A7">
        <w:rPr>
          <w:rFonts w:ascii="Arial" w:hAnsi="Arial" w:cs="Arial"/>
          <w:color w:val="000000" w:themeColor="text1"/>
          <w:spacing w:val="-4"/>
        </w:rPr>
        <w:t xml:space="preserve">нескольких </w:t>
      </w:r>
      <w:r w:rsidRPr="00DA76A7">
        <w:rPr>
          <w:rFonts w:ascii="Arial" w:hAnsi="Arial" w:cs="Arial"/>
          <w:color w:val="000000" w:themeColor="text1"/>
          <w:spacing w:val="-3"/>
        </w:rPr>
        <w:t xml:space="preserve">кредиторов </w:t>
      </w:r>
      <w:r w:rsidRPr="00DA76A7">
        <w:rPr>
          <w:rFonts w:ascii="Arial" w:hAnsi="Arial" w:cs="Arial"/>
          <w:color w:val="000000" w:themeColor="text1"/>
        </w:rPr>
        <w:t xml:space="preserve">и </w:t>
      </w:r>
      <w:r w:rsidRPr="00DA76A7">
        <w:rPr>
          <w:rFonts w:ascii="Arial" w:hAnsi="Arial" w:cs="Arial"/>
          <w:color w:val="000000" w:themeColor="text1"/>
          <w:spacing w:val="-3"/>
        </w:rPr>
        <w:t xml:space="preserve">нескольких </w:t>
      </w:r>
      <w:r w:rsidRPr="00DA76A7">
        <w:rPr>
          <w:rFonts w:ascii="Arial" w:hAnsi="Arial" w:cs="Arial"/>
          <w:color w:val="000000" w:themeColor="text1"/>
        </w:rPr>
        <w:t xml:space="preserve">должников, </w:t>
      </w:r>
      <w:r w:rsidRPr="00DA76A7">
        <w:rPr>
          <w:rFonts w:ascii="Arial" w:hAnsi="Arial" w:cs="Arial"/>
          <w:color w:val="000000" w:themeColor="text1"/>
          <w:spacing w:val="-5"/>
        </w:rPr>
        <w:t xml:space="preserve">т.е. </w:t>
      </w:r>
      <w:r w:rsidRPr="00DA76A7">
        <w:rPr>
          <w:rFonts w:ascii="Arial" w:hAnsi="Arial" w:cs="Arial"/>
          <w:color w:val="000000" w:themeColor="text1"/>
        </w:rPr>
        <w:t xml:space="preserve">при множестве лиц. Здесь речь идет о равном объеме ответственности (размере долей) </w:t>
      </w:r>
      <w:r w:rsidRPr="00DA76A7">
        <w:rPr>
          <w:rFonts w:ascii="Arial" w:hAnsi="Arial" w:cs="Arial"/>
          <w:color w:val="000000" w:themeColor="text1"/>
          <w:spacing w:val="-3"/>
        </w:rPr>
        <w:t xml:space="preserve">должников, </w:t>
      </w:r>
      <w:r w:rsidRPr="00DA76A7">
        <w:rPr>
          <w:rFonts w:ascii="Arial" w:hAnsi="Arial" w:cs="Arial"/>
          <w:color w:val="000000" w:themeColor="text1"/>
        </w:rPr>
        <w:t xml:space="preserve">если иное не </w:t>
      </w:r>
      <w:r w:rsidRPr="00DA76A7">
        <w:rPr>
          <w:rFonts w:ascii="Arial" w:hAnsi="Arial" w:cs="Arial"/>
          <w:color w:val="000000" w:themeColor="text1"/>
          <w:spacing w:val="-5"/>
        </w:rPr>
        <w:t xml:space="preserve">следует </w:t>
      </w:r>
      <w:r w:rsidRPr="00DA76A7">
        <w:rPr>
          <w:rFonts w:ascii="Arial" w:hAnsi="Arial" w:cs="Arial"/>
          <w:color w:val="000000" w:themeColor="text1"/>
          <w:spacing w:val="3"/>
        </w:rPr>
        <w:t xml:space="preserve">из </w:t>
      </w:r>
      <w:r w:rsidRPr="00DA76A7">
        <w:rPr>
          <w:rFonts w:ascii="Arial" w:hAnsi="Arial" w:cs="Arial"/>
          <w:color w:val="000000" w:themeColor="text1"/>
        </w:rPr>
        <w:t xml:space="preserve">нормативных правовых </w:t>
      </w:r>
      <w:r w:rsidRPr="00DA76A7">
        <w:rPr>
          <w:rFonts w:ascii="Arial" w:hAnsi="Arial" w:cs="Arial"/>
          <w:color w:val="000000" w:themeColor="text1"/>
          <w:spacing w:val="-4"/>
        </w:rPr>
        <w:t xml:space="preserve">актов </w:t>
      </w:r>
      <w:r w:rsidRPr="00DA76A7">
        <w:rPr>
          <w:rFonts w:ascii="Arial" w:hAnsi="Arial" w:cs="Arial"/>
          <w:color w:val="000000" w:themeColor="text1"/>
        </w:rPr>
        <w:t>или условий</w:t>
      </w:r>
      <w:r w:rsidRPr="00DA76A7">
        <w:rPr>
          <w:rFonts w:ascii="Arial" w:hAnsi="Arial" w:cs="Arial"/>
          <w:color w:val="000000" w:themeColor="text1"/>
          <w:spacing w:val="42"/>
        </w:rPr>
        <w:t xml:space="preserve"> </w:t>
      </w:r>
      <w:r w:rsidRPr="00DA76A7">
        <w:rPr>
          <w:rFonts w:ascii="Arial" w:hAnsi="Arial" w:cs="Arial"/>
          <w:color w:val="000000" w:themeColor="text1"/>
        </w:rPr>
        <w:t>обязательства;</w:t>
      </w:r>
    </w:p>
    <w:p w:rsidR="00181BA7" w:rsidRPr="00DA76A7" w:rsidRDefault="00181BA7" w:rsidP="00D45D6B">
      <w:pPr>
        <w:pStyle w:val="a6"/>
        <w:widowControl w:val="0"/>
        <w:numPr>
          <w:ilvl w:val="0"/>
          <w:numId w:val="48"/>
        </w:numPr>
        <w:tabs>
          <w:tab w:val="left" w:pos="975"/>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4"/>
        </w:rPr>
        <w:t>солидарная</w:t>
      </w:r>
      <w:r w:rsidRPr="00DA76A7">
        <w:rPr>
          <w:rFonts w:ascii="Arial" w:hAnsi="Arial" w:cs="Arial"/>
          <w:color w:val="000000" w:themeColor="text1"/>
          <w:spacing w:val="-9"/>
        </w:rPr>
        <w:t xml:space="preserve"> </w:t>
      </w:r>
      <w:r w:rsidRPr="00DA76A7">
        <w:rPr>
          <w:rFonts w:ascii="Arial" w:hAnsi="Arial" w:cs="Arial"/>
          <w:color w:val="000000" w:themeColor="text1"/>
          <w:spacing w:val="-4"/>
        </w:rPr>
        <w:t>ответственность -</w:t>
      </w:r>
      <w:r w:rsidRPr="00DA76A7">
        <w:rPr>
          <w:rFonts w:ascii="Arial" w:hAnsi="Arial" w:cs="Arial"/>
          <w:color w:val="000000" w:themeColor="text1"/>
          <w:spacing w:val="-8"/>
        </w:rPr>
        <w:t xml:space="preserve"> по </w:t>
      </w:r>
      <w:r w:rsidRPr="00DA76A7">
        <w:rPr>
          <w:rFonts w:ascii="Arial" w:hAnsi="Arial" w:cs="Arial"/>
          <w:color w:val="000000" w:themeColor="text1"/>
          <w:spacing w:val="-5"/>
        </w:rPr>
        <w:t>гражданскому</w:t>
      </w:r>
      <w:r w:rsidRPr="00DA76A7">
        <w:rPr>
          <w:rFonts w:ascii="Arial" w:hAnsi="Arial" w:cs="Arial"/>
          <w:color w:val="000000" w:themeColor="text1"/>
          <w:spacing w:val="-16"/>
        </w:rPr>
        <w:t xml:space="preserve"> </w:t>
      </w:r>
      <w:r w:rsidRPr="00DA76A7">
        <w:rPr>
          <w:rFonts w:ascii="Arial" w:hAnsi="Arial" w:cs="Arial"/>
          <w:color w:val="000000" w:themeColor="text1"/>
          <w:spacing w:val="-8"/>
        </w:rPr>
        <w:t>законодательству</w:t>
      </w:r>
      <w:r w:rsidRPr="00DA76A7">
        <w:rPr>
          <w:rFonts w:ascii="Arial" w:hAnsi="Arial" w:cs="Arial"/>
          <w:color w:val="000000" w:themeColor="text1"/>
        </w:rPr>
        <w:t>, возможно только в определённых случаях, то есть, по требованиям в договоре или установление данного условия законом, например, в случае неделимости предмета обязательства;</w:t>
      </w:r>
    </w:p>
    <w:p w:rsidR="00181BA7" w:rsidRPr="00DA76A7" w:rsidRDefault="00181BA7" w:rsidP="00D45D6B">
      <w:pPr>
        <w:pStyle w:val="a6"/>
        <w:widowControl w:val="0"/>
        <w:numPr>
          <w:ilvl w:val="0"/>
          <w:numId w:val="48"/>
        </w:numPr>
        <w:tabs>
          <w:tab w:val="left" w:pos="1018"/>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субсидиарной ответственностью, </w:t>
      </w:r>
      <w:r w:rsidRPr="00DA76A7">
        <w:rPr>
          <w:rFonts w:ascii="Arial" w:hAnsi="Arial" w:cs="Arial"/>
          <w:color w:val="000000" w:themeColor="text1"/>
          <w:spacing w:val="-5"/>
        </w:rPr>
        <w:t xml:space="preserve">т.е. </w:t>
      </w:r>
      <w:r w:rsidRPr="00DA76A7">
        <w:rPr>
          <w:rFonts w:ascii="Arial" w:hAnsi="Arial" w:cs="Arial"/>
          <w:color w:val="000000" w:themeColor="text1"/>
        </w:rPr>
        <w:t xml:space="preserve">дополнительной ответственностью к ответственности </w:t>
      </w:r>
      <w:r w:rsidRPr="00DA76A7">
        <w:rPr>
          <w:rFonts w:ascii="Arial" w:hAnsi="Arial" w:cs="Arial"/>
          <w:color w:val="000000" w:themeColor="text1"/>
          <w:spacing w:val="-3"/>
        </w:rPr>
        <w:t xml:space="preserve">другого </w:t>
      </w:r>
      <w:r w:rsidRPr="00DA76A7">
        <w:rPr>
          <w:rFonts w:ascii="Arial" w:hAnsi="Arial" w:cs="Arial"/>
          <w:color w:val="000000" w:themeColor="text1"/>
        </w:rPr>
        <w:t>лица</w:t>
      </w:r>
      <w:r w:rsidRPr="00DA76A7">
        <w:rPr>
          <w:rFonts w:ascii="Arial" w:hAnsi="Arial" w:cs="Arial"/>
          <w:color w:val="000000" w:themeColor="text1"/>
          <w:spacing w:val="-10"/>
        </w:rPr>
        <w:t xml:space="preserve"> </w:t>
      </w:r>
      <w:r w:rsidRPr="00DA76A7">
        <w:rPr>
          <w:rFonts w:ascii="Arial" w:hAnsi="Arial" w:cs="Arial"/>
          <w:color w:val="000000" w:themeColor="text1"/>
        </w:rPr>
        <w:t>-</w:t>
      </w:r>
      <w:r w:rsidRPr="00DA76A7">
        <w:rPr>
          <w:rFonts w:ascii="Arial" w:hAnsi="Arial" w:cs="Arial"/>
          <w:color w:val="000000" w:themeColor="text1"/>
          <w:spacing w:val="-14"/>
        </w:rPr>
        <w:t xml:space="preserve"> </w:t>
      </w:r>
      <w:r w:rsidRPr="00DA76A7">
        <w:rPr>
          <w:rFonts w:ascii="Arial" w:hAnsi="Arial" w:cs="Arial"/>
          <w:color w:val="000000" w:themeColor="text1"/>
        </w:rPr>
        <w:t>основного</w:t>
      </w:r>
      <w:r w:rsidRPr="00DA76A7">
        <w:rPr>
          <w:rFonts w:ascii="Arial" w:hAnsi="Arial" w:cs="Arial"/>
          <w:color w:val="000000" w:themeColor="text1"/>
          <w:spacing w:val="-17"/>
        </w:rPr>
        <w:t xml:space="preserve"> </w:t>
      </w:r>
      <w:r w:rsidRPr="00DA76A7">
        <w:rPr>
          <w:rFonts w:ascii="Arial" w:hAnsi="Arial" w:cs="Arial"/>
          <w:color w:val="000000" w:themeColor="text1"/>
        </w:rPr>
        <w:t>должника,</w:t>
      </w:r>
      <w:r w:rsidRPr="00DA76A7">
        <w:rPr>
          <w:rFonts w:ascii="Arial" w:hAnsi="Arial" w:cs="Arial"/>
          <w:color w:val="000000" w:themeColor="text1"/>
          <w:spacing w:val="-10"/>
        </w:rPr>
        <w:t xml:space="preserve"> </w:t>
      </w:r>
      <w:r w:rsidRPr="00DA76A7">
        <w:rPr>
          <w:rFonts w:ascii="Arial" w:hAnsi="Arial" w:cs="Arial"/>
          <w:color w:val="000000" w:themeColor="text1"/>
          <w:spacing w:val="-3"/>
        </w:rPr>
        <w:t>применяемой</w:t>
      </w:r>
      <w:r w:rsidRPr="00DA76A7">
        <w:rPr>
          <w:rFonts w:ascii="Arial" w:hAnsi="Arial" w:cs="Arial"/>
          <w:color w:val="000000" w:themeColor="text1"/>
          <w:spacing w:val="-10"/>
        </w:rPr>
        <w:t xml:space="preserve"> </w:t>
      </w:r>
      <w:r w:rsidRPr="00DA76A7">
        <w:rPr>
          <w:rFonts w:ascii="Arial" w:hAnsi="Arial" w:cs="Arial"/>
          <w:color w:val="000000" w:themeColor="text1"/>
        </w:rPr>
        <w:t>в</w:t>
      </w:r>
      <w:r w:rsidRPr="00DA76A7">
        <w:rPr>
          <w:rFonts w:ascii="Arial" w:hAnsi="Arial" w:cs="Arial"/>
          <w:color w:val="000000" w:themeColor="text1"/>
          <w:spacing w:val="-11"/>
        </w:rPr>
        <w:t xml:space="preserve"> </w:t>
      </w:r>
      <w:r w:rsidRPr="00DA76A7">
        <w:rPr>
          <w:rFonts w:ascii="Arial" w:hAnsi="Arial" w:cs="Arial"/>
          <w:color w:val="000000" w:themeColor="text1"/>
          <w:spacing w:val="-3"/>
        </w:rPr>
        <w:t>законодательно</w:t>
      </w:r>
      <w:r w:rsidRPr="00DA76A7">
        <w:rPr>
          <w:rFonts w:ascii="Arial" w:hAnsi="Arial" w:cs="Arial"/>
          <w:color w:val="000000" w:themeColor="text1"/>
          <w:spacing w:val="-16"/>
        </w:rPr>
        <w:t xml:space="preserve"> </w:t>
      </w:r>
      <w:r w:rsidRPr="00DA76A7">
        <w:rPr>
          <w:rFonts w:ascii="Arial" w:hAnsi="Arial" w:cs="Arial"/>
          <w:color w:val="000000" w:themeColor="text1"/>
        </w:rPr>
        <w:t>установленных</w:t>
      </w:r>
      <w:r w:rsidRPr="00DA76A7">
        <w:rPr>
          <w:rFonts w:ascii="Arial" w:hAnsi="Arial" w:cs="Arial"/>
          <w:color w:val="000000" w:themeColor="text1"/>
          <w:spacing w:val="-12"/>
        </w:rPr>
        <w:t xml:space="preserve"> </w:t>
      </w:r>
      <w:r w:rsidRPr="00DA76A7">
        <w:rPr>
          <w:rFonts w:ascii="Arial" w:hAnsi="Arial" w:cs="Arial"/>
          <w:color w:val="000000" w:themeColor="text1"/>
        </w:rPr>
        <w:t>случаях.</w:t>
      </w:r>
      <w:r w:rsidRPr="00DA76A7">
        <w:rPr>
          <w:rFonts w:ascii="Arial" w:hAnsi="Arial" w:cs="Arial"/>
          <w:color w:val="000000" w:themeColor="text1"/>
          <w:spacing w:val="-10"/>
        </w:rPr>
        <w:t xml:space="preserve"> </w:t>
      </w:r>
      <w:r w:rsidRPr="00DA76A7">
        <w:rPr>
          <w:rFonts w:ascii="Arial" w:hAnsi="Arial" w:cs="Arial"/>
          <w:color w:val="000000" w:themeColor="text1"/>
          <w:spacing w:val="-5"/>
        </w:rPr>
        <w:t>Необходимым</w:t>
      </w:r>
      <w:r w:rsidRPr="00DA76A7">
        <w:rPr>
          <w:rFonts w:ascii="Arial" w:hAnsi="Arial" w:cs="Arial"/>
          <w:color w:val="000000" w:themeColor="text1"/>
          <w:spacing w:val="-13"/>
        </w:rPr>
        <w:t xml:space="preserve"> </w:t>
      </w:r>
      <w:r w:rsidRPr="00DA76A7">
        <w:rPr>
          <w:rFonts w:ascii="Arial" w:hAnsi="Arial" w:cs="Arial"/>
          <w:color w:val="000000" w:themeColor="text1"/>
          <w:spacing w:val="-3"/>
        </w:rPr>
        <w:t xml:space="preserve">условием </w:t>
      </w:r>
      <w:r w:rsidRPr="00DA76A7">
        <w:rPr>
          <w:rFonts w:ascii="Arial" w:hAnsi="Arial" w:cs="Arial"/>
          <w:color w:val="000000" w:themeColor="text1"/>
          <w:spacing w:val="2"/>
        </w:rPr>
        <w:t xml:space="preserve">применения </w:t>
      </w:r>
      <w:r w:rsidRPr="00DA76A7">
        <w:rPr>
          <w:rFonts w:ascii="Arial" w:hAnsi="Arial" w:cs="Arial"/>
          <w:color w:val="000000" w:themeColor="text1"/>
        </w:rPr>
        <w:t xml:space="preserve">субсидиарной </w:t>
      </w:r>
      <w:r w:rsidRPr="00DA76A7">
        <w:rPr>
          <w:rFonts w:ascii="Arial" w:hAnsi="Arial" w:cs="Arial"/>
          <w:color w:val="000000" w:themeColor="text1"/>
          <w:spacing w:val="2"/>
        </w:rPr>
        <w:t xml:space="preserve">ответственности </w:t>
      </w:r>
      <w:r w:rsidRPr="00DA76A7">
        <w:rPr>
          <w:rFonts w:ascii="Arial" w:hAnsi="Arial" w:cs="Arial"/>
          <w:color w:val="000000" w:themeColor="text1"/>
        </w:rPr>
        <w:t xml:space="preserve">выступает необходимость предварительного обращения с требованием к основному </w:t>
      </w:r>
      <w:r w:rsidRPr="00DA76A7">
        <w:rPr>
          <w:rFonts w:ascii="Arial" w:hAnsi="Arial" w:cs="Arial"/>
          <w:color w:val="000000" w:themeColor="text1"/>
          <w:spacing w:val="-5"/>
        </w:rPr>
        <w:t xml:space="preserve">должнику, </w:t>
      </w:r>
      <w:r w:rsidRPr="00DA76A7">
        <w:rPr>
          <w:rFonts w:ascii="Arial" w:hAnsi="Arial" w:cs="Arial"/>
          <w:color w:val="000000" w:themeColor="text1"/>
        </w:rPr>
        <w:t xml:space="preserve">нарушившему обязательство. </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2"/>
          <w:lang w:val="ru-RU"/>
        </w:rPr>
        <w:t xml:space="preserve">А.В. </w:t>
      </w:r>
      <w:r w:rsidRPr="00DA76A7">
        <w:rPr>
          <w:rFonts w:ascii="Arial" w:hAnsi="Arial" w:cs="Arial"/>
          <w:color w:val="000000" w:themeColor="text1"/>
          <w:spacing w:val="3"/>
          <w:lang w:val="ru-RU"/>
        </w:rPr>
        <w:t xml:space="preserve">Мандрюков указывает на </w:t>
      </w:r>
      <w:r w:rsidRPr="00DA76A7">
        <w:rPr>
          <w:rFonts w:ascii="Arial" w:hAnsi="Arial" w:cs="Arial"/>
          <w:color w:val="000000" w:themeColor="text1"/>
          <w:spacing w:val="2"/>
          <w:lang w:val="ru-RU"/>
        </w:rPr>
        <w:t xml:space="preserve">необходимость учета </w:t>
      </w:r>
      <w:r w:rsidRPr="00DA76A7">
        <w:rPr>
          <w:rFonts w:ascii="Arial" w:hAnsi="Arial" w:cs="Arial"/>
          <w:color w:val="000000" w:themeColor="text1"/>
          <w:spacing w:val="3"/>
          <w:lang w:val="ru-RU"/>
        </w:rPr>
        <w:t xml:space="preserve">отличий субсидиарной </w:t>
      </w:r>
      <w:r w:rsidRPr="00DA76A7">
        <w:rPr>
          <w:rFonts w:ascii="Arial" w:hAnsi="Arial" w:cs="Arial"/>
          <w:color w:val="000000" w:themeColor="text1"/>
          <w:spacing w:val="4"/>
          <w:lang w:val="ru-RU"/>
        </w:rPr>
        <w:t xml:space="preserve">ответственности </w:t>
      </w:r>
      <w:r w:rsidRPr="00DA76A7">
        <w:rPr>
          <w:rFonts w:ascii="Arial" w:hAnsi="Arial" w:cs="Arial"/>
          <w:color w:val="000000" w:themeColor="text1"/>
          <w:spacing w:val="-3"/>
          <w:lang w:val="ru-RU"/>
        </w:rPr>
        <w:t xml:space="preserve">от </w:t>
      </w:r>
      <w:r w:rsidRPr="00DA76A7">
        <w:rPr>
          <w:rFonts w:ascii="Arial" w:hAnsi="Arial" w:cs="Arial"/>
          <w:color w:val="000000" w:themeColor="text1"/>
          <w:spacing w:val="2"/>
          <w:lang w:val="ru-RU"/>
        </w:rPr>
        <w:t xml:space="preserve">ответственности </w:t>
      </w:r>
      <w:r w:rsidRPr="00DA76A7">
        <w:rPr>
          <w:rFonts w:ascii="Arial" w:hAnsi="Arial" w:cs="Arial"/>
          <w:color w:val="000000" w:themeColor="text1"/>
          <w:lang w:val="ru-RU"/>
        </w:rPr>
        <w:t xml:space="preserve">должника за </w:t>
      </w:r>
      <w:r w:rsidRPr="00DA76A7">
        <w:rPr>
          <w:rFonts w:ascii="Arial" w:hAnsi="Arial" w:cs="Arial"/>
          <w:color w:val="000000" w:themeColor="text1"/>
          <w:spacing w:val="3"/>
          <w:lang w:val="ru-RU"/>
        </w:rPr>
        <w:t xml:space="preserve">действия </w:t>
      </w:r>
      <w:r w:rsidRPr="00DA76A7">
        <w:rPr>
          <w:rFonts w:ascii="Arial" w:hAnsi="Arial" w:cs="Arial"/>
          <w:color w:val="000000" w:themeColor="text1"/>
          <w:spacing w:val="2"/>
          <w:lang w:val="ru-RU"/>
        </w:rPr>
        <w:t xml:space="preserve">третьих </w:t>
      </w:r>
      <w:r w:rsidRPr="00DA76A7">
        <w:rPr>
          <w:rFonts w:ascii="Arial" w:hAnsi="Arial" w:cs="Arial"/>
          <w:color w:val="000000" w:themeColor="text1"/>
          <w:spacing w:val="3"/>
          <w:lang w:val="ru-RU"/>
        </w:rPr>
        <w:t xml:space="preserve">лиц </w:t>
      </w:r>
      <w:r w:rsidRPr="00DA76A7">
        <w:rPr>
          <w:rFonts w:ascii="Arial" w:hAnsi="Arial" w:cs="Arial"/>
          <w:color w:val="000000" w:themeColor="text1"/>
          <w:spacing w:val="2"/>
          <w:lang w:val="ru-RU"/>
        </w:rPr>
        <w:t xml:space="preserve">[5, </w:t>
      </w:r>
      <w:r w:rsidRPr="00DA76A7">
        <w:rPr>
          <w:rFonts w:ascii="Arial" w:hAnsi="Arial" w:cs="Arial"/>
          <w:color w:val="000000" w:themeColor="text1"/>
          <w:spacing w:val="3"/>
          <w:lang w:val="ru-RU"/>
        </w:rPr>
        <w:t xml:space="preserve">69-75]. </w:t>
      </w:r>
      <w:r w:rsidRPr="00DA76A7">
        <w:rPr>
          <w:rFonts w:ascii="Arial" w:hAnsi="Arial" w:cs="Arial"/>
          <w:color w:val="000000" w:themeColor="text1"/>
          <w:lang w:val="ru-RU"/>
        </w:rPr>
        <w:t xml:space="preserve">Это следует </w:t>
      </w:r>
      <w:r w:rsidRPr="00DA76A7">
        <w:rPr>
          <w:rFonts w:ascii="Arial" w:hAnsi="Arial" w:cs="Arial"/>
          <w:color w:val="000000" w:themeColor="text1"/>
          <w:spacing w:val="3"/>
          <w:lang w:val="ru-RU"/>
        </w:rPr>
        <w:t xml:space="preserve">из </w:t>
      </w:r>
      <w:r w:rsidRPr="00DA76A7">
        <w:rPr>
          <w:rFonts w:ascii="Arial" w:hAnsi="Arial" w:cs="Arial"/>
          <w:color w:val="000000" w:themeColor="text1"/>
          <w:lang w:val="ru-RU"/>
        </w:rPr>
        <w:t xml:space="preserve">положений </w:t>
      </w:r>
      <w:r w:rsidRPr="00DA76A7">
        <w:rPr>
          <w:rFonts w:ascii="Arial" w:hAnsi="Arial" w:cs="Arial"/>
          <w:color w:val="000000" w:themeColor="text1"/>
          <w:spacing w:val="-3"/>
          <w:lang w:val="ru-RU"/>
        </w:rPr>
        <w:t xml:space="preserve">ст. </w:t>
      </w:r>
      <w:r w:rsidRPr="00DA76A7">
        <w:rPr>
          <w:rFonts w:ascii="Arial" w:hAnsi="Arial" w:cs="Arial"/>
          <w:color w:val="000000" w:themeColor="text1"/>
          <w:spacing w:val="2"/>
          <w:lang w:val="ru-RU"/>
        </w:rPr>
        <w:t>313</w:t>
      </w:r>
      <w:r w:rsidRPr="00DA76A7">
        <w:rPr>
          <w:rFonts w:ascii="Arial" w:hAnsi="Arial" w:cs="Arial"/>
          <w:color w:val="000000" w:themeColor="text1"/>
          <w:spacing w:val="59"/>
          <w:lang w:val="ru-RU"/>
        </w:rPr>
        <w:t xml:space="preserve"> </w:t>
      </w:r>
      <w:r w:rsidRPr="00DA76A7">
        <w:rPr>
          <w:rFonts w:ascii="Arial" w:hAnsi="Arial" w:cs="Arial"/>
          <w:color w:val="000000" w:themeColor="text1"/>
          <w:spacing w:val="-3"/>
          <w:lang w:val="ru-RU"/>
        </w:rPr>
        <w:t xml:space="preserve">Гражданского </w:t>
      </w:r>
      <w:r w:rsidRPr="00DA76A7">
        <w:rPr>
          <w:rFonts w:ascii="Arial" w:hAnsi="Arial" w:cs="Arial"/>
          <w:color w:val="000000" w:themeColor="text1"/>
          <w:spacing w:val="-5"/>
          <w:lang w:val="ru-RU"/>
        </w:rPr>
        <w:t xml:space="preserve">кодекса </w:t>
      </w:r>
      <w:r w:rsidRPr="00DA76A7">
        <w:rPr>
          <w:rFonts w:ascii="Arial" w:hAnsi="Arial" w:cs="Arial"/>
          <w:color w:val="000000" w:themeColor="text1"/>
          <w:lang w:val="ru-RU"/>
        </w:rPr>
        <w:t xml:space="preserve">РФ, согласно </w:t>
      </w:r>
      <w:r w:rsidRPr="00DA76A7">
        <w:rPr>
          <w:rFonts w:ascii="Arial" w:hAnsi="Arial" w:cs="Arial"/>
          <w:color w:val="000000" w:themeColor="text1"/>
          <w:spacing w:val="-6"/>
          <w:lang w:val="ru-RU"/>
        </w:rPr>
        <w:t xml:space="preserve">которой </w:t>
      </w:r>
      <w:r w:rsidRPr="00DA76A7">
        <w:rPr>
          <w:rFonts w:ascii="Arial" w:hAnsi="Arial" w:cs="Arial"/>
          <w:color w:val="000000" w:themeColor="text1"/>
          <w:lang w:val="ru-RU"/>
        </w:rPr>
        <w:t xml:space="preserve">исполнение обязательства </w:t>
      </w:r>
      <w:r w:rsidRPr="00DA76A7">
        <w:rPr>
          <w:rFonts w:ascii="Arial" w:hAnsi="Arial" w:cs="Arial"/>
          <w:color w:val="000000" w:themeColor="text1"/>
          <w:spacing w:val="-4"/>
          <w:lang w:val="ru-RU"/>
        </w:rPr>
        <w:t xml:space="preserve">может </w:t>
      </w:r>
      <w:r w:rsidRPr="00DA76A7">
        <w:rPr>
          <w:rFonts w:ascii="Arial" w:hAnsi="Arial" w:cs="Arial"/>
          <w:color w:val="000000" w:themeColor="text1"/>
          <w:lang w:val="ru-RU"/>
        </w:rPr>
        <w:t xml:space="preserve">быть </w:t>
      </w:r>
      <w:r w:rsidRPr="00DA76A7">
        <w:rPr>
          <w:rFonts w:ascii="Arial" w:hAnsi="Arial" w:cs="Arial"/>
          <w:color w:val="000000" w:themeColor="text1"/>
          <w:spacing w:val="-3"/>
          <w:lang w:val="ru-RU"/>
        </w:rPr>
        <w:t xml:space="preserve">возложено должником </w:t>
      </w:r>
      <w:r w:rsidRPr="00DA76A7">
        <w:rPr>
          <w:rFonts w:ascii="Arial" w:hAnsi="Arial" w:cs="Arial"/>
          <w:color w:val="000000" w:themeColor="text1"/>
          <w:lang w:val="ru-RU"/>
        </w:rPr>
        <w:t xml:space="preserve">на третье лицо, если из закона, иных правовых актов, условий обязательства или </w:t>
      </w:r>
      <w:r w:rsidRPr="00DA76A7">
        <w:rPr>
          <w:rFonts w:ascii="Arial" w:hAnsi="Arial" w:cs="Arial"/>
          <w:color w:val="000000" w:themeColor="text1"/>
          <w:spacing w:val="-4"/>
          <w:lang w:val="ru-RU"/>
        </w:rPr>
        <w:t xml:space="preserve">его </w:t>
      </w:r>
      <w:r w:rsidRPr="00DA76A7">
        <w:rPr>
          <w:rFonts w:ascii="Arial" w:hAnsi="Arial" w:cs="Arial"/>
          <w:color w:val="000000" w:themeColor="text1"/>
          <w:spacing w:val="-3"/>
          <w:lang w:val="ru-RU"/>
        </w:rPr>
        <w:t xml:space="preserve">существа </w:t>
      </w:r>
      <w:r w:rsidRPr="00DA76A7">
        <w:rPr>
          <w:rFonts w:ascii="Arial" w:hAnsi="Arial" w:cs="Arial"/>
          <w:color w:val="000000" w:themeColor="text1"/>
          <w:lang w:val="ru-RU"/>
        </w:rPr>
        <w:t xml:space="preserve">не вытекает обязанность должника </w:t>
      </w:r>
      <w:r w:rsidRPr="00DA76A7">
        <w:rPr>
          <w:rFonts w:ascii="Arial" w:hAnsi="Arial" w:cs="Arial"/>
          <w:color w:val="000000" w:themeColor="text1"/>
          <w:spacing w:val="2"/>
          <w:lang w:val="ru-RU"/>
        </w:rPr>
        <w:t xml:space="preserve">исполнить </w:t>
      </w:r>
      <w:r w:rsidRPr="00DA76A7">
        <w:rPr>
          <w:rFonts w:ascii="Arial" w:hAnsi="Arial" w:cs="Arial"/>
          <w:color w:val="000000" w:themeColor="text1"/>
          <w:lang w:val="ru-RU"/>
        </w:rPr>
        <w:t xml:space="preserve">обязательство лично. В указанном случае в обязанности кредитору </w:t>
      </w:r>
      <w:r w:rsidRPr="00DA76A7">
        <w:rPr>
          <w:rFonts w:ascii="Arial" w:hAnsi="Arial" w:cs="Arial"/>
          <w:color w:val="000000" w:themeColor="text1"/>
          <w:spacing w:val="7"/>
          <w:lang w:val="ru-RU"/>
        </w:rPr>
        <w:t xml:space="preserve">вменяется </w:t>
      </w:r>
      <w:r w:rsidRPr="00DA76A7">
        <w:rPr>
          <w:rFonts w:ascii="Arial" w:hAnsi="Arial" w:cs="Arial"/>
          <w:color w:val="000000" w:themeColor="text1"/>
          <w:spacing w:val="10"/>
          <w:lang w:val="ru-RU"/>
        </w:rPr>
        <w:t xml:space="preserve">принятие </w:t>
      </w:r>
      <w:r w:rsidRPr="00DA76A7">
        <w:rPr>
          <w:rFonts w:ascii="Arial" w:hAnsi="Arial" w:cs="Arial"/>
          <w:color w:val="000000" w:themeColor="text1"/>
          <w:spacing w:val="8"/>
          <w:lang w:val="ru-RU"/>
        </w:rPr>
        <w:t xml:space="preserve">исполнения, предложенного </w:t>
      </w:r>
      <w:r w:rsidRPr="00DA76A7">
        <w:rPr>
          <w:rFonts w:ascii="Arial" w:hAnsi="Arial" w:cs="Arial"/>
          <w:color w:val="000000" w:themeColor="text1"/>
          <w:spacing w:val="4"/>
          <w:lang w:val="ru-RU"/>
        </w:rPr>
        <w:t xml:space="preserve">за </w:t>
      </w:r>
      <w:r w:rsidRPr="00DA76A7">
        <w:rPr>
          <w:rFonts w:ascii="Arial" w:hAnsi="Arial" w:cs="Arial"/>
          <w:color w:val="000000" w:themeColor="text1"/>
          <w:spacing w:val="8"/>
          <w:lang w:val="ru-RU"/>
        </w:rPr>
        <w:t xml:space="preserve">должника третьим лицом. </w:t>
      </w:r>
      <w:r w:rsidRPr="00DA76A7">
        <w:rPr>
          <w:rFonts w:ascii="Arial" w:hAnsi="Arial" w:cs="Arial"/>
          <w:color w:val="000000" w:themeColor="text1"/>
          <w:spacing w:val="5"/>
          <w:lang w:val="ru-RU"/>
        </w:rPr>
        <w:t xml:space="preserve">Общее </w:t>
      </w:r>
      <w:r w:rsidRPr="00DA76A7">
        <w:rPr>
          <w:rFonts w:ascii="Arial" w:hAnsi="Arial" w:cs="Arial"/>
          <w:color w:val="000000" w:themeColor="text1"/>
          <w:spacing w:val="9"/>
          <w:lang w:val="ru-RU"/>
        </w:rPr>
        <w:t xml:space="preserve">правило, </w:t>
      </w:r>
      <w:r w:rsidRPr="00DA76A7">
        <w:rPr>
          <w:rFonts w:ascii="Arial" w:hAnsi="Arial" w:cs="Arial"/>
          <w:color w:val="000000" w:themeColor="text1"/>
          <w:lang w:val="ru-RU"/>
        </w:rPr>
        <w:t>предусмотренное</w:t>
      </w:r>
      <w:r w:rsidRPr="00DA76A7">
        <w:rPr>
          <w:rFonts w:ascii="Arial" w:hAnsi="Arial" w:cs="Arial"/>
          <w:color w:val="000000" w:themeColor="text1"/>
          <w:spacing w:val="-20"/>
          <w:lang w:val="ru-RU"/>
        </w:rPr>
        <w:t xml:space="preserve"> </w:t>
      </w:r>
      <w:r w:rsidRPr="00DA76A7">
        <w:rPr>
          <w:rFonts w:ascii="Arial" w:hAnsi="Arial" w:cs="Arial"/>
          <w:color w:val="000000" w:themeColor="text1"/>
          <w:spacing w:val="-6"/>
          <w:lang w:val="ru-RU"/>
        </w:rPr>
        <w:t>ст.</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403</w:t>
      </w:r>
      <w:r w:rsidRPr="00DA76A7">
        <w:rPr>
          <w:rFonts w:ascii="Arial" w:hAnsi="Arial" w:cs="Arial"/>
          <w:color w:val="000000" w:themeColor="text1"/>
          <w:spacing w:val="-13"/>
          <w:lang w:val="ru-RU"/>
        </w:rPr>
        <w:t xml:space="preserve"> </w:t>
      </w:r>
      <w:r w:rsidRPr="00DA76A7">
        <w:rPr>
          <w:rFonts w:ascii="Arial" w:hAnsi="Arial" w:cs="Arial"/>
          <w:color w:val="000000" w:themeColor="text1"/>
          <w:spacing w:val="-3"/>
          <w:lang w:val="ru-RU"/>
        </w:rPr>
        <w:t>Гражданского</w:t>
      </w:r>
      <w:r w:rsidRPr="00DA76A7">
        <w:rPr>
          <w:rFonts w:ascii="Arial" w:hAnsi="Arial" w:cs="Arial"/>
          <w:color w:val="000000" w:themeColor="text1"/>
          <w:spacing w:val="-18"/>
          <w:lang w:val="ru-RU"/>
        </w:rPr>
        <w:t xml:space="preserve"> </w:t>
      </w:r>
      <w:r w:rsidRPr="00DA76A7">
        <w:rPr>
          <w:rFonts w:ascii="Arial" w:hAnsi="Arial" w:cs="Arial"/>
          <w:color w:val="000000" w:themeColor="text1"/>
          <w:spacing w:val="-5"/>
          <w:lang w:val="ru-RU"/>
        </w:rPr>
        <w:t>кодекса</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РФ,</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4"/>
          <w:lang w:val="ru-RU"/>
        </w:rPr>
        <w:t>определяет,</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3"/>
          <w:lang w:val="ru-RU"/>
        </w:rPr>
        <w:t>что</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за</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нарушение</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обязательства,</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 xml:space="preserve">исполнение </w:t>
      </w:r>
      <w:r w:rsidRPr="00DA76A7">
        <w:rPr>
          <w:rFonts w:ascii="Arial" w:hAnsi="Arial" w:cs="Arial"/>
          <w:color w:val="000000" w:themeColor="text1"/>
          <w:spacing w:val="-5"/>
          <w:lang w:val="ru-RU"/>
        </w:rPr>
        <w:t xml:space="preserve">которого </w:t>
      </w:r>
      <w:r w:rsidRPr="00DA76A7">
        <w:rPr>
          <w:rFonts w:ascii="Arial" w:hAnsi="Arial" w:cs="Arial"/>
          <w:color w:val="000000" w:themeColor="text1"/>
          <w:spacing w:val="-3"/>
          <w:lang w:val="ru-RU"/>
        </w:rPr>
        <w:t xml:space="preserve">возложено должником </w:t>
      </w:r>
      <w:r w:rsidRPr="00DA76A7">
        <w:rPr>
          <w:rFonts w:ascii="Arial" w:hAnsi="Arial" w:cs="Arial"/>
          <w:color w:val="000000" w:themeColor="text1"/>
          <w:lang w:val="ru-RU"/>
        </w:rPr>
        <w:t xml:space="preserve">на третье лицо, </w:t>
      </w:r>
      <w:r w:rsidRPr="00DA76A7">
        <w:rPr>
          <w:rFonts w:ascii="Arial" w:hAnsi="Arial" w:cs="Arial"/>
          <w:color w:val="000000" w:themeColor="text1"/>
          <w:spacing w:val="-3"/>
          <w:lang w:val="ru-RU"/>
        </w:rPr>
        <w:t xml:space="preserve">перед </w:t>
      </w:r>
      <w:r w:rsidRPr="00DA76A7">
        <w:rPr>
          <w:rFonts w:ascii="Arial" w:hAnsi="Arial" w:cs="Arial"/>
          <w:color w:val="000000" w:themeColor="text1"/>
          <w:spacing w:val="-4"/>
          <w:lang w:val="ru-RU"/>
        </w:rPr>
        <w:t xml:space="preserve">кредитором </w:t>
      </w:r>
      <w:r w:rsidRPr="00DA76A7">
        <w:rPr>
          <w:rFonts w:ascii="Arial" w:hAnsi="Arial" w:cs="Arial"/>
          <w:color w:val="000000" w:themeColor="text1"/>
          <w:spacing w:val="-3"/>
          <w:lang w:val="ru-RU"/>
        </w:rPr>
        <w:t>отвечает</w:t>
      </w:r>
      <w:r w:rsidRPr="00DA76A7">
        <w:rPr>
          <w:rFonts w:ascii="Arial" w:hAnsi="Arial" w:cs="Arial"/>
          <w:color w:val="000000" w:themeColor="text1"/>
          <w:spacing w:val="38"/>
          <w:lang w:val="ru-RU"/>
        </w:rPr>
        <w:t xml:space="preserve"> </w:t>
      </w:r>
      <w:r w:rsidRPr="00DA76A7">
        <w:rPr>
          <w:rFonts w:ascii="Arial" w:hAnsi="Arial" w:cs="Arial"/>
          <w:color w:val="000000" w:themeColor="text1"/>
          <w:lang w:val="ru-RU"/>
        </w:rPr>
        <w:t>должник.</w:t>
      </w:r>
    </w:p>
    <w:p w:rsidR="00181BA7" w:rsidRPr="00DA76A7" w:rsidRDefault="00181BA7" w:rsidP="00181BA7">
      <w:pPr>
        <w:pStyle w:val="a9"/>
        <w:ind w:firstLine="567"/>
        <w:rPr>
          <w:rFonts w:ascii="Arial" w:hAnsi="Arial" w:cs="Arial"/>
          <w:color w:val="000000" w:themeColor="text1"/>
          <w:spacing w:val="3"/>
          <w:lang w:val="ru-RU"/>
        </w:rPr>
      </w:pPr>
      <w:r w:rsidRPr="00DA76A7">
        <w:rPr>
          <w:rFonts w:ascii="Arial" w:hAnsi="Arial" w:cs="Arial"/>
          <w:color w:val="000000" w:themeColor="text1"/>
          <w:lang w:val="ru-RU"/>
        </w:rPr>
        <w:t xml:space="preserve">Как </w:t>
      </w:r>
      <w:r w:rsidRPr="00DA76A7">
        <w:rPr>
          <w:rFonts w:ascii="Arial" w:hAnsi="Arial" w:cs="Arial"/>
          <w:color w:val="000000" w:themeColor="text1"/>
          <w:spacing w:val="-5"/>
          <w:lang w:val="ru-RU"/>
        </w:rPr>
        <w:t>мы уже отметили</w:t>
      </w:r>
      <w:r w:rsidRPr="00DA76A7">
        <w:rPr>
          <w:rFonts w:ascii="Arial" w:hAnsi="Arial" w:cs="Arial"/>
          <w:color w:val="000000" w:themeColor="text1"/>
          <w:lang w:val="ru-RU"/>
        </w:rPr>
        <w:t xml:space="preserve">, </w:t>
      </w:r>
      <w:r w:rsidRPr="00DA76A7">
        <w:rPr>
          <w:rFonts w:ascii="Arial" w:hAnsi="Arial" w:cs="Arial"/>
          <w:color w:val="000000" w:themeColor="text1"/>
          <w:spacing w:val="-3"/>
          <w:lang w:val="ru-RU"/>
        </w:rPr>
        <w:t xml:space="preserve">долевая </w:t>
      </w:r>
      <w:r w:rsidRPr="00DA76A7">
        <w:rPr>
          <w:rFonts w:ascii="Arial" w:hAnsi="Arial" w:cs="Arial"/>
          <w:color w:val="000000" w:themeColor="text1"/>
          <w:lang w:val="ru-RU"/>
        </w:rPr>
        <w:t xml:space="preserve">ответственность </w:t>
      </w:r>
      <w:r w:rsidRPr="00DA76A7">
        <w:rPr>
          <w:rFonts w:ascii="Arial" w:hAnsi="Arial" w:cs="Arial"/>
          <w:color w:val="000000" w:themeColor="text1"/>
          <w:spacing w:val="-4"/>
          <w:lang w:val="ru-RU"/>
        </w:rPr>
        <w:t xml:space="preserve">означает, </w:t>
      </w:r>
      <w:r w:rsidRPr="00DA76A7">
        <w:rPr>
          <w:rFonts w:ascii="Arial" w:hAnsi="Arial" w:cs="Arial"/>
          <w:color w:val="000000" w:themeColor="text1"/>
          <w:spacing w:val="-3"/>
          <w:lang w:val="ru-RU"/>
        </w:rPr>
        <w:t xml:space="preserve">что </w:t>
      </w:r>
      <w:r w:rsidRPr="00DA76A7">
        <w:rPr>
          <w:rFonts w:ascii="Arial" w:hAnsi="Arial" w:cs="Arial"/>
          <w:color w:val="000000" w:themeColor="text1"/>
          <w:lang w:val="ru-RU"/>
        </w:rPr>
        <w:t xml:space="preserve">каждый из </w:t>
      </w:r>
      <w:r w:rsidRPr="00DA76A7">
        <w:rPr>
          <w:rFonts w:ascii="Arial" w:hAnsi="Arial" w:cs="Arial"/>
          <w:color w:val="000000" w:themeColor="text1"/>
          <w:spacing w:val="-3"/>
          <w:lang w:val="ru-RU"/>
        </w:rPr>
        <w:t xml:space="preserve">ответчиков </w:t>
      </w:r>
      <w:r w:rsidRPr="00DA76A7">
        <w:rPr>
          <w:rFonts w:ascii="Arial" w:hAnsi="Arial" w:cs="Arial"/>
          <w:color w:val="000000" w:themeColor="text1"/>
          <w:lang w:val="ru-RU"/>
        </w:rPr>
        <w:t xml:space="preserve">несет ответственность по совей определенной доле, установленной законом </w:t>
      </w:r>
      <w:r w:rsidRPr="00DA76A7">
        <w:rPr>
          <w:rFonts w:ascii="Arial" w:hAnsi="Arial" w:cs="Arial"/>
          <w:color w:val="000000" w:themeColor="text1"/>
          <w:spacing w:val="3"/>
          <w:lang w:val="ru-RU"/>
        </w:rPr>
        <w:t xml:space="preserve">или </w:t>
      </w:r>
      <w:r w:rsidRPr="00DA76A7">
        <w:rPr>
          <w:rFonts w:ascii="Arial" w:hAnsi="Arial" w:cs="Arial"/>
          <w:color w:val="000000" w:themeColor="text1"/>
          <w:lang w:val="ru-RU"/>
        </w:rPr>
        <w:t>договором. Примером</w:t>
      </w:r>
      <w:r w:rsidRPr="00DA76A7">
        <w:rPr>
          <w:rFonts w:ascii="Arial" w:hAnsi="Arial" w:cs="Arial"/>
          <w:color w:val="000000" w:themeColor="text1"/>
          <w:spacing w:val="-14"/>
          <w:lang w:val="ru-RU"/>
        </w:rPr>
        <w:t xml:space="preserve"> в данных случаях,</w:t>
      </w:r>
      <w:r w:rsidRPr="00DA76A7">
        <w:rPr>
          <w:rFonts w:ascii="Arial" w:hAnsi="Arial" w:cs="Arial"/>
          <w:color w:val="000000" w:themeColor="text1"/>
          <w:spacing w:val="-6"/>
          <w:lang w:val="ru-RU"/>
        </w:rPr>
        <w:t xml:space="preserve"> </w:t>
      </w:r>
      <w:r w:rsidRPr="00DA76A7">
        <w:rPr>
          <w:rFonts w:ascii="Arial" w:hAnsi="Arial" w:cs="Arial"/>
          <w:color w:val="000000" w:themeColor="text1"/>
          <w:lang w:val="ru-RU"/>
        </w:rPr>
        <w:t>по</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мнению</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А.В.</w:t>
      </w:r>
      <w:r w:rsidRPr="00DA76A7">
        <w:rPr>
          <w:rFonts w:ascii="Arial" w:hAnsi="Arial" w:cs="Arial"/>
          <w:color w:val="000000" w:themeColor="text1"/>
          <w:spacing w:val="-1"/>
          <w:lang w:val="ru-RU"/>
        </w:rPr>
        <w:t xml:space="preserve"> </w:t>
      </w:r>
      <w:r w:rsidRPr="00DA76A7">
        <w:rPr>
          <w:rFonts w:ascii="Arial" w:hAnsi="Arial" w:cs="Arial"/>
          <w:color w:val="000000" w:themeColor="text1"/>
          <w:lang w:val="ru-RU"/>
        </w:rPr>
        <w:t>Масловой</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[6,</w:t>
      </w:r>
      <w:r w:rsidRPr="00DA76A7">
        <w:rPr>
          <w:rFonts w:ascii="Arial" w:hAnsi="Arial" w:cs="Arial"/>
          <w:color w:val="000000" w:themeColor="text1"/>
          <w:spacing w:val="-6"/>
          <w:lang w:val="ru-RU"/>
        </w:rPr>
        <w:t xml:space="preserve"> </w:t>
      </w:r>
      <w:r w:rsidRPr="00DA76A7">
        <w:rPr>
          <w:rFonts w:ascii="Arial" w:hAnsi="Arial" w:cs="Arial"/>
          <w:color w:val="000000" w:themeColor="text1"/>
          <w:lang w:val="ru-RU"/>
        </w:rPr>
        <w:t>78],</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является</w:t>
      </w:r>
      <w:r w:rsidRPr="00DA76A7">
        <w:rPr>
          <w:rFonts w:ascii="Arial" w:hAnsi="Arial" w:cs="Arial"/>
          <w:color w:val="000000" w:themeColor="text1"/>
          <w:spacing w:val="-8"/>
          <w:lang w:val="ru-RU"/>
        </w:rPr>
        <w:t xml:space="preserve"> </w:t>
      </w:r>
      <w:r w:rsidRPr="00DA76A7">
        <w:rPr>
          <w:rFonts w:ascii="Arial" w:hAnsi="Arial" w:cs="Arial"/>
          <w:color w:val="000000" w:themeColor="text1"/>
          <w:spacing w:val="-6"/>
          <w:lang w:val="ru-RU"/>
        </w:rPr>
        <w:t>тот</w:t>
      </w:r>
      <w:r w:rsidRPr="00DA76A7">
        <w:rPr>
          <w:rFonts w:ascii="Arial" w:hAnsi="Arial" w:cs="Arial"/>
          <w:color w:val="000000" w:themeColor="text1"/>
          <w:spacing w:val="-9"/>
          <w:lang w:val="ru-RU"/>
        </w:rPr>
        <w:t xml:space="preserve"> </w:t>
      </w:r>
      <w:r w:rsidRPr="00DA76A7">
        <w:rPr>
          <w:rFonts w:ascii="Arial" w:hAnsi="Arial" w:cs="Arial"/>
          <w:color w:val="000000" w:themeColor="text1"/>
          <w:spacing w:val="-3"/>
          <w:lang w:val="ru-RU"/>
        </w:rPr>
        <w:t>факт,</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3"/>
          <w:lang w:val="ru-RU"/>
        </w:rPr>
        <w:t>что</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 xml:space="preserve">наследники, принявшие наследство, отвечают по долгам наследодателя в размере действительной стоимости (доли) </w:t>
      </w:r>
      <w:r w:rsidRPr="00DA76A7">
        <w:rPr>
          <w:rFonts w:ascii="Arial" w:hAnsi="Arial" w:cs="Arial"/>
          <w:color w:val="000000" w:themeColor="text1"/>
          <w:spacing w:val="-4"/>
          <w:lang w:val="ru-RU"/>
        </w:rPr>
        <w:t>перешедшего</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к</w:t>
      </w:r>
      <w:r w:rsidRPr="00DA76A7">
        <w:rPr>
          <w:rFonts w:ascii="Arial" w:hAnsi="Arial" w:cs="Arial"/>
          <w:color w:val="000000" w:themeColor="text1"/>
          <w:spacing w:val="-14"/>
          <w:lang w:val="ru-RU"/>
        </w:rPr>
        <w:t xml:space="preserve"> </w:t>
      </w:r>
      <w:r w:rsidRPr="00DA76A7">
        <w:rPr>
          <w:rFonts w:ascii="Arial" w:hAnsi="Arial" w:cs="Arial"/>
          <w:color w:val="000000" w:themeColor="text1"/>
          <w:lang w:val="ru-RU"/>
        </w:rPr>
        <w:t>ним</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по</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3"/>
          <w:lang w:val="ru-RU"/>
        </w:rPr>
        <w:t>наследству</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имущества</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[7, 79].</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Правила</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о</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4"/>
          <w:lang w:val="ru-RU"/>
        </w:rPr>
        <w:t>долевой</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ответственности</w:t>
      </w:r>
      <w:r w:rsidRPr="00DA76A7">
        <w:rPr>
          <w:rFonts w:ascii="Arial" w:hAnsi="Arial" w:cs="Arial"/>
          <w:color w:val="000000" w:themeColor="text1"/>
          <w:spacing w:val="-10"/>
          <w:lang w:val="ru-RU"/>
        </w:rPr>
        <w:t xml:space="preserve"> </w:t>
      </w:r>
      <w:r w:rsidRPr="00DA76A7">
        <w:rPr>
          <w:rFonts w:ascii="Arial" w:hAnsi="Arial" w:cs="Arial"/>
          <w:color w:val="000000" w:themeColor="text1"/>
          <w:spacing w:val="-3"/>
          <w:lang w:val="ru-RU"/>
        </w:rPr>
        <w:t>подлежат</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применению в</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случае,</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если</w:t>
      </w:r>
      <w:r w:rsidRPr="00DA76A7">
        <w:rPr>
          <w:rFonts w:ascii="Arial" w:hAnsi="Arial" w:cs="Arial"/>
          <w:color w:val="000000" w:themeColor="text1"/>
          <w:spacing w:val="-5"/>
          <w:lang w:val="ru-RU"/>
        </w:rPr>
        <w:t xml:space="preserve"> субъектов</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6"/>
          <w:lang w:val="ru-RU"/>
        </w:rPr>
        <w:t xml:space="preserve"> </w:t>
      </w:r>
      <w:r w:rsidRPr="00DA76A7">
        <w:rPr>
          <w:rFonts w:ascii="Arial" w:hAnsi="Arial" w:cs="Arial"/>
          <w:color w:val="000000" w:themeColor="text1"/>
          <w:lang w:val="ru-RU"/>
        </w:rPr>
        <w:t>правоотношении</w:t>
      </w:r>
      <w:r w:rsidRPr="00DA76A7">
        <w:rPr>
          <w:rFonts w:ascii="Arial" w:hAnsi="Arial" w:cs="Arial"/>
          <w:color w:val="000000" w:themeColor="text1"/>
          <w:spacing w:val="-9"/>
          <w:lang w:val="ru-RU"/>
        </w:rPr>
        <w:t xml:space="preserve"> </w:t>
      </w:r>
      <w:r w:rsidRPr="00DA76A7">
        <w:rPr>
          <w:rFonts w:ascii="Arial" w:hAnsi="Arial" w:cs="Arial"/>
          <w:color w:val="000000" w:themeColor="text1"/>
          <w:spacing w:val="-4"/>
          <w:lang w:val="ru-RU"/>
        </w:rPr>
        <w:t>несколько</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и</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иной</w:t>
      </w:r>
      <w:r w:rsidRPr="00DA76A7">
        <w:rPr>
          <w:rFonts w:ascii="Arial" w:hAnsi="Arial" w:cs="Arial"/>
          <w:color w:val="000000" w:themeColor="text1"/>
          <w:spacing w:val="-9"/>
          <w:lang w:val="ru-RU"/>
        </w:rPr>
        <w:t xml:space="preserve"> </w:t>
      </w:r>
      <w:r w:rsidRPr="00DA76A7">
        <w:rPr>
          <w:rFonts w:ascii="Arial" w:hAnsi="Arial" w:cs="Arial"/>
          <w:color w:val="000000" w:themeColor="text1"/>
          <w:lang w:val="ru-RU"/>
        </w:rPr>
        <w:t>вид</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ответственности</w:t>
      </w:r>
      <w:r w:rsidRPr="00DA76A7">
        <w:rPr>
          <w:rFonts w:ascii="Arial" w:hAnsi="Arial" w:cs="Arial"/>
          <w:color w:val="000000" w:themeColor="text1"/>
          <w:spacing w:val="-6"/>
          <w:lang w:val="ru-RU"/>
        </w:rPr>
        <w:t xml:space="preserve"> </w:t>
      </w:r>
      <w:r w:rsidRPr="00DA76A7">
        <w:rPr>
          <w:rFonts w:ascii="Arial" w:hAnsi="Arial" w:cs="Arial"/>
          <w:color w:val="000000" w:themeColor="text1"/>
          <w:lang w:val="ru-RU"/>
        </w:rPr>
        <w:t>не</w:t>
      </w:r>
      <w:r w:rsidRPr="00DA76A7">
        <w:rPr>
          <w:rFonts w:ascii="Arial" w:hAnsi="Arial" w:cs="Arial"/>
          <w:color w:val="000000" w:themeColor="text1"/>
          <w:spacing w:val="-18"/>
          <w:lang w:val="ru-RU"/>
        </w:rPr>
        <w:t xml:space="preserve"> </w:t>
      </w:r>
      <w:r w:rsidRPr="00DA76A7">
        <w:rPr>
          <w:rFonts w:ascii="Arial" w:hAnsi="Arial" w:cs="Arial"/>
          <w:color w:val="000000" w:themeColor="text1"/>
          <w:spacing w:val="-2"/>
          <w:lang w:val="ru-RU"/>
        </w:rPr>
        <w:t>предусмотрен</w:t>
      </w:r>
      <w:r w:rsidRPr="00DA76A7">
        <w:rPr>
          <w:rFonts w:ascii="Arial" w:hAnsi="Arial" w:cs="Arial"/>
          <w:color w:val="000000" w:themeColor="text1"/>
          <w:spacing w:val="-10"/>
          <w:lang w:val="ru-RU"/>
        </w:rPr>
        <w:t xml:space="preserve"> </w:t>
      </w:r>
      <w:r w:rsidRPr="00DA76A7">
        <w:rPr>
          <w:rFonts w:ascii="Arial" w:hAnsi="Arial" w:cs="Arial"/>
          <w:color w:val="000000" w:themeColor="text1"/>
          <w:spacing w:val="-3"/>
          <w:lang w:val="ru-RU"/>
        </w:rPr>
        <w:t xml:space="preserve">законом </w:t>
      </w:r>
      <w:r w:rsidRPr="00DA76A7">
        <w:rPr>
          <w:rFonts w:ascii="Arial" w:hAnsi="Arial" w:cs="Arial"/>
          <w:color w:val="000000" w:themeColor="text1"/>
          <w:lang w:val="ru-RU"/>
        </w:rPr>
        <w:t>или</w:t>
      </w:r>
      <w:r w:rsidRPr="00DA76A7">
        <w:rPr>
          <w:rFonts w:ascii="Arial" w:hAnsi="Arial" w:cs="Arial"/>
          <w:color w:val="000000" w:themeColor="text1"/>
          <w:spacing w:val="-7"/>
          <w:lang w:val="ru-RU"/>
        </w:rPr>
        <w:t xml:space="preserve"> </w:t>
      </w:r>
      <w:r w:rsidRPr="00DA76A7">
        <w:rPr>
          <w:rFonts w:ascii="Arial" w:hAnsi="Arial" w:cs="Arial"/>
          <w:color w:val="000000" w:themeColor="text1"/>
          <w:lang w:val="ru-RU"/>
        </w:rPr>
        <w:t>договором.</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spacing w:val="4"/>
          <w:lang w:val="ru-RU"/>
        </w:rPr>
        <w:t xml:space="preserve">Есть некоторые существенные отличия  солидарной  </w:t>
      </w:r>
      <w:r w:rsidRPr="00DA76A7">
        <w:rPr>
          <w:rFonts w:ascii="Arial" w:hAnsi="Arial" w:cs="Arial"/>
          <w:color w:val="000000" w:themeColor="text1"/>
          <w:spacing w:val="3"/>
          <w:lang w:val="ru-RU"/>
        </w:rPr>
        <w:t xml:space="preserve">ответственности от долевой, в основном это выражается в </w:t>
      </w:r>
      <w:r w:rsidRPr="00DA76A7">
        <w:rPr>
          <w:rFonts w:ascii="Arial" w:hAnsi="Arial" w:cs="Arial"/>
          <w:color w:val="000000" w:themeColor="text1"/>
          <w:lang w:val="ru-RU"/>
        </w:rPr>
        <w:t xml:space="preserve">большой  </w:t>
      </w:r>
      <w:r w:rsidRPr="00DA76A7">
        <w:rPr>
          <w:rFonts w:ascii="Arial" w:hAnsi="Arial" w:cs="Arial"/>
          <w:color w:val="000000" w:themeColor="text1"/>
          <w:spacing w:val="3"/>
          <w:lang w:val="ru-RU"/>
        </w:rPr>
        <w:t xml:space="preserve">строгостью.  </w:t>
      </w:r>
      <w:r w:rsidRPr="00DA76A7">
        <w:rPr>
          <w:rFonts w:ascii="Arial" w:hAnsi="Arial" w:cs="Arial"/>
          <w:color w:val="000000" w:themeColor="text1"/>
          <w:lang w:val="ru-RU"/>
        </w:rPr>
        <w:t xml:space="preserve">В  </w:t>
      </w:r>
      <w:r w:rsidRPr="00DA76A7">
        <w:rPr>
          <w:rFonts w:ascii="Arial" w:hAnsi="Arial" w:cs="Arial"/>
          <w:color w:val="000000" w:themeColor="text1"/>
          <w:spacing w:val="4"/>
          <w:lang w:val="ru-RU"/>
        </w:rPr>
        <w:t xml:space="preserve">данном </w:t>
      </w:r>
      <w:r w:rsidRPr="00DA76A7">
        <w:rPr>
          <w:rFonts w:ascii="Arial" w:hAnsi="Arial" w:cs="Arial"/>
          <w:color w:val="000000" w:themeColor="text1"/>
          <w:spacing w:val="3"/>
          <w:lang w:val="ru-RU"/>
        </w:rPr>
        <w:t xml:space="preserve">случае </w:t>
      </w:r>
      <w:r w:rsidRPr="00DA76A7">
        <w:rPr>
          <w:rFonts w:ascii="Arial" w:hAnsi="Arial" w:cs="Arial"/>
          <w:color w:val="000000" w:themeColor="text1"/>
          <w:spacing w:val="60"/>
          <w:lang w:val="ru-RU"/>
        </w:rPr>
        <w:t xml:space="preserve"> </w:t>
      </w:r>
      <w:r w:rsidRPr="00DA76A7">
        <w:rPr>
          <w:rFonts w:ascii="Arial" w:hAnsi="Arial" w:cs="Arial"/>
          <w:color w:val="000000" w:themeColor="text1"/>
          <w:lang w:val="ru-RU"/>
        </w:rPr>
        <w:t>у потерпевшего-истца есть</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право</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на</w:t>
      </w:r>
      <w:r w:rsidRPr="00DA76A7">
        <w:rPr>
          <w:rFonts w:ascii="Arial" w:hAnsi="Arial" w:cs="Arial"/>
          <w:color w:val="000000" w:themeColor="text1"/>
          <w:spacing w:val="-4"/>
          <w:lang w:val="ru-RU"/>
        </w:rPr>
        <w:t xml:space="preserve"> </w:t>
      </w:r>
      <w:r w:rsidRPr="00DA76A7">
        <w:rPr>
          <w:rFonts w:ascii="Arial" w:hAnsi="Arial" w:cs="Arial"/>
          <w:color w:val="000000" w:themeColor="text1"/>
          <w:lang w:val="ru-RU"/>
        </w:rPr>
        <w:t>предъявление</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требования:</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1)</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совместно</w:t>
      </w:r>
      <w:r w:rsidRPr="00DA76A7">
        <w:rPr>
          <w:rFonts w:ascii="Arial" w:hAnsi="Arial" w:cs="Arial"/>
          <w:color w:val="000000" w:themeColor="text1"/>
          <w:spacing w:val="-4"/>
          <w:lang w:val="ru-RU"/>
        </w:rPr>
        <w:t xml:space="preserve"> ко</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всем</w:t>
      </w:r>
      <w:r w:rsidRPr="00DA76A7">
        <w:rPr>
          <w:rFonts w:ascii="Arial" w:hAnsi="Arial" w:cs="Arial"/>
          <w:color w:val="000000" w:themeColor="text1"/>
          <w:spacing w:val="-2"/>
          <w:lang w:val="ru-RU"/>
        </w:rPr>
        <w:t xml:space="preserve"> </w:t>
      </w:r>
      <w:r w:rsidRPr="00DA76A7">
        <w:rPr>
          <w:rFonts w:ascii="Arial" w:hAnsi="Arial" w:cs="Arial"/>
          <w:color w:val="000000" w:themeColor="text1"/>
          <w:lang w:val="ru-RU"/>
        </w:rPr>
        <w:t>ответчикам;</w:t>
      </w:r>
      <w:r w:rsidRPr="00DA76A7">
        <w:rPr>
          <w:rFonts w:ascii="Arial" w:hAnsi="Arial" w:cs="Arial"/>
          <w:color w:val="000000" w:themeColor="text1"/>
          <w:spacing w:val="-1"/>
          <w:lang w:val="ru-RU"/>
        </w:rPr>
        <w:t xml:space="preserve"> </w:t>
      </w:r>
      <w:r w:rsidRPr="00DA76A7">
        <w:rPr>
          <w:rFonts w:ascii="Arial" w:hAnsi="Arial" w:cs="Arial"/>
          <w:color w:val="000000" w:themeColor="text1"/>
          <w:lang w:val="ru-RU"/>
        </w:rPr>
        <w:t>2)</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к</w:t>
      </w:r>
      <w:r w:rsidRPr="00DA76A7">
        <w:rPr>
          <w:rFonts w:ascii="Arial" w:hAnsi="Arial" w:cs="Arial"/>
          <w:color w:val="000000" w:themeColor="text1"/>
          <w:spacing w:val="-8"/>
          <w:lang w:val="ru-RU"/>
        </w:rPr>
        <w:t xml:space="preserve"> </w:t>
      </w:r>
      <w:r w:rsidRPr="00DA76A7">
        <w:rPr>
          <w:rFonts w:ascii="Arial" w:hAnsi="Arial" w:cs="Arial"/>
          <w:color w:val="000000" w:themeColor="text1"/>
          <w:spacing w:val="-3"/>
          <w:lang w:val="ru-RU"/>
        </w:rPr>
        <w:t xml:space="preserve">любому </w:t>
      </w:r>
      <w:r w:rsidRPr="00DA76A7">
        <w:rPr>
          <w:rFonts w:ascii="Arial" w:hAnsi="Arial" w:cs="Arial"/>
          <w:color w:val="000000" w:themeColor="text1"/>
          <w:lang w:val="ru-RU"/>
        </w:rPr>
        <w:t xml:space="preserve">из </w:t>
      </w:r>
      <w:r w:rsidRPr="00DA76A7">
        <w:rPr>
          <w:rFonts w:ascii="Arial" w:hAnsi="Arial" w:cs="Arial"/>
          <w:color w:val="000000" w:themeColor="text1"/>
          <w:spacing w:val="-3"/>
          <w:lang w:val="ru-RU"/>
        </w:rPr>
        <w:t xml:space="preserve">ответчиков;  </w:t>
      </w:r>
      <w:r w:rsidRPr="00DA76A7">
        <w:rPr>
          <w:rFonts w:ascii="Arial" w:hAnsi="Arial" w:cs="Arial"/>
          <w:color w:val="000000" w:themeColor="text1"/>
          <w:lang w:val="ru-RU"/>
        </w:rPr>
        <w:t xml:space="preserve">3)   возмещение в </w:t>
      </w:r>
      <w:r w:rsidRPr="00DA76A7">
        <w:rPr>
          <w:rFonts w:ascii="Arial" w:hAnsi="Arial" w:cs="Arial"/>
          <w:color w:val="000000" w:themeColor="text1"/>
          <w:spacing w:val="-3"/>
          <w:lang w:val="ru-RU"/>
        </w:rPr>
        <w:t xml:space="preserve">полном  объеме </w:t>
      </w:r>
      <w:r w:rsidRPr="00DA76A7">
        <w:rPr>
          <w:rFonts w:ascii="Arial" w:hAnsi="Arial" w:cs="Arial"/>
          <w:color w:val="000000" w:themeColor="text1"/>
          <w:lang w:val="ru-RU"/>
        </w:rPr>
        <w:t>нанесенного ущерба;  4) в любой  части нанесенного ущерба.  В</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 xml:space="preserve">случае отсутствия </w:t>
      </w:r>
      <w:r w:rsidRPr="00DA76A7">
        <w:rPr>
          <w:rFonts w:ascii="Arial" w:hAnsi="Arial" w:cs="Arial"/>
          <w:color w:val="000000" w:themeColor="text1"/>
          <w:spacing w:val="-3"/>
          <w:lang w:val="ru-RU"/>
        </w:rPr>
        <w:t xml:space="preserve">полного удовлетворения </w:t>
      </w:r>
      <w:r w:rsidRPr="00DA76A7">
        <w:rPr>
          <w:rFonts w:ascii="Arial" w:hAnsi="Arial" w:cs="Arial"/>
          <w:color w:val="000000" w:themeColor="text1"/>
          <w:lang w:val="ru-RU"/>
        </w:rPr>
        <w:t xml:space="preserve">требований одним из солидарных </w:t>
      </w:r>
      <w:r w:rsidRPr="00DA76A7">
        <w:rPr>
          <w:rFonts w:ascii="Arial" w:hAnsi="Arial" w:cs="Arial"/>
          <w:color w:val="000000" w:themeColor="text1"/>
          <w:spacing w:val="-3"/>
          <w:lang w:val="ru-RU"/>
        </w:rPr>
        <w:t xml:space="preserve">ответчиков, гражданское законодательства определяет положение в ст. 323, что </w:t>
      </w:r>
      <w:r w:rsidRPr="00DA76A7">
        <w:rPr>
          <w:rFonts w:ascii="Arial" w:hAnsi="Arial" w:cs="Arial"/>
          <w:color w:val="000000" w:themeColor="text1"/>
          <w:lang w:val="ru-RU"/>
        </w:rPr>
        <w:t>у потерпевшего-истца возникает</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 xml:space="preserve">право </w:t>
      </w:r>
      <w:r w:rsidRPr="00DA76A7">
        <w:rPr>
          <w:rFonts w:ascii="Arial" w:hAnsi="Arial" w:cs="Arial"/>
          <w:color w:val="000000" w:themeColor="text1"/>
          <w:spacing w:val="-8"/>
          <w:lang w:val="ru-RU"/>
        </w:rPr>
        <w:t xml:space="preserve"> </w:t>
      </w:r>
      <w:r w:rsidRPr="00DA76A7">
        <w:rPr>
          <w:rFonts w:ascii="Arial" w:hAnsi="Arial" w:cs="Arial"/>
          <w:color w:val="000000" w:themeColor="text1"/>
          <w:lang w:val="ru-RU"/>
        </w:rPr>
        <w:t>на</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предъявление</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 xml:space="preserve">требования по тем же правилам к другим солидарным ответчикам, ответственность </w:t>
      </w:r>
      <w:r w:rsidRPr="00DA76A7">
        <w:rPr>
          <w:rFonts w:ascii="Arial" w:hAnsi="Arial" w:cs="Arial"/>
          <w:color w:val="000000" w:themeColor="text1"/>
          <w:spacing w:val="-4"/>
          <w:lang w:val="ru-RU"/>
        </w:rPr>
        <w:t xml:space="preserve">которых </w:t>
      </w:r>
      <w:r w:rsidRPr="00DA76A7">
        <w:rPr>
          <w:rFonts w:ascii="Arial" w:hAnsi="Arial" w:cs="Arial"/>
          <w:color w:val="000000" w:themeColor="text1"/>
          <w:lang w:val="ru-RU"/>
        </w:rPr>
        <w:t xml:space="preserve">сохраняется до полного </w:t>
      </w:r>
      <w:r w:rsidRPr="00DA76A7">
        <w:rPr>
          <w:rFonts w:ascii="Arial" w:hAnsi="Arial" w:cs="Arial"/>
          <w:color w:val="000000" w:themeColor="text1"/>
          <w:spacing w:val="-3"/>
          <w:lang w:val="ru-RU"/>
        </w:rPr>
        <w:t xml:space="preserve">удовлетворения </w:t>
      </w:r>
      <w:r w:rsidRPr="00DA76A7">
        <w:rPr>
          <w:rFonts w:ascii="Arial" w:hAnsi="Arial" w:cs="Arial"/>
          <w:color w:val="000000" w:themeColor="text1"/>
          <w:lang w:val="ru-RU"/>
        </w:rPr>
        <w:t xml:space="preserve">требований </w:t>
      </w:r>
      <w:r w:rsidRPr="00DA76A7">
        <w:rPr>
          <w:rFonts w:ascii="Arial" w:hAnsi="Arial" w:cs="Arial"/>
          <w:color w:val="000000" w:themeColor="text1"/>
          <w:spacing w:val="-3"/>
          <w:lang w:val="ru-RU"/>
        </w:rPr>
        <w:t xml:space="preserve">потерпевшего. </w:t>
      </w:r>
      <w:r w:rsidRPr="00DA76A7">
        <w:rPr>
          <w:rFonts w:ascii="Arial" w:hAnsi="Arial" w:cs="Arial"/>
          <w:color w:val="000000" w:themeColor="text1"/>
          <w:lang w:val="ru-RU"/>
        </w:rPr>
        <w:t>Как</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правило,</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3"/>
          <w:lang w:val="ru-RU"/>
        </w:rPr>
        <w:t>ответчик</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4"/>
          <w:lang w:val="ru-RU"/>
        </w:rPr>
        <w:t xml:space="preserve">предъявляет </w:t>
      </w:r>
      <w:r w:rsidRPr="00DA76A7">
        <w:rPr>
          <w:rFonts w:ascii="Arial" w:hAnsi="Arial" w:cs="Arial"/>
          <w:color w:val="000000" w:themeColor="text1"/>
          <w:lang w:val="ru-RU"/>
        </w:rPr>
        <w:t>свои</w:t>
      </w:r>
      <w:r w:rsidRPr="00DA76A7">
        <w:rPr>
          <w:rFonts w:ascii="Arial" w:hAnsi="Arial" w:cs="Arial"/>
          <w:color w:val="000000" w:themeColor="text1"/>
          <w:spacing w:val="-8"/>
          <w:lang w:val="ru-RU"/>
        </w:rPr>
        <w:t xml:space="preserve"> </w:t>
      </w:r>
      <w:r w:rsidRPr="00DA76A7">
        <w:rPr>
          <w:rFonts w:ascii="Arial" w:hAnsi="Arial" w:cs="Arial"/>
          <w:color w:val="000000" w:themeColor="text1"/>
          <w:lang w:val="ru-RU"/>
        </w:rPr>
        <w:t>требования</w:t>
      </w:r>
      <w:r w:rsidRPr="00DA76A7">
        <w:rPr>
          <w:rFonts w:ascii="Arial" w:hAnsi="Arial" w:cs="Arial"/>
          <w:color w:val="000000" w:themeColor="text1"/>
          <w:spacing w:val="-14"/>
          <w:lang w:val="ru-RU"/>
        </w:rPr>
        <w:t xml:space="preserve"> </w:t>
      </w:r>
      <w:r w:rsidRPr="00DA76A7">
        <w:rPr>
          <w:rFonts w:ascii="Arial" w:hAnsi="Arial" w:cs="Arial"/>
          <w:color w:val="000000" w:themeColor="text1"/>
          <w:lang w:val="ru-RU"/>
        </w:rPr>
        <w:t>не</w:t>
      </w:r>
      <w:r w:rsidRPr="00DA76A7">
        <w:rPr>
          <w:rFonts w:ascii="Arial" w:hAnsi="Arial" w:cs="Arial"/>
          <w:color w:val="000000" w:themeColor="text1"/>
          <w:spacing w:val="-20"/>
          <w:lang w:val="ru-RU"/>
        </w:rPr>
        <w:t xml:space="preserve"> </w:t>
      </w:r>
      <w:r w:rsidRPr="00DA76A7">
        <w:rPr>
          <w:rFonts w:ascii="Arial" w:hAnsi="Arial" w:cs="Arial"/>
          <w:color w:val="000000" w:themeColor="text1"/>
          <w:spacing w:val="-5"/>
          <w:lang w:val="ru-RU"/>
        </w:rPr>
        <w:t>тому</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правонарушителю,</w:t>
      </w:r>
      <w:r w:rsidRPr="00DA76A7">
        <w:rPr>
          <w:rFonts w:ascii="Arial" w:hAnsi="Arial" w:cs="Arial"/>
          <w:color w:val="000000" w:themeColor="text1"/>
          <w:spacing w:val="-6"/>
          <w:lang w:val="ru-RU"/>
        </w:rPr>
        <w:t xml:space="preserve"> </w:t>
      </w:r>
      <w:r w:rsidRPr="00DA76A7">
        <w:rPr>
          <w:rFonts w:ascii="Arial" w:hAnsi="Arial" w:cs="Arial"/>
          <w:color w:val="000000" w:themeColor="text1"/>
          <w:spacing w:val="-5"/>
          <w:lang w:val="ru-RU"/>
        </w:rPr>
        <w:t>который</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7"/>
          <w:lang w:val="ru-RU"/>
        </w:rPr>
        <w:t xml:space="preserve"> </w:t>
      </w:r>
      <w:r w:rsidRPr="00DA76A7">
        <w:rPr>
          <w:rFonts w:ascii="Arial" w:hAnsi="Arial" w:cs="Arial"/>
          <w:color w:val="000000" w:themeColor="text1"/>
          <w:lang w:val="ru-RU"/>
        </w:rPr>
        <w:t>наибольшей</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мере</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виновен</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7"/>
          <w:lang w:val="ru-RU"/>
        </w:rPr>
        <w:t xml:space="preserve"> </w:t>
      </w:r>
      <w:r w:rsidRPr="00DA76A7">
        <w:rPr>
          <w:rFonts w:ascii="Arial" w:hAnsi="Arial" w:cs="Arial"/>
          <w:color w:val="000000" w:themeColor="text1"/>
          <w:lang w:val="ru-RU"/>
        </w:rPr>
        <w:t>правонарушении,</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а</w:t>
      </w:r>
      <w:r w:rsidRPr="00DA76A7">
        <w:rPr>
          <w:rFonts w:ascii="Arial" w:hAnsi="Arial" w:cs="Arial"/>
          <w:color w:val="000000" w:themeColor="text1"/>
          <w:spacing w:val="-6"/>
          <w:lang w:val="ru-RU"/>
        </w:rPr>
        <w:t xml:space="preserve"> </w:t>
      </w:r>
      <w:r w:rsidRPr="00DA76A7">
        <w:rPr>
          <w:rFonts w:ascii="Arial" w:hAnsi="Arial" w:cs="Arial"/>
          <w:color w:val="000000" w:themeColor="text1"/>
          <w:spacing w:val="-10"/>
          <w:lang w:val="ru-RU"/>
        </w:rPr>
        <w:t xml:space="preserve">тому, </w:t>
      </w:r>
      <w:r w:rsidRPr="00DA76A7">
        <w:rPr>
          <w:rFonts w:ascii="Arial" w:hAnsi="Arial" w:cs="Arial"/>
          <w:color w:val="000000" w:themeColor="text1"/>
          <w:spacing w:val="-5"/>
          <w:lang w:val="ru-RU"/>
        </w:rPr>
        <w:t>кто</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3"/>
          <w:lang w:val="ru-RU"/>
        </w:rPr>
        <w:t>имеет</w:t>
      </w:r>
      <w:r w:rsidRPr="00DA76A7">
        <w:rPr>
          <w:rFonts w:ascii="Arial" w:hAnsi="Arial" w:cs="Arial"/>
          <w:color w:val="000000" w:themeColor="text1"/>
          <w:spacing w:val="-4"/>
          <w:lang w:val="ru-RU"/>
        </w:rPr>
        <w:t xml:space="preserve"> </w:t>
      </w:r>
      <w:r w:rsidRPr="00DA76A7">
        <w:rPr>
          <w:rFonts w:ascii="Arial" w:hAnsi="Arial" w:cs="Arial"/>
          <w:color w:val="000000" w:themeColor="text1"/>
          <w:spacing w:val="-3"/>
          <w:lang w:val="ru-RU"/>
        </w:rPr>
        <w:t>возможность</w:t>
      </w:r>
      <w:r w:rsidRPr="00DA76A7">
        <w:rPr>
          <w:rFonts w:ascii="Arial" w:hAnsi="Arial" w:cs="Arial"/>
          <w:color w:val="000000" w:themeColor="text1"/>
          <w:spacing w:val="-9"/>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8"/>
          <w:lang w:val="ru-RU"/>
        </w:rPr>
        <w:t xml:space="preserve"> </w:t>
      </w:r>
      <w:r w:rsidRPr="00DA76A7">
        <w:rPr>
          <w:rFonts w:ascii="Arial" w:hAnsi="Arial" w:cs="Arial"/>
          <w:color w:val="000000" w:themeColor="text1"/>
          <w:spacing w:val="-3"/>
          <w:lang w:val="ru-RU"/>
        </w:rPr>
        <w:t>полном</w:t>
      </w:r>
      <w:r w:rsidRPr="00DA76A7">
        <w:rPr>
          <w:rFonts w:ascii="Arial" w:hAnsi="Arial" w:cs="Arial"/>
          <w:color w:val="000000" w:themeColor="text1"/>
          <w:spacing w:val="-4"/>
          <w:lang w:val="ru-RU"/>
        </w:rPr>
        <w:t xml:space="preserve"> объеме</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и</w:t>
      </w:r>
      <w:r w:rsidRPr="00DA76A7">
        <w:rPr>
          <w:rFonts w:ascii="Arial" w:hAnsi="Arial" w:cs="Arial"/>
          <w:color w:val="000000" w:themeColor="text1"/>
          <w:spacing w:val="-7"/>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7"/>
          <w:lang w:val="ru-RU"/>
        </w:rPr>
        <w:t xml:space="preserve"> </w:t>
      </w:r>
      <w:r w:rsidRPr="00DA76A7">
        <w:rPr>
          <w:rFonts w:ascii="Arial" w:hAnsi="Arial" w:cs="Arial"/>
          <w:color w:val="000000" w:themeColor="text1"/>
          <w:spacing w:val="-4"/>
          <w:lang w:val="ru-RU"/>
        </w:rPr>
        <w:t>короткие</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сроки</w:t>
      </w:r>
      <w:r w:rsidRPr="00DA76A7">
        <w:rPr>
          <w:rFonts w:ascii="Arial" w:hAnsi="Arial" w:cs="Arial"/>
          <w:color w:val="000000" w:themeColor="text1"/>
          <w:spacing w:val="-7"/>
          <w:lang w:val="ru-RU"/>
        </w:rPr>
        <w:t xml:space="preserve"> </w:t>
      </w:r>
      <w:r w:rsidRPr="00DA76A7">
        <w:rPr>
          <w:rFonts w:ascii="Arial" w:hAnsi="Arial" w:cs="Arial"/>
          <w:color w:val="000000" w:themeColor="text1"/>
          <w:spacing w:val="-3"/>
          <w:lang w:val="ru-RU"/>
        </w:rPr>
        <w:t>компенсировать</w:t>
      </w:r>
      <w:r w:rsidRPr="00DA76A7">
        <w:rPr>
          <w:rFonts w:ascii="Arial" w:hAnsi="Arial" w:cs="Arial"/>
          <w:color w:val="000000" w:themeColor="text1"/>
          <w:spacing w:val="-9"/>
          <w:lang w:val="ru-RU"/>
        </w:rPr>
        <w:t xml:space="preserve"> </w:t>
      </w:r>
      <w:r w:rsidRPr="00DA76A7">
        <w:rPr>
          <w:rFonts w:ascii="Arial" w:hAnsi="Arial" w:cs="Arial"/>
          <w:color w:val="000000" w:themeColor="text1"/>
          <w:spacing w:val="-3"/>
          <w:lang w:val="ru-RU"/>
        </w:rPr>
        <w:t>потерпевшему</w:t>
      </w:r>
      <w:r w:rsidRPr="00DA76A7">
        <w:rPr>
          <w:rFonts w:ascii="Arial" w:hAnsi="Arial" w:cs="Arial"/>
          <w:color w:val="000000" w:themeColor="text1"/>
          <w:spacing w:val="-14"/>
          <w:lang w:val="ru-RU"/>
        </w:rPr>
        <w:t xml:space="preserve"> </w:t>
      </w:r>
      <w:r w:rsidRPr="00DA76A7">
        <w:rPr>
          <w:rFonts w:ascii="Arial" w:hAnsi="Arial" w:cs="Arial"/>
          <w:color w:val="000000" w:themeColor="text1"/>
          <w:lang w:val="ru-RU"/>
        </w:rPr>
        <w:t>неблагоприятные имущественные</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последствия.</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 xml:space="preserve">После возмещения потерпевшему вреда одним из солидарных </w:t>
      </w:r>
      <w:r w:rsidRPr="00DA76A7">
        <w:rPr>
          <w:rFonts w:ascii="Arial" w:hAnsi="Arial" w:cs="Arial"/>
          <w:color w:val="000000" w:themeColor="text1"/>
          <w:spacing w:val="-3"/>
          <w:lang w:val="ru-RU"/>
        </w:rPr>
        <w:t xml:space="preserve">ответчиков </w:t>
      </w:r>
      <w:r w:rsidRPr="00DA76A7">
        <w:rPr>
          <w:rFonts w:ascii="Arial" w:hAnsi="Arial" w:cs="Arial"/>
          <w:color w:val="000000" w:themeColor="text1"/>
          <w:lang w:val="ru-RU"/>
        </w:rPr>
        <w:t xml:space="preserve">у </w:t>
      </w:r>
      <w:r w:rsidRPr="00DA76A7">
        <w:rPr>
          <w:rFonts w:ascii="Arial" w:hAnsi="Arial" w:cs="Arial"/>
          <w:color w:val="000000" w:themeColor="text1"/>
          <w:spacing w:val="-4"/>
          <w:lang w:val="ru-RU"/>
        </w:rPr>
        <w:t xml:space="preserve">соответчиков </w:t>
      </w:r>
      <w:r w:rsidRPr="00DA76A7">
        <w:rPr>
          <w:rFonts w:ascii="Arial" w:hAnsi="Arial" w:cs="Arial"/>
          <w:color w:val="000000" w:themeColor="text1"/>
          <w:lang w:val="ru-RU"/>
        </w:rPr>
        <w:t>появляется обязанность</w:t>
      </w:r>
      <w:r w:rsidRPr="00DA76A7">
        <w:rPr>
          <w:rFonts w:ascii="Arial" w:hAnsi="Arial" w:cs="Arial"/>
          <w:color w:val="000000" w:themeColor="text1"/>
          <w:spacing w:val="-6"/>
          <w:lang w:val="ru-RU"/>
        </w:rPr>
        <w:t xml:space="preserve"> </w:t>
      </w:r>
      <w:r w:rsidRPr="00DA76A7">
        <w:rPr>
          <w:rFonts w:ascii="Arial" w:hAnsi="Arial" w:cs="Arial"/>
          <w:color w:val="000000" w:themeColor="text1"/>
          <w:lang w:val="ru-RU"/>
        </w:rPr>
        <w:t>(ответственность)</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3"/>
          <w:lang w:val="ru-RU"/>
        </w:rPr>
        <w:t>перед</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3"/>
          <w:lang w:val="ru-RU"/>
        </w:rPr>
        <w:t>тем</w:t>
      </w:r>
      <w:r w:rsidRPr="00DA76A7">
        <w:rPr>
          <w:rFonts w:ascii="Arial" w:hAnsi="Arial" w:cs="Arial"/>
          <w:color w:val="000000" w:themeColor="text1"/>
          <w:spacing w:val="-5"/>
          <w:lang w:val="ru-RU"/>
        </w:rPr>
        <w:t xml:space="preserve"> </w:t>
      </w:r>
      <w:r w:rsidRPr="00DA76A7">
        <w:rPr>
          <w:rFonts w:ascii="Arial" w:hAnsi="Arial" w:cs="Arial"/>
          <w:color w:val="000000" w:themeColor="text1"/>
          <w:lang w:val="ru-RU"/>
        </w:rPr>
        <w:t>из</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них,</w:t>
      </w:r>
      <w:r w:rsidRPr="00DA76A7">
        <w:rPr>
          <w:rFonts w:ascii="Arial" w:hAnsi="Arial" w:cs="Arial"/>
          <w:color w:val="000000" w:themeColor="text1"/>
          <w:spacing w:val="2"/>
          <w:lang w:val="ru-RU"/>
        </w:rPr>
        <w:t xml:space="preserve"> </w:t>
      </w:r>
      <w:r w:rsidRPr="00DA76A7">
        <w:rPr>
          <w:rFonts w:ascii="Arial" w:hAnsi="Arial" w:cs="Arial"/>
          <w:color w:val="000000" w:themeColor="text1"/>
          <w:spacing w:val="-5"/>
          <w:lang w:val="ru-RU"/>
        </w:rPr>
        <w:t>кто</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3"/>
          <w:lang w:val="ru-RU"/>
        </w:rPr>
        <w:t>удовлетворил</w:t>
      </w:r>
      <w:r w:rsidRPr="00DA76A7">
        <w:rPr>
          <w:rFonts w:ascii="Arial" w:hAnsi="Arial" w:cs="Arial"/>
          <w:color w:val="000000" w:themeColor="text1"/>
          <w:spacing w:val="-9"/>
          <w:lang w:val="ru-RU"/>
        </w:rPr>
        <w:t xml:space="preserve"> </w:t>
      </w:r>
      <w:r w:rsidRPr="00DA76A7">
        <w:rPr>
          <w:rFonts w:ascii="Arial" w:hAnsi="Arial" w:cs="Arial"/>
          <w:color w:val="000000" w:themeColor="text1"/>
          <w:lang w:val="ru-RU"/>
        </w:rPr>
        <w:t>требования</w:t>
      </w:r>
      <w:r w:rsidRPr="00DA76A7">
        <w:rPr>
          <w:rFonts w:ascii="Arial" w:hAnsi="Arial" w:cs="Arial"/>
          <w:color w:val="000000" w:themeColor="text1"/>
          <w:spacing w:val="-5"/>
          <w:lang w:val="ru-RU"/>
        </w:rPr>
        <w:t xml:space="preserve"> </w:t>
      </w:r>
      <w:r w:rsidRPr="00DA76A7">
        <w:rPr>
          <w:rFonts w:ascii="Arial" w:hAnsi="Arial" w:cs="Arial"/>
          <w:color w:val="000000" w:themeColor="text1"/>
          <w:lang w:val="ru-RU"/>
        </w:rPr>
        <w:t>потерпевшего-истца,</w:t>
      </w:r>
      <w:r w:rsidRPr="00DA76A7">
        <w:rPr>
          <w:rFonts w:ascii="Arial" w:hAnsi="Arial" w:cs="Arial"/>
          <w:color w:val="000000" w:themeColor="text1"/>
          <w:spacing w:val="-7"/>
          <w:lang w:val="ru-RU"/>
        </w:rPr>
        <w:t xml:space="preserve"> </w:t>
      </w:r>
      <w:r w:rsidRPr="00DA76A7">
        <w:rPr>
          <w:rFonts w:ascii="Arial" w:hAnsi="Arial" w:cs="Arial"/>
          <w:color w:val="000000" w:themeColor="text1"/>
          <w:lang w:val="ru-RU"/>
        </w:rPr>
        <w:t xml:space="preserve">причем в равных долях, </w:t>
      </w:r>
      <w:r w:rsidRPr="00DA76A7">
        <w:rPr>
          <w:rFonts w:ascii="Arial" w:hAnsi="Arial" w:cs="Arial"/>
          <w:color w:val="000000" w:themeColor="text1"/>
          <w:spacing w:val="-4"/>
          <w:lang w:val="ru-RU"/>
        </w:rPr>
        <w:t xml:space="preserve">т.е. </w:t>
      </w:r>
      <w:r w:rsidRPr="00DA76A7">
        <w:rPr>
          <w:rFonts w:ascii="Arial" w:hAnsi="Arial" w:cs="Arial"/>
          <w:color w:val="000000" w:themeColor="text1"/>
          <w:lang w:val="ru-RU"/>
        </w:rPr>
        <w:t xml:space="preserve">на принципах </w:t>
      </w:r>
      <w:r w:rsidRPr="00DA76A7">
        <w:rPr>
          <w:rFonts w:ascii="Arial" w:hAnsi="Arial" w:cs="Arial"/>
          <w:color w:val="000000" w:themeColor="text1"/>
          <w:spacing w:val="-3"/>
          <w:lang w:val="ru-RU"/>
        </w:rPr>
        <w:t>долевой</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ответственности.</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 xml:space="preserve">Так, А.В. Сахаров </w:t>
      </w:r>
      <w:r w:rsidRPr="00DA76A7">
        <w:rPr>
          <w:rFonts w:ascii="Arial" w:hAnsi="Arial" w:cs="Arial"/>
          <w:color w:val="000000" w:themeColor="text1"/>
          <w:spacing w:val="-4"/>
          <w:lang w:val="ru-RU"/>
        </w:rPr>
        <w:t xml:space="preserve">отмечает, </w:t>
      </w:r>
      <w:r w:rsidRPr="00DA76A7">
        <w:rPr>
          <w:rFonts w:ascii="Arial" w:hAnsi="Arial" w:cs="Arial"/>
          <w:color w:val="000000" w:themeColor="text1"/>
          <w:spacing w:val="-3"/>
          <w:lang w:val="ru-RU"/>
        </w:rPr>
        <w:t xml:space="preserve">что </w:t>
      </w:r>
      <w:r w:rsidRPr="00DA76A7">
        <w:rPr>
          <w:rFonts w:ascii="Arial" w:hAnsi="Arial" w:cs="Arial"/>
          <w:color w:val="000000" w:themeColor="text1"/>
          <w:lang w:val="ru-RU"/>
        </w:rPr>
        <w:t xml:space="preserve">в пункте 2 </w:t>
      </w:r>
      <w:r w:rsidRPr="00DA76A7">
        <w:rPr>
          <w:rFonts w:ascii="Arial" w:hAnsi="Arial" w:cs="Arial"/>
          <w:color w:val="000000" w:themeColor="text1"/>
          <w:spacing w:val="-6"/>
          <w:lang w:val="ru-RU"/>
        </w:rPr>
        <w:t xml:space="preserve">ст. </w:t>
      </w:r>
      <w:r w:rsidRPr="00DA76A7">
        <w:rPr>
          <w:rFonts w:ascii="Arial" w:hAnsi="Arial" w:cs="Arial"/>
          <w:color w:val="000000" w:themeColor="text1"/>
          <w:lang w:val="ru-RU"/>
        </w:rPr>
        <w:t xml:space="preserve">1081 Гражданского </w:t>
      </w:r>
      <w:r w:rsidRPr="00DA76A7">
        <w:rPr>
          <w:rFonts w:ascii="Arial" w:hAnsi="Arial" w:cs="Arial"/>
          <w:color w:val="000000" w:themeColor="text1"/>
          <w:spacing w:val="-5"/>
          <w:lang w:val="ru-RU"/>
        </w:rPr>
        <w:t xml:space="preserve">кодекса </w:t>
      </w:r>
      <w:r w:rsidRPr="00DA76A7">
        <w:rPr>
          <w:rFonts w:ascii="Arial" w:hAnsi="Arial" w:cs="Arial"/>
          <w:color w:val="000000" w:themeColor="text1"/>
          <w:lang w:val="ru-RU"/>
        </w:rPr>
        <w:t xml:space="preserve">РФ закреплено правило, согласно </w:t>
      </w:r>
      <w:r w:rsidRPr="00DA76A7">
        <w:rPr>
          <w:rFonts w:ascii="Arial" w:hAnsi="Arial" w:cs="Arial"/>
          <w:color w:val="000000" w:themeColor="text1"/>
          <w:spacing w:val="-5"/>
          <w:lang w:val="ru-RU"/>
        </w:rPr>
        <w:t xml:space="preserve">которому </w:t>
      </w:r>
      <w:r w:rsidRPr="00DA76A7">
        <w:rPr>
          <w:rFonts w:ascii="Arial" w:hAnsi="Arial" w:cs="Arial"/>
          <w:color w:val="000000" w:themeColor="text1"/>
          <w:lang w:val="ru-RU"/>
        </w:rPr>
        <w:t xml:space="preserve">причинитель вреда, возместивший совместно причиненный </w:t>
      </w:r>
      <w:r w:rsidRPr="00DA76A7">
        <w:rPr>
          <w:rFonts w:ascii="Arial" w:hAnsi="Arial" w:cs="Arial"/>
          <w:color w:val="000000" w:themeColor="text1"/>
          <w:spacing w:val="-3"/>
          <w:lang w:val="ru-RU"/>
        </w:rPr>
        <w:t xml:space="preserve">вред, </w:t>
      </w:r>
      <w:r w:rsidRPr="00DA76A7">
        <w:rPr>
          <w:rFonts w:ascii="Arial" w:hAnsi="Arial" w:cs="Arial"/>
          <w:color w:val="000000" w:themeColor="text1"/>
          <w:lang w:val="ru-RU"/>
        </w:rPr>
        <w:t xml:space="preserve">вправе требовать с </w:t>
      </w:r>
      <w:r w:rsidRPr="00DA76A7">
        <w:rPr>
          <w:rFonts w:ascii="Arial" w:hAnsi="Arial" w:cs="Arial"/>
          <w:color w:val="000000" w:themeColor="text1"/>
          <w:spacing w:val="-3"/>
          <w:lang w:val="ru-RU"/>
        </w:rPr>
        <w:t>каждого</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из</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других</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причинителей</w:t>
      </w:r>
      <w:r w:rsidRPr="00DA76A7">
        <w:rPr>
          <w:rFonts w:ascii="Arial" w:hAnsi="Arial" w:cs="Arial"/>
          <w:color w:val="000000" w:themeColor="text1"/>
          <w:spacing w:val="-10"/>
          <w:lang w:val="ru-RU"/>
        </w:rPr>
        <w:t xml:space="preserve"> </w:t>
      </w:r>
      <w:r w:rsidRPr="00DA76A7">
        <w:rPr>
          <w:rFonts w:ascii="Arial" w:hAnsi="Arial" w:cs="Arial"/>
          <w:color w:val="000000" w:themeColor="text1"/>
          <w:spacing w:val="-3"/>
          <w:lang w:val="ru-RU"/>
        </w:rPr>
        <w:t>вреда</w:t>
      </w:r>
      <w:r w:rsidRPr="00DA76A7">
        <w:rPr>
          <w:rFonts w:ascii="Arial" w:hAnsi="Arial" w:cs="Arial"/>
          <w:color w:val="000000" w:themeColor="text1"/>
          <w:spacing w:val="-10"/>
          <w:lang w:val="ru-RU"/>
        </w:rPr>
        <w:t xml:space="preserve"> </w:t>
      </w:r>
      <w:r w:rsidRPr="00DA76A7">
        <w:rPr>
          <w:rFonts w:ascii="Arial" w:hAnsi="Arial" w:cs="Arial"/>
          <w:color w:val="000000" w:themeColor="text1"/>
          <w:spacing w:val="-3"/>
          <w:lang w:val="ru-RU"/>
        </w:rPr>
        <w:t>долю</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выплаченного</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3"/>
          <w:lang w:val="ru-RU"/>
        </w:rPr>
        <w:t>потерпевшему</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3"/>
          <w:lang w:val="ru-RU"/>
        </w:rPr>
        <w:t>возмещения</w:t>
      </w:r>
      <w:r w:rsidRPr="00DA76A7">
        <w:rPr>
          <w:rFonts w:ascii="Arial" w:hAnsi="Arial" w:cs="Arial"/>
          <w:color w:val="000000" w:themeColor="text1"/>
          <w:spacing w:val="-14"/>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3"/>
          <w:lang w:val="ru-RU"/>
        </w:rPr>
        <w:t>размере,</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 xml:space="preserve">зависящем </w:t>
      </w:r>
      <w:r w:rsidRPr="00DA76A7">
        <w:rPr>
          <w:rFonts w:ascii="Arial" w:hAnsi="Arial" w:cs="Arial"/>
          <w:color w:val="000000" w:themeColor="text1"/>
          <w:spacing w:val="-3"/>
          <w:lang w:val="ru-RU"/>
        </w:rPr>
        <w:t xml:space="preserve">от </w:t>
      </w:r>
      <w:r w:rsidRPr="00DA76A7">
        <w:rPr>
          <w:rFonts w:ascii="Arial" w:hAnsi="Arial" w:cs="Arial"/>
          <w:color w:val="000000" w:themeColor="text1"/>
          <w:lang w:val="ru-RU"/>
        </w:rPr>
        <w:t>степени вины этого причинителя вреда [8, 134].</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На</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основании</w:t>
      </w:r>
      <w:r w:rsidRPr="00DA76A7">
        <w:rPr>
          <w:rFonts w:ascii="Arial" w:hAnsi="Arial" w:cs="Arial"/>
          <w:color w:val="000000" w:themeColor="text1"/>
          <w:spacing w:val="-14"/>
          <w:lang w:val="ru-RU"/>
        </w:rPr>
        <w:t xml:space="preserve"> </w:t>
      </w:r>
      <w:r w:rsidRPr="00DA76A7">
        <w:rPr>
          <w:rFonts w:ascii="Arial" w:hAnsi="Arial" w:cs="Arial"/>
          <w:color w:val="000000" w:themeColor="text1"/>
          <w:lang w:val="ru-RU"/>
        </w:rPr>
        <w:t>вышесказанного</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можно</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сделать</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вывод</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о</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том,</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что</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применение</w:t>
      </w:r>
      <w:r w:rsidRPr="00DA76A7">
        <w:rPr>
          <w:rFonts w:ascii="Arial" w:hAnsi="Arial" w:cs="Arial"/>
          <w:color w:val="000000" w:themeColor="text1"/>
          <w:spacing w:val="-22"/>
          <w:lang w:val="ru-RU"/>
        </w:rPr>
        <w:t xml:space="preserve"> </w:t>
      </w:r>
      <w:r w:rsidRPr="00DA76A7">
        <w:rPr>
          <w:rFonts w:ascii="Arial" w:hAnsi="Arial" w:cs="Arial"/>
          <w:color w:val="000000" w:themeColor="text1"/>
          <w:lang w:val="ru-RU"/>
        </w:rPr>
        <w:t>солидарной</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3"/>
          <w:lang w:val="ru-RU"/>
        </w:rPr>
        <w:t xml:space="preserve">ответственности </w:t>
      </w:r>
      <w:r w:rsidRPr="00DA76A7">
        <w:rPr>
          <w:rFonts w:ascii="Arial" w:hAnsi="Arial" w:cs="Arial"/>
          <w:color w:val="000000" w:themeColor="text1"/>
          <w:lang w:val="ru-RU"/>
        </w:rPr>
        <w:t xml:space="preserve">возможно </w:t>
      </w:r>
      <w:r w:rsidRPr="00DA76A7">
        <w:rPr>
          <w:rFonts w:ascii="Arial" w:hAnsi="Arial" w:cs="Arial"/>
          <w:color w:val="000000" w:themeColor="text1"/>
          <w:spacing w:val="-4"/>
          <w:lang w:val="ru-RU"/>
        </w:rPr>
        <w:t>только</w:t>
      </w:r>
      <w:r w:rsidRPr="00DA76A7">
        <w:rPr>
          <w:rFonts w:ascii="Arial" w:hAnsi="Arial" w:cs="Arial"/>
          <w:color w:val="000000" w:themeColor="text1"/>
          <w:lang w:val="ru-RU"/>
        </w:rPr>
        <w:t xml:space="preserve"> предписанным законом случаях либо из условия договора, </w:t>
      </w:r>
      <w:r w:rsidRPr="00DA76A7">
        <w:rPr>
          <w:rFonts w:ascii="Arial" w:hAnsi="Arial" w:cs="Arial"/>
          <w:color w:val="000000" w:themeColor="text1"/>
          <w:spacing w:val="5"/>
          <w:lang w:val="ru-RU"/>
        </w:rPr>
        <w:t xml:space="preserve">например, при </w:t>
      </w:r>
      <w:r w:rsidRPr="00DA76A7">
        <w:rPr>
          <w:rFonts w:ascii="Arial" w:hAnsi="Arial" w:cs="Arial"/>
          <w:color w:val="000000" w:themeColor="text1"/>
          <w:spacing w:val="4"/>
          <w:lang w:val="ru-RU"/>
        </w:rPr>
        <w:t xml:space="preserve">неделимости </w:t>
      </w:r>
      <w:r w:rsidRPr="00DA76A7">
        <w:rPr>
          <w:rFonts w:ascii="Arial" w:hAnsi="Arial" w:cs="Arial"/>
          <w:color w:val="000000" w:themeColor="text1"/>
          <w:spacing w:val="3"/>
          <w:lang w:val="ru-RU"/>
        </w:rPr>
        <w:t xml:space="preserve">предмета </w:t>
      </w:r>
      <w:r w:rsidRPr="00DA76A7">
        <w:rPr>
          <w:rFonts w:ascii="Arial" w:hAnsi="Arial" w:cs="Arial"/>
          <w:color w:val="000000" w:themeColor="text1"/>
          <w:spacing w:val="4"/>
          <w:lang w:val="ru-RU"/>
        </w:rPr>
        <w:t xml:space="preserve">неисполненного обязательства, </w:t>
      </w:r>
      <w:r w:rsidRPr="00DA76A7">
        <w:rPr>
          <w:rFonts w:ascii="Arial" w:hAnsi="Arial" w:cs="Arial"/>
          <w:color w:val="000000" w:themeColor="text1"/>
          <w:spacing w:val="2"/>
          <w:lang w:val="ru-RU"/>
        </w:rPr>
        <w:t xml:space="preserve">определенном </w:t>
      </w:r>
      <w:r w:rsidRPr="00DA76A7">
        <w:rPr>
          <w:rFonts w:ascii="Arial" w:hAnsi="Arial" w:cs="Arial"/>
          <w:color w:val="000000" w:themeColor="text1"/>
          <w:lang w:val="ru-RU"/>
        </w:rPr>
        <w:t xml:space="preserve">в </w:t>
      </w:r>
      <w:r w:rsidRPr="00DA76A7">
        <w:rPr>
          <w:rFonts w:ascii="Arial" w:hAnsi="Arial" w:cs="Arial"/>
          <w:color w:val="000000" w:themeColor="text1"/>
          <w:spacing w:val="3"/>
          <w:lang w:val="ru-RU"/>
        </w:rPr>
        <w:t xml:space="preserve">п. </w:t>
      </w:r>
      <w:r w:rsidRPr="00DA76A7">
        <w:rPr>
          <w:rFonts w:ascii="Arial" w:hAnsi="Arial" w:cs="Arial"/>
          <w:color w:val="000000" w:themeColor="text1"/>
          <w:lang w:val="ru-RU"/>
        </w:rPr>
        <w:t xml:space="preserve">1 ст. </w:t>
      </w:r>
      <w:r w:rsidRPr="00DA76A7">
        <w:rPr>
          <w:rFonts w:ascii="Arial" w:hAnsi="Arial" w:cs="Arial"/>
          <w:color w:val="000000" w:themeColor="text1"/>
          <w:spacing w:val="4"/>
          <w:lang w:val="ru-RU"/>
        </w:rPr>
        <w:t xml:space="preserve">322 </w:t>
      </w:r>
      <w:r w:rsidRPr="00DA76A7">
        <w:rPr>
          <w:rFonts w:ascii="Arial" w:hAnsi="Arial" w:cs="Arial"/>
          <w:color w:val="000000" w:themeColor="text1"/>
          <w:spacing w:val="-3"/>
          <w:lang w:val="ru-RU"/>
        </w:rPr>
        <w:t xml:space="preserve">Гражданского </w:t>
      </w:r>
      <w:r w:rsidRPr="00DA76A7">
        <w:rPr>
          <w:rFonts w:ascii="Arial" w:hAnsi="Arial" w:cs="Arial"/>
          <w:color w:val="000000" w:themeColor="text1"/>
          <w:spacing w:val="-6"/>
          <w:lang w:val="ru-RU"/>
        </w:rPr>
        <w:t>кодекса</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РФ.</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Субсидиарная ответственность, согласно п. 1 ст. 399 Гражданского кодекса РФ, представляет собой дополнительную ответственность по отношению к ответственности, которую несет перед потерпевшим основной правонарушитель. Основной функцией субсидиарной ответственности является дополнение ответственность основного правонарушителя с целью усиления защиты интересов потерпевшего.</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Основаниям возникновения субсидиарной ответственности для несущего ее субъекта в гражданском праве связывается с фактами:</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а) отказа основного ответчика от удовлетворения требований потерпевшего;</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б) отсутствием ответа со стороны основного ответчика на требование потерпевшего в определенный срок. Гражданской кодекс не содержит строго требования о первоначальном ответе основного ответчика перед потерпевшим всем своим имуществом, и только в случае его недостатка (например, при банкротстве ответчика) к ответственности был привлечен субсидиарный ответчик (должник).</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Гражданско-правовая ответственность является сложным комплексным правовым институтом, целью которого является гуманизация юридической ответственности.</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Особенности</w:t>
      </w:r>
      <w:r w:rsidRPr="00DA76A7">
        <w:rPr>
          <w:rFonts w:ascii="Arial" w:hAnsi="Arial" w:cs="Arial"/>
          <w:color w:val="000000" w:themeColor="text1"/>
          <w:spacing w:val="-6"/>
          <w:lang w:val="ru-RU"/>
        </w:rPr>
        <w:t xml:space="preserve"> </w:t>
      </w:r>
      <w:r w:rsidRPr="00DA76A7">
        <w:rPr>
          <w:rFonts w:ascii="Arial" w:hAnsi="Arial" w:cs="Arial"/>
          <w:color w:val="000000" w:themeColor="text1"/>
          <w:spacing w:val="-5"/>
          <w:lang w:val="ru-RU"/>
        </w:rPr>
        <w:t xml:space="preserve">института </w:t>
      </w:r>
      <w:r w:rsidRPr="00DA76A7">
        <w:rPr>
          <w:rFonts w:ascii="Arial" w:hAnsi="Arial" w:cs="Arial"/>
          <w:color w:val="000000" w:themeColor="text1"/>
          <w:spacing w:val="-6"/>
          <w:lang w:val="ru-RU"/>
        </w:rPr>
        <w:t xml:space="preserve">освобождения </w:t>
      </w:r>
      <w:r w:rsidRPr="00DA76A7">
        <w:rPr>
          <w:rFonts w:ascii="Arial" w:hAnsi="Arial" w:cs="Arial"/>
          <w:color w:val="000000" w:themeColor="text1"/>
          <w:spacing w:val="-8"/>
          <w:lang w:val="ru-RU"/>
        </w:rPr>
        <w:t xml:space="preserve">от </w:t>
      </w:r>
      <w:r w:rsidRPr="00DA76A7">
        <w:rPr>
          <w:rFonts w:ascii="Arial" w:hAnsi="Arial" w:cs="Arial"/>
          <w:color w:val="000000" w:themeColor="text1"/>
          <w:spacing w:val="-5"/>
          <w:lang w:val="ru-RU"/>
        </w:rPr>
        <w:t xml:space="preserve">гражданско-правовой </w:t>
      </w:r>
      <w:r w:rsidRPr="00DA76A7">
        <w:rPr>
          <w:rFonts w:ascii="Arial" w:hAnsi="Arial" w:cs="Arial"/>
          <w:color w:val="000000" w:themeColor="text1"/>
          <w:spacing w:val="-6"/>
          <w:lang w:val="ru-RU"/>
        </w:rPr>
        <w:t xml:space="preserve">ответственности </w:t>
      </w:r>
      <w:r w:rsidRPr="00DA76A7">
        <w:rPr>
          <w:rFonts w:ascii="Arial" w:hAnsi="Arial" w:cs="Arial"/>
          <w:color w:val="000000" w:themeColor="text1"/>
          <w:spacing w:val="-8"/>
          <w:lang w:val="ru-RU"/>
        </w:rPr>
        <w:t xml:space="preserve">обусловлено </w:t>
      </w:r>
      <w:r w:rsidRPr="00DA76A7">
        <w:rPr>
          <w:rFonts w:ascii="Arial" w:hAnsi="Arial" w:cs="Arial"/>
          <w:color w:val="000000" w:themeColor="text1"/>
          <w:spacing w:val="-4"/>
          <w:lang w:val="ru-RU"/>
        </w:rPr>
        <w:t xml:space="preserve">[9, 56]: </w:t>
      </w:r>
      <w:r w:rsidRPr="00DA76A7">
        <w:rPr>
          <w:rFonts w:ascii="Arial" w:hAnsi="Arial" w:cs="Arial"/>
          <w:color w:val="000000" w:themeColor="text1"/>
          <w:lang w:val="ru-RU"/>
        </w:rPr>
        <w:t xml:space="preserve">а) дозволительно-диспозитивным </w:t>
      </w:r>
      <w:r w:rsidRPr="00DA76A7">
        <w:rPr>
          <w:rFonts w:ascii="Arial" w:hAnsi="Arial" w:cs="Arial"/>
          <w:color w:val="000000" w:themeColor="text1"/>
          <w:spacing w:val="-5"/>
          <w:lang w:val="ru-RU"/>
        </w:rPr>
        <w:t xml:space="preserve">методом </w:t>
      </w:r>
      <w:r w:rsidRPr="00DA76A7">
        <w:rPr>
          <w:rFonts w:ascii="Arial" w:hAnsi="Arial" w:cs="Arial"/>
          <w:color w:val="000000" w:themeColor="text1"/>
          <w:lang w:val="ru-RU"/>
        </w:rPr>
        <w:t>гражданско-правового регулирования;</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б) принцип презумпции виновности;</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в) принципа безвиновной ответственности;</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г) многоаспектностью отношений гражданского (экономического) оборота и необходимостью дифференцированного подхода к их нормативно-правовой охране, в том числе, и посредством норм института освобождения от гражданско-правовой ответственности.</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 xml:space="preserve">По мнению Д.В. Богданова, под освобождением </w:t>
      </w:r>
      <w:r w:rsidRPr="00DA76A7">
        <w:rPr>
          <w:rFonts w:ascii="Arial" w:hAnsi="Arial" w:cs="Arial"/>
          <w:color w:val="000000" w:themeColor="text1"/>
          <w:spacing w:val="-3"/>
          <w:lang w:val="ru-RU"/>
        </w:rPr>
        <w:t xml:space="preserve">от </w:t>
      </w:r>
      <w:r w:rsidRPr="00DA76A7">
        <w:rPr>
          <w:rFonts w:ascii="Arial" w:hAnsi="Arial" w:cs="Arial"/>
          <w:color w:val="000000" w:themeColor="text1"/>
          <w:lang w:val="ru-RU"/>
        </w:rPr>
        <w:t xml:space="preserve">гражданско-правовой ответственности </w:t>
      </w:r>
      <w:r w:rsidRPr="00DA76A7">
        <w:rPr>
          <w:rFonts w:ascii="Arial" w:hAnsi="Arial" w:cs="Arial"/>
          <w:color w:val="000000" w:themeColor="text1"/>
          <w:spacing w:val="-5"/>
          <w:lang w:val="ru-RU"/>
        </w:rPr>
        <w:t xml:space="preserve">следует </w:t>
      </w:r>
      <w:r w:rsidRPr="00DA76A7">
        <w:rPr>
          <w:rFonts w:ascii="Arial" w:hAnsi="Arial" w:cs="Arial"/>
          <w:color w:val="000000" w:themeColor="text1"/>
          <w:lang w:val="ru-RU"/>
        </w:rPr>
        <w:t xml:space="preserve">понимать безусловное и окончательное избавление </w:t>
      </w:r>
      <w:r w:rsidRPr="00DA76A7">
        <w:rPr>
          <w:rFonts w:ascii="Arial" w:hAnsi="Arial" w:cs="Arial"/>
          <w:color w:val="000000" w:themeColor="text1"/>
          <w:spacing w:val="-5"/>
          <w:lang w:val="ru-RU"/>
        </w:rPr>
        <w:t xml:space="preserve">от </w:t>
      </w:r>
      <w:r w:rsidRPr="00DA76A7">
        <w:rPr>
          <w:rFonts w:ascii="Arial" w:hAnsi="Arial" w:cs="Arial"/>
          <w:color w:val="000000" w:themeColor="text1"/>
          <w:lang w:val="ru-RU"/>
        </w:rPr>
        <w:t xml:space="preserve">обязанности претерпевать меры ответственности за </w:t>
      </w:r>
      <w:r w:rsidRPr="00DA76A7">
        <w:rPr>
          <w:rFonts w:ascii="Arial" w:hAnsi="Arial" w:cs="Arial"/>
          <w:color w:val="000000" w:themeColor="text1"/>
          <w:spacing w:val="7"/>
          <w:lang w:val="ru-RU"/>
        </w:rPr>
        <w:t xml:space="preserve">совершенное, </w:t>
      </w:r>
      <w:r w:rsidRPr="00DA76A7">
        <w:rPr>
          <w:rFonts w:ascii="Arial" w:hAnsi="Arial" w:cs="Arial"/>
          <w:color w:val="000000" w:themeColor="text1"/>
          <w:spacing w:val="6"/>
          <w:lang w:val="ru-RU"/>
        </w:rPr>
        <w:t xml:space="preserve">имеющее </w:t>
      </w:r>
      <w:r w:rsidRPr="00DA76A7">
        <w:rPr>
          <w:rFonts w:ascii="Arial" w:hAnsi="Arial" w:cs="Arial"/>
          <w:color w:val="000000" w:themeColor="text1"/>
          <w:spacing w:val="5"/>
          <w:lang w:val="ru-RU"/>
        </w:rPr>
        <w:t xml:space="preserve">необходимые </w:t>
      </w:r>
      <w:r w:rsidRPr="00DA76A7">
        <w:rPr>
          <w:rFonts w:ascii="Arial" w:hAnsi="Arial" w:cs="Arial"/>
          <w:color w:val="000000" w:themeColor="text1"/>
          <w:spacing w:val="6"/>
          <w:lang w:val="ru-RU"/>
        </w:rPr>
        <w:t xml:space="preserve">элементы </w:t>
      </w:r>
      <w:r w:rsidRPr="00DA76A7">
        <w:rPr>
          <w:rFonts w:ascii="Arial" w:hAnsi="Arial" w:cs="Arial"/>
          <w:color w:val="000000" w:themeColor="text1"/>
          <w:spacing w:val="9"/>
          <w:lang w:val="ru-RU"/>
        </w:rPr>
        <w:t xml:space="preserve">состава </w:t>
      </w:r>
      <w:r w:rsidRPr="00DA76A7">
        <w:rPr>
          <w:rFonts w:ascii="Arial" w:hAnsi="Arial" w:cs="Arial"/>
          <w:color w:val="000000" w:themeColor="text1"/>
          <w:spacing w:val="8"/>
          <w:lang w:val="ru-RU"/>
        </w:rPr>
        <w:t xml:space="preserve">гражданское правонарушение </w:t>
      </w:r>
      <w:r w:rsidRPr="00DA76A7">
        <w:rPr>
          <w:rFonts w:ascii="Arial" w:hAnsi="Arial" w:cs="Arial"/>
          <w:color w:val="000000" w:themeColor="text1"/>
          <w:lang w:val="ru-RU"/>
        </w:rPr>
        <w:t xml:space="preserve">в </w:t>
      </w:r>
      <w:r w:rsidRPr="00DA76A7">
        <w:rPr>
          <w:rFonts w:ascii="Arial" w:hAnsi="Arial" w:cs="Arial"/>
          <w:color w:val="000000" w:themeColor="text1"/>
          <w:spacing w:val="6"/>
          <w:lang w:val="ru-RU"/>
        </w:rPr>
        <w:t xml:space="preserve">связи </w:t>
      </w:r>
      <w:r w:rsidRPr="00DA76A7">
        <w:rPr>
          <w:rFonts w:ascii="Arial" w:hAnsi="Arial" w:cs="Arial"/>
          <w:color w:val="000000" w:themeColor="text1"/>
          <w:lang w:val="ru-RU"/>
        </w:rPr>
        <w:t xml:space="preserve">с нецелесообразностью привлечения к ответственности по основаниям, предусмотренным </w:t>
      </w:r>
      <w:r w:rsidRPr="00DA76A7">
        <w:rPr>
          <w:rFonts w:ascii="Arial" w:hAnsi="Arial" w:cs="Arial"/>
          <w:color w:val="000000" w:themeColor="text1"/>
          <w:spacing w:val="-3"/>
          <w:lang w:val="ru-RU"/>
        </w:rPr>
        <w:t xml:space="preserve">законом. </w:t>
      </w:r>
      <w:r w:rsidRPr="00DA76A7">
        <w:rPr>
          <w:rFonts w:ascii="Arial" w:hAnsi="Arial" w:cs="Arial"/>
          <w:color w:val="000000" w:themeColor="text1"/>
          <w:spacing w:val="-4"/>
          <w:lang w:val="ru-RU"/>
        </w:rPr>
        <w:t xml:space="preserve">Поводом </w:t>
      </w:r>
      <w:r w:rsidRPr="00DA76A7">
        <w:rPr>
          <w:rFonts w:ascii="Arial" w:hAnsi="Arial" w:cs="Arial"/>
          <w:color w:val="000000" w:themeColor="text1"/>
          <w:lang w:val="ru-RU"/>
        </w:rPr>
        <w:t xml:space="preserve">для освобождения </w:t>
      </w:r>
      <w:r w:rsidRPr="00DA76A7">
        <w:rPr>
          <w:rFonts w:ascii="Arial" w:hAnsi="Arial" w:cs="Arial"/>
          <w:color w:val="000000" w:themeColor="text1"/>
          <w:spacing w:val="-3"/>
          <w:lang w:val="ru-RU"/>
        </w:rPr>
        <w:t xml:space="preserve">от </w:t>
      </w:r>
      <w:r w:rsidRPr="00DA76A7">
        <w:rPr>
          <w:rFonts w:ascii="Arial" w:hAnsi="Arial" w:cs="Arial"/>
          <w:color w:val="000000" w:themeColor="text1"/>
          <w:lang w:val="ru-RU"/>
        </w:rPr>
        <w:t>гражданско-правовой ответственности служат:</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а) установление факта совершения правонарушения, являющегося основанием гражданско-правовой ответственности;</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б)</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наличие</w:t>
      </w:r>
      <w:r w:rsidRPr="00DA76A7">
        <w:rPr>
          <w:rFonts w:ascii="Arial" w:hAnsi="Arial" w:cs="Arial"/>
          <w:color w:val="000000" w:themeColor="text1"/>
          <w:spacing w:val="-21"/>
          <w:lang w:val="ru-RU"/>
        </w:rPr>
        <w:t xml:space="preserve"> </w:t>
      </w:r>
      <w:r w:rsidRPr="00DA76A7">
        <w:rPr>
          <w:rFonts w:ascii="Arial" w:hAnsi="Arial" w:cs="Arial"/>
          <w:color w:val="000000" w:themeColor="text1"/>
          <w:spacing w:val="-4"/>
          <w:lang w:val="ru-RU"/>
        </w:rPr>
        <w:t>всех</w:t>
      </w:r>
      <w:r w:rsidRPr="00DA76A7">
        <w:rPr>
          <w:rFonts w:ascii="Arial" w:hAnsi="Arial" w:cs="Arial"/>
          <w:color w:val="000000" w:themeColor="text1"/>
          <w:spacing w:val="-9"/>
          <w:lang w:val="ru-RU"/>
        </w:rPr>
        <w:t xml:space="preserve"> </w:t>
      </w:r>
      <w:r w:rsidRPr="00DA76A7">
        <w:rPr>
          <w:rFonts w:ascii="Arial" w:hAnsi="Arial" w:cs="Arial"/>
          <w:color w:val="000000" w:themeColor="text1"/>
          <w:spacing w:val="-3"/>
          <w:lang w:val="ru-RU"/>
        </w:rPr>
        <w:t>условий</w:t>
      </w:r>
      <w:r w:rsidRPr="00DA76A7">
        <w:rPr>
          <w:rFonts w:ascii="Arial" w:hAnsi="Arial" w:cs="Arial"/>
          <w:color w:val="000000" w:themeColor="text1"/>
          <w:spacing w:val="-7"/>
          <w:lang w:val="ru-RU"/>
        </w:rPr>
        <w:t xml:space="preserve"> </w:t>
      </w:r>
      <w:r w:rsidRPr="00DA76A7">
        <w:rPr>
          <w:rFonts w:ascii="Arial" w:hAnsi="Arial" w:cs="Arial"/>
          <w:color w:val="000000" w:themeColor="text1"/>
          <w:spacing w:val="-3"/>
          <w:lang w:val="ru-RU"/>
        </w:rPr>
        <w:t>для</w:t>
      </w:r>
      <w:r w:rsidRPr="00DA76A7">
        <w:rPr>
          <w:rFonts w:ascii="Arial" w:hAnsi="Arial" w:cs="Arial"/>
          <w:color w:val="000000" w:themeColor="text1"/>
          <w:spacing w:val="-10"/>
          <w:lang w:val="ru-RU"/>
        </w:rPr>
        <w:t xml:space="preserve"> </w:t>
      </w:r>
      <w:r w:rsidRPr="00DA76A7">
        <w:rPr>
          <w:rFonts w:ascii="Arial" w:hAnsi="Arial" w:cs="Arial"/>
          <w:color w:val="000000" w:themeColor="text1"/>
          <w:spacing w:val="-3"/>
          <w:lang w:val="ru-RU"/>
        </w:rPr>
        <w:t>привлечения</w:t>
      </w:r>
      <w:r w:rsidRPr="00DA76A7">
        <w:rPr>
          <w:rFonts w:ascii="Arial" w:hAnsi="Arial" w:cs="Arial"/>
          <w:color w:val="000000" w:themeColor="text1"/>
          <w:spacing w:val="-9"/>
          <w:lang w:val="ru-RU"/>
        </w:rPr>
        <w:t xml:space="preserve"> </w:t>
      </w:r>
      <w:r w:rsidRPr="00DA76A7">
        <w:rPr>
          <w:rFonts w:ascii="Arial" w:hAnsi="Arial" w:cs="Arial"/>
          <w:color w:val="000000" w:themeColor="text1"/>
          <w:lang w:val="ru-RU"/>
        </w:rPr>
        <w:t>к</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3"/>
          <w:lang w:val="ru-RU"/>
        </w:rPr>
        <w:t>ответственности,</w:t>
      </w:r>
      <w:r w:rsidRPr="00DA76A7">
        <w:rPr>
          <w:rFonts w:ascii="Arial" w:hAnsi="Arial" w:cs="Arial"/>
          <w:color w:val="000000" w:themeColor="text1"/>
          <w:spacing w:val="-6"/>
          <w:lang w:val="ru-RU"/>
        </w:rPr>
        <w:t xml:space="preserve"> </w:t>
      </w:r>
      <w:r w:rsidRPr="00DA76A7">
        <w:rPr>
          <w:rFonts w:ascii="Arial" w:hAnsi="Arial" w:cs="Arial"/>
          <w:color w:val="000000" w:themeColor="text1"/>
          <w:spacing w:val="-2"/>
          <w:lang w:val="ru-RU"/>
        </w:rPr>
        <w:t>характеризующихся</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как</w:t>
      </w:r>
      <w:r w:rsidRPr="00DA76A7">
        <w:rPr>
          <w:rFonts w:ascii="Arial" w:hAnsi="Arial" w:cs="Arial"/>
          <w:color w:val="000000" w:themeColor="text1"/>
          <w:spacing w:val="-16"/>
          <w:lang w:val="ru-RU"/>
        </w:rPr>
        <w:t xml:space="preserve"> </w:t>
      </w:r>
      <w:r w:rsidRPr="00DA76A7">
        <w:rPr>
          <w:rFonts w:ascii="Arial" w:hAnsi="Arial" w:cs="Arial"/>
          <w:color w:val="000000" w:themeColor="text1"/>
          <w:spacing w:val="-3"/>
          <w:lang w:val="ru-RU"/>
        </w:rPr>
        <w:t>элементы</w:t>
      </w:r>
      <w:r w:rsidRPr="00DA76A7">
        <w:rPr>
          <w:rFonts w:ascii="Arial" w:hAnsi="Arial" w:cs="Arial"/>
          <w:color w:val="000000" w:themeColor="text1"/>
          <w:spacing w:val="-9"/>
          <w:lang w:val="ru-RU"/>
        </w:rPr>
        <w:t xml:space="preserve"> </w:t>
      </w:r>
      <w:r w:rsidRPr="00DA76A7">
        <w:rPr>
          <w:rFonts w:ascii="Arial" w:hAnsi="Arial" w:cs="Arial"/>
          <w:color w:val="000000" w:themeColor="text1"/>
          <w:lang w:val="ru-RU"/>
        </w:rPr>
        <w:t xml:space="preserve">состава. К объективным </w:t>
      </w:r>
      <w:r w:rsidRPr="00DA76A7">
        <w:rPr>
          <w:rFonts w:ascii="Arial" w:hAnsi="Arial" w:cs="Arial"/>
          <w:color w:val="000000" w:themeColor="text1"/>
          <w:spacing w:val="2"/>
          <w:lang w:val="ru-RU"/>
        </w:rPr>
        <w:t xml:space="preserve">основаниям </w:t>
      </w:r>
      <w:r w:rsidRPr="00DA76A7">
        <w:rPr>
          <w:rFonts w:ascii="Arial" w:hAnsi="Arial" w:cs="Arial"/>
          <w:color w:val="000000" w:themeColor="text1"/>
          <w:lang w:val="ru-RU"/>
        </w:rPr>
        <w:t xml:space="preserve">исключения ответственности в гражданском </w:t>
      </w:r>
      <w:r w:rsidRPr="00DA76A7">
        <w:rPr>
          <w:rFonts w:ascii="Arial" w:hAnsi="Arial" w:cs="Arial"/>
          <w:color w:val="000000" w:themeColor="text1"/>
          <w:spacing w:val="3"/>
          <w:lang w:val="ru-RU"/>
        </w:rPr>
        <w:t>праве</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следует</w:t>
      </w:r>
      <w:r w:rsidRPr="00DA76A7">
        <w:rPr>
          <w:rFonts w:ascii="Arial" w:hAnsi="Arial" w:cs="Arial"/>
          <w:color w:val="000000" w:themeColor="text1"/>
          <w:spacing w:val="47"/>
          <w:lang w:val="ru-RU"/>
        </w:rPr>
        <w:t xml:space="preserve"> </w:t>
      </w:r>
      <w:r w:rsidRPr="00DA76A7">
        <w:rPr>
          <w:rFonts w:ascii="Arial" w:hAnsi="Arial" w:cs="Arial"/>
          <w:color w:val="000000" w:themeColor="text1"/>
          <w:lang w:val="ru-RU"/>
        </w:rPr>
        <w:t>отнести отсутствие</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деянии</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лица</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3"/>
          <w:lang w:val="ru-RU"/>
        </w:rPr>
        <w:t>объективных</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4"/>
          <w:lang w:val="ru-RU"/>
        </w:rPr>
        <w:t>элементов</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состава</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гражданского</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правонарушения</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противоправного</w:t>
      </w:r>
    </w:p>
    <w:p w:rsidR="00181BA7" w:rsidRPr="00DA76A7" w:rsidRDefault="00181BA7" w:rsidP="00181BA7">
      <w:pPr>
        <w:pStyle w:val="a9"/>
        <w:tabs>
          <w:tab w:val="left" w:pos="9355"/>
        </w:tabs>
        <w:ind w:firstLine="567"/>
        <w:rPr>
          <w:rFonts w:ascii="Arial" w:hAnsi="Arial" w:cs="Arial"/>
          <w:color w:val="000000" w:themeColor="text1"/>
          <w:lang w:val="ru-RU"/>
        </w:rPr>
      </w:pPr>
      <w:r w:rsidRPr="00DA76A7">
        <w:rPr>
          <w:rFonts w:ascii="Arial" w:hAnsi="Arial" w:cs="Arial"/>
          <w:color w:val="000000" w:themeColor="text1"/>
          <w:lang w:val="ru-RU"/>
        </w:rPr>
        <w:t>поведения, вреда или причинно-следственной связи между ними.</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Институт</w:t>
      </w:r>
      <w:r w:rsidRPr="00DA76A7">
        <w:rPr>
          <w:rFonts w:ascii="Arial" w:hAnsi="Arial" w:cs="Arial"/>
          <w:color w:val="000000" w:themeColor="text1"/>
          <w:spacing w:val="-18"/>
          <w:lang w:val="ru-RU"/>
        </w:rPr>
        <w:t xml:space="preserve"> </w:t>
      </w:r>
      <w:r w:rsidRPr="00DA76A7">
        <w:rPr>
          <w:rFonts w:ascii="Arial" w:hAnsi="Arial" w:cs="Arial"/>
          <w:color w:val="000000" w:themeColor="text1"/>
          <w:spacing w:val="-3"/>
          <w:lang w:val="ru-RU"/>
        </w:rPr>
        <w:t>освобождения</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5"/>
          <w:lang w:val="ru-RU"/>
        </w:rPr>
        <w:t>от</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гражданско-правовой</w:t>
      </w:r>
      <w:r w:rsidRPr="00DA76A7">
        <w:rPr>
          <w:rFonts w:ascii="Arial" w:hAnsi="Arial" w:cs="Arial"/>
          <w:color w:val="000000" w:themeColor="text1"/>
          <w:spacing w:val="-14"/>
          <w:lang w:val="ru-RU"/>
        </w:rPr>
        <w:t xml:space="preserve"> </w:t>
      </w:r>
      <w:r w:rsidRPr="00DA76A7">
        <w:rPr>
          <w:rFonts w:ascii="Arial" w:hAnsi="Arial" w:cs="Arial"/>
          <w:color w:val="000000" w:themeColor="text1"/>
          <w:lang w:val="ru-RU"/>
        </w:rPr>
        <w:t>ответственности</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3"/>
          <w:lang w:val="ru-RU"/>
        </w:rPr>
        <w:t>выступает</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3"/>
          <w:lang w:val="ru-RU"/>
        </w:rPr>
        <w:t>роли</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составного</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 xml:space="preserve">элемента механизма юридической ответственности, </w:t>
      </w:r>
      <w:r w:rsidRPr="00DA76A7">
        <w:rPr>
          <w:rFonts w:ascii="Arial" w:hAnsi="Arial" w:cs="Arial"/>
          <w:color w:val="000000" w:themeColor="text1"/>
          <w:spacing w:val="-4"/>
          <w:lang w:val="ru-RU"/>
        </w:rPr>
        <w:t xml:space="preserve">т.е. </w:t>
      </w:r>
      <w:r w:rsidRPr="00DA76A7">
        <w:rPr>
          <w:rFonts w:ascii="Arial" w:hAnsi="Arial" w:cs="Arial"/>
          <w:color w:val="000000" w:themeColor="text1"/>
          <w:lang w:val="ru-RU"/>
        </w:rPr>
        <w:t xml:space="preserve">механизма, подлежащего реализации </w:t>
      </w:r>
      <w:r w:rsidRPr="00DA76A7">
        <w:rPr>
          <w:rFonts w:ascii="Arial" w:hAnsi="Arial" w:cs="Arial"/>
          <w:color w:val="000000" w:themeColor="text1"/>
          <w:spacing w:val="-3"/>
          <w:lang w:val="ru-RU"/>
        </w:rPr>
        <w:t xml:space="preserve">от </w:t>
      </w:r>
      <w:r w:rsidRPr="00DA76A7">
        <w:rPr>
          <w:rFonts w:ascii="Arial" w:hAnsi="Arial" w:cs="Arial"/>
          <w:color w:val="000000" w:themeColor="text1"/>
          <w:lang w:val="ru-RU"/>
        </w:rPr>
        <w:t xml:space="preserve">имени </w:t>
      </w:r>
      <w:r w:rsidRPr="00DA76A7">
        <w:rPr>
          <w:rFonts w:ascii="Arial" w:hAnsi="Arial" w:cs="Arial"/>
          <w:color w:val="000000" w:themeColor="text1"/>
          <w:spacing w:val="-3"/>
          <w:lang w:val="ru-RU"/>
        </w:rPr>
        <w:t xml:space="preserve">государства </w:t>
      </w:r>
      <w:r w:rsidRPr="00DA76A7">
        <w:rPr>
          <w:rFonts w:ascii="Arial" w:hAnsi="Arial" w:cs="Arial"/>
          <w:color w:val="000000" w:themeColor="text1"/>
          <w:lang w:val="ru-RU"/>
        </w:rPr>
        <w:t xml:space="preserve">только компетентными государственными </w:t>
      </w:r>
      <w:r w:rsidRPr="00DA76A7">
        <w:rPr>
          <w:rFonts w:ascii="Arial" w:hAnsi="Arial" w:cs="Arial"/>
          <w:color w:val="000000" w:themeColor="text1"/>
          <w:spacing w:val="3"/>
          <w:lang w:val="ru-RU"/>
        </w:rPr>
        <w:t xml:space="preserve">органами </w:t>
      </w:r>
      <w:r w:rsidRPr="00DA76A7">
        <w:rPr>
          <w:rFonts w:ascii="Arial" w:hAnsi="Arial" w:cs="Arial"/>
          <w:color w:val="000000" w:themeColor="text1"/>
          <w:lang w:val="ru-RU"/>
        </w:rPr>
        <w:t xml:space="preserve">в определенных законом </w:t>
      </w:r>
      <w:r w:rsidRPr="00DA76A7">
        <w:rPr>
          <w:rFonts w:ascii="Arial" w:hAnsi="Arial" w:cs="Arial"/>
          <w:color w:val="000000" w:themeColor="text1"/>
          <w:spacing w:val="2"/>
          <w:lang w:val="ru-RU"/>
        </w:rPr>
        <w:t xml:space="preserve">формах </w:t>
      </w:r>
      <w:r w:rsidRPr="00DA76A7">
        <w:rPr>
          <w:rFonts w:ascii="Arial" w:hAnsi="Arial" w:cs="Arial"/>
          <w:color w:val="000000" w:themeColor="text1"/>
          <w:lang w:val="ru-RU"/>
        </w:rPr>
        <w:t xml:space="preserve">и </w:t>
      </w:r>
      <w:r w:rsidRPr="00DA76A7">
        <w:rPr>
          <w:rFonts w:ascii="Arial" w:hAnsi="Arial" w:cs="Arial"/>
          <w:color w:val="000000" w:themeColor="text1"/>
          <w:spacing w:val="3"/>
          <w:lang w:val="ru-RU"/>
        </w:rPr>
        <w:t xml:space="preserve">на </w:t>
      </w:r>
      <w:r w:rsidRPr="00DA76A7">
        <w:rPr>
          <w:rFonts w:ascii="Arial" w:hAnsi="Arial" w:cs="Arial"/>
          <w:color w:val="000000" w:themeColor="text1"/>
          <w:lang w:val="ru-RU"/>
        </w:rPr>
        <w:t xml:space="preserve">законных </w:t>
      </w:r>
      <w:r w:rsidRPr="00DA76A7">
        <w:rPr>
          <w:rFonts w:ascii="Arial" w:hAnsi="Arial" w:cs="Arial"/>
          <w:color w:val="000000" w:themeColor="text1"/>
          <w:spacing w:val="-4"/>
          <w:lang w:val="ru-RU"/>
        </w:rPr>
        <w:t>основаниях.</w:t>
      </w:r>
    </w:p>
    <w:p w:rsidR="00181BA7" w:rsidRPr="00DA76A7" w:rsidRDefault="00181BA7" w:rsidP="00181BA7">
      <w:pPr>
        <w:pStyle w:val="a9"/>
        <w:ind w:firstLine="567"/>
        <w:jc w:val="left"/>
        <w:rPr>
          <w:rFonts w:ascii="Arial" w:hAnsi="Arial" w:cs="Arial"/>
          <w:b/>
          <w:color w:val="000000" w:themeColor="text1"/>
          <w:lang w:val="ru-RU"/>
        </w:rPr>
      </w:pPr>
    </w:p>
    <w:p w:rsidR="00181BA7" w:rsidRPr="00DA76A7" w:rsidRDefault="00181BA7" w:rsidP="00181BA7">
      <w:pPr>
        <w:pStyle w:val="a9"/>
        <w:ind w:firstLine="567"/>
        <w:jc w:val="center"/>
        <w:rPr>
          <w:rFonts w:ascii="Arial" w:hAnsi="Arial" w:cs="Arial"/>
          <w:b/>
          <w:color w:val="000000" w:themeColor="text1"/>
          <w:lang w:val="ru-RU"/>
        </w:rPr>
      </w:pPr>
      <w:r w:rsidRPr="00DA76A7">
        <w:rPr>
          <w:rFonts w:ascii="Arial" w:hAnsi="Arial" w:cs="Arial"/>
          <w:b/>
          <w:color w:val="000000" w:themeColor="text1"/>
          <w:lang w:val="ru-RU"/>
        </w:rPr>
        <w:t>Список литературы:</w:t>
      </w:r>
    </w:p>
    <w:p w:rsidR="00181BA7" w:rsidRPr="00DA76A7" w:rsidRDefault="00181BA7" w:rsidP="00D45D6B">
      <w:pPr>
        <w:pStyle w:val="a6"/>
        <w:widowControl w:val="0"/>
        <w:numPr>
          <w:ilvl w:val="0"/>
          <w:numId w:val="49"/>
        </w:numPr>
        <w:tabs>
          <w:tab w:val="left" w:pos="692"/>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Гражданский</w:t>
      </w:r>
      <w:r w:rsidRPr="00DA76A7">
        <w:rPr>
          <w:rFonts w:ascii="Arial" w:hAnsi="Arial" w:cs="Arial"/>
          <w:color w:val="000000" w:themeColor="text1"/>
          <w:spacing w:val="-9"/>
        </w:rPr>
        <w:t xml:space="preserve"> </w:t>
      </w:r>
      <w:r w:rsidRPr="00DA76A7">
        <w:rPr>
          <w:rFonts w:ascii="Arial" w:hAnsi="Arial" w:cs="Arial"/>
          <w:color w:val="000000" w:themeColor="text1"/>
          <w:spacing w:val="-8"/>
        </w:rPr>
        <w:t>кодекс</w:t>
      </w:r>
      <w:r w:rsidRPr="00DA76A7">
        <w:rPr>
          <w:rFonts w:ascii="Arial" w:hAnsi="Arial" w:cs="Arial"/>
          <w:color w:val="000000" w:themeColor="text1"/>
          <w:spacing w:val="-13"/>
        </w:rPr>
        <w:t xml:space="preserve"> </w:t>
      </w:r>
      <w:r w:rsidRPr="00DA76A7">
        <w:rPr>
          <w:rFonts w:ascii="Arial" w:hAnsi="Arial" w:cs="Arial"/>
          <w:color w:val="000000" w:themeColor="text1"/>
          <w:spacing w:val="-3"/>
        </w:rPr>
        <w:t>Российской</w:t>
      </w:r>
      <w:r w:rsidRPr="00DA76A7">
        <w:rPr>
          <w:rFonts w:ascii="Arial" w:hAnsi="Arial" w:cs="Arial"/>
          <w:color w:val="000000" w:themeColor="text1"/>
          <w:spacing w:val="-9"/>
        </w:rPr>
        <w:t xml:space="preserve"> </w:t>
      </w:r>
      <w:r w:rsidRPr="00DA76A7">
        <w:rPr>
          <w:rFonts w:ascii="Arial" w:hAnsi="Arial" w:cs="Arial"/>
          <w:color w:val="000000" w:themeColor="text1"/>
          <w:spacing w:val="-3"/>
        </w:rPr>
        <w:t>Федерации</w:t>
      </w:r>
      <w:r w:rsidRPr="00DA76A7">
        <w:rPr>
          <w:rFonts w:ascii="Arial" w:hAnsi="Arial" w:cs="Arial"/>
          <w:color w:val="000000" w:themeColor="text1"/>
          <w:spacing w:val="-9"/>
        </w:rPr>
        <w:t xml:space="preserve"> </w:t>
      </w:r>
      <w:r w:rsidRPr="00DA76A7">
        <w:rPr>
          <w:rFonts w:ascii="Arial" w:hAnsi="Arial" w:cs="Arial"/>
          <w:color w:val="000000" w:themeColor="text1"/>
        </w:rPr>
        <w:t>(часть</w:t>
      </w:r>
      <w:r w:rsidRPr="00DA76A7">
        <w:rPr>
          <w:rFonts w:ascii="Arial" w:hAnsi="Arial" w:cs="Arial"/>
          <w:color w:val="000000" w:themeColor="text1"/>
          <w:spacing w:val="-11"/>
        </w:rPr>
        <w:t xml:space="preserve"> </w:t>
      </w:r>
      <w:r w:rsidRPr="00DA76A7">
        <w:rPr>
          <w:rFonts w:ascii="Arial" w:hAnsi="Arial" w:cs="Arial"/>
          <w:color w:val="000000" w:themeColor="text1"/>
        </w:rPr>
        <w:t>первая)</w:t>
      </w:r>
      <w:r w:rsidRPr="00DA76A7">
        <w:rPr>
          <w:rFonts w:ascii="Arial" w:hAnsi="Arial" w:cs="Arial"/>
          <w:color w:val="000000" w:themeColor="text1"/>
          <w:spacing w:val="-12"/>
        </w:rPr>
        <w:t xml:space="preserve"> </w:t>
      </w:r>
      <w:r w:rsidRPr="00DA76A7">
        <w:rPr>
          <w:rFonts w:ascii="Arial" w:hAnsi="Arial" w:cs="Arial"/>
          <w:color w:val="000000" w:themeColor="text1"/>
          <w:spacing w:val="-5"/>
        </w:rPr>
        <w:t>от</w:t>
      </w:r>
      <w:r w:rsidRPr="00DA76A7">
        <w:rPr>
          <w:rFonts w:ascii="Arial" w:hAnsi="Arial" w:cs="Arial"/>
          <w:color w:val="000000" w:themeColor="text1"/>
          <w:spacing w:val="-12"/>
        </w:rPr>
        <w:t xml:space="preserve"> </w:t>
      </w:r>
      <w:r w:rsidRPr="00DA76A7">
        <w:rPr>
          <w:rFonts w:ascii="Arial" w:hAnsi="Arial" w:cs="Arial"/>
          <w:color w:val="000000" w:themeColor="text1"/>
        </w:rPr>
        <w:t>30.11.1994</w:t>
      </w:r>
      <w:r w:rsidRPr="00DA76A7">
        <w:rPr>
          <w:rFonts w:ascii="Arial" w:hAnsi="Arial" w:cs="Arial"/>
          <w:color w:val="000000" w:themeColor="text1"/>
          <w:spacing w:val="-11"/>
        </w:rPr>
        <w:t xml:space="preserve"> </w:t>
      </w:r>
      <w:r w:rsidRPr="00DA76A7">
        <w:rPr>
          <w:rFonts w:ascii="Arial" w:hAnsi="Arial" w:cs="Arial"/>
          <w:color w:val="000000" w:themeColor="text1"/>
          <w:spacing w:val="-12"/>
        </w:rPr>
        <w:t>г.</w:t>
      </w:r>
      <w:r w:rsidRPr="00DA76A7">
        <w:rPr>
          <w:rFonts w:ascii="Arial" w:hAnsi="Arial" w:cs="Arial"/>
          <w:color w:val="000000" w:themeColor="text1"/>
          <w:spacing w:val="-9"/>
        </w:rPr>
        <w:t xml:space="preserve"> </w:t>
      </w:r>
      <w:r w:rsidRPr="00DA76A7">
        <w:rPr>
          <w:rFonts w:ascii="Arial" w:hAnsi="Arial" w:cs="Arial"/>
          <w:color w:val="000000" w:themeColor="text1"/>
        </w:rPr>
        <w:t>№</w:t>
      </w:r>
      <w:r w:rsidRPr="00DA76A7">
        <w:rPr>
          <w:rFonts w:ascii="Arial" w:hAnsi="Arial" w:cs="Arial"/>
          <w:color w:val="000000" w:themeColor="text1"/>
          <w:spacing w:val="-11"/>
        </w:rPr>
        <w:t xml:space="preserve"> </w:t>
      </w:r>
      <w:r w:rsidRPr="00DA76A7">
        <w:rPr>
          <w:rFonts w:ascii="Arial" w:hAnsi="Arial" w:cs="Arial"/>
          <w:color w:val="000000" w:themeColor="text1"/>
        </w:rPr>
        <w:t>51-ФЗ</w:t>
      </w:r>
      <w:r w:rsidRPr="00DA76A7">
        <w:rPr>
          <w:rFonts w:ascii="Arial" w:hAnsi="Arial" w:cs="Arial"/>
          <w:color w:val="000000" w:themeColor="text1"/>
          <w:spacing w:val="-11"/>
        </w:rPr>
        <w:t xml:space="preserve"> </w:t>
      </w:r>
      <w:r w:rsidRPr="00DA76A7">
        <w:rPr>
          <w:rFonts w:ascii="Arial" w:hAnsi="Arial" w:cs="Arial"/>
          <w:color w:val="000000" w:themeColor="text1"/>
          <w:spacing w:val="-5"/>
        </w:rPr>
        <w:t>(ред.</w:t>
      </w:r>
      <w:r w:rsidRPr="00DA76A7">
        <w:rPr>
          <w:rFonts w:ascii="Arial" w:hAnsi="Arial" w:cs="Arial"/>
          <w:color w:val="000000" w:themeColor="text1"/>
          <w:spacing w:val="-8"/>
        </w:rPr>
        <w:t xml:space="preserve"> </w:t>
      </w:r>
      <w:r w:rsidRPr="00DA76A7">
        <w:rPr>
          <w:rFonts w:ascii="Arial" w:hAnsi="Arial" w:cs="Arial"/>
          <w:color w:val="000000" w:themeColor="text1"/>
          <w:spacing w:val="-5"/>
        </w:rPr>
        <w:t>от</w:t>
      </w:r>
      <w:r w:rsidRPr="00DA76A7">
        <w:rPr>
          <w:rFonts w:ascii="Arial" w:hAnsi="Arial" w:cs="Arial"/>
          <w:color w:val="000000" w:themeColor="text1"/>
          <w:spacing w:val="-12"/>
        </w:rPr>
        <w:t xml:space="preserve"> </w:t>
      </w:r>
      <w:r w:rsidRPr="00DA76A7">
        <w:rPr>
          <w:rFonts w:ascii="Arial" w:hAnsi="Arial" w:cs="Arial"/>
          <w:color w:val="000000" w:themeColor="text1"/>
        </w:rPr>
        <w:t xml:space="preserve">31.01.2016 </w:t>
      </w:r>
      <w:r w:rsidRPr="00DA76A7">
        <w:rPr>
          <w:rFonts w:ascii="Arial" w:hAnsi="Arial" w:cs="Arial"/>
          <w:color w:val="000000" w:themeColor="text1"/>
          <w:spacing w:val="-8"/>
        </w:rPr>
        <w:t xml:space="preserve">г.) </w:t>
      </w:r>
      <w:r w:rsidRPr="00DA76A7">
        <w:rPr>
          <w:rFonts w:ascii="Arial" w:hAnsi="Arial" w:cs="Arial"/>
          <w:color w:val="000000" w:themeColor="text1"/>
        </w:rPr>
        <w:t xml:space="preserve">// Собр. </w:t>
      </w:r>
      <w:r w:rsidRPr="00DA76A7">
        <w:rPr>
          <w:rFonts w:ascii="Arial" w:hAnsi="Arial" w:cs="Arial"/>
          <w:color w:val="000000" w:themeColor="text1"/>
          <w:spacing w:val="-3"/>
        </w:rPr>
        <w:t xml:space="preserve">законодательства </w:t>
      </w:r>
      <w:r w:rsidRPr="00DA76A7">
        <w:rPr>
          <w:rFonts w:ascii="Arial" w:hAnsi="Arial" w:cs="Arial"/>
          <w:color w:val="000000" w:themeColor="text1"/>
        </w:rPr>
        <w:t xml:space="preserve">Рос. Федерации. - 1994. - № 32, - </w:t>
      </w:r>
      <w:r w:rsidRPr="00DA76A7">
        <w:rPr>
          <w:rFonts w:ascii="Arial" w:hAnsi="Arial" w:cs="Arial"/>
          <w:color w:val="000000" w:themeColor="text1"/>
          <w:spacing w:val="-6"/>
        </w:rPr>
        <w:t>ст.</w:t>
      </w:r>
      <w:r w:rsidRPr="00DA76A7">
        <w:rPr>
          <w:rFonts w:ascii="Arial" w:hAnsi="Arial" w:cs="Arial"/>
          <w:color w:val="000000" w:themeColor="text1"/>
          <w:spacing w:val="24"/>
        </w:rPr>
        <w:t xml:space="preserve"> </w:t>
      </w:r>
      <w:r w:rsidRPr="00DA76A7">
        <w:rPr>
          <w:rFonts w:ascii="Arial" w:hAnsi="Arial" w:cs="Arial"/>
          <w:color w:val="000000" w:themeColor="text1"/>
        </w:rPr>
        <w:t>3301.</w:t>
      </w:r>
    </w:p>
    <w:p w:rsidR="00181BA7" w:rsidRPr="00DA76A7" w:rsidRDefault="00181BA7" w:rsidP="00D45D6B">
      <w:pPr>
        <w:pStyle w:val="a6"/>
        <w:widowControl w:val="0"/>
        <w:numPr>
          <w:ilvl w:val="0"/>
          <w:numId w:val="49"/>
        </w:numPr>
        <w:tabs>
          <w:tab w:val="left" w:pos="706"/>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Богданов Д.В. Освобождение </w:t>
      </w:r>
      <w:r w:rsidRPr="00DA76A7">
        <w:rPr>
          <w:rFonts w:ascii="Arial" w:hAnsi="Arial" w:cs="Arial"/>
          <w:color w:val="000000" w:themeColor="text1"/>
          <w:spacing w:val="-5"/>
        </w:rPr>
        <w:t xml:space="preserve">от </w:t>
      </w:r>
      <w:r w:rsidRPr="00DA76A7">
        <w:rPr>
          <w:rFonts w:ascii="Arial" w:hAnsi="Arial" w:cs="Arial"/>
          <w:color w:val="000000" w:themeColor="text1"/>
        </w:rPr>
        <w:t xml:space="preserve">ответственности и </w:t>
      </w:r>
      <w:r w:rsidRPr="00DA76A7">
        <w:rPr>
          <w:rFonts w:ascii="Arial" w:hAnsi="Arial" w:cs="Arial"/>
          <w:color w:val="000000" w:themeColor="text1"/>
          <w:spacing w:val="-4"/>
        </w:rPr>
        <w:t xml:space="preserve">ее </w:t>
      </w:r>
      <w:r w:rsidRPr="00DA76A7">
        <w:rPr>
          <w:rFonts w:ascii="Arial" w:hAnsi="Arial" w:cs="Arial"/>
          <w:color w:val="000000" w:themeColor="text1"/>
        </w:rPr>
        <w:t xml:space="preserve">исключение в </w:t>
      </w:r>
      <w:r w:rsidRPr="00DA76A7">
        <w:rPr>
          <w:rFonts w:ascii="Arial" w:hAnsi="Arial" w:cs="Arial"/>
          <w:color w:val="000000" w:themeColor="text1"/>
          <w:spacing w:val="-3"/>
        </w:rPr>
        <w:t xml:space="preserve">российском </w:t>
      </w:r>
      <w:r w:rsidRPr="00DA76A7">
        <w:rPr>
          <w:rFonts w:ascii="Arial" w:hAnsi="Arial" w:cs="Arial"/>
          <w:color w:val="000000" w:themeColor="text1"/>
        </w:rPr>
        <w:t>гражданском праве: автореф. дисс….. канд. юридич. наук. Волгоград, - 2012. - 38</w:t>
      </w:r>
      <w:r w:rsidRPr="00DA76A7">
        <w:rPr>
          <w:rFonts w:ascii="Arial" w:hAnsi="Arial" w:cs="Arial"/>
          <w:color w:val="000000" w:themeColor="text1"/>
          <w:spacing w:val="8"/>
        </w:rPr>
        <w:t xml:space="preserve"> </w:t>
      </w:r>
      <w:r w:rsidRPr="00DA76A7">
        <w:rPr>
          <w:rFonts w:ascii="Arial" w:hAnsi="Arial" w:cs="Arial"/>
          <w:color w:val="000000" w:themeColor="text1"/>
        </w:rPr>
        <w:t>с.</w:t>
      </w:r>
    </w:p>
    <w:p w:rsidR="00181BA7" w:rsidRPr="00DA76A7" w:rsidRDefault="00181BA7" w:rsidP="00D45D6B">
      <w:pPr>
        <w:pStyle w:val="a6"/>
        <w:widowControl w:val="0"/>
        <w:numPr>
          <w:ilvl w:val="0"/>
          <w:numId w:val="49"/>
        </w:numPr>
        <w:tabs>
          <w:tab w:val="left" w:pos="725"/>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Мандрюков А.В. Субсидиарная ответственность контролирующих лиц при банкротстве // Аптека: бухгалтерский </w:t>
      </w:r>
      <w:r w:rsidRPr="00DA76A7">
        <w:rPr>
          <w:rFonts w:ascii="Arial" w:hAnsi="Arial" w:cs="Arial"/>
          <w:color w:val="000000" w:themeColor="text1"/>
          <w:spacing w:val="-4"/>
        </w:rPr>
        <w:t xml:space="preserve">учет </w:t>
      </w:r>
      <w:r w:rsidRPr="00DA76A7">
        <w:rPr>
          <w:rFonts w:ascii="Arial" w:hAnsi="Arial" w:cs="Arial"/>
          <w:color w:val="000000" w:themeColor="text1"/>
        </w:rPr>
        <w:t xml:space="preserve">и </w:t>
      </w:r>
      <w:r w:rsidRPr="00DA76A7">
        <w:rPr>
          <w:rFonts w:ascii="Arial" w:hAnsi="Arial" w:cs="Arial"/>
          <w:color w:val="000000" w:themeColor="text1"/>
          <w:spacing w:val="-3"/>
        </w:rPr>
        <w:t xml:space="preserve">налогообложение. </w:t>
      </w:r>
      <w:r w:rsidRPr="00DA76A7">
        <w:rPr>
          <w:rFonts w:ascii="Arial" w:hAnsi="Arial" w:cs="Arial"/>
          <w:color w:val="000000" w:themeColor="text1"/>
        </w:rPr>
        <w:t>- 2015. - №</w:t>
      </w:r>
      <w:r w:rsidRPr="00DA76A7">
        <w:rPr>
          <w:rFonts w:ascii="Arial" w:hAnsi="Arial" w:cs="Arial"/>
          <w:color w:val="000000" w:themeColor="text1"/>
          <w:spacing w:val="42"/>
        </w:rPr>
        <w:t xml:space="preserve"> </w:t>
      </w:r>
      <w:r w:rsidRPr="00DA76A7">
        <w:rPr>
          <w:rFonts w:ascii="Arial" w:hAnsi="Arial" w:cs="Arial"/>
          <w:color w:val="000000" w:themeColor="text1"/>
        </w:rPr>
        <w:t>1. – C. 45-50</w:t>
      </w:r>
    </w:p>
    <w:p w:rsidR="00181BA7" w:rsidRPr="00DA76A7" w:rsidRDefault="00181BA7" w:rsidP="00D45D6B">
      <w:pPr>
        <w:pStyle w:val="a6"/>
        <w:widowControl w:val="0"/>
        <w:numPr>
          <w:ilvl w:val="0"/>
          <w:numId w:val="49"/>
        </w:numPr>
        <w:tabs>
          <w:tab w:val="left" w:pos="715"/>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Маслова А.В. Наследники и наследодатели: практическое </w:t>
      </w:r>
      <w:r w:rsidRPr="00DA76A7">
        <w:rPr>
          <w:rFonts w:ascii="Arial" w:hAnsi="Arial" w:cs="Arial"/>
          <w:color w:val="000000" w:themeColor="text1"/>
          <w:spacing w:val="-4"/>
        </w:rPr>
        <w:t xml:space="preserve">руководство. </w:t>
      </w:r>
      <w:r w:rsidRPr="00DA76A7">
        <w:rPr>
          <w:rFonts w:ascii="Arial" w:hAnsi="Arial" w:cs="Arial"/>
          <w:color w:val="000000" w:themeColor="text1"/>
        </w:rPr>
        <w:t xml:space="preserve">М.: </w:t>
      </w:r>
      <w:r w:rsidRPr="00DA76A7">
        <w:rPr>
          <w:rFonts w:ascii="Arial" w:hAnsi="Arial" w:cs="Arial"/>
          <w:color w:val="000000" w:themeColor="text1"/>
          <w:spacing w:val="-4"/>
        </w:rPr>
        <w:t xml:space="preserve">ЗАО «Библиотечка </w:t>
      </w:r>
      <w:r w:rsidRPr="00DA76A7">
        <w:rPr>
          <w:rFonts w:ascii="Arial" w:hAnsi="Arial" w:cs="Arial"/>
          <w:color w:val="000000" w:themeColor="text1"/>
        </w:rPr>
        <w:t>РГ», - 2014. - Вып. 5. –</w:t>
      </w:r>
      <w:r w:rsidRPr="00DA76A7">
        <w:rPr>
          <w:rFonts w:ascii="Arial" w:hAnsi="Arial" w:cs="Arial"/>
          <w:color w:val="000000" w:themeColor="text1"/>
          <w:spacing w:val="6"/>
        </w:rPr>
        <w:t xml:space="preserve"> </w:t>
      </w:r>
      <w:r w:rsidRPr="00DA76A7">
        <w:rPr>
          <w:rFonts w:ascii="Arial" w:hAnsi="Arial" w:cs="Arial"/>
          <w:color w:val="000000" w:themeColor="text1"/>
        </w:rPr>
        <w:t>144с.</w:t>
      </w:r>
    </w:p>
    <w:p w:rsidR="00181BA7" w:rsidRPr="00DA76A7" w:rsidRDefault="00181BA7" w:rsidP="00D45D6B">
      <w:pPr>
        <w:pStyle w:val="a6"/>
        <w:widowControl w:val="0"/>
        <w:numPr>
          <w:ilvl w:val="0"/>
          <w:numId w:val="49"/>
        </w:numPr>
        <w:tabs>
          <w:tab w:val="left" w:pos="754"/>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4"/>
        </w:rPr>
        <w:t xml:space="preserve">Михайленко </w:t>
      </w:r>
      <w:r w:rsidRPr="00DA76A7">
        <w:rPr>
          <w:rFonts w:ascii="Arial" w:hAnsi="Arial" w:cs="Arial"/>
          <w:color w:val="000000" w:themeColor="text1"/>
          <w:spacing w:val="6"/>
        </w:rPr>
        <w:t xml:space="preserve">Е.М. </w:t>
      </w:r>
      <w:r w:rsidRPr="00DA76A7">
        <w:rPr>
          <w:rFonts w:ascii="Arial" w:hAnsi="Arial" w:cs="Arial"/>
          <w:color w:val="000000" w:themeColor="text1"/>
          <w:spacing w:val="3"/>
        </w:rPr>
        <w:t xml:space="preserve">Гражданское </w:t>
      </w:r>
      <w:r w:rsidRPr="00DA76A7">
        <w:rPr>
          <w:rFonts w:ascii="Arial" w:hAnsi="Arial" w:cs="Arial"/>
          <w:color w:val="000000" w:themeColor="text1"/>
          <w:spacing w:val="6"/>
        </w:rPr>
        <w:t xml:space="preserve">право. </w:t>
      </w:r>
      <w:r w:rsidRPr="00DA76A7">
        <w:rPr>
          <w:rFonts w:ascii="Arial" w:hAnsi="Arial" w:cs="Arial"/>
          <w:color w:val="000000" w:themeColor="text1"/>
          <w:spacing w:val="4"/>
        </w:rPr>
        <w:t xml:space="preserve">Общая </w:t>
      </w:r>
      <w:r w:rsidRPr="00DA76A7">
        <w:rPr>
          <w:rFonts w:ascii="Arial" w:hAnsi="Arial" w:cs="Arial"/>
          <w:color w:val="000000" w:themeColor="text1"/>
          <w:spacing w:val="5"/>
        </w:rPr>
        <w:t xml:space="preserve">часть: </w:t>
      </w:r>
      <w:r w:rsidRPr="00DA76A7">
        <w:rPr>
          <w:rFonts w:ascii="Arial" w:hAnsi="Arial" w:cs="Arial"/>
          <w:color w:val="000000" w:themeColor="text1"/>
          <w:spacing w:val="4"/>
        </w:rPr>
        <w:t xml:space="preserve">учебник </w:t>
      </w:r>
      <w:r w:rsidRPr="00DA76A7">
        <w:rPr>
          <w:rFonts w:ascii="Arial" w:hAnsi="Arial" w:cs="Arial"/>
          <w:color w:val="000000" w:themeColor="text1"/>
        </w:rPr>
        <w:t xml:space="preserve">и </w:t>
      </w:r>
      <w:r w:rsidRPr="00DA76A7">
        <w:rPr>
          <w:rFonts w:ascii="Arial" w:hAnsi="Arial" w:cs="Arial"/>
          <w:color w:val="000000" w:themeColor="text1"/>
          <w:spacing w:val="4"/>
        </w:rPr>
        <w:t xml:space="preserve">практикум </w:t>
      </w:r>
      <w:r w:rsidRPr="00DA76A7">
        <w:rPr>
          <w:rFonts w:ascii="Arial" w:hAnsi="Arial" w:cs="Arial"/>
          <w:color w:val="000000" w:themeColor="text1"/>
          <w:spacing w:val="2"/>
        </w:rPr>
        <w:t xml:space="preserve">для </w:t>
      </w:r>
      <w:r w:rsidRPr="00DA76A7">
        <w:rPr>
          <w:rFonts w:ascii="Arial" w:hAnsi="Arial" w:cs="Arial"/>
          <w:color w:val="000000" w:themeColor="text1"/>
          <w:spacing w:val="5"/>
        </w:rPr>
        <w:t xml:space="preserve">прикладного </w:t>
      </w:r>
      <w:r w:rsidRPr="00DA76A7">
        <w:rPr>
          <w:rFonts w:ascii="Arial" w:hAnsi="Arial" w:cs="Arial"/>
          <w:color w:val="000000" w:themeColor="text1"/>
        </w:rPr>
        <w:t>бакалавриата. М.: Издательство Юрайт, - 2016. - 356</w:t>
      </w:r>
      <w:r w:rsidRPr="00DA76A7">
        <w:rPr>
          <w:rFonts w:ascii="Arial" w:hAnsi="Arial" w:cs="Arial"/>
          <w:color w:val="000000" w:themeColor="text1"/>
          <w:spacing w:val="10"/>
        </w:rPr>
        <w:t xml:space="preserve"> </w:t>
      </w:r>
      <w:r w:rsidRPr="00DA76A7">
        <w:rPr>
          <w:rFonts w:ascii="Arial" w:hAnsi="Arial" w:cs="Arial"/>
          <w:color w:val="000000" w:themeColor="text1"/>
        </w:rPr>
        <w:t>с.</w:t>
      </w:r>
    </w:p>
    <w:p w:rsidR="00181BA7" w:rsidRPr="00DA76A7" w:rsidRDefault="00181BA7" w:rsidP="00D45D6B">
      <w:pPr>
        <w:pStyle w:val="a6"/>
        <w:widowControl w:val="0"/>
        <w:numPr>
          <w:ilvl w:val="0"/>
          <w:numId w:val="49"/>
        </w:numPr>
        <w:tabs>
          <w:tab w:val="left" w:pos="706"/>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Постановление Пленума </w:t>
      </w:r>
      <w:r w:rsidRPr="00DA76A7">
        <w:rPr>
          <w:rFonts w:ascii="Arial" w:hAnsi="Arial" w:cs="Arial"/>
          <w:color w:val="000000" w:themeColor="text1"/>
          <w:spacing w:val="-3"/>
        </w:rPr>
        <w:t xml:space="preserve">Верховного </w:t>
      </w:r>
      <w:r w:rsidRPr="00DA76A7">
        <w:rPr>
          <w:rFonts w:ascii="Arial" w:hAnsi="Arial" w:cs="Arial"/>
          <w:color w:val="000000" w:themeColor="text1"/>
          <w:spacing w:val="-7"/>
        </w:rPr>
        <w:t xml:space="preserve">Суда </w:t>
      </w:r>
      <w:r w:rsidRPr="00DA76A7">
        <w:rPr>
          <w:rFonts w:ascii="Arial" w:hAnsi="Arial" w:cs="Arial"/>
          <w:color w:val="000000" w:themeColor="text1"/>
        </w:rPr>
        <w:t xml:space="preserve">РФ </w:t>
      </w:r>
      <w:r w:rsidRPr="00DA76A7">
        <w:rPr>
          <w:rFonts w:ascii="Arial" w:hAnsi="Arial" w:cs="Arial"/>
          <w:color w:val="000000" w:themeColor="text1"/>
          <w:spacing w:val="-5"/>
        </w:rPr>
        <w:t xml:space="preserve">от </w:t>
      </w:r>
      <w:r w:rsidRPr="00DA76A7">
        <w:rPr>
          <w:rFonts w:ascii="Arial" w:hAnsi="Arial" w:cs="Arial"/>
          <w:color w:val="000000" w:themeColor="text1"/>
        </w:rPr>
        <w:t xml:space="preserve">29.05.2012 </w:t>
      </w:r>
      <w:r w:rsidRPr="00DA76A7">
        <w:rPr>
          <w:rFonts w:ascii="Arial" w:hAnsi="Arial" w:cs="Arial"/>
          <w:color w:val="000000" w:themeColor="text1"/>
          <w:spacing w:val="-12"/>
        </w:rPr>
        <w:t xml:space="preserve">г. </w:t>
      </w:r>
      <w:r w:rsidRPr="00DA76A7">
        <w:rPr>
          <w:rFonts w:ascii="Arial" w:hAnsi="Arial" w:cs="Arial"/>
          <w:color w:val="000000" w:themeColor="text1"/>
        </w:rPr>
        <w:t xml:space="preserve">№ 9 </w:t>
      </w:r>
      <w:r w:rsidRPr="00DA76A7">
        <w:rPr>
          <w:rFonts w:ascii="Arial" w:hAnsi="Arial" w:cs="Arial"/>
          <w:color w:val="000000" w:themeColor="text1"/>
          <w:spacing w:val="-3"/>
        </w:rPr>
        <w:t xml:space="preserve">«О </w:t>
      </w:r>
      <w:r w:rsidRPr="00DA76A7">
        <w:rPr>
          <w:rFonts w:ascii="Arial" w:hAnsi="Arial" w:cs="Arial"/>
          <w:color w:val="000000" w:themeColor="text1"/>
          <w:spacing w:val="-5"/>
        </w:rPr>
        <w:t xml:space="preserve">судебной </w:t>
      </w:r>
      <w:r w:rsidRPr="00DA76A7">
        <w:rPr>
          <w:rFonts w:ascii="Arial" w:hAnsi="Arial" w:cs="Arial"/>
          <w:color w:val="000000" w:themeColor="text1"/>
        </w:rPr>
        <w:t xml:space="preserve">практике по делам о наследовании» // Бюллетень </w:t>
      </w:r>
      <w:r w:rsidRPr="00DA76A7">
        <w:rPr>
          <w:rFonts w:ascii="Arial" w:hAnsi="Arial" w:cs="Arial"/>
          <w:color w:val="000000" w:themeColor="text1"/>
          <w:spacing w:val="-3"/>
        </w:rPr>
        <w:t xml:space="preserve">Верховного </w:t>
      </w:r>
      <w:r w:rsidRPr="00DA76A7">
        <w:rPr>
          <w:rFonts w:ascii="Arial" w:hAnsi="Arial" w:cs="Arial"/>
          <w:color w:val="000000" w:themeColor="text1"/>
          <w:spacing w:val="-7"/>
        </w:rPr>
        <w:t xml:space="preserve">Суда </w:t>
      </w:r>
      <w:r w:rsidRPr="00DA76A7">
        <w:rPr>
          <w:rFonts w:ascii="Arial" w:hAnsi="Arial" w:cs="Arial"/>
          <w:color w:val="000000" w:themeColor="text1"/>
        </w:rPr>
        <w:t>РФ. - 2012. - №</w:t>
      </w:r>
      <w:r w:rsidRPr="00DA76A7">
        <w:rPr>
          <w:rFonts w:ascii="Arial" w:hAnsi="Arial" w:cs="Arial"/>
          <w:color w:val="000000" w:themeColor="text1"/>
          <w:spacing w:val="39"/>
        </w:rPr>
        <w:t xml:space="preserve"> </w:t>
      </w:r>
      <w:r w:rsidRPr="00DA76A7">
        <w:rPr>
          <w:rFonts w:ascii="Arial" w:hAnsi="Arial" w:cs="Arial"/>
          <w:color w:val="000000" w:themeColor="text1"/>
        </w:rPr>
        <w:t>7. – c. 154-162</w:t>
      </w:r>
    </w:p>
    <w:p w:rsidR="00181BA7" w:rsidRPr="00DA76A7" w:rsidRDefault="00181BA7" w:rsidP="00D45D6B">
      <w:pPr>
        <w:pStyle w:val="a6"/>
        <w:widowControl w:val="0"/>
        <w:numPr>
          <w:ilvl w:val="0"/>
          <w:numId w:val="49"/>
        </w:numPr>
        <w:tabs>
          <w:tab w:val="left" w:pos="692"/>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Рузанова</w:t>
      </w:r>
      <w:r w:rsidRPr="00DA76A7">
        <w:rPr>
          <w:rFonts w:ascii="Arial" w:hAnsi="Arial" w:cs="Arial"/>
          <w:color w:val="000000" w:themeColor="text1"/>
          <w:spacing w:val="-2"/>
        </w:rPr>
        <w:t xml:space="preserve"> </w:t>
      </w:r>
      <w:r w:rsidRPr="00DA76A7">
        <w:rPr>
          <w:rFonts w:ascii="Arial" w:hAnsi="Arial" w:cs="Arial"/>
          <w:color w:val="000000" w:themeColor="text1"/>
        </w:rPr>
        <w:t>Е.В.</w:t>
      </w:r>
      <w:r w:rsidRPr="00DA76A7">
        <w:rPr>
          <w:rFonts w:ascii="Arial" w:hAnsi="Arial" w:cs="Arial"/>
          <w:color w:val="000000" w:themeColor="text1"/>
          <w:spacing w:val="-10"/>
        </w:rPr>
        <w:t xml:space="preserve"> </w:t>
      </w:r>
      <w:r w:rsidRPr="00DA76A7">
        <w:rPr>
          <w:rFonts w:ascii="Arial" w:hAnsi="Arial" w:cs="Arial"/>
          <w:color w:val="000000" w:themeColor="text1"/>
        </w:rPr>
        <w:t>Обязательства</w:t>
      </w:r>
      <w:r w:rsidRPr="00DA76A7">
        <w:rPr>
          <w:rFonts w:ascii="Arial" w:hAnsi="Arial" w:cs="Arial"/>
          <w:color w:val="000000" w:themeColor="text1"/>
          <w:spacing w:val="-11"/>
        </w:rPr>
        <w:t xml:space="preserve"> </w:t>
      </w:r>
      <w:r w:rsidRPr="00DA76A7">
        <w:rPr>
          <w:rFonts w:ascii="Arial" w:hAnsi="Arial" w:cs="Arial"/>
          <w:color w:val="000000" w:themeColor="text1"/>
        </w:rPr>
        <w:t>вследствие</w:t>
      </w:r>
      <w:r w:rsidRPr="00DA76A7">
        <w:rPr>
          <w:rFonts w:ascii="Arial" w:hAnsi="Arial" w:cs="Arial"/>
          <w:color w:val="000000" w:themeColor="text1"/>
          <w:spacing w:val="-15"/>
        </w:rPr>
        <w:t xml:space="preserve"> </w:t>
      </w:r>
      <w:r w:rsidRPr="00DA76A7">
        <w:rPr>
          <w:rFonts w:ascii="Arial" w:hAnsi="Arial" w:cs="Arial"/>
          <w:color w:val="000000" w:themeColor="text1"/>
        </w:rPr>
        <w:t>причинения</w:t>
      </w:r>
      <w:r w:rsidRPr="00DA76A7">
        <w:rPr>
          <w:rFonts w:ascii="Arial" w:hAnsi="Arial" w:cs="Arial"/>
          <w:color w:val="000000" w:themeColor="text1"/>
          <w:spacing w:val="-9"/>
        </w:rPr>
        <w:t xml:space="preserve"> </w:t>
      </w:r>
      <w:r w:rsidRPr="00DA76A7">
        <w:rPr>
          <w:rFonts w:ascii="Arial" w:hAnsi="Arial" w:cs="Arial"/>
          <w:color w:val="000000" w:themeColor="text1"/>
        </w:rPr>
        <w:t>вреда</w:t>
      </w:r>
      <w:r w:rsidRPr="00DA76A7">
        <w:rPr>
          <w:rFonts w:ascii="Arial" w:hAnsi="Arial" w:cs="Arial"/>
          <w:color w:val="000000" w:themeColor="text1"/>
          <w:spacing w:val="-11"/>
        </w:rPr>
        <w:t xml:space="preserve"> </w:t>
      </w:r>
      <w:r w:rsidRPr="00DA76A7">
        <w:rPr>
          <w:rFonts w:ascii="Arial" w:hAnsi="Arial" w:cs="Arial"/>
          <w:color w:val="000000" w:themeColor="text1"/>
        </w:rPr>
        <w:t>с</w:t>
      </w:r>
      <w:r w:rsidRPr="00DA76A7">
        <w:rPr>
          <w:rFonts w:ascii="Arial" w:hAnsi="Arial" w:cs="Arial"/>
          <w:color w:val="000000" w:themeColor="text1"/>
          <w:spacing w:val="-15"/>
        </w:rPr>
        <w:t xml:space="preserve"> </w:t>
      </w:r>
      <w:r w:rsidRPr="00DA76A7">
        <w:rPr>
          <w:rFonts w:ascii="Arial" w:hAnsi="Arial" w:cs="Arial"/>
          <w:color w:val="000000" w:themeColor="text1"/>
        </w:rPr>
        <w:t>участием</w:t>
      </w:r>
      <w:r w:rsidRPr="00DA76A7">
        <w:rPr>
          <w:rFonts w:ascii="Arial" w:hAnsi="Arial" w:cs="Arial"/>
          <w:color w:val="000000" w:themeColor="text1"/>
          <w:spacing w:val="-9"/>
        </w:rPr>
        <w:t xml:space="preserve"> </w:t>
      </w:r>
      <w:r w:rsidRPr="00DA76A7">
        <w:rPr>
          <w:rFonts w:ascii="Arial" w:hAnsi="Arial" w:cs="Arial"/>
          <w:color w:val="000000" w:themeColor="text1"/>
        </w:rPr>
        <w:t>несовершеннолетних</w:t>
      </w:r>
      <w:r w:rsidRPr="00DA76A7">
        <w:rPr>
          <w:rFonts w:ascii="Arial" w:hAnsi="Arial" w:cs="Arial"/>
          <w:color w:val="000000" w:themeColor="text1"/>
          <w:spacing w:val="-12"/>
        </w:rPr>
        <w:t xml:space="preserve"> </w:t>
      </w:r>
      <w:r w:rsidRPr="00DA76A7">
        <w:rPr>
          <w:rFonts w:ascii="Arial" w:hAnsi="Arial" w:cs="Arial"/>
          <w:color w:val="000000" w:themeColor="text1"/>
        </w:rPr>
        <w:t>граждан: автореф. дисс….. канд. юридич. наук. Саратов, - 2013.</w:t>
      </w:r>
      <w:r w:rsidRPr="00DA76A7">
        <w:rPr>
          <w:rFonts w:ascii="Arial" w:hAnsi="Arial" w:cs="Arial"/>
          <w:color w:val="000000" w:themeColor="text1"/>
          <w:spacing w:val="15"/>
        </w:rPr>
        <w:t xml:space="preserve"> </w:t>
      </w:r>
      <w:r w:rsidRPr="00DA76A7">
        <w:rPr>
          <w:rFonts w:ascii="Arial" w:hAnsi="Arial" w:cs="Arial"/>
          <w:color w:val="000000" w:themeColor="text1"/>
        </w:rPr>
        <w:t>- 25 с.</w:t>
      </w:r>
    </w:p>
    <w:p w:rsidR="00181BA7" w:rsidRPr="00DA76A7" w:rsidRDefault="00181BA7" w:rsidP="00D45D6B">
      <w:pPr>
        <w:pStyle w:val="a6"/>
        <w:widowControl w:val="0"/>
        <w:numPr>
          <w:ilvl w:val="0"/>
          <w:numId w:val="49"/>
        </w:numPr>
        <w:tabs>
          <w:tab w:val="left" w:pos="711"/>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Сахаров А.В. Классификация регрессных обязательств в </w:t>
      </w:r>
      <w:r w:rsidRPr="00DA76A7">
        <w:rPr>
          <w:rFonts w:ascii="Arial" w:hAnsi="Arial" w:cs="Arial"/>
          <w:color w:val="000000" w:themeColor="text1"/>
          <w:spacing w:val="-3"/>
        </w:rPr>
        <w:t xml:space="preserve">российском </w:t>
      </w:r>
      <w:r w:rsidRPr="00DA76A7">
        <w:rPr>
          <w:rFonts w:ascii="Arial" w:hAnsi="Arial" w:cs="Arial"/>
          <w:color w:val="000000" w:themeColor="text1"/>
        </w:rPr>
        <w:t xml:space="preserve">гражданском праве // </w:t>
      </w:r>
      <w:r w:rsidRPr="00DA76A7">
        <w:rPr>
          <w:rFonts w:ascii="Arial" w:hAnsi="Arial" w:cs="Arial"/>
          <w:color w:val="000000" w:themeColor="text1"/>
          <w:spacing w:val="-3"/>
        </w:rPr>
        <w:t xml:space="preserve">Пробелы </w:t>
      </w:r>
      <w:r w:rsidRPr="00DA76A7">
        <w:rPr>
          <w:rFonts w:ascii="Arial" w:hAnsi="Arial" w:cs="Arial"/>
          <w:color w:val="000000" w:themeColor="text1"/>
        </w:rPr>
        <w:t xml:space="preserve">в </w:t>
      </w:r>
      <w:r w:rsidRPr="00DA76A7">
        <w:rPr>
          <w:rFonts w:ascii="Arial" w:hAnsi="Arial" w:cs="Arial"/>
          <w:color w:val="000000" w:themeColor="text1"/>
          <w:spacing w:val="-3"/>
        </w:rPr>
        <w:t xml:space="preserve">российском законодательстве. </w:t>
      </w:r>
      <w:r w:rsidRPr="00DA76A7">
        <w:rPr>
          <w:rFonts w:ascii="Arial" w:hAnsi="Arial" w:cs="Arial"/>
          <w:color w:val="000000" w:themeColor="text1"/>
        </w:rPr>
        <w:t>- 2010. - №</w:t>
      </w:r>
      <w:r w:rsidRPr="00DA76A7">
        <w:rPr>
          <w:rFonts w:ascii="Arial" w:hAnsi="Arial" w:cs="Arial"/>
          <w:color w:val="000000" w:themeColor="text1"/>
          <w:spacing w:val="40"/>
        </w:rPr>
        <w:t xml:space="preserve"> </w:t>
      </w:r>
      <w:r w:rsidRPr="00DA76A7">
        <w:rPr>
          <w:rFonts w:ascii="Arial" w:hAnsi="Arial" w:cs="Arial"/>
          <w:color w:val="000000" w:themeColor="text1"/>
        </w:rPr>
        <w:t>2. – C. 134-137</w:t>
      </w:r>
    </w:p>
    <w:p w:rsidR="00181BA7" w:rsidRPr="00DA76A7" w:rsidRDefault="00181BA7" w:rsidP="00D45D6B">
      <w:pPr>
        <w:pStyle w:val="a6"/>
        <w:widowControl w:val="0"/>
        <w:numPr>
          <w:ilvl w:val="0"/>
          <w:numId w:val="49"/>
        </w:numPr>
        <w:tabs>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Филиков Д.А. Презумпция </w:t>
      </w:r>
      <w:r w:rsidRPr="00DA76A7">
        <w:rPr>
          <w:rFonts w:ascii="Arial" w:hAnsi="Arial" w:cs="Arial"/>
          <w:color w:val="000000" w:themeColor="text1"/>
          <w:spacing w:val="2"/>
        </w:rPr>
        <w:t xml:space="preserve">вины, </w:t>
      </w:r>
      <w:r w:rsidRPr="00DA76A7">
        <w:rPr>
          <w:rFonts w:ascii="Arial" w:hAnsi="Arial" w:cs="Arial"/>
          <w:color w:val="000000" w:themeColor="text1"/>
        </w:rPr>
        <w:t xml:space="preserve">освобождение </w:t>
      </w:r>
      <w:r w:rsidRPr="00DA76A7">
        <w:rPr>
          <w:rFonts w:ascii="Arial" w:hAnsi="Arial" w:cs="Arial"/>
          <w:color w:val="000000" w:themeColor="text1"/>
          <w:spacing w:val="-3"/>
        </w:rPr>
        <w:t xml:space="preserve">от </w:t>
      </w:r>
      <w:r w:rsidRPr="00DA76A7">
        <w:rPr>
          <w:rFonts w:ascii="Arial" w:hAnsi="Arial" w:cs="Arial"/>
          <w:color w:val="000000" w:themeColor="text1"/>
        </w:rPr>
        <w:t>гражданско-правовой ответственности и ее исключение // ЕврАзЮж. - 2012. - № 4</w:t>
      </w:r>
      <w:r w:rsidRPr="00DA76A7">
        <w:rPr>
          <w:rFonts w:ascii="Arial" w:hAnsi="Arial" w:cs="Arial"/>
          <w:color w:val="000000" w:themeColor="text1"/>
          <w:spacing w:val="15"/>
        </w:rPr>
        <w:t xml:space="preserve"> </w:t>
      </w:r>
      <w:r w:rsidRPr="00DA76A7">
        <w:rPr>
          <w:rFonts w:ascii="Arial" w:hAnsi="Arial" w:cs="Arial"/>
          <w:color w:val="000000" w:themeColor="text1"/>
        </w:rPr>
        <w:t>(47). – C. 56-60</w:t>
      </w:r>
    </w:p>
    <w:p w:rsidR="00181BA7" w:rsidRPr="00DA76A7" w:rsidRDefault="00181BA7" w:rsidP="00D45D6B">
      <w:pPr>
        <w:pStyle w:val="a6"/>
        <w:widowControl w:val="0"/>
        <w:numPr>
          <w:ilvl w:val="0"/>
          <w:numId w:val="49"/>
        </w:numPr>
        <w:tabs>
          <w:tab w:val="left" w:pos="851"/>
          <w:tab w:val="left" w:pos="993"/>
          <w:tab w:val="left" w:pos="127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Шиткина И.С. Имущественная ответственность в корпоративных правоотношениях (на примере хозяйственных обществ) // Предпринимательское право. Приложение «Право и Бизнес». - 2015. - №</w:t>
      </w:r>
      <w:r w:rsidRPr="00DA76A7">
        <w:rPr>
          <w:rFonts w:ascii="Arial" w:hAnsi="Arial" w:cs="Arial"/>
          <w:color w:val="000000" w:themeColor="text1"/>
          <w:spacing w:val="9"/>
        </w:rPr>
        <w:t xml:space="preserve"> </w:t>
      </w:r>
      <w:r w:rsidRPr="00DA76A7">
        <w:rPr>
          <w:rFonts w:ascii="Arial" w:hAnsi="Arial" w:cs="Arial"/>
          <w:color w:val="000000" w:themeColor="text1"/>
        </w:rPr>
        <w:t>2. – C. 70-76</w:t>
      </w:r>
    </w:p>
    <w:p w:rsidR="0035387D" w:rsidRPr="00DA76A7" w:rsidRDefault="0035387D" w:rsidP="00181BA7">
      <w:pPr>
        <w:ind w:firstLine="567"/>
        <w:jc w:val="center"/>
        <w:rPr>
          <w:rFonts w:ascii="Arial" w:hAnsi="Arial" w:cs="Arial"/>
          <w:b/>
          <w:color w:val="000000" w:themeColor="text1"/>
          <w:sz w:val="22"/>
          <w:szCs w:val="22"/>
        </w:rPr>
      </w:pPr>
    </w:p>
    <w:p w:rsidR="0035387D" w:rsidRPr="00DA76A7" w:rsidRDefault="0035387D"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ГРАЖДАНСКО-ПРАВОВАЯ ОТВЕТСТВЕННОСТЬ ЮРИДИЧЕСКИХ ЛИЦ</w:t>
      </w: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Бобоев Некру Хайриддинович </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2 - го года обучения очного отделения юридического факультета </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Российско-Таджикский (Славянский) университет </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907-44-22-88,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nekru</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b</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1713F3" w:rsidRDefault="001713F3"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1713F3" w:rsidRDefault="001713F3"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1713F3" w:rsidRDefault="001713F3"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1713F3" w:rsidRDefault="001713F3"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1713F3" w:rsidRDefault="001713F3"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1713F3" w:rsidRDefault="001713F3"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1713F3" w:rsidRPr="00DA76A7" w:rsidRDefault="001713F3"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CIVIL-LEGAL LIABILITY OF LEGAL ENTITIES</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Boboev Nekru Hayriddinovich</w:t>
      </w:r>
    </w:p>
    <w:p w:rsidR="00181BA7" w:rsidRPr="00DA76A7" w:rsidRDefault="00181BA7" w:rsidP="00181BA7">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181BA7" w:rsidRPr="00DA76A7" w:rsidRDefault="00181BA7" w:rsidP="00181BA7">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181BA7" w:rsidRPr="00DA76A7" w:rsidRDefault="00181BA7" w:rsidP="00181BA7">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 xml:space="preserve">tel.: (+992) 907-44-22-88, e-mail: </w:t>
      </w:r>
      <w:hyperlink r:id="rId111" w:history="1">
        <w:r w:rsidRPr="00DA76A7">
          <w:rPr>
            <w:rStyle w:val="af0"/>
            <w:rFonts w:ascii="Arial" w:eastAsiaTheme="minorHAnsi" w:hAnsi="Arial" w:cs="Arial"/>
            <w:color w:val="000000" w:themeColor="text1"/>
            <w:u w:val="none"/>
          </w:rPr>
          <w:t>nekru-b@mail.ru</w:t>
        </w:r>
      </w:hyperlink>
    </w:p>
    <w:p w:rsidR="00181BA7" w:rsidRPr="00DA76A7" w:rsidRDefault="00181BA7" w:rsidP="00181BA7">
      <w:pPr>
        <w:suppressLineNumbers/>
        <w:suppressAutoHyphens/>
        <w:ind w:firstLine="567"/>
        <w:contextualSpacing/>
        <w:jc w:val="center"/>
        <w:rPr>
          <w:rFonts w:ascii="Arial" w:hAnsi="Arial" w:cs="Arial"/>
          <w:color w:val="000000" w:themeColor="text1"/>
          <w:sz w:val="22"/>
          <w:szCs w:val="22"/>
          <w:lang w:val="en-US"/>
        </w:rPr>
      </w:pPr>
    </w:p>
    <w:p w:rsidR="00181BA7" w:rsidRPr="00DA76A7" w:rsidRDefault="00181BA7" w:rsidP="00181BA7">
      <w:pPr>
        <w:suppressLineNumbers/>
        <w:suppressAutoHyphens/>
        <w:ind w:firstLine="567"/>
        <w:contextualSpacing/>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Мирзоев П.И.</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настоящей статье проводится соотношение гражданско-правовой, административной и уголовной ответственности юридических лиц. Автор приходит к выводу о том, что борьба с неправомерными, в том числе преступными, деяниями юридических лиц будет эффективной только в случае комбинации гражданских, административных и уголовно-правовых методов.</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pacing w:val="-4"/>
          <w:sz w:val="22"/>
          <w:szCs w:val="22"/>
          <w:lang w:val="en-US"/>
        </w:rPr>
        <w:t>Annotation.</w:t>
      </w:r>
      <w:r w:rsidRPr="00DA76A7">
        <w:rPr>
          <w:rFonts w:ascii="Arial" w:hAnsi="Arial" w:cs="Arial"/>
          <w:i/>
          <w:color w:val="000000" w:themeColor="text1"/>
          <w:spacing w:val="-4"/>
          <w:sz w:val="22"/>
          <w:szCs w:val="22"/>
          <w:lang w:val="en-US"/>
        </w:rPr>
        <w:t xml:space="preserve"> </w:t>
      </w:r>
      <w:r w:rsidRPr="00DA76A7">
        <w:rPr>
          <w:rFonts w:ascii="Arial" w:hAnsi="Arial" w:cs="Arial"/>
          <w:i/>
          <w:color w:val="000000" w:themeColor="text1"/>
          <w:sz w:val="22"/>
          <w:szCs w:val="22"/>
          <w:lang w:val="en-US"/>
        </w:rPr>
        <w:t xml:space="preserve"> In this article, the relationship of civil, legal, administrative and criminal liability of legal entities is carried out. The author comes to the conclusion that the fight against unlawful, including criminal, acts of legal entities will be effective only in case of a combination of civil, administrative and criminal law methods.</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юридическое лицо, ответственность, степень общественной опасности, цели наказания.</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legal entity, responsibility, degree of public danger, the purpose of punishment.</w:t>
      </w:r>
    </w:p>
    <w:p w:rsidR="00181BA7" w:rsidRPr="00DA76A7" w:rsidRDefault="00181BA7" w:rsidP="00181BA7">
      <w:pPr>
        <w:suppressLineNumbers/>
        <w:suppressAutoHyphens/>
        <w:ind w:firstLine="567"/>
        <w:contextualSpacing/>
        <w:jc w:val="both"/>
        <w:rPr>
          <w:rFonts w:ascii="Arial" w:hAnsi="Arial" w:cs="Arial"/>
          <w:color w:val="000000" w:themeColor="text1"/>
          <w:sz w:val="22"/>
          <w:szCs w:val="22"/>
          <w:lang w:val="en-US"/>
        </w:rPr>
      </w:pPr>
    </w:p>
    <w:p w:rsidR="00181BA7" w:rsidRPr="00DA76A7" w:rsidRDefault="00181BA7" w:rsidP="00181BA7">
      <w:pPr>
        <w:suppressLineNumbers/>
        <w:suppressAutoHyphens/>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нести обязанности, быть истцом и ответчиком в суде (п. 1 ст. 48 ГК РФ).</w:t>
      </w:r>
    </w:p>
    <w:p w:rsidR="00181BA7" w:rsidRPr="00DA76A7" w:rsidRDefault="00181BA7" w:rsidP="00181BA7">
      <w:pPr>
        <w:suppressLineNumbers/>
        <w:suppressAutoHyphens/>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Специфическая особенность юридических лиц заключает в том, что они представляют собой  организационное единство, которая имеет самостоятельный правовой статус, отделенный от правового статуса создавших или входящих в нее участников (учредителей). Поэтому, деятельность юридических лиц отражается в учредительных и иных документах организации, определяющих порядок ведения ее деятельности.</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Юридические лица в соответствии с нормами частного и публичного права в случае отклонения от норм права могут быть подвергнуты гражданско-правовой либо административной ответственности. Уголовно-правовые санкции к юридическим лицам не применяются. Некоторые авторы предполагают, что конструкция норм об уголовной ответственности юридических лиц должна быть органично включена в законодательную систему, отвечая целям  и задачам современной уголовно-правовой политики стран бывшего союза, в том числе Республика Таджикистан, жестко коррелируя с нормами гражданского и административного законодательства [1, 380]. В связи с этим представляется необходимым провести соотношение гражданской, административной и уголовной ответственности, в т.ч. в той части, которая касается ответственности юридических</w:t>
      </w:r>
      <w:r w:rsidRPr="00DA76A7">
        <w:rPr>
          <w:rFonts w:ascii="Arial" w:hAnsi="Arial" w:cs="Arial"/>
          <w:color w:val="000000" w:themeColor="text1"/>
          <w:spacing w:val="-5"/>
          <w:lang w:val="ru-RU"/>
        </w:rPr>
        <w:t xml:space="preserve"> </w:t>
      </w:r>
      <w:r w:rsidRPr="00DA76A7">
        <w:rPr>
          <w:rFonts w:ascii="Arial" w:hAnsi="Arial" w:cs="Arial"/>
          <w:color w:val="000000" w:themeColor="text1"/>
          <w:lang w:val="ru-RU"/>
        </w:rPr>
        <w:t>лиц.</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Гражданские имущественные деликты и административные правонарушения в большой степени отличаются от деяний, наказываемых в уголовно-правовом порядке. Еще в 1910 г. историк русского права В.И. Сергеевич писал о том, что в гражданском правонарушении «…субъект не отвергает правового порядка в принципе (спор</w:t>
      </w:r>
      <w:r w:rsidRPr="00DA76A7">
        <w:rPr>
          <w:rFonts w:ascii="Arial" w:hAnsi="Arial" w:cs="Arial"/>
          <w:color w:val="000000" w:themeColor="text1"/>
          <w:spacing w:val="23"/>
          <w:sz w:val="22"/>
          <w:szCs w:val="22"/>
        </w:rPr>
        <w:t xml:space="preserve"> </w:t>
      </w:r>
      <w:r w:rsidRPr="00DA76A7">
        <w:rPr>
          <w:rFonts w:ascii="Arial" w:hAnsi="Arial" w:cs="Arial"/>
          <w:color w:val="000000" w:themeColor="text1"/>
          <w:sz w:val="22"/>
          <w:szCs w:val="22"/>
        </w:rPr>
        <w:t>в</w:t>
      </w:r>
      <w:r w:rsidRPr="00DA76A7">
        <w:rPr>
          <w:rFonts w:ascii="Arial" w:hAnsi="Arial" w:cs="Arial"/>
          <w:color w:val="000000" w:themeColor="text1"/>
          <w:spacing w:val="25"/>
          <w:sz w:val="22"/>
          <w:szCs w:val="22"/>
        </w:rPr>
        <w:t xml:space="preserve"> </w:t>
      </w:r>
      <w:r w:rsidRPr="00DA76A7">
        <w:rPr>
          <w:rFonts w:ascii="Arial" w:hAnsi="Arial" w:cs="Arial"/>
          <w:color w:val="000000" w:themeColor="text1"/>
          <w:sz w:val="22"/>
          <w:szCs w:val="22"/>
        </w:rPr>
        <w:t>данном</w:t>
      </w:r>
      <w:r w:rsidRPr="00DA76A7">
        <w:rPr>
          <w:rFonts w:ascii="Arial" w:hAnsi="Arial" w:cs="Arial"/>
          <w:color w:val="000000" w:themeColor="text1"/>
          <w:spacing w:val="26"/>
          <w:sz w:val="22"/>
          <w:szCs w:val="22"/>
        </w:rPr>
        <w:t xml:space="preserve"> </w:t>
      </w:r>
      <w:r w:rsidRPr="00DA76A7">
        <w:rPr>
          <w:rFonts w:ascii="Arial" w:hAnsi="Arial" w:cs="Arial"/>
          <w:color w:val="000000" w:themeColor="text1"/>
          <w:sz w:val="22"/>
          <w:szCs w:val="22"/>
        </w:rPr>
        <w:t>случае</w:t>
      </w:r>
      <w:r w:rsidRPr="00DA76A7">
        <w:rPr>
          <w:rFonts w:ascii="Arial" w:hAnsi="Arial" w:cs="Arial"/>
          <w:color w:val="000000" w:themeColor="text1"/>
          <w:spacing w:val="23"/>
          <w:sz w:val="22"/>
          <w:szCs w:val="22"/>
        </w:rPr>
        <w:t xml:space="preserve"> </w:t>
      </w:r>
      <w:r w:rsidRPr="00DA76A7">
        <w:rPr>
          <w:rFonts w:ascii="Arial" w:hAnsi="Arial" w:cs="Arial"/>
          <w:color w:val="000000" w:themeColor="text1"/>
          <w:sz w:val="22"/>
          <w:szCs w:val="22"/>
        </w:rPr>
        <w:t>сосредоточен</w:t>
      </w:r>
      <w:r w:rsidRPr="00DA76A7">
        <w:rPr>
          <w:rFonts w:ascii="Arial" w:hAnsi="Arial" w:cs="Arial"/>
          <w:color w:val="000000" w:themeColor="text1"/>
          <w:spacing w:val="24"/>
          <w:sz w:val="22"/>
          <w:szCs w:val="22"/>
        </w:rPr>
        <w:t xml:space="preserve"> </w:t>
      </w:r>
      <w:r w:rsidRPr="00DA76A7">
        <w:rPr>
          <w:rFonts w:ascii="Arial" w:hAnsi="Arial" w:cs="Arial"/>
          <w:color w:val="000000" w:themeColor="text1"/>
          <w:sz w:val="22"/>
          <w:szCs w:val="22"/>
        </w:rPr>
        <w:t>лишь</w:t>
      </w:r>
      <w:r w:rsidRPr="00DA76A7">
        <w:rPr>
          <w:rFonts w:ascii="Arial" w:hAnsi="Arial" w:cs="Arial"/>
          <w:color w:val="000000" w:themeColor="text1"/>
          <w:spacing w:val="24"/>
          <w:sz w:val="22"/>
          <w:szCs w:val="22"/>
        </w:rPr>
        <w:t xml:space="preserve"> </w:t>
      </w:r>
      <w:r w:rsidRPr="00DA76A7">
        <w:rPr>
          <w:rFonts w:ascii="Arial" w:hAnsi="Arial" w:cs="Arial"/>
          <w:color w:val="000000" w:themeColor="text1"/>
          <w:sz w:val="22"/>
          <w:szCs w:val="22"/>
        </w:rPr>
        <w:t>вокруг</w:t>
      </w:r>
      <w:r w:rsidRPr="00DA76A7">
        <w:rPr>
          <w:rFonts w:ascii="Arial" w:hAnsi="Arial" w:cs="Arial"/>
          <w:color w:val="000000" w:themeColor="text1"/>
          <w:spacing w:val="23"/>
          <w:sz w:val="22"/>
          <w:szCs w:val="22"/>
        </w:rPr>
        <w:t xml:space="preserve"> </w:t>
      </w:r>
      <w:r w:rsidRPr="00DA76A7">
        <w:rPr>
          <w:rFonts w:ascii="Arial" w:hAnsi="Arial" w:cs="Arial"/>
          <w:color w:val="000000" w:themeColor="text1"/>
          <w:sz w:val="22"/>
          <w:szCs w:val="22"/>
        </w:rPr>
        <w:t xml:space="preserve">понимания права), а совершая преступление, субъект полностью отвергает порядок,  установленный государствам, т.е. право вообще»[2, 142].   </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Основываясь на вышесказанном, можно определит, что гражданская ответственность юридического лица не совпадает с уголовной. Это также отражается в некоторых положений гражданского законодательства РТ, ст. 2 которого устанавливает, что гражданское законодательство определяет правовое положение участников гражданского оборота… и регулирует отношения между лицами, осуществляющими предпринимательскую деятельность. Таким образом, оно призвано защищать гражданские права и обязанности.</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Исходя, из вышеуказанных признаков следует отличать гражданско-правовую ответственность от других видов юридической ответственности (в том числе уголовной), является то, что она устанавливается за нарушение гражданского законодательства и что она установлена для обеспечения условий нормального развития общественных отношений, регулируемых гражданским правом[3, 53].</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Основными целями уголовной ответственности являются восстановление социальной справедливости и предупреждение преступлений. Восстановление социальной справедливости достигается, в первую очередь, путем применения к лицу, совершившему преступление наказания, соответствующего характеру и степени общественной опасности и иным обстоятельствам содеянного.</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Основная цель уголовного наказания заключается в том, чтобы пересекать,  виновному причинить новый вред личности, обществу и государству, а также удержать других от совершения преступного деяния (общая и частная превенция). Основная цель гражданско-правовой ответственности является возмещение имущественных убытков, уплате неустоек (штрафов, пеней). Исходя из судебной арбитражной практики, должны быть соразмерны понесенным убыткам и в любом случае не должны превышать суммы основного долга. Штрафные санкции призваны выполнять функции дополнительной компенсации причиненного пострадавшей стороне вреда и стимула недобросовестной стороны исполнять принятые на себя обязательства[4]. Следовательно, как справедливо отмечают А.Д. Горбуза и Е.А. Сухарев, гражданско-правовым возмещением причиненного вреда достигается восстановление нарушенного права, т.е. гражданско-правовые меры по возмещению вреда относятся к восстановительно-компенсационным [5, 11].</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Гражданско-правовая ответственность представляет собой одной из форм государственного принуждения, связанная с применением норм имущественного характера, направленных на восстановление нарушенных прав участников гражданского оборота[6, 172-173]. При этом основополагающим принципом гражданско-правовой ответственности является принцип диспозитивности, т.е. она применяется только в том случае, если пострадавшая сторона проявит инициативу в вопросе взыскания убытков[7, 26].</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В дополнение к этому интересной представляется мысль А.Н. Трайнина, по меткому замечанию которого, гражданско-правовая ответственность юридического лица «становится возможной лишь потому, что на юридическое лицо переносятся правовые последствия действий, учиненных физическими, уполномоченными лицами: председатель или член правления кооператива подписывает от имени последнего договор, и этот договор считается обязательным для кооператива»[8, 298].</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 Применения норм уголовно-правового характера к юридическим лицам является нецелесообразным устанавливать против них уголовную ответственность, т.к. в случае противоправной деятельности предприятия его можно ликвидировать и в гражданском порядке. Однако следует согласиться с С.Г. Келиной, считающей, что ликвидация юридического лица в гражданско-правовом порядке связана лишь с применением комплекса мер имущественного характера (для обеспечения расчетов с лицами, работавшими по трудовому договору, кредиторами и иными лицами)[9, 53-54]. В случаях совершения деяния уголовного характера на объектах охраняемых уголовным законом, гражданско-правовые меры, по нашему мнению, недопустимы. К примеру, совершенное деяние причинило тяжкий вред здоровью людей или существенный ущерб природной среде, либо повлекло за собой смерть человека и (или) массовую гибель животных, или других водных живых существ. Возможно, ли в данных случаях говорить о гражданской ответственности? Думается, что</w:t>
      </w:r>
      <w:r w:rsidRPr="00DA76A7">
        <w:rPr>
          <w:rFonts w:ascii="Arial" w:hAnsi="Arial" w:cs="Arial"/>
          <w:color w:val="000000" w:themeColor="text1"/>
          <w:spacing w:val="1"/>
          <w:lang w:val="ru-RU"/>
        </w:rPr>
        <w:t xml:space="preserve"> </w:t>
      </w:r>
      <w:r w:rsidRPr="00DA76A7">
        <w:rPr>
          <w:rFonts w:ascii="Arial" w:hAnsi="Arial" w:cs="Arial"/>
          <w:color w:val="000000" w:themeColor="text1"/>
          <w:lang w:val="ru-RU"/>
        </w:rPr>
        <w:t>нет.</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К тому же, в отличие от гражданских правонарушений, где взыскание экологического вреда возможно лишь в той степени, в какой он поддается денежной оценке, в уголовных правоотношениях причиненный экологический вред может оцениваться не только в денежном выражении, но и с точки зрения значительности произошедших или возможных экологических последствий[10, 92]. Так, одно из исследований показало, что 140 тыс. смертей (9 % всех смертей в США) связаны с загрязнением воздуха, допускаемым корпорациями в нарушение закона об охране окружающей среды. Экономический ущерб от преступности корпораций исчисляется от 174 до 231 млрд. долл.[11, 99].</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Аналогичной точки зрения придерживается и Э.Н. Жевлаков. По его мнению, «невозможно возложить на юридическое лицо гражданскую ответственность в случаях, когда последствия деяния нельзя оценить в денежном выражении по существующим методам (постепенное усыхание лесов от выбросов в воздух вредных веществ, загрязнение водоемов, почвы), когда вред причинен здоровью людей (его в деньгах не оценишь), когда истинные размеры экологической катастрофы можно определить лишь по прошествии длительного времени»[12, 11].</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В данный момент применение норм уголовно – правового характера на вышеуказанные обстоятельства не всегда способствует для восстановления социальной справедливости. Ведь вышеуказанные моменты, которые именуется, как форс-мажорные обстоятельства не завися от волы учредителей юридического лица, логично недолжно последовать какого рода правовой ответственности.          </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Так, при взыскании вреда, причиненного здоровью граждан, в случае отсутствия точно установленного причини вреда, возмещения ущерба по решению суда производится за счет экологических фондов, куда перечисляются платежи предприятий за нормативные и сверхнормативные выбросы, сбросы вредных веществ. В уголовном же правоотношении причинная связь более конкретна. В заключение экологической, санитарно-экологической экспертизы указывается на конкретный источник вреда[13, 92]. Таким источником вполне может оказаться и деятельность, определенного юридического лица.</w:t>
      </w:r>
    </w:p>
    <w:p w:rsidR="00181BA7" w:rsidRPr="00DA76A7" w:rsidRDefault="00181BA7" w:rsidP="00181BA7">
      <w:pPr>
        <w:tabs>
          <w:tab w:val="left" w:pos="48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ab/>
        <w:t>В практике зафиксировано много случай, когда юридические лица не соблюдают требования правил безопасности использования различных сооружения и оборудования и не принимают соответствующих мер к устранению нарушений. Такие халатные отношения к требованиям нормам безопасности влекут за собой, разного рода тяжкие последствия. В таких случаях только возможно  применение норм уголовно-правового характера по отношению юридического лица. Применение норм частноправового, и административного характера, является не эффективными, поскольку происходит несовпадение в степени общественной опасности (вредности), которая носит различный характер – уголовно-правовой, административно-правовой, гражданско-правовой,</w:t>
      </w:r>
      <w:r w:rsidRPr="00DA76A7">
        <w:rPr>
          <w:rFonts w:ascii="Arial" w:hAnsi="Arial" w:cs="Arial"/>
          <w:color w:val="000000" w:themeColor="text1"/>
          <w:spacing w:val="-3"/>
          <w:sz w:val="22"/>
          <w:szCs w:val="22"/>
        </w:rPr>
        <w:t xml:space="preserve"> </w:t>
      </w:r>
      <w:r w:rsidRPr="00DA76A7">
        <w:rPr>
          <w:rFonts w:ascii="Arial" w:hAnsi="Arial" w:cs="Arial"/>
          <w:color w:val="000000" w:themeColor="text1"/>
          <w:sz w:val="22"/>
          <w:szCs w:val="22"/>
        </w:rPr>
        <w:t>дисциплинарный.</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Степень общественной опасности можно определить как сравнительную величину, которая складывается, в первую очередь, из общественной опасности деяния и общественной опасности последствий этого деяния. Таким образом, при ее установлении необходимо определить форму вины, мотивы, способы, обстановку совершения деяния, тяжесть наступивших последствий и т.д. Если сравнить проступки и преступления, то обнаружится несовпадение перечисленных обстоятельств.</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Например, ч. 2 ст. 8.6 КоАП РФ предусматривает административную ответственность за порчу земель, т.е. уничтожение плодородного слоя почвы, а равно порчу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В свою очередь, ч. 1 ст. 254 УК РФ предусматривает уголовную ответственность за отравление, загрязнение и иную порчу земли вредными продуктами хозяйственной и иной деятельности вследствие нарушения правил обращения с удобрениями, стимуляторами роста растений, ядохимикатами и иными опасными химическими или биологическими веществами при их хранении, использовании и транспортировке, повлекшие причинение вреда здоровью человека или окружающей среде.</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Таким образом, вопрос о применение норм экономического характера является, альтернативным способом, что заслуживает самого пристального внимания. Экономические нормы санкционного характера будет способствовать для пресечение правонарушения со страны юридических лиц.   </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Исходя из выше сказанного, можно сделать, вывод, что уголовно-правовые меры являются важными, но не единственными методами борьбы с преступностью. Представляется, что борьба с неправомерными, преступными, деяниями юридических лиц будет эффективной только в случае комбинации гражданских, административных и уголовно-правовых методов. При этом применение к лицу, совершившему деяние, запрещенное уголовным законодательством, мер административного или гражданско-правового характера становится нецелесообразным (бессмысленным), поскольку цели наказания достигнуты быть не</w:t>
      </w:r>
      <w:r w:rsidRPr="00DA76A7">
        <w:rPr>
          <w:rFonts w:ascii="Arial" w:hAnsi="Arial" w:cs="Arial"/>
          <w:color w:val="000000" w:themeColor="text1"/>
          <w:spacing w:val="-7"/>
          <w:lang w:val="ru-RU"/>
        </w:rPr>
        <w:t xml:space="preserve"> </w:t>
      </w:r>
      <w:r w:rsidRPr="00DA76A7">
        <w:rPr>
          <w:rFonts w:ascii="Arial" w:hAnsi="Arial" w:cs="Arial"/>
          <w:color w:val="000000" w:themeColor="text1"/>
          <w:lang w:val="ru-RU"/>
        </w:rPr>
        <w:t>могут.</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Привлечение к уголовной ответственности юридических лиц должно осуществляться только в тех случаях, когда иные меры гражданско-правового, административного характера, не способны восстановить социальную справедливость и пресекать совершение новых деяний, причиняющих или способных причинить ущерб общественным отношениям, охраняемым уголовным законодательством.</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widowControl w:val="0"/>
        <w:numPr>
          <w:ilvl w:val="0"/>
          <w:numId w:val="50"/>
        </w:numPr>
        <w:tabs>
          <w:tab w:val="left" w:pos="449"/>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Борьба с деятельностью юридических лиц как субъектов организованной преступной деятельности (постановка проблемы) // Сайт Владивостокского центра исследования организованной преступности при Юридическом институте ДВГУ</w:t>
      </w:r>
      <w:hyperlink r:id="rId112">
        <w:r w:rsidRPr="00DA76A7">
          <w:rPr>
            <w:rFonts w:ascii="Arial" w:hAnsi="Arial" w:cs="Arial"/>
            <w:color w:val="000000" w:themeColor="text1"/>
          </w:rPr>
          <w:t xml:space="preserve"> www.crime.vl.ru.</w:t>
        </w:r>
      </w:hyperlink>
    </w:p>
    <w:p w:rsidR="00181BA7" w:rsidRPr="00DA76A7" w:rsidRDefault="00181BA7" w:rsidP="00D45D6B">
      <w:pPr>
        <w:pStyle w:val="a6"/>
        <w:widowControl w:val="0"/>
        <w:numPr>
          <w:ilvl w:val="0"/>
          <w:numId w:val="50"/>
        </w:numPr>
        <w:tabs>
          <w:tab w:val="left" w:pos="444"/>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Горбуза А.Д., Сухарев Е.А. Структура преступности // Вопросы совершенствования уголовно-правовых норм на современном этапе. Свердловск. - 1986. -№7. - С. 11-15.</w:t>
      </w:r>
    </w:p>
    <w:p w:rsidR="00181BA7" w:rsidRPr="00DA76A7" w:rsidRDefault="00181BA7" w:rsidP="00D45D6B">
      <w:pPr>
        <w:pStyle w:val="a6"/>
        <w:widowControl w:val="0"/>
        <w:numPr>
          <w:ilvl w:val="0"/>
          <w:numId w:val="50"/>
        </w:numPr>
        <w:tabs>
          <w:tab w:val="left" w:pos="456"/>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Гражданское право. В 2 т. Т. 1: Учебник / Под ред. Е.А. Суханова. - М.: БЕК,</w:t>
      </w:r>
      <w:r w:rsidRPr="00DA76A7">
        <w:rPr>
          <w:rFonts w:ascii="Arial" w:hAnsi="Arial" w:cs="Arial"/>
          <w:color w:val="000000" w:themeColor="text1"/>
          <w:spacing w:val="2"/>
        </w:rPr>
        <w:t xml:space="preserve"> </w:t>
      </w:r>
      <w:r w:rsidRPr="00DA76A7">
        <w:rPr>
          <w:rFonts w:ascii="Arial" w:hAnsi="Arial" w:cs="Arial"/>
          <w:color w:val="000000" w:themeColor="text1"/>
        </w:rPr>
        <w:t>1993. 462с.</w:t>
      </w:r>
    </w:p>
    <w:p w:rsidR="00181BA7" w:rsidRPr="00DA76A7" w:rsidRDefault="00181BA7" w:rsidP="00D45D6B">
      <w:pPr>
        <w:pStyle w:val="a6"/>
        <w:widowControl w:val="0"/>
        <w:numPr>
          <w:ilvl w:val="0"/>
          <w:numId w:val="50"/>
        </w:numPr>
        <w:tabs>
          <w:tab w:val="left" w:pos="459"/>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Дементьева Е.Е. Экономическая преступность в капиталистических странах // Уголовно-правовая охрана экономической системы СССР. - М.,</w:t>
      </w:r>
      <w:r w:rsidRPr="00DA76A7">
        <w:rPr>
          <w:rFonts w:ascii="Arial" w:hAnsi="Arial" w:cs="Arial"/>
          <w:color w:val="000000" w:themeColor="text1"/>
          <w:spacing w:val="-5"/>
        </w:rPr>
        <w:t xml:space="preserve"> - </w:t>
      </w:r>
      <w:r w:rsidRPr="00DA76A7">
        <w:rPr>
          <w:rFonts w:ascii="Arial" w:hAnsi="Arial" w:cs="Arial"/>
          <w:color w:val="000000" w:themeColor="text1"/>
        </w:rPr>
        <w:t>1987. - 398с.</w:t>
      </w:r>
    </w:p>
    <w:p w:rsidR="00181BA7" w:rsidRPr="00DA76A7" w:rsidRDefault="00181BA7" w:rsidP="00D45D6B">
      <w:pPr>
        <w:pStyle w:val="a6"/>
        <w:widowControl w:val="0"/>
        <w:numPr>
          <w:ilvl w:val="0"/>
          <w:numId w:val="50"/>
        </w:numPr>
        <w:tabs>
          <w:tab w:val="left" w:pos="449"/>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Жевлаков Э. К вопросу об ответственности юридических лиц за совершение экологических преступлений // Уголовное право. - 2002. - №</w:t>
      </w:r>
      <w:r w:rsidRPr="00DA76A7">
        <w:rPr>
          <w:rFonts w:ascii="Arial" w:hAnsi="Arial" w:cs="Arial"/>
          <w:color w:val="000000" w:themeColor="text1"/>
          <w:spacing w:val="-1"/>
        </w:rPr>
        <w:t xml:space="preserve"> </w:t>
      </w:r>
      <w:r w:rsidRPr="00DA76A7">
        <w:rPr>
          <w:rFonts w:ascii="Arial" w:hAnsi="Arial" w:cs="Arial"/>
          <w:color w:val="000000" w:themeColor="text1"/>
        </w:rPr>
        <w:t>1. - С. 11-14</w:t>
      </w:r>
    </w:p>
    <w:p w:rsidR="00181BA7" w:rsidRPr="00DA76A7" w:rsidRDefault="00181BA7" w:rsidP="00D45D6B">
      <w:pPr>
        <w:pStyle w:val="a6"/>
        <w:widowControl w:val="0"/>
        <w:numPr>
          <w:ilvl w:val="0"/>
          <w:numId w:val="50"/>
        </w:numPr>
        <w:tabs>
          <w:tab w:val="left" w:pos="444"/>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Келина С.Г. Ответственность юридических лиц в проекте УК РФ // Уголовное право: новые идеи / Отв. ред. С.Г. Келина, А.В. Наумов.- М.: ИГПА,</w:t>
      </w:r>
      <w:r w:rsidRPr="00DA76A7">
        <w:rPr>
          <w:rFonts w:ascii="Arial" w:hAnsi="Arial" w:cs="Arial"/>
          <w:color w:val="000000" w:themeColor="text1"/>
          <w:spacing w:val="-2"/>
        </w:rPr>
        <w:t xml:space="preserve"> - </w:t>
      </w:r>
      <w:r w:rsidRPr="00DA76A7">
        <w:rPr>
          <w:rFonts w:ascii="Arial" w:hAnsi="Arial" w:cs="Arial"/>
          <w:color w:val="000000" w:themeColor="text1"/>
        </w:rPr>
        <w:t>1994.- 365с.</w:t>
      </w:r>
    </w:p>
    <w:p w:rsidR="00181BA7" w:rsidRPr="00DA76A7" w:rsidRDefault="00181BA7" w:rsidP="00D45D6B">
      <w:pPr>
        <w:pStyle w:val="a6"/>
        <w:widowControl w:val="0"/>
        <w:numPr>
          <w:ilvl w:val="0"/>
          <w:numId w:val="50"/>
        </w:numPr>
        <w:tabs>
          <w:tab w:val="left" w:pos="581"/>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Кузнецова Н.Ф. Кодификация норм о хозяйственных преступлениях // Вестник Московского университета. Серия 11. Право. - 1993. - №</w:t>
      </w:r>
      <w:r w:rsidRPr="00DA76A7">
        <w:rPr>
          <w:rFonts w:ascii="Arial" w:hAnsi="Arial" w:cs="Arial"/>
          <w:color w:val="000000" w:themeColor="text1"/>
          <w:spacing w:val="1"/>
        </w:rPr>
        <w:t xml:space="preserve"> </w:t>
      </w:r>
      <w:r w:rsidRPr="00DA76A7">
        <w:rPr>
          <w:rFonts w:ascii="Arial" w:hAnsi="Arial" w:cs="Arial"/>
          <w:color w:val="000000" w:themeColor="text1"/>
        </w:rPr>
        <w:t>4. - С. 19-20</w:t>
      </w:r>
    </w:p>
    <w:p w:rsidR="00181BA7" w:rsidRPr="00DA76A7" w:rsidRDefault="00181BA7" w:rsidP="00D45D6B">
      <w:pPr>
        <w:pStyle w:val="a6"/>
        <w:widowControl w:val="0"/>
        <w:numPr>
          <w:ilvl w:val="0"/>
          <w:numId w:val="50"/>
        </w:numPr>
        <w:tabs>
          <w:tab w:val="left" w:pos="574"/>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Кульков М. Методы противодействия производству и распространению контрафактной продукции // Корпоративный юрист. - 2006. - №</w:t>
      </w:r>
      <w:r w:rsidRPr="00DA76A7">
        <w:rPr>
          <w:rFonts w:ascii="Arial" w:hAnsi="Arial" w:cs="Arial"/>
          <w:color w:val="000000" w:themeColor="text1"/>
          <w:spacing w:val="-2"/>
        </w:rPr>
        <w:t xml:space="preserve"> </w:t>
      </w:r>
      <w:r w:rsidRPr="00DA76A7">
        <w:rPr>
          <w:rFonts w:ascii="Arial" w:hAnsi="Arial" w:cs="Arial"/>
          <w:color w:val="000000" w:themeColor="text1"/>
        </w:rPr>
        <w:t>8. - С. 36-39</w:t>
      </w:r>
    </w:p>
    <w:p w:rsidR="00181BA7" w:rsidRPr="00DA76A7" w:rsidRDefault="00181BA7" w:rsidP="00D45D6B">
      <w:pPr>
        <w:pStyle w:val="a6"/>
        <w:widowControl w:val="0"/>
        <w:numPr>
          <w:ilvl w:val="0"/>
          <w:numId w:val="50"/>
        </w:numPr>
        <w:tabs>
          <w:tab w:val="left" w:pos="533"/>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Петров В.В. Экологические преступления: понятие и составы // Государство и право. - 1993. - №</w:t>
      </w:r>
      <w:r w:rsidRPr="00DA76A7">
        <w:rPr>
          <w:rFonts w:ascii="Arial" w:hAnsi="Arial" w:cs="Arial"/>
          <w:color w:val="000000" w:themeColor="text1"/>
          <w:spacing w:val="-4"/>
        </w:rPr>
        <w:t xml:space="preserve"> </w:t>
      </w:r>
      <w:r w:rsidRPr="00DA76A7">
        <w:rPr>
          <w:rFonts w:ascii="Arial" w:hAnsi="Arial" w:cs="Arial"/>
          <w:color w:val="000000" w:themeColor="text1"/>
        </w:rPr>
        <w:t>8. – С. 92-98</w:t>
      </w:r>
    </w:p>
    <w:p w:rsidR="00181BA7" w:rsidRPr="00DA76A7" w:rsidRDefault="00181BA7" w:rsidP="00D45D6B">
      <w:pPr>
        <w:pStyle w:val="a6"/>
        <w:widowControl w:val="0"/>
        <w:numPr>
          <w:ilvl w:val="0"/>
          <w:numId w:val="50"/>
        </w:numPr>
        <w:tabs>
          <w:tab w:val="left" w:pos="562"/>
          <w:tab w:val="left" w:pos="9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Петров И.Н. Характерные черты гражданско-правовой ответственности // Ученые записки Всесоюзного научноисследовательского института советского законодательства. -</w:t>
      </w:r>
      <w:r w:rsidRPr="00DA76A7">
        <w:rPr>
          <w:rFonts w:ascii="Arial" w:hAnsi="Arial" w:cs="Arial"/>
          <w:color w:val="000000" w:themeColor="text1"/>
          <w:spacing w:val="5"/>
        </w:rPr>
        <w:t xml:space="preserve"> </w:t>
      </w:r>
      <w:r w:rsidRPr="00DA76A7">
        <w:rPr>
          <w:rFonts w:ascii="Arial" w:hAnsi="Arial" w:cs="Arial"/>
          <w:color w:val="000000" w:themeColor="text1"/>
        </w:rPr>
        <w:t>1970. - Вып. - № 20.</w:t>
      </w:r>
      <w:r w:rsidRPr="00DA76A7">
        <w:rPr>
          <w:rFonts w:ascii="Arial" w:hAnsi="Arial" w:cs="Arial"/>
          <w:color w:val="000000" w:themeColor="text1"/>
          <w:spacing w:val="5"/>
        </w:rPr>
        <w:t xml:space="preserve"> </w:t>
      </w:r>
      <w:r w:rsidRPr="00DA76A7">
        <w:rPr>
          <w:rFonts w:ascii="Arial" w:hAnsi="Arial" w:cs="Arial"/>
          <w:color w:val="000000" w:themeColor="text1"/>
        </w:rPr>
        <w:t>- С. 53-59</w:t>
      </w:r>
    </w:p>
    <w:p w:rsidR="00181BA7" w:rsidRPr="00DA76A7" w:rsidRDefault="00181BA7" w:rsidP="00D45D6B">
      <w:pPr>
        <w:pStyle w:val="a6"/>
        <w:widowControl w:val="0"/>
        <w:numPr>
          <w:ilvl w:val="0"/>
          <w:numId w:val="50"/>
        </w:numPr>
        <w:tabs>
          <w:tab w:val="left" w:pos="533"/>
          <w:tab w:val="left" w:pos="9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Пионтковский А.А. Учение Гегеля о праве и государстве и его уголовно-правовая теория. - М.: Юрид. лит.,</w:t>
      </w:r>
      <w:r w:rsidRPr="00DA76A7">
        <w:rPr>
          <w:rFonts w:ascii="Arial" w:hAnsi="Arial" w:cs="Arial"/>
          <w:color w:val="000000" w:themeColor="text1"/>
          <w:spacing w:val="-7"/>
        </w:rPr>
        <w:t xml:space="preserve"> </w:t>
      </w:r>
      <w:r w:rsidRPr="00DA76A7">
        <w:rPr>
          <w:rFonts w:ascii="Arial" w:hAnsi="Arial" w:cs="Arial"/>
          <w:color w:val="000000" w:themeColor="text1"/>
        </w:rPr>
        <w:t>1963. - 265с.</w:t>
      </w:r>
    </w:p>
    <w:p w:rsidR="00181BA7" w:rsidRPr="00DA76A7" w:rsidRDefault="00181BA7" w:rsidP="00D45D6B">
      <w:pPr>
        <w:pStyle w:val="a6"/>
        <w:widowControl w:val="0"/>
        <w:numPr>
          <w:ilvl w:val="0"/>
          <w:numId w:val="50"/>
        </w:numPr>
        <w:tabs>
          <w:tab w:val="left" w:pos="550"/>
          <w:tab w:val="left" w:pos="9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Российское уголовное право: Курс лекций. В 8 т. Преступление / Под ред. А.И. Коробеева. - Владивосток: Издво. Дальневост. ун-та,</w:t>
      </w:r>
      <w:r w:rsidRPr="00DA76A7">
        <w:rPr>
          <w:rFonts w:ascii="Arial" w:hAnsi="Arial" w:cs="Arial"/>
          <w:color w:val="000000" w:themeColor="text1"/>
          <w:spacing w:val="-3"/>
        </w:rPr>
        <w:t xml:space="preserve"> </w:t>
      </w:r>
      <w:r w:rsidRPr="00DA76A7">
        <w:rPr>
          <w:rFonts w:ascii="Arial" w:hAnsi="Arial" w:cs="Arial"/>
          <w:color w:val="000000" w:themeColor="text1"/>
        </w:rPr>
        <w:t xml:space="preserve">1999.  Т. 1. - 321с. </w:t>
      </w:r>
    </w:p>
    <w:p w:rsidR="00181BA7" w:rsidRPr="00DA76A7" w:rsidRDefault="00181BA7" w:rsidP="00D45D6B">
      <w:pPr>
        <w:pStyle w:val="a6"/>
        <w:widowControl w:val="0"/>
        <w:numPr>
          <w:ilvl w:val="0"/>
          <w:numId w:val="50"/>
        </w:numPr>
        <w:tabs>
          <w:tab w:val="left" w:pos="538"/>
          <w:tab w:val="left" w:pos="9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Трайнин А.Н. Избранные произведения. Защита мира и уголовный закон.- М.: Наука,</w:t>
      </w:r>
      <w:r w:rsidRPr="00DA76A7">
        <w:rPr>
          <w:rFonts w:ascii="Arial" w:hAnsi="Arial" w:cs="Arial"/>
          <w:color w:val="000000" w:themeColor="text1"/>
          <w:spacing w:val="-1"/>
        </w:rPr>
        <w:t xml:space="preserve"> </w:t>
      </w:r>
      <w:r w:rsidRPr="00DA76A7">
        <w:rPr>
          <w:rFonts w:ascii="Arial" w:hAnsi="Arial" w:cs="Arial"/>
          <w:color w:val="000000" w:themeColor="text1"/>
        </w:rPr>
        <w:t>1969. - 187с.</w:t>
      </w:r>
    </w:p>
    <w:p w:rsidR="00181BA7" w:rsidRPr="00DA76A7" w:rsidRDefault="00181BA7" w:rsidP="00181BA7">
      <w:pPr>
        <w:suppressLineNumbers/>
        <w:tabs>
          <w:tab w:val="left" w:pos="851"/>
        </w:tabs>
        <w:suppressAutoHyphens/>
        <w:ind w:firstLine="567"/>
        <w:contextualSpacing/>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ПРАВОВОЕ РЕГУЛИРОВАНИЕ ТОВАРНЫХ ЗНАКОВ В РЕСПУБЛИКЕ ТАДЖИКИСТАН</w:t>
      </w:r>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Болдырева Кристина Николаевна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3-го курса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501-07-43-19,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113" w:history="1">
        <w:r w:rsidRPr="00DA76A7">
          <w:rPr>
            <w:rStyle w:val="af0"/>
            <w:rFonts w:ascii="Arial" w:hAnsi="Arial" w:cs="Arial"/>
            <w:color w:val="000000" w:themeColor="text1"/>
            <w:sz w:val="22"/>
            <w:szCs w:val="22"/>
            <w:u w:val="none"/>
            <w:lang w:val="en-US"/>
          </w:rPr>
          <w:t>kristina</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boldireva</w:t>
        </w:r>
        <w:r w:rsidRPr="00DA76A7">
          <w:rPr>
            <w:rStyle w:val="af0"/>
            <w:rFonts w:ascii="Arial" w:hAnsi="Arial" w:cs="Arial"/>
            <w:color w:val="000000" w:themeColor="text1"/>
            <w:sz w:val="22"/>
            <w:szCs w:val="22"/>
            <w:u w:val="none"/>
          </w:rPr>
          <w:t>97@</w:t>
        </w:r>
        <w:r w:rsidRPr="00DA76A7">
          <w:rPr>
            <w:rStyle w:val="af0"/>
            <w:rFonts w:ascii="Arial" w:hAnsi="Arial" w:cs="Arial"/>
            <w:color w:val="000000" w:themeColor="text1"/>
            <w:sz w:val="22"/>
            <w:szCs w:val="22"/>
            <w:u w:val="none"/>
            <w:lang w:val="en-US"/>
          </w:rPr>
          <w:t>gmail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com</w:t>
        </w:r>
      </w:hyperlink>
    </w:p>
    <w:p w:rsidR="00181BA7" w:rsidRDefault="00181BA7"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Pr="00DA76A7" w:rsidRDefault="001713F3"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REGULATION OF TRADEMARKS IN THE REPUBLIC OF TAJIKISTAN</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Boldyreva Kristina Nikolaevna</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student of the 3rd year full-time department of the law faculty</w:t>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 xml:space="preserve">Russian- Tajik (Slavonic) university </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734025, Republic of Tajikistan, Dushanbe, M. Tursunzade str., 30</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 xml:space="preserve"> tel.: 501-07-43-19, e-mail: </w:t>
      </w:r>
      <w:hyperlink r:id="rId114" w:history="1">
        <w:r w:rsidRPr="00DA76A7">
          <w:rPr>
            <w:rStyle w:val="af0"/>
            <w:rFonts w:ascii="Arial" w:hAnsi="Arial" w:cs="Arial"/>
            <w:color w:val="000000" w:themeColor="text1"/>
            <w:sz w:val="22"/>
            <w:szCs w:val="22"/>
            <w:u w:val="none"/>
            <w:lang w:val="en-US"/>
          </w:rPr>
          <w:t>kristina.boldireva97@gmail.com</w:t>
        </w:r>
      </w:hyperlink>
    </w:p>
    <w:p w:rsidR="00181BA7" w:rsidRPr="00DA76A7" w:rsidRDefault="00181BA7" w:rsidP="00181BA7">
      <w:pPr>
        <w:ind w:firstLine="567"/>
        <w:jc w:val="right"/>
        <w:rPr>
          <w:rFonts w:ascii="Arial" w:hAnsi="Arial" w:cs="Arial"/>
          <w:b/>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преподаватель Сидиков Д. А.</w:t>
      </w:r>
    </w:p>
    <w:p w:rsidR="00181BA7" w:rsidRPr="00DA76A7" w:rsidRDefault="00181BA7" w:rsidP="00181BA7">
      <w:pPr>
        <w:ind w:firstLine="567"/>
        <w:jc w:val="both"/>
        <w:rPr>
          <w:rFonts w:ascii="Arial" w:hAnsi="Arial" w:cs="Arial"/>
          <w:b/>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рассматривается правовое регулирование товарного знака в РТ и различительные черты товарного знака от других средств индивидуализации, такие как: фирменное наименование, знак обслуживание и наименование место происхождение товара.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examines the legal regulation of the trademark in Tajikistan and the distinctive features of the trademark from other means of individualization, such as: company name, service mark and name place of origin of the goods.</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правовое регулирование, товарный знак, фирменное наименование, гражданский кодекс.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legal regulation,</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 xml:space="preserve">trademarks, business name, civil code. </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Чтобы товар был узнаваем потребителями, выделяющимся и отличающимся среди огромного множества товаров других производителей, для этого нужно лишь придать этому товару  черты индивидуальности [6,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77].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Поэтому для характеристики производимых товаров, поставляемых производителями на внутренний или международный рынок могут использоваться такие обозначения как товарный знак, знак обслуживания фирменное наименование, наименование места происхождения товара.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Товарный знак и знак обслуживания - обозначения, служащие для индивидуализации товаров, выполняемых работ или оказываемых услуг физических или юридических лиц.</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Данное понятие товарного знака дано в Законе Республике Таджикистан «О товарных знаках и знаках обслуживания». В частности, Закон Республики Таджикистан «О товарных знаках и знаках обслуживания» не содержит ни одной нормы, которая распространяла бы свое действие только на товарные знаки или только на знаки обслуживания. Так как правила о товарных знаках в Законе применяются и к знакам обслуживания, термин «товарный знак» далее будет толковаться расширительно, с включением в его объем также знаков обслуживания [4].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Знак обслуживания - это тот же товарный знак, только он используется для индивидуализации услуг, а не товаров. Разница  между товарным знаком состоит лишь в объекте маркировки: если товарные знаки индивидуализируют и рекламируют товары определенных производителей, то знаки обслуживания предназначены для различения однородных услуг, оказываемых разными лицами. Следует, однако, заметить, что на практике указанное различие также нередко стирается, поскольку один и тот же знак может быть зарегистрирован на имя конкретного владельца и по классу товаров, и по классу услуг.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Фирменное наименование (фирма) - наименование, под которым коммерческая организация выступает в гражданском обороте и которое позволяет индивидуализировать ее в ряду других участников гражданского оборота. </w:t>
      </w:r>
      <w:r w:rsidRPr="00DA76A7">
        <w:rPr>
          <w:rFonts w:ascii="Arial" w:hAnsi="Arial" w:cs="Arial"/>
          <w:color w:val="000000" w:themeColor="text1"/>
          <w:sz w:val="22"/>
          <w:szCs w:val="22"/>
        </w:rPr>
        <w:tab/>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Различия между фирменными наименованиями и товарными знаками сводятся к следующему. В отличие от фирменного наименования товарный знак может существовать не только в словесной, но и в иной форме, в частности изобразительной, объемной, комбинированной и т.д. Кроме того, он подлежит государственной регистрации, носит срочный характер и может быть передан по договору иным пользователям [6, c. 101].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Фирменное наименование должно содержать соответствующее действительности указание на организационно-правовую форму предприятия (государственное предприятие, общество с ограниченной ответственностью, открытое акционерное общество и т.д.), профиль деятельности (производственное, научное, коммерческое и т.д.), личность владельца и т.п.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Обозначение является фирменным наименованием только при условии его включения в Единый государственный реестр юридических лиц - вне его фирменного наименования как гражданско-правового объекта не существует.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Наименование места происхождения товара — это название страны, населенного пункта, местности или другого географического объекта, используемое для обозначения товара, особые свойства которого исключительно или главным образом определяются характерными для данного географического объекта природными условиями или людскими факторами либо природными условиями и людскими факторами одновременно. Прежде всего, обозначение товара в данном случае должно содержать прямое или косвенное указание на то, что товар происходит из конкретной страны, области или местности. В этой связи обозначение товара может включать полное или сокращенное официальное название географического объекта — страны, населенного пункта, местности. Конкретный способ указания на место происхождения товара может быть любым, важно лишь, чтобы обозначение ассоциировалось у потребителей с определенным местом происхождения товара. Если подобных ассоциаций у потребителей не возникает, обозначение, даже включающее название географического объекта, в качестве наименования места происхождения товара заявляться не может.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отличие от товарного знака наименование места происхождения товара выполняет помимо различительной еще и функцию гарантирования определенных свойств товара, вследствие чего обеспечивается его дополнительная привлекательность для потребителей.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Товарный знак представляет собой рисунок (символ, знак), определенное сочетание букв, чисел, которые указывают на принадлежность товара определенной фирме. Необходимо отметить, что товарный знак, являясь средством индивидуализации товара, не предназначен для индивидуализации ни производителя товара, ни обладателя права на товарный знак, которые зачастую не известны потребителям либо наименования которых не имеют для потребителей определяющего значения. «Доверие», как правило, оказывается самому товару, его репутации. Предпочтение обычно отдают тем товарам, качество которых не вызывает особых сомнений, с товарным знаком которых потребитель знаком и уже покупал. [7,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600]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Одним из условий правовой охраны товарного знака является его новизна. Впрочем данное условие вовсе не значит, что товарным знаком может стать лишь оригинальное и ранее неизвестное условное обозначение. В качестве товарного знака могут быть зарегистрированы известное слово, изображение или иной символ, которые, еще никем не используются для обозначения именно тех видов (классов) товаров, которые собирается производить (продавать) заявитель. Но условие новизны не является абсолютным принципом, а  носит относительный характер. Это означает, что регистрация того или иного обозначения в качестве товарного знака в других странах не препятствует признанию данного или сходного обозначения товарным знаком в РТ, если только иное не вытекает из международных соглашений, в которых участвует РТ. Помимо этого, новизна товарных знаков определяется не относительно уже использующихся условных обозначений, а только в пределах тех обозначений, которые применяются в отношении однородных товаров (работ, услуг).</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Признак новизны тесно связан с понятием приоритета. Новизна товарного знака определяется на дату приоритета. Приоритет товарного знака устанавливается по дате подачи заявки в Патентное ведомство.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Приоритет товарного знака может устанавливаться по дате подачи первой заявки в государстве-участнике Парижской конвенции (конвенционный приоритет), если подача заявки в Патентное ведомство осуществлена в течение шести месяцев с указанной даты, если подача заявки в Патентное ведомство осуществлена в течение шести месяцев с указанной даты. Приоритет товарного знака, помещенного на экспонатах официальных или официально признанных международных выставок, организованных на территории одного из государств - участников Парижской конвенции, может устанавливаться по дате начала открытого показа экспоната на выставке (выставочный приоритет), если подача заявки осуществлена в течение шести месяцев с указанной даты.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Приоритет товарного знака может устанавливаться по дате  международной регистрации товарного знака в соответствии с международными правовыми актами, признанными Таджикистаном.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 допускается регистрация в качестве товарных знаков обозначений, являющихся ложными, тождественными или способными ввести в заблуждение потребителя относительно товара или его изготовителя. Тождественным признается обозначение, которое совпадает с уже известным товарным знаком и при этом относится к одному и тому же классу товаров независимо от различия в их перечне.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Наконец, обозначение может считаться товарным знаком лишь тогда, когда оно в установленном законом порядке зарегистрировано. Заявка на регистрацию товарного знака подается в Патентное ведомство юридическим лицом или физическим лицом. Заявка подается на один товарный знак.</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Выдача свидетельства на товарный знак производится Патентным ведомством в течение месяца с даты регистрации товарного знака в Реестре.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Регистрация товарного знака действует в течение десяти лет, считая с даты подачи заявки в Патентное ведомство. Срок действия регистрации товарного знака может быть продлен по заявлению правообладателя, поданному в течение последнего года ее действия, каждый раз на десять лет. Поэтому фактический пользователь того или иного незарегистрированного обозначения, если только оно не является общеизвестным, не приобретает на него никаких особых прав и не вправе претендовать на исключительное право на его использование независимо от времени введения его в хозяйственный оборот.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Роль товарных знаков в современном мире очень возросла. Они способствуют реализации потребительского выбора, продвижению товаров и услуг и, как следствие, развитию честной конкуренцию и устойчивость на рынке. Коммерческая ценность таких средств индивидуализации возрастает.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Товарный знак незаменим, как средство рекламы и продвижения товаров и услуг на рынке. К товарному знаку потребитель обращается в первую очередь как к гарантии качества. Обладатель права на товарный знак гарантирует, что все товары и услуги, предлагаемые под данным товарным знаком, соответствуют определенным стандартам качества. Товарный знак используется в рекламе, печатных изданиях, официальных бумагах, на вывесках, ярмарках, выставках.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Таким образом, можно сделать вывод, что товарный знак – допускаемое законом обозначение, наиболее распространенное и широко используемое средство индивидуализации товаров и услуг, позволяющее отличать товары разных изготовителей, который регулируется в  Республике Таджикистан Законом РТ «О товарных знаках и знаках обслуживания», а  также в соответствии со статьёй 7 Гражданского Кодекса Республики Таджикистан и статьёй 10 Конституции Республики Таджикистан,  международные договора признанные РТ, в частности Парижской Конвенцией по охране промышленной собственности от 20 марта 1883 года (с последующими изменениями и дополнениями); Мадридским соглашением о международной регистрации знаков 1891(с последующими изменениями и дополнениями); Ниццким соглашением о международной классификации товаров и услуг для регистрации знаков от 15 июня 1957 года (с последующими изменениями и дополнениями).</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Республики Таджикистан от 6 ноября 1994 г., [Электронный ресурс]. – Режим доступа: </w:t>
      </w:r>
      <w:hyperlink r:id="rId115" w:history="1">
        <w:r w:rsidRPr="00DA76A7">
          <w:rPr>
            <w:rStyle w:val="af0"/>
            <w:rFonts w:ascii="Arial" w:hAnsi="Arial" w:cs="Arial"/>
            <w:color w:val="000000" w:themeColor="text1"/>
            <w:u w:val="none"/>
          </w:rPr>
          <w:t>http://www.president.tj/ru/taxonomy/term/5/112</w:t>
        </w:r>
      </w:hyperlink>
      <w:r w:rsidRPr="00DA76A7">
        <w:rPr>
          <w:rFonts w:ascii="Arial" w:hAnsi="Arial" w:cs="Arial"/>
          <w:color w:val="000000" w:themeColor="text1"/>
        </w:rPr>
        <w:t xml:space="preserve"> (дата обращения: 13.02.2018)</w:t>
      </w:r>
    </w:p>
    <w:p w:rsidR="00181BA7" w:rsidRPr="00DA76A7" w:rsidRDefault="00181BA7" w:rsidP="00D45D6B">
      <w:pPr>
        <w:pStyle w:val="a6"/>
        <w:numPr>
          <w:ilvl w:val="0"/>
          <w:numId w:val="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Закон Республики Таджикистан «О товарных знаках и знаках обслуживания» от 5 марта 2007 года // Ахбори Маджлиси Оли Республики Таджикистан. – 2007. – № 3. – Ст. 167; 2012. – № 7. – Ст. 708.</w:t>
      </w:r>
    </w:p>
    <w:p w:rsidR="00181BA7" w:rsidRPr="00DA76A7" w:rsidRDefault="00181BA7" w:rsidP="00D45D6B">
      <w:pPr>
        <w:pStyle w:val="a6"/>
        <w:numPr>
          <w:ilvl w:val="0"/>
          <w:numId w:val="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Гражданский кодекс Республики Таджикистан. Ч. 1 от 30 июня 1999года // Ахбори Маджлиси Оли Республики Таджикистан, 1999 г., №6, ст. 153; ст. 154; 2001 г., №7, ст. 508; 2002 г., №4, ч. 1, ст. 170; 2005 г., №3, ст. 125; 2006 г., №4, ст. 193; 2007 г., №5, ст. 356; 2010 г., №3, ст. 156; №12, ч. 1, ст. 802; 2012 г., №7, ст. 700; №12, ч. 1, ст. 1021; 2013 г., №7, ст. 504; 2015 г., №3, ст. 200.</w:t>
      </w:r>
    </w:p>
    <w:p w:rsidR="00181BA7" w:rsidRPr="00DA76A7" w:rsidRDefault="00181BA7" w:rsidP="00D45D6B">
      <w:pPr>
        <w:pStyle w:val="a6"/>
        <w:numPr>
          <w:ilvl w:val="0"/>
          <w:numId w:val="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Гражданский кодекс Российской Федерации ч. 4 от 18.12.2006 № 230-ФЗ.</w:t>
      </w:r>
    </w:p>
    <w:p w:rsidR="00181BA7" w:rsidRPr="00DA76A7" w:rsidRDefault="00181BA7" w:rsidP="00D45D6B">
      <w:pPr>
        <w:pStyle w:val="a6"/>
        <w:numPr>
          <w:ilvl w:val="0"/>
          <w:numId w:val="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Закон Республики Таджикистан «О географических указаниях» от 5 марта 2007 г. // Ахбори Маджлиси Оли Республики Таджикистан 2007 год, №3, ст. 169</w:t>
      </w:r>
    </w:p>
    <w:p w:rsidR="00181BA7" w:rsidRPr="00DA76A7" w:rsidRDefault="00181BA7" w:rsidP="00D45D6B">
      <w:pPr>
        <w:pStyle w:val="a6"/>
        <w:numPr>
          <w:ilvl w:val="0"/>
          <w:numId w:val="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Сергеев А.П. Право интеллектуальной собственности в РФ: Учеб. – 2-е изд., перераб. н. доп. -  М.: ООО «ТК Велби», 2003. – 795 с.</w:t>
      </w:r>
    </w:p>
    <w:p w:rsidR="00181BA7" w:rsidRPr="00DA76A7" w:rsidRDefault="00181BA7" w:rsidP="00D45D6B">
      <w:pPr>
        <w:pStyle w:val="a6"/>
        <w:numPr>
          <w:ilvl w:val="0"/>
          <w:numId w:val="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Судариков С.А. Интеллектуальная собственность. – М.: Издательство деловой и учебной литературы, 2007. – 796 с.</w:t>
      </w:r>
    </w:p>
    <w:p w:rsidR="00181BA7" w:rsidRPr="00DA76A7" w:rsidRDefault="00181BA7" w:rsidP="00181BA7">
      <w:pPr>
        <w:pStyle w:val="a6"/>
        <w:tabs>
          <w:tab w:val="left" w:pos="851"/>
        </w:tabs>
        <w:spacing w:after="0" w:line="240" w:lineRule="auto"/>
        <w:ind w:left="0" w:firstLine="567"/>
        <w:jc w:val="both"/>
        <w:rPr>
          <w:rFonts w:ascii="Arial" w:hAnsi="Arial" w:cs="Arial"/>
          <w:color w:val="000000" w:themeColor="text1"/>
        </w:rPr>
      </w:pPr>
    </w:p>
    <w:p w:rsidR="00181BA7" w:rsidRPr="00DA76A7" w:rsidRDefault="00181BA7" w:rsidP="00181BA7">
      <w:pPr>
        <w:ind w:firstLine="567"/>
        <w:jc w:val="both"/>
        <w:rPr>
          <w:rFonts w:ascii="Arial" w:hAnsi="Arial" w:cs="Arial"/>
          <w:color w:val="000000" w:themeColor="text1"/>
          <w:sz w:val="22"/>
          <w:szCs w:val="22"/>
        </w:rPr>
      </w:pPr>
    </w:p>
    <w:p w:rsidR="0035387D" w:rsidRPr="00DA76A7" w:rsidRDefault="0035387D" w:rsidP="0035387D">
      <w:pPr>
        <w:jc w:val="center"/>
        <w:rPr>
          <w:rFonts w:ascii="Arial" w:hAnsi="Arial" w:cs="Arial"/>
          <w:b/>
          <w:color w:val="000000" w:themeColor="text1"/>
          <w:sz w:val="22"/>
          <w:szCs w:val="22"/>
        </w:rPr>
      </w:pPr>
      <w:r w:rsidRPr="00DA76A7">
        <w:rPr>
          <w:rFonts w:ascii="Arial" w:hAnsi="Arial" w:cs="Arial"/>
          <w:b/>
          <w:color w:val="000000" w:themeColor="text1"/>
          <w:sz w:val="22"/>
          <w:szCs w:val="22"/>
        </w:rPr>
        <w:t>ФОРМЫ ЗАЩИТЫ АВТОРСКИХ ПРАВ В РЕСПУБЛИКЕ ТАДЖИКИСТАНА НА СОВРЕМЕННОМ ЭТАПЕ</w:t>
      </w:r>
    </w:p>
    <w:p w:rsidR="0035387D" w:rsidRPr="00DA76A7" w:rsidRDefault="0035387D" w:rsidP="0035387D">
      <w:pPr>
        <w:jc w:val="center"/>
        <w:rPr>
          <w:rFonts w:ascii="Arial" w:hAnsi="Arial" w:cs="Arial"/>
          <w:b/>
          <w:color w:val="000000" w:themeColor="text1"/>
          <w:sz w:val="22"/>
          <w:szCs w:val="22"/>
        </w:rPr>
      </w:pPr>
    </w:p>
    <w:p w:rsidR="0035387D" w:rsidRPr="00DA76A7" w:rsidRDefault="0035387D" w:rsidP="0035387D">
      <w:pPr>
        <w:jc w:val="center"/>
        <w:rPr>
          <w:rFonts w:ascii="Arial" w:hAnsi="Arial" w:cs="Arial"/>
          <w:b/>
          <w:color w:val="000000" w:themeColor="text1"/>
          <w:sz w:val="22"/>
          <w:szCs w:val="22"/>
        </w:rPr>
      </w:pPr>
      <w:r w:rsidRPr="00DA76A7">
        <w:rPr>
          <w:rFonts w:ascii="Arial" w:hAnsi="Arial" w:cs="Arial"/>
          <w:b/>
          <w:color w:val="000000" w:themeColor="text1"/>
          <w:sz w:val="22"/>
          <w:szCs w:val="22"/>
        </w:rPr>
        <w:t>Боровицкий Александр Александрович</w:t>
      </w:r>
    </w:p>
    <w:p w:rsidR="0035387D" w:rsidRPr="00DA76A7" w:rsidRDefault="0035387D" w:rsidP="0035387D">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1-го года обучения заочного отделения юридического факультета</w:t>
      </w:r>
    </w:p>
    <w:p w:rsidR="0035387D" w:rsidRPr="00DA76A7" w:rsidRDefault="0035387D" w:rsidP="0035387D">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35387D" w:rsidRPr="00DA76A7" w:rsidRDefault="0035387D" w:rsidP="0035387D">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35387D" w:rsidRPr="00DA76A7" w:rsidRDefault="0035387D" w:rsidP="0035387D">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w:t>
      </w:r>
      <w:r w:rsidRPr="00DA76A7">
        <w:rPr>
          <w:rFonts w:ascii="Arial" w:hAnsi="Arial" w:cs="Arial"/>
          <w:bCs/>
          <w:color w:val="000000" w:themeColor="text1"/>
          <w:sz w:val="22"/>
          <w:szCs w:val="22"/>
        </w:rPr>
        <w:t>93</w:t>
      </w:r>
      <w:r w:rsidRPr="00DA76A7">
        <w:rPr>
          <w:rFonts w:ascii="Arial" w:hAnsi="Arial" w:cs="Arial"/>
          <w:bCs/>
          <w:color w:val="000000" w:themeColor="text1"/>
          <w:sz w:val="22"/>
          <w:szCs w:val="22"/>
          <w:lang w:val="en-US"/>
        </w:rPr>
        <w:t> </w:t>
      </w:r>
      <w:r w:rsidRPr="00DA76A7">
        <w:rPr>
          <w:rFonts w:ascii="Arial" w:hAnsi="Arial" w:cs="Arial"/>
          <w:bCs/>
          <w:color w:val="000000" w:themeColor="text1"/>
          <w:sz w:val="22"/>
          <w:szCs w:val="22"/>
        </w:rPr>
        <w:t xml:space="preserve">501 21 56,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grajdan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35387D" w:rsidRPr="00DA76A7" w:rsidRDefault="0035387D" w:rsidP="0035387D">
      <w:pPr>
        <w:rPr>
          <w:rFonts w:ascii="Arial" w:hAnsi="Arial" w:cs="Arial"/>
          <w:b/>
          <w:color w:val="000000" w:themeColor="text1"/>
          <w:sz w:val="22"/>
          <w:szCs w:val="22"/>
        </w:rPr>
      </w:pPr>
    </w:p>
    <w:p w:rsidR="0035387D" w:rsidRPr="00DA76A7" w:rsidRDefault="0035387D" w:rsidP="0035387D">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FORMS OF COPYRIGHT PROTECTION IN THE REPUBLIC OF TAJIKISTAN AT THE PRESENT STAGE</w:t>
      </w:r>
    </w:p>
    <w:p w:rsidR="0035387D" w:rsidRPr="00DA76A7" w:rsidRDefault="0035387D" w:rsidP="0035387D">
      <w:pPr>
        <w:pStyle w:val="HTML"/>
        <w:shd w:val="clear" w:color="auto" w:fill="FFFFFF"/>
        <w:jc w:val="center"/>
        <w:rPr>
          <w:rFonts w:ascii="Arial" w:hAnsi="Arial" w:cs="Arial"/>
          <w:b/>
          <w:color w:val="000000" w:themeColor="text1"/>
          <w:sz w:val="22"/>
          <w:szCs w:val="22"/>
          <w:lang w:val="en-US"/>
        </w:rPr>
      </w:pPr>
    </w:p>
    <w:p w:rsidR="0035387D" w:rsidRPr="00DA76A7" w:rsidRDefault="0035387D" w:rsidP="0035387D">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Borovitsky Alexander Alexandrovich</w:t>
      </w:r>
    </w:p>
    <w:p w:rsidR="0035387D" w:rsidRPr="00DA76A7" w:rsidRDefault="0035387D" w:rsidP="0035387D">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first year of correspondence department of the faculty of law</w:t>
      </w:r>
    </w:p>
    <w:p w:rsidR="0035387D" w:rsidRPr="00DA76A7" w:rsidRDefault="0035387D" w:rsidP="0035387D">
      <w:pPr>
        <w:shd w:val="clear" w:color="auto" w:fill="FFFFFF"/>
        <w:contextualSpacing/>
        <w:jc w:val="center"/>
        <w:outlineLvl w:val="1"/>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Russian-Tajik (Slavonic) university</w:t>
      </w:r>
    </w:p>
    <w:p w:rsidR="0035387D" w:rsidRPr="00DA76A7" w:rsidRDefault="0035387D" w:rsidP="0035387D">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734025, Republic of Tajikistan, Dushanbe, M. Tursunzade str,, 30</w:t>
      </w:r>
    </w:p>
    <w:p w:rsidR="0035387D" w:rsidRPr="00DA76A7" w:rsidRDefault="0035387D" w:rsidP="0035387D">
      <w:pPr>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tel.:</w:t>
      </w:r>
      <w:r w:rsidRPr="00DA76A7">
        <w:rPr>
          <w:rFonts w:ascii="Arial" w:hAnsi="Arial" w:cs="Arial"/>
          <w:color w:val="000000" w:themeColor="text1"/>
          <w:sz w:val="22"/>
          <w:szCs w:val="22"/>
          <w:lang w:val="en-US"/>
        </w:rPr>
        <w:t xml:space="preserve"> </w:t>
      </w:r>
      <w:r w:rsidRPr="00DA76A7">
        <w:rPr>
          <w:rFonts w:ascii="Arial" w:hAnsi="Arial" w:cs="Arial"/>
          <w:bCs/>
          <w:color w:val="000000" w:themeColor="text1"/>
          <w:sz w:val="22"/>
          <w:szCs w:val="22"/>
          <w:lang w:val="en-US"/>
        </w:rPr>
        <w:t xml:space="preserve">93 501 21 56, </w:t>
      </w:r>
      <w:r w:rsidRPr="00DA76A7">
        <w:rPr>
          <w:rFonts w:ascii="Arial" w:hAnsi="Arial" w:cs="Arial"/>
          <w:color w:val="000000" w:themeColor="text1"/>
          <w:sz w:val="22"/>
          <w:szCs w:val="22"/>
          <w:lang w:val="en-US"/>
        </w:rPr>
        <w:t>e-mail: grajdan.pravo@mail.ru</w:t>
      </w:r>
    </w:p>
    <w:p w:rsidR="0035387D" w:rsidRPr="00DA76A7" w:rsidRDefault="0035387D" w:rsidP="0035387D">
      <w:pPr>
        <w:jc w:val="center"/>
        <w:rPr>
          <w:rFonts w:ascii="Arial" w:hAnsi="Arial" w:cs="Arial"/>
          <w:b/>
          <w:color w:val="000000" w:themeColor="text1"/>
          <w:sz w:val="22"/>
          <w:szCs w:val="22"/>
          <w:lang w:val="en-US"/>
        </w:rPr>
      </w:pPr>
    </w:p>
    <w:p w:rsidR="0035387D" w:rsidRPr="00DA76A7" w:rsidRDefault="0035387D" w:rsidP="0035387D">
      <w:pPr>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д.ю.н., профессор Носиров Х.Т. </w:t>
      </w:r>
    </w:p>
    <w:p w:rsidR="0035387D" w:rsidRPr="00DA76A7" w:rsidRDefault="0035387D" w:rsidP="0035387D">
      <w:pPr>
        <w:jc w:val="right"/>
        <w:rPr>
          <w:rFonts w:ascii="Arial" w:hAnsi="Arial" w:cs="Arial"/>
          <w:b/>
          <w:color w:val="000000" w:themeColor="text1"/>
          <w:sz w:val="22"/>
          <w:szCs w:val="22"/>
        </w:rPr>
      </w:pPr>
    </w:p>
    <w:p w:rsidR="0035387D" w:rsidRPr="00DA76A7" w:rsidRDefault="0035387D" w:rsidP="0035387D">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раскрываться понятие как формы защиты авторских прав, так и само авторского права как институт право интеллектуальной собственности. </w:t>
      </w:r>
    </w:p>
    <w:p w:rsidR="0035387D" w:rsidRPr="00DA76A7" w:rsidRDefault="0035387D" w:rsidP="0035387D">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the article, the concept is disclosed as a form of protection of copyrights, and copyright itself as an institution of intellectual property law.</w:t>
      </w:r>
    </w:p>
    <w:p w:rsidR="0035387D" w:rsidRPr="00DA76A7" w:rsidRDefault="0035387D" w:rsidP="0035387D">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право интеллектуальной собственности, защита авторских прав, гражданский кодекс. </w:t>
      </w:r>
    </w:p>
    <w:p w:rsidR="0035387D" w:rsidRPr="00DA76A7" w:rsidRDefault="0035387D" w:rsidP="0035387D">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intellectual property law, copyright protection, civil code.</w:t>
      </w:r>
    </w:p>
    <w:p w:rsidR="0035387D" w:rsidRPr="00DA76A7" w:rsidRDefault="0035387D" w:rsidP="0035387D">
      <w:pPr>
        <w:ind w:firstLine="567"/>
        <w:jc w:val="both"/>
        <w:rPr>
          <w:rFonts w:ascii="Arial" w:hAnsi="Arial" w:cs="Arial"/>
          <w:color w:val="000000" w:themeColor="text1"/>
          <w:sz w:val="22"/>
          <w:szCs w:val="22"/>
          <w:lang w:val="en-US"/>
        </w:rPr>
      </w:pP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Отношения, связанные с объектами авторского и смежных прав, в Республике Таджикистан регулируются Гражданским кодексом, Законом РТ «Об авторском праве и смежных правах» и признанными РТ международными договорами.</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Перед Республикой Таджикистан как государство стоит задача защищать интересов своих граждан, и в целом регламентировать любые наиважнейшие общественные отношения. Один из таких общественных отношений является отношения сфере авторского права. Для нормального и стабильного развития этого правоотношения, следует в должном образе как защищать, так и охранять их. И так. Защита авторских и смежных прав и охраняемых законом интересов правообладателей, осуществляется в установленном законом порядке, т.е. посредством применения надлежащей формы, средств и способов защиты.</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 защитой авторских и смежных прав понимается совокупность мер, направленных на восстановление и признание этих прав при их нарушении или оспаривании.</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Необходимо отметить, что до тех пор, пока не нарушены авторские права они охраняются, а защита наступает тогда, когда авторские права нарушены. В целом это и есть различие между этими понятиями.  </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этом нам необходимо обратить внимание на то что   когда речь идет о защите авторских прав, защищаются также прав не только авторов, но и их правообладателей так как субъекты авторского не ограничиваются только авторами. </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Нарушенные авторские права могут защищаться посредством норм различных отраслей права. Однако основным способом защиты нарушенных авторских прав является применение норм гражданского права. Это связано тем, что административная и уголовная ответственность установлено не за все виды правонарушений в области авторского права. Более того следует учесть то обстоятельство, что авторское право является институтом гражданского права. В этом случае защита осуществляется посредством предъявления иска в суд.</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Большинство норм о защите авторских прав сосредоточено в гл. 57 ГК </w:t>
      </w:r>
      <w:r w:rsidRPr="00DA76A7">
        <w:rPr>
          <w:rFonts w:ascii="Cambria Math" w:hAnsi="Cambria Math" w:cs="Arial"/>
          <w:color w:val="000000" w:themeColor="text1"/>
          <w:sz w:val="22"/>
          <w:szCs w:val="22"/>
        </w:rPr>
        <w:t>≪</w:t>
      </w:r>
      <w:r w:rsidRPr="00DA76A7">
        <w:rPr>
          <w:rFonts w:ascii="Arial" w:hAnsi="Arial" w:cs="Arial"/>
          <w:color w:val="000000" w:themeColor="text1"/>
          <w:sz w:val="22"/>
          <w:szCs w:val="22"/>
        </w:rPr>
        <w:t>Общие положения об интеллектуальной собственности</w:t>
      </w:r>
      <w:r w:rsidRPr="00DA76A7">
        <w:rPr>
          <w:rFonts w:ascii="Cambria Math" w:hAnsi="Cambria Math" w:cs="Arial"/>
          <w:color w:val="000000" w:themeColor="text1"/>
          <w:sz w:val="22"/>
          <w:szCs w:val="22"/>
        </w:rPr>
        <w:t>≫</w:t>
      </w:r>
      <w:r w:rsidRPr="00DA76A7">
        <w:rPr>
          <w:rFonts w:ascii="Arial" w:hAnsi="Arial" w:cs="Arial"/>
          <w:color w:val="000000" w:themeColor="text1"/>
          <w:sz w:val="22"/>
          <w:szCs w:val="22"/>
        </w:rPr>
        <w:t>. А если точно для защиты авторских прав и право интеллектуальной собственности в целом предусмотрены две статьи это,  ст. 1137 и ст. 1137</w:t>
      </w:r>
      <w:r w:rsidRPr="00DA76A7">
        <w:rPr>
          <w:rFonts w:ascii="Arial" w:hAnsi="Arial" w:cs="Arial"/>
          <w:color w:val="000000" w:themeColor="text1"/>
          <w:sz w:val="22"/>
          <w:szCs w:val="22"/>
          <w:vertAlign w:val="superscript"/>
        </w:rPr>
        <w:t>1</w:t>
      </w:r>
      <w:r w:rsidRPr="00DA76A7">
        <w:rPr>
          <w:rFonts w:ascii="Arial" w:hAnsi="Arial" w:cs="Arial"/>
          <w:color w:val="000000" w:themeColor="text1"/>
          <w:sz w:val="22"/>
          <w:szCs w:val="22"/>
        </w:rPr>
        <w:t xml:space="preserve"> ГК РТ. Положений изложенные в указанных статьях дополнены в ст. 48 Законе РТ «Об авторском праве и смежных правах».</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Право на защиту нарушенных прав теряется, если правообладателей авторских прав приобрели их с нарушением предусмотренного законом порядка либо реализовывают их исключительно с намерением причинить вред другому лицу или допускают шикану ими в иной форме. </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Под формой защиты понимается комплекс внутренне согласованных организационных мероприятий по защите субъективных прав и охраняемых законом интересов. </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Различают две основные формы защиты — юрисдикционную и неюрисдикционную. Юрисдикционная форма защиты есть деятельность уполномоченных государством органов по защите нарушенных или оспариваемых субъективных авторских прав. Данная форма защиты авторских прав является наиболее результативной. Смысл ее заключается в том, что лицо, права и интересы которого нарушены противоправными действиями, обращается за защитой к государственным или иным соответствующим органам, например, в суд, в вышестоящий орган и т.п., которые компетентны принять нужные меры для восстановления нарушенного права и пресечения правонарушения.</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общему правилу, защита авторских и смежных прав и охраняемых законом интересов осуществляется в судебном порядке. Основная масса авторско-правовых споров рассматривается районными, городскими, областными и иными судами общей компетенции. Если обоими участниками спорного правоотношения являются юридические лица, возникший между ними спор относится к подведомственности арбитражного суда. По соглашению участников авторского правоотношения спор между ними может быть передан на разрешение третейского суда. В качестве </w:t>
      </w:r>
      <w:r w:rsidRPr="00DA76A7">
        <w:rPr>
          <w:rFonts w:ascii="Cambria Math" w:hAnsi="Cambria Math" w:cs="Arial"/>
          <w:color w:val="000000" w:themeColor="text1"/>
          <w:sz w:val="22"/>
          <w:szCs w:val="22"/>
        </w:rPr>
        <w:t>≪</w:t>
      </w:r>
      <w:r w:rsidRPr="00DA76A7">
        <w:rPr>
          <w:rFonts w:ascii="Arial" w:hAnsi="Arial" w:cs="Arial"/>
          <w:color w:val="000000" w:themeColor="text1"/>
          <w:sz w:val="22"/>
          <w:szCs w:val="22"/>
        </w:rPr>
        <w:t>средства судебной защиты авторских и смежных прав и охраняемых законом интересов выступает иск, т.е. обращенное к суду требование об отправлении правосудия, с одной стороны, и обращенное к ответчику материально-правовое требование о выполнении лежащей на нем обязанности или о признании наличия или отсутствия правоотношения, с другой стороны. Судебный, или, как его еще называют, исковой порядок защиты применяется во всех случаях, кроме тех, которые прямо указаны в законе.  Дела о признании авторства рассматриваются в порядке особого производства, поскольку они относятся к делам об установлении фактов, имеющих юридическое значение. При этом суд устанавливает факт авторства лишь при невозможности получения заявителем в ином порядке документов, удостоверяющих этот факт, либо при невозможности восстановления утраченных документов. Если было нарушено право на авторство, то автор может потребовать признания авторства путем совершения специальных действий. Например, такое признание может быть осуществлено с помощью специального сообщения в печати. В публикации о допущенном нарушении должно быть указано, где и когда было допущено нарушение и каким образом.</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Неюрисдикционная форма защиты охватывает собой действия граждан и организаций по защите авторских и смежных прав и охраняемых законом интересов, которые совершаются ими самостоятельно, без обращения за помощью к государственным или иным компетентным органам. В рассматриваемой области спектр неюрисдикционных мер защиты достаточно узок и, по сути, сводится к возможности отказа совершать определенные действия в интересах неисправного контрогента: например, автор вправе отказаться от внесения в произведение изменений и дополнений, не предусмотренных авторским договором, либо от исполнения договора в целом в случае его недействительности5.</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неюрисдикционной форме защиты относится и самозащита прав. Не давая определения этого понятия, ГК РТ все же содержит требования к способам самозащиты (ст. 15 ГК РТ). Во-первых, эти способы должны быть соразмерны нарушению и, во-вторых, они не должны выходить за пределы действий, необходимых для его пресечения.</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Наиболее распространенными примерами самозащиты прав являются действия, совершенные в состоянии необходимой обороны и крайней необходимости. Именно свойство универсальности и позволяет говорить о том, что самозащита действительно применима как в договорных, так и во внедоговорных отношениях. Говоря о неюрисдикционной форме защиты прав, нельзя не упомянуть о мерах оперативного воздействия. По мнению Э.П. Гаврилова, эти меры имеют правоохранительный характер. Он проявляется в том, что, во-первых, оперативные меры применяются исключительно в связи с фактом нарушения контрагентом договорных обязательств, который по времени непременно должен предшествовать применению названных мер, и, во-вторых, </w:t>
      </w:r>
      <w:r w:rsidRPr="00DA76A7">
        <w:rPr>
          <w:rFonts w:ascii="Cambria Math" w:hAnsi="Cambria Math" w:cs="Arial"/>
          <w:color w:val="000000" w:themeColor="text1"/>
          <w:sz w:val="22"/>
          <w:szCs w:val="22"/>
        </w:rPr>
        <w:t>≪</w:t>
      </w:r>
      <w:r w:rsidRPr="00DA76A7">
        <w:rPr>
          <w:rFonts w:ascii="Arial" w:hAnsi="Arial" w:cs="Arial"/>
          <w:color w:val="000000" w:themeColor="text1"/>
          <w:sz w:val="22"/>
          <w:szCs w:val="22"/>
        </w:rPr>
        <w:t>применение управомоченным лицом данных мер в значительной степени направлено на устранение возможных убытков в будущем</w:t>
      </w:r>
      <w:r w:rsidRPr="00DA76A7">
        <w:rPr>
          <w:rFonts w:ascii="Cambria Math" w:hAnsi="Cambria Math" w:cs="Arial"/>
          <w:color w:val="000000" w:themeColor="text1"/>
          <w:sz w:val="22"/>
          <w:szCs w:val="22"/>
        </w:rPr>
        <w:t>≫</w:t>
      </w:r>
      <w:r w:rsidRPr="00DA76A7">
        <w:rPr>
          <w:rFonts w:ascii="Arial" w:hAnsi="Arial" w:cs="Arial"/>
          <w:color w:val="000000" w:themeColor="text1"/>
          <w:sz w:val="22"/>
          <w:szCs w:val="22"/>
        </w:rPr>
        <w:t>6.</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Меры оперативного воздействия можно определить как предусмотренные законом и (или) соглашением сторон юридические средства правоохранительного характера, которые при наличии нарушения обязательства (иногда угрозы его нарушения) применяются к должнику самим управомоченным лицом как стороной договорного правоотношения без обращения к компетентным государственным органам за защитой своего нарушенного права. Таким образом, меры оперативного воздействия имеют следующие отличия от самозащиты:</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являются действиями юридического, а не фактического характера;</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они применяются при условии, что это предусмотрено в законе и (или) договоре сторон;</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 использовании оперативных мер лицо, их применяющее, не должно оценивать ни наличие вины контрагента в нарушении тех или иных обязательств по договору, ни свои действия, с точки зрения их соответствия соразмерности нарушения, как это надлежит делать в случае самозащиты.</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Особым образом регулируются охрана и защита прав российских авторов при использовании созданных ими произведений за рубежом. Авторское право имеет территориальный принцип охраны. Это значит, что произведение российского автора, созданное и обнародованное на территории России, будет охраняться на территории другой страны только в том случае, если эта страна является участницей соответствующего международного соглашения. Охрана предоставляется в соответствии с нормами национального законодательства.</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некоторые страны предоставляют правовую охрану независимо от того, является ли автор гражданином страны-участницы международных соглашений (иногда действует принцип взаимности: одно государство охраняет произведения авторов другого государства, если последнее предоставляло охрану авторов-граждан этого государства). По нашему мнению, наибольшую практическую значимость и эффективность среди названных форм защиты имеет гражданско-правовая защита авторских прав, реализуемая в рамках юрисдикционной формы. Она обеспечивается применением предусмотренных законом способов защиты. Большая роль в регулировании вопросов защиты авторских прав, на наш взгляд, должна отводится правоохранительным органам. Во многих странах мира, в органах полиции и прокуратуры существуют специальные отделы, которые занимаются только вопросами охраны интеллектуальной собственности, что позволяет более эффективно защищать нарушенные права граждан в рассматриваемой сфере.</w:t>
      </w:r>
    </w:p>
    <w:p w:rsidR="0035387D" w:rsidRPr="00DA76A7" w:rsidRDefault="0035387D" w:rsidP="0035387D">
      <w:pPr>
        <w:ind w:firstLine="567"/>
        <w:rPr>
          <w:rFonts w:ascii="Arial" w:hAnsi="Arial" w:cs="Arial"/>
          <w:color w:val="000000" w:themeColor="text1"/>
          <w:sz w:val="22"/>
          <w:szCs w:val="22"/>
        </w:rPr>
      </w:pPr>
    </w:p>
    <w:p w:rsidR="0035387D" w:rsidRPr="00DA76A7" w:rsidRDefault="0035387D" w:rsidP="0035387D">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Гражданский кодекс Республики Таджикистан. Ч. 1 от 30 июня 1999года // Ахбори Маджлиси Оли Республики Таджикистан, 1999 г., №6, ст. 153; ст. 154; 2001 г., №7, ст. 508; 2002 г., №4, ч. 1, ст. 170; 2005 г., №3, ст. 125; 2006 г., №4, ст. 193; 2007 г., №5, ст. 356; 2010 г., №3, ст. 156; №12, ч. 1, ст. 802; 2012 г., №7, ст. 700; №12, ч. 1, ст. 1021; 2013 г., №7, ст. 504; 2015 г., №3, ст. 200.</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Комментарий к Гражданскому Кодексу РФ / под ред. О.Н. Садикова. – М.: ТК Велби,  2008. – 400 с. </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Сенников Н.Л. Об ответственности в праве интеллектуальной собственности // Российский судья. – 2008. - № 2. - С. 19-21.</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Гражданское право: учеб.: в 3 т. Т.3 /Е.Н. Абрамова, Н.Н. Аверченко, Ю.В. Байгушева (и др.); под. Ред. А.П. Сергеева. – М.: ТК Велби, 2009. – 800 с.</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Вайпан, В.А., Любимов, А.П. Новое регулирование охраны прав на результаты интеллектуальной деятельности // Право и экономика. – 2008. – № 2. - С. 12-14</w:t>
      </w:r>
    </w:p>
    <w:p w:rsidR="0035387D" w:rsidRPr="00DA76A7" w:rsidRDefault="0035387D" w:rsidP="0035387D">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Гаврилов Э. П. Защита авторских прав // Российская юстиция. – 2007.- № 10. - С. 43-46</w:t>
      </w:r>
    </w:p>
    <w:p w:rsidR="0035387D" w:rsidRPr="00DA76A7" w:rsidRDefault="0035387D" w:rsidP="00181BA7">
      <w:pPr>
        <w:ind w:firstLine="567"/>
        <w:jc w:val="both"/>
        <w:rPr>
          <w:rFonts w:ascii="Arial" w:hAnsi="Arial" w:cs="Arial"/>
          <w:color w:val="000000" w:themeColor="text1"/>
          <w:sz w:val="22"/>
          <w:szCs w:val="22"/>
        </w:rPr>
      </w:pPr>
    </w:p>
    <w:p w:rsidR="00181BA7" w:rsidRPr="00DA76A7" w:rsidRDefault="00181BA7" w:rsidP="00181BA7">
      <w:pPr>
        <w:jc w:val="center"/>
        <w:rPr>
          <w:rStyle w:val="ab"/>
          <w:rFonts w:ascii="Arial" w:hAnsi="Arial" w:cs="Arial"/>
          <w:color w:val="000000" w:themeColor="text1"/>
          <w:sz w:val="22"/>
          <w:szCs w:val="22"/>
        </w:rPr>
      </w:pPr>
      <w:r w:rsidRPr="00DA76A7">
        <w:rPr>
          <w:rStyle w:val="ab"/>
          <w:rFonts w:ascii="Arial" w:hAnsi="Arial" w:cs="Arial"/>
          <w:color w:val="000000" w:themeColor="text1"/>
          <w:sz w:val="22"/>
          <w:szCs w:val="22"/>
        </w:rPr>
        <w:t>АКТУАЛЬНЫЕ ПРОБЛЕМЫ СЕМЕЙНОГО ПРАВА</w:t>
      </w:r>
    </w:p>
    <w:p w:rsidR="00181BA7" w:rsidRPr="00DA76A7" w:rsidRDefault="00181BA7" w:rsidP="00181BA7">
      <w:pPr>
        <w:jc w:val="center"/>
        <w:rPr>
          <w:rStyle w:val="ab"/>
          <w:rFonts w:ascii="Arial" w:hAnsi="Arial" w:cs="Arial"/>
          <w:color w:val="000000" w:themeColor="text1"/>
          <w:sz w:val="22"/>
          <w:szCs w:val="22"/>
        </w:rPr>
      </w:pPr>
    </w:p>
    <w:p w:rsidR="00181BA7" w:rsidRPr="00DA76A7" w:rsidRDefault="00181BA7" w:rsidP="00181BA7">
      <w:pPr>
        <w:jc w:val="center"/>
        <w:rPr>
          <w:rStyle w:val="ab"/>
          <w:rFonts w:ascii="Arial" w:hAnsi="Arial" w:cs="Arial"/>
          <w:color w:val="000000" w:themeColor="text1"/>
          <w:sz w:val="22"/>
          <w:szCs w:val="22"/>
        </w:rPr>
      </w:pPr>
      <w:r w:rsidRPr="00DA76A7">
        <w:rPr>
          <w:rStyle w:val="ab"/>
          <w:rFonts w:ascii="Arial" w:hAnsi="Arial" w:cs="Arial"/>
          <w:color w:val="000000" w:themeColor="text1"/>
          <w:sz w:val="22"/>
          <w:szCs w:val="22"/>
        </w:rPr>
        <w:t>Ваньян Давид Артурович</w:t>
      </w:r>
    </w:p>
    <w:p w:rsidR="00181BA7" w:rsidRPr="00DA76A7" w:rsidRDefault="00181BA7" w:rsidP="00181BA7">
      <w:pPr>
        <w:jc w:val="center"/>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студент 1-го курса очного отделения юридического факультета</w:t>
      </w:r>
    </w:p>
    <w:p w:rsidR="00181BA7" w:rsidRPr="00DA76A7" w:rsidRDefault="00181BA7" w:rsidP="00181BA7">
      <w:pPr>
        <w:jc w:val="center"/>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Южный институт менеджмента</w:t>
      </w:r>
    </w:p>
    <w:p w:rsidR="00181BA7" w:rsidRPr="00DA76A7" w:rsidRDefault="00181BA7" w:rsidP="00181BA7">
      <w:pPr>
        <w:jc w:val="center"/>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350040, Российская Федерация, Краснодар, у</w:t>
      </w:r>
      <w:r w:rsidRPr="00DA76A7">
        <w:rPr>
          <w:rFonts w:ascii="Arial" w:hAnsi="Arial" w:cs="Arial"/>
          <w:color w:val="000000" w:themeColor="text1"/>
          <w:sz w:val="22"/>
          <w:szCs w:val="22"/>
          <w:shd w:val="clear" w:color="auto" w:fill="FFFFFF"/>
        </w:rPr>
        <w:t>л. Ставропольская, 216</w:t>
      </w:r>
    </w:p>
    <w:p w:rsidR="00181BA7" w:rsidRPr="00DA76A7" w:rsidRDefault="00181BA7" w:rsidP="00181BA7">
      <w:pPr>
        <w:jc w:val="center"/>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 xml:space="preserve">тел.: 89898084069, </w:t>
      </w:r>
      <w:r w:rsidRPr="00DA76A7">
        <w:rPr>
          <w:rStyle w:val="ab"/>
          <w:rFonts w:ascii="Arial" w:hAnsi="Arial" w:cs="Arial"/>
          <w:b w:val="0"/>
          <w:color w:val="000000" w:themeColor="text1"/>
          <w:sz w:val="22"/>
          <w:szCs w:val="22"/>
          <w:lang w:val="en-US"/>
        </w:rPr>
        <w:t>e</w:t>
      </w:r>
      <w:r w:rsidRPr="00DA76A7">
        <w:rPr>
          <w:rStyle w:val="ab"/>
          <w:rFonts w:ascii="Arial" w:hAnsi="Arial" w:cs="Arial"/>
          <w:b w:val="0"/>
          <w:color w:val="000000" w:themeColor="text1"/>
          <w:sz w:val="22"/>
          <w:szCs w:val="22"/>
        </w:rPr>
        <w:t>-</w:t>
      </w:r>
      <w:r w:rsidRPr="00DA76A7">
        <w:rPr>
          <w:rStyle w:val="ab"/>
          <w:rFonts w:ascii="Arial" w:hAnsi="Arial" w:cs="Arial"/>
          <w:b w:val="0"/>
          <w:color w:val="000000" w:themeColor="text1"/>
          <w:sz w:val="22"/>
          <w:szCs w:val="22"/>
          <w:lang w:val="en-US"/>
        </w:rPr>
        <w:t>mail</w:t>
      </w:r>
      <w:r w:rsidRPr="00DA76A7">
        <w:rPr>
          <w:rStyle w:val="ab"/>
          <w:rFonts w:ascii="Arial" w:hAnsi="Arial" w:cs="Arial"/>
          <w:b w:val="0"/>
          <w:color w:val="000000" w:themeColor="text1"/>
          <w:sz w:val="22"/>
          <w:szCs w:val="22"/>
        </w:rPr>
        <w:t xml:space="preserve">: </w:t>
      </w:r>
      <w:r w:rsidRPr="00DA76A7">
        <w:rPr>
          <w:rStyle w:val="ab"/>
          <w:rFonts w:ascii="Arial" w:hAnsi="Arial" w:cs="Arial"/>
          <w:b w:val="0"/>
          <w:color w:val="000000" w:themeColor="text1"/>
          <w:sz w:val="22"/>
          <w:szCs w:val="22"/>
          <w:lang w:val="en-US"/>
        </w:rPr>
        <w:t>david</w:t>
      </w:r>
      <w:r w:rsidRPr="00DA76A7">
        <w:rPr>
          <w:rStyle w:val="ab"/>
          <w:rFonts w:ascii="Arial" w:hAnsi="Arial" w:cs="Arial"/>
          <w:b w:val="0"/>
          <w:color w:val="000000" w:themeColor="text1"/>
          <w:sz w:val="22"/>
          <w:szCs w:val="22"/>
        </w:rPr>
        <w:t>_</w:t>
      </w:r>
      <w:r w:rsidRPr="00DA76A7">
        <w:rPr>
          <w:rStyle w:val="ab"/>
          <w:rFonts w:ascii="Arial" w:hAnsi="Arial" w:cs="Arial"/>
          <w:b w:val="0"/>
          <w:color w:val="000000" w:themeColor="text1"/>
          <w:sz w:val="22"/>
          <w:szCs w:val="22"/>
          <w:lang w:val="en-US"/>
        </w:rPr>
        <w:t>van</w:t>
      </w:r>
      <w:r w:rsidRPr="00DA76A7">
        <w:rPr>
          <w:rStyle w:val="ab"/>
          <w:rFonts w:ascii="Arial" w:hAnsi="Arial" w:cs="Arial"/>
          <w:b w:val="0"/>
          <w:color w:val="000000" w:themeColor="text1"/>
          <w:sz w:val="22"/>
          <w:szCs w:val="22"/>
        </w:rPr>
        <w:t>@</w:t>
      </w:r>
      <w:r w:rsidRPr="00DA76A7">
        <w:rPr>
          <w:rStyle w:val="ab"/>
          <w:rFonts w:ascii="Arial" w:hAnsi="Arial" w:cs="Arial"/>
          <w:b w:val="0"/>
          <w:color w:val="000000" w:themeColor="text1"/>
          <w:sz w:val="22"/>
          <w:szCs w:val="22"/>
          <w:lang w:val="en-US"/>
        </w:rPr>
        <w:t>bk</w:t>
      </w:r>
      <w:r w:rsidRPr="00DA76A7">
        <w:rPr>
          <w:rStyle w:val="ab"/>
          <w:rFonts w:ascii="Arial" w:hAnsi="Arial" w:cs="Arial"/>
          <w:b w:val="0"/>
          <w:color w:val="000000" w:themeColor="text1"/>
          <w:sz w:val="22"/>
          <w:szCs w:val="22"/>
        </w:rPr>
        <w:t>.</w:t>
      </w:r>
      <w:r w:rsidRPr="00DA76A7">
        <w:rPr>
          <w:rStyle w:val="ab"/>
          <w:rFonts w:ascii="Arial" w:hAnsi="Arial" w:cs="Arial"/>
          <w:b w:val="0"/>
          <w:color w:val="000000" w:themeColor="text1"/>
          <w:sz w:val="22"/>
          <w:szCs w:val="22"/>
          <w:lang w:val="en-US"/>
        </w:rPr>
        <w:t>ru</w:t>
      </w:r>
    </w:p>
    <w:p w:rsidR="00181BA7" w:rsidRPr="00DA76A7" w:rsidRDefault="00181BA7" w:rsidP="00181BA7">
      <w:pPr>
        <w:jc w:val="center"/>
        <w:rPr>
          <w:rStyle w:val="ab"/>
          <w:rFonts w:ascii="Arial" w:hAnsi="Arial" w:cs="Arial"/>
          <w:b w:val="0"/>
          <w:color w:val="000000" w:themeColor="text1"/>
          <w:sz w:val="22"/>
          <w:szCs w:val="22"/>
        </w:rPr>
      </w:pPr>
    </w:p>
    <w:p w:rsidR="00181BA7" w:rsidRPr="00DA76A7" w:rsidRDefault="00181BA7" w:rsidP="00181BA7">
      <w:pPr>
        <w:jc w:val="center"/>
        <w:rPr>
          <w:rStyle w:val="ab"/>
          <w:rFonts w:ascii="Arial" w:hAnsi="Arial" w:cs="Arial"/>
          <w:color w:val="000000" w:themeColor="text1"/>
          <w:sz w:val="22"/>
          <w:szCs w:val="22"/>
          <w:lang w:val="en-US"/>
        </w:rPr>
      </w:pPr>
      <w:r w:rsidRPr="00DA76A7">
        <w:rPr>
          <w:rStyle w:val="ab"/>
          <w:rFonts w:ascii="Arial" w:hAnsi="Arial" w:cs="Arial"/>
          <w:color w:val="000000" w:themeColor="text1"/>
          <w:sz w:val="22"/>
          <w:szCs w:val="22"/>
          <w:lang w:val="en-US"/>
        </w:rPr>
        <w:t>ACTUAL PROBLEMS OF FAMILY LAW</w:t>
      </w:r>
    </w:p>
    <w:p w:rsidR="00181BA7" w:rsidRPr="00DA76A7" w:rsidRDefault="00181BA7" w:rsidP="00181BA7">
      <w:pPr>
        <w:jc w:val="center"/>
        <w:rPr>
          <w:rStyle w:val="ab"/>
          <w:rFonts w:ascii="Arial" w:hAnsi="Arial" w:cs="Arial"/>
          <w:b w:val="0"/>
          <w:color w:val="000000" w:themeColor="text1"/>
          <w:sz w:val="22"/>
          <w:szCs w:val="22"/>
          <w:lang w:val="en-US"/>
        </w:rPr>
      </w:pPr>
    </w:p>
    <w:p w:rsidR="00181BA7" w:rsidRPr="00DA76A7" w:rsidRDefault="00181BA7" w:rsidP="00181BA7">
      <w:pPr>
        <w:jc w:val="center"/>
        <w:rPr>
          <w:rStyle w:val="ab"/>
          <w:rFonts w:ascii="Arial" w:hAnsi="Arial" w:cs="Arial"/>
          <w:color w:val="000000" w:themeColor="text1"/>
          <w:sz w:val="22"/>
          <w:szCs w:val="22"/>
          <w:lang w:val="en-US"/>
        </w:rPr>
      </w:pPr>
      <w:r w:rsidRPr="00DA76A7">
        <w:rPr>
          <w:rStyle w:val="ab"/>
          <w:rFonts w:ascii="Arial" w:hAnsi="Arial" w:cs="Arial"/>
          <w:color w:val="000000" w:themeColor="text1"/>
          <w:sz w:val="22"/>
          <w:szCs w:val="22"/>
          <w:lang w:val="en-US"/>
        </w:rPr>
        <w:t>Vanyan David Arturovich</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1st year student of full-time department of law faculty</w:t>
      </w:r>
    </w:p>
    <w:p w:rsidR="00181BA7" w:rsidRPr="00DA76A7" w:rsidRDefault="00181BA7" w:rsidP="00181BA7">
      <w:pPr>
        <w:jc w:val="center"/>
        <w:rPr>
          <w:rStyle w:val="ab"/>
          <w:rFonts w:ascii="Arial" w:hAnsi="Arial" w:cs="Arial"/>
          <w:b w:val="0"/>
          <w:color w:val="000000" w:themeColor="text1"/>
          <w:sz w:val="22"/>
          <w:szCs w:val="22"/>
          <w:lang w:val="en-US"/>
        </w:rPr>
      </w:pPr>
      <w:r w:rsidRPr="00DA76A7">
        <w:rPr>
          <w:rStyle w:val="ab"/>
          <w:rFonts w:ascii="Arial" w:hAnsi="Arial" w:cs="Arial"/>
          <w:b w:val="0"/>
          <w:color w:val="000000" w:themeColor="text1"/>
          <w:sz w:val="22"/>
          <w:szCs w:val="22"/>
          <w:lang w:val="en-US"/>
        </w:rPr>
        <w:t>Southern institute of management</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Style w:val="ab"/>
          <w:rFonts w:ascii="Arial" w:hAnsi="Arial" w:cs="Arial"/>
          <w:b w:val="0"/>
          <w:color w:val="000000" w:themeColor="text1"/>
          <w:sz w:val="22"/>
          <w:szCs w:val="22"/>
          <w:lang w:val="en-US"/>
        </w:rPr>
        <w:t xml:space="preserve">350040, </w:t>
      </w:r>
      <w:r w:rsidRPr="00DA76A7">
        <w:rPr>
          <w:rFonts w:ascii="Arial" w:hAnsi="Arial" w:cs="Arial"/>
          <w:color w:val="000000" w:themeColor="text1"/>
          <w:sz w:val="22"/>
          <w:szCs w:val="22"/>
          <w:lang w:val="en-US"/>
        </w:rPr>
        <w:t>Russian Federation, Krasnodar, Stavropol str., 216</w:t>
      </w:r>
    </w:p>
    <w:p w:rsidR="00181BA7" w:rsidRPr="00DA76A7" w:rsidRDefault="00181BA7" w:rsidP="00181BA7">
      <w:pPr>
        <w:jc w:val="center"/>
        <w:rPr>
          <w:rStyle w:val="ab"/>
          <w:rFonts w:ascii="Arial" w:hAnsi="Arial" w:cs="Arial"/>
          <w:b w:val="0"/>
          <w:color w:val="000000" w:themeColor="text1"/>
          <w:sz w:val="22"/>
          <w:szCs w:val="22"/>
          <w:lang w:val="en-US"/>
        </w:rPr>
      </w:pPr>
      <w:r w:rsidRPr="00DA76A7">
        <w:rPr>
          <w:rStyle w:val="ab"/>
          <w:rFonts w:ascii="Arial" w:hAnsi="Arial" w:cs="Arial"/>
          <w:b w:val="0"/>
          <w:color w:val="000000" w:themeColor="text1"/>
          <w:sz w:val="22"/>
          <w:szCs w:val="22"/>
        </w:rPr>
        <w:t>тел</w:t>
      </w:r>
      <w:r w:rsidRPr="00DA76A7">
        <w:rPr>
          <w:rStyle w:val="ab"/>
          <w:rFonts w:ascii="Arial" w:hAnsi="Arial" w:cs="Arial"/>
          <w:b w:val="0"/>
          <w:color w:val="000000" w:themeColor="text1"/>
          <w:sz w:val="22"/>
          <w:szCs w:val="22"/>
          <w:lang w:val="en-US"/>
        </w:rPr>
        <w:t>.: 89898084069, e-mail: david_van@bk.ru</w:t>
      </w:r>
    </w:p>
    <w:p w:rsidR="00181BA7" w:rsidRPr="00DA76A7" w:rsidRDefault="00181BA7" w:rsidP="00181BA7">
      <w:pPr>
        <w:shd w:val="clear" w:color="auto" w:fill="FFFFFF" w:themeFill="background1"/>
        <w:ind w:firstLine="567"/>
        <w:jc w:val="center"/>
        <w:rPr>
          <w:rStyle w:val="ab"/>
          <w:rFonts w:ascii="Arial" w:hAnsi="Arial" w:cs="Arial"/>
          <w:b w:val="0"/>
          <w:color w:val="000000" w:themeColor="text1"/>
          <w:sz w:val="22"/>
          <w:szCs w:val="22"/>
          <w:lang w:val="en-US"/>
        </w:rPr>
      </w:pPr>
    </w:p>
    <w:p w:rsidR="00181BA7" w:rsidRPr="00DA76A7" w:rsidRDefault="00181BA7" w:rsidP="00181BA7">
      <w:pPr>
        <w:shd w:val="clear" w:color="auto" w:fill="FFFFFF" w:themeFill="background1"/>
        <w:ind w:firstLine="567"/>
        <w:jc w:val="both"/>
        <w:rPr>
          <w:rStyle w:val="ab"/>
          <w:rFonts w:ascii="Arial" w:hAnsi="Arial" w:cs="Arial"/>
          <w:b w:val="0"/>
          <w:i/>
          <w:color w:val="000000" w:themeColor="text1"/>
          <w:sz w:val="22"/>
          <w:szCs w:val="22"/>
        </w:rPr>
      </w:pPr>
      <w:r w:rsidRPr="00DA76A7">
        <w:rPr>
          <w:rStyle w:val="ab"/>
          <w:rFonts w:ascii="Arial" w:hAnsi="Arial" w:cs="Arial"/>
          <w:i/>
          <w:color w:val="000000" w:themeColor="text1"/>
          <w:sz w:val="22"/>
          <w:szCs w:val="22"/>
        </w:rPr>
        <w:t>Аннотация.</w:t>
      </w:r>
      <w:r w:rsidRPr="00DA76A7">
        <w:rPr>
          <w:rStyle w:val="ab"/>
          <w:rFonts w:ascii="Arial" w:hAnsi="Arial" w:cs="Arial"/>
          <w:b w:val="0"/>
          <w:i/>
          <w:color w:val="000000" w:themeColor="text1"/>
          <w:sz w:val="22"/>
          <w:szCs w:val="22"/>
        </w:rPr>
        <w:t xml:space="preserve"> В данной статье рассмотрены проблемы усыновления детей иностранными гражданами. Представлены вопросы и вносятся предложения по совершенствованию законодательства в этой области </w:t>
      </w:r>
    </w:p>
    <w:p w:rsidR="00181BA7" w:rsidRPr="00DA76A7" w:rsidRDefault="00181BA7" w:rsidP="00181BA7">
      <w:pPr>
        <w:ind w:firstLine="567"/>
        <w:rPr>
          <w:rStyle w:val="ab"/>
          <w:rFonts w:ascii="Arial" w:hAnsi="Arial" w:cs="Arial"/>
          <w:b w:val="0"/>
          <w:i/>
          <w:color w:val="000000" w:themeColor="text1"/>
          <w:sz w:val="22"/>
          <w:szCs w:val="22"/>
          <w:lang w:val="en-US"/>
        </w:rPr>
      </w:pPr>
      <w:r w:rsidRPr="00DA76A7">
        <w:rPr>
          <w:rStyle w:val="ab"/>
          <w:rFonts w:ascii="Arial" w:hAnsi="Arial" w:cs="Arial"/>
          <w:i/>
          <w:color w:val="000000" w:themeColor="text1"/>
          <w:sz w:val="22"/>
          <w:szCs w:val="22"/>
          <w:lang w:val="en-US"/>
        </w:rPr>
        <w:t>Annotation.</w:t>
      </w:r>
      <w:r w:rsidRPr="00DA76A7">
        <w:rPr>
          <w:rStyle w:val="ab"/>
          <w:rFonts w:ascii="Arial" w:hAnsi="Arial" w:cs="Arial"/>
          <w:b w:val="0"/>
          <w:i/>
          <w:color w:val="000000" w:themeColor="text1"/>
          <w:sz w:val="22"/>
          <w:szCs w:val="22"/>
          <w:lang w:val="en-US"/>
        </w:rPr>
        <w:t xml:space="preserve"> This article examines the problems of adoption of children by foreign citizens. Questions and proposals are made to improve legislation in this area</w:t>
      </w:r>
    </w:p>
    <w:p w:rsidR="00181BA7" w:rsidRPr="00DA76A7" w:rsidRDefault="00181BA7" w:rsidP="00181BA7">
      <w:pPr>
        <w:ind w:firstLine="567"/>
        <w:jc w:val="both"/>
        <w:rPr>
          <w:rStyle w:val="ab"/>
          <w:rFonts w:ascii="Arial" w:hAnsi="Arial" w:cs="Arial"/>
          <w:b w:val="0"/>
          <w:i/>
          <w:color w:val="000000" w:themeColor="text1"/>
          <w:sz w:val="22"/>
          <w:szCs w:val="22"/>
        </w:rPr>
      </w:pPr>
      <w:r w:rsidRPr="00DA76A7">
        <w:rPr>
          <w:rStyle w:val="ab"/>
          <w:rFonts w:ascii="Arial" w:hAnsi="Arial" w:cs="Arial"/>
          <w:i/>
          <w:color w:val="000000" w:themeColor="text1"/>
          <w:sz w:val="22"/>
          <w:szCs w:val="22"/>
        </w:rPr>
        <w:t>Ключевые слова:</w:t>
      </w:r>
      <w:r w:rsidRPr="00DA76A7">
        <w:rPr>
          <w:rStyle w:val="ab"/>
          <w:rFonts w:ascii="Arial" w:hAnsi="Arial" w:cs="Arial"/>
          <w:b w:val="0"/>
          <w:i/>
          <w:color w:val="000000" w:themeColor="text1"/>
          <w:sz w:val="22"/>
          <w:szCs w:val="22"/>
        </w:rPr>
        <w:t xml:space="preserve"> семья; семейное право ;усыновление ребенка; приемная семья.</w:t>
      </w:r>
    </w:p>
    <w:p w:rsidR="00181BA7" w:rsidRPr="00DA76A7" w:rsidRDefault="00181BA7" w:rsidP="00181BA7">
      <w:pPr>
        <w:ind w:firstLine="567"/>
        <w:jc w:val="both"/>
        <w:rPr>
          <w:rStyle w:val="ab"/>
          <w:rFonts w:ascii="Arial" w:hAnsi="Arial" w:cs="Arial"/>
          <w:b w:val="0"/>
          <w:i/>
          <w:color w:val="000000" w:themeColor="text1"/>
          <w:sz w:val="22"/>
          <w:szCs w:val="22"/>
          <w:lang w:val="en-US"/>
        </w:rPr>
      </w:pPr>
      <w:r w:rsidRPr="00DA76A7">
        <w:rPr>
          <w:rStyle w:val="ab"/>
          <w:rFonts w:ascii="Arial" w:hAnsi="Arial" w:cs="Arial"/>
          <w:i/>
          <w:color w:val="000000" w:themeColor="text1"/>
          <w:sz w:val="22"/>
          <w:szCs w:val="22"/>
          <w:lang w:val="en-US"/>
        </w:rPr>
        <w:t>Key words:</w:t>
      </w:r>
      <w:r w:rsidRPr="00DA76A7">
        <w:rPr>
          <w:rStyle w:val="ab"/>
          <w:rFonts w:ascii="Arial" w:hAnsi="Arial" w:cs="Arial"/>
          <w:b w:val="0"/>
          <w:i/>
          <w:color w:val="000000" w:themeColor="text1"/>
          <w:sz w:val="22"/>
          <w:szCs w:val="22"/>
          <w:lang w:val="en-US"/>
        </w:rPr>
        <w:t xml:space="preserve"> family; family law; adoption of a child; foster family.</w:t>
      </w:r>
    </w:p>
    <w:p w:rsidR="00181BA7" w:rsidRPr="00DA76A7" w:rsidRDefault="00181BA7" w:rsidP="00181BA7">
      <w:pPr>
        <w:ind w:firstLine="567"/>
        <w:jc w:val="both"/>
        <w:rPr>
          <w:rStyle w:val="ab"/>
          <w:rFonts w:ascii="Arial" w:hAnsi="Arial" w:cs="Arial"/>
          <w:b w:val="0"/>
          <w:i/>
          <w:color w:val="000000" w:themeColor="text1"/>
          <w:sz w:val="22"/>
          <w:szCs w:val="22"/>
          <w:lang w:val="en-US"/>
        </w:rPr>
      </w:pPr>
    </w:p>
    <w:p w:rsidR="00181BA7" w:rsidRPr="00DA76A7" w:rsidRDefault="00181BA7" w:rsidP="00181BA7">
      <w:pPr>
        <w:ind w:firstLine="567"/>
        <w:jc w:val="both"/>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Всем известно, что семья играет большую роль в жизни каждого человека, общества и государства. Именно семья для каждого человека – это источник любви, преданности и поддержки. Так же, можно сказать, что семья приспосабливает человека к жизни в обществе. В семье мы познаем основы нравственности и духовности. В семье мы получаем навыки, необходимые для полноценной жизни в обществе. Здоровая, крепкая семья — это залог стабильности и процветания любого общества, следовательно, и государства.</w:t>
      </w:r>
    </w:p>
    <w:p w:rsidR="00181BA7" w:rsidRPr="00DA76A7" w:rsidRDefault="00181BA7" w:rsidP="00181BA7">
      <w:pPr>
        <w:ind w:firstLine="567"/>
        <w:jc w:val="both"/>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Семья играет особую роль в жизни общества, его стабилизации, преодолении социальной напряженности. По своему характеру и предназначению семья является союзником общества в решении коренных проблем: утверждении нравственных устоев в обществе, социализации детей, развитии культуры и экономики, семейного предпринимательства. Одной из самых важных задач семейной политики должна стать разработка механизмов и технологий, дающих возможность активно использовать возможности семьи как общественного института в решении сложных проблем развития нашего общества.</w:t>
      </w:r>
    </w:p>
    <w:p w:rsidR="00181BA7" w:rsidRPr="00DA76A7" w:rsidRDefault="00181BA7" w:rsidP="00181BA7">
      <w:pPr>
        <w:ind w:firstLine="567"/>
        <w:jc w:val="both"/>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На сегодняшний день, существует много проблем российских семей, которые вызывают тревогу. Ударяют по семье демографический кризис, сопровождающийся депопуляцией, ростом смертности, не желанием молодого поколения иметь детей (понижение уровня рождаемости), снижением продолжительности жизни; рост безработицы, алкоголизма, наркомании, преступности, неуверенность в завтрашнем дне.</w:t>
      </w:r>
    </w:p>
    <w:p w:rsidR="00181BA7" w:rsidRPr="00DA76A7" w:rsidRDefault="00181BA7" w:rsidP="00181BA7">
      <w:pPr>
        <w:ind w:firstLine="567"/>
        <w:jc w:val="both"/>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Все эти факторы указывают на то, что наше государство имеет многочисленные проблемы в социально-семейных отношениях так как в семье происходит социализация человека, можно сказать, что семья влияет на развитие государства. А все вышеперечисленные факторы приносят проблемы в социально-семейных отношениях, исходя из этого, можно сделать вывод, что все эти факторы мешают развитию государства в целом.</w:t>
      </w:r>
    </w:p>
    <w:p w:rsidR="00181BA7" w:rsidRPr="00DA76A7" w:rsidRDefault="00181BA7" w:rsidP="00181BA7">
      <w:pPr>
        <w:ind w:firstLine="567"/>
        <w:jc w:val="both"/>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Идеология приоритета семьи, ее ценность для жизни и развития человека и общества закреплена во многих нормативных актах. Одно из основных положений этих документов — укрепление и защита института семьи со стороны общества, разработка всеми государствами национальной семейной политики.</w:t>
      </w:r>
    </w:p>
    <w:p w:rsidR="00181BA7" w:rsidRPr="00DA76A7" w:rsidRDefault="00181BA7" w:rsidP="00181BA7">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Российской Федерации отношения, составляющие предмет семейного права, традиционно регулируются законодательством Российской Федерации, то есть, отдельными кодексами (Семейный кодекс РФ, принятый в 1995.). С другой стороны, всем известно, что семейное право отделилось от гражданского права. Более того, во многих странах отношения, которые возникли из брака и принадлежности к семье, охватываются регулированием соответствующих глав гражданских кодексов этих стран. Из-за этого до сих пор не утихают споры о том, что такое семейное право то ли это подотрасль гражданского права, то ли это самостоятельная отрасль, никаким образом не зависящая от гражданского права.</w:t>
      </w:r>
    </w:p>
    <w:p w:rsidR="00181BA7" w:rsidRPr="00DA76A7" w:rsidRDefault="00181BA7" w:rsidP="00181BA7">
      <w:pPr>
        <w:shd w:val="clear" w:color="auto" w:fill="FFFFFF"/>
        <w:ind w:firstLine="567"/>
        <w:jc w:val="both"/>
        <w:textAlignment w:val="baseline"/>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Особую обеспокоенность в современном семейном праве вызывают негативные тенденции, которые имеют место в области усыновления российских детей иностранными гражданами, и отсутствие надлежащего государственного контроля за процессом усыновления в Российской Федерации.</w:t>
      </w:r>
    </w:p>
    <w:p w:rsidR="00181BA7" w:rsidRPr="00DA76A7" w:rsidRDefault="00181BA7" w:rsidP="00181BA7">
      <w:pPr>
        <w:shd w:val="clear" w:color="auto" w:fill="FFFFFF"/>
        <w:ind w:firstLine="567"/>
        <w:jc w:val="both"/>
        <w:textAlignment w:val="baseline"/>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На данный момент, отсутствие такого контроля более похож не на усыновление детей, а на рынок торговли детьми. Можно сказать, что дети- сироты становятся выгодным товаром, принося чиновникам немалые деньги. Но не стоит забывать, что эти дети нуждаются в особой заботе государства.</w:t>
      </w:r>
    </w:p>
    <w:p w:rsidR="00181BA7" w:rsidRPr="00DA76A7" w:rsidRDefault="00181BA7" w:rsidP="00181BA7">
      <w:pPr>
        <w:shd w:val="clear" w:color="auto" w:fill="FFFFFF"/>
        <w:ind w:firstLine="567"/>
        <w:jc w:val="both"/>
        <w:textAlignment w:val="baseline"/>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Развитию этих негативных тенденций в большой степени способствует до сих пор действующая, но незаконная на данный момент, деятельность иностранных агентств по подбору детей для усыновления в различных детских интернатных учреждениях, представителей которых на территории нашего государства более 50, фактически поделивших всю Россию на сферы своего влияния.[2]</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При усыновлении ребенка на территории Российской Федерации иностранными гражданами должны быть соблюдены требования Семейного Кодекса Российской Федерации с учетом положения о сотрудничестве в области усыновления детей.[1]</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Законодательство Российской Федерации не предусматривает каких-либо ограничений для усыновления детей в зависимости от состояния их здоровья</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ситуациях, когда ребенку плохо в приемной семье, чаще всего этому служит несовместимость ребенка с родителями, социальные службы принимают решение о переустройстве ребенка в другую семью, по его новому месту проживания. Но если ребенок по своей воле отказывается от переустройства, то его отправляют на родину</w:t>
      </w:r>
    </w:p>
    <w:p w:rsidR="00181BA7" w:rsidRPr="00DA76A7" w:rsidRDefault="00181BA7" w:rsidP="00181BA7">
      <w:pPr>
        <w:ind w:firstLine="567"/>
        <w:jc w:val="both"/>
        <w:textAlignment w:val="top"/>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Статей Семейного Кодекса РФ, касающихся усыновления детей иностранцами, в СК РФ всего четыре — п. 4 ст. 124, п. 2 ст. 126, п. 4 ст. 127, ст. 165.</w:t>
      </w:r>
    </w:p>
    <w:p w:rsidR="00181BA7" w:rsidRPr="00DA76A7" w:rsidRDefault="00181BA7" w:rsidP="00181BA7">
      <w:pPr>
        <w:ind w:firstLine="567"/>
        <w:jc w:val="both"/>
        <w:textAlignment w:val="top"/>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Вопрос усыновления детей иностранными гражданами и лицами без гражданства регулируется п. 4 ст. 124 СК РФ.</w:t>
      </w:r>
      <w:r w:rsidRPr="00DA76A7">
        <w:rPr>
          <w:rStyle w:val="ab"/>
          <w:rFonts w:ascii="Arial" w:hAnsi="Arial" w:cs="Arial"/>
          <w:b w:val="0"/>
          <w:color w:val="000000" w:themeColor="text1"/>
          <w:sz w:val="22"/>
          <w:szCs w:val="22"/>
        </w:rPr>
        <w:t>[3]</w:t>
      </w:r>
      <w:r w:rsidRPr="00DA76A7">
        <w:rPr>
          <w:rFonts w:ascii="Arial" w:hAnsi="Arial" w:cs="Arial"/>
          <w:color w:val="000000" w:themeColor="text1"/>
          <w:sz w:val="22"/>
          <w:szCs w:val="22"/>
          <w:shd w:val="clear" w:color="auto" w:fill="FFFFFF"/>
        </w:rPr>
        <w:t>Сразу необходимо отметить, что этот пункт действует в редакции Федеральных законов от 27.06.1998 № 94-ФЗ, от 28.12.2004 № 185-ФЗ. Это само по себе ничего бы не значило, но в связи с многочисленными скандалами, становится несколько странным такое продолжительное отсутствие внимания к законодательному регулированию вопроса усыновления детей иностранцами.</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соответствии с его положениями Семейного Кодекса Российской Федерации (8 декабря 1995 г.)принят ряд подзаконных нормативно-правовых актов по вопросам усыновления детей. Но анализ правоприменительной практики, действующего законодательства об усыновлении детей-сирот и детей, оставшихся без попечения родителей, позволил выявить негативные стороны правового регулирования процесса усыновления в Российской Федерации, что требует внесения изменений и дополнений в законодательные акты в целях их совершенствования. Сложившаяся ситуация в сфере международного усыновления требует четкого и разумного правового регулирования, и контроля. Это относится и к российскому законодательству, где необходимо привести законы в соответствие с существующими международными договорами.</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целях защиты прав и интересов усыновляемого ребенка - гражданина Российской Федерации иностранными гражданами необходимо ввести дополнительные гарантии на уровне международных соглашений. Государство обязано позаботиться об устройстве ребенка, оставшегося без попечения родителей внутри страны.</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bCs/>
          <w:color w:val="000000" w:themeColor="text1"/>
          <w:sz w:val="22"/>
          <w:szCs w:val="22"/>
        </w:rPr>
        <w:t>На мой взгляд, если бы закон «О мерах воздействия на лиц, причастных к нарушениям основополагающих прав и свобод человека, прав и свобод граждан Российской Федерации» не распространялся на детей-инвалидов, то многих таких детей усыновили бы граждане США и дети смогли бы получить соответствующую медицинскую помощь. А чтобы преступления прекратились, государству следует детально проверять документы усыновителей, а также отслеживать судьбу усыновлённых детей.</w:t>
      </w:r>
    </w:p>
    <w:p w:rsidR="00181BA7" w:rsidRPr="00DA76A7" w:rsidRDefault="00181BA7" w:rsidP="00181BA7">
      <w:pPr>
        <w:pStyle w:val="a7"/>
        <w:shd w:val="clear" w:color="auto" w:fill="FFFFFF"/>
        <w:spacing w:before="0" w:beforeAutospacing="0" w:after="0" w:afterAutospacing="0"/>
        <w:ind w:firstLine="567"/>
        <w:textAlignment w:val="baseline"/>
        <w:rPr>
          <w:rStyle w:val="ab"/>
          <w:rFonts w:ascii="Arial" w:hAnsi="Arial" w:cs="Arial"/>
          <w:b w:val="0"/>
          <w:color w:val="000000" w:themeColor="text1"/>
          <w:sz w:val="22"/>
          <w:szCs w:val="22"/>
        </w:rPr>
      </w:pPr>
    </w:p>
    <w:p w:rsidR="00181BA7" w:rsidRPr="00DA76A7" w:rsidRDefault="00181BA7" w:rsidP="00181BA7">
      <w:pPr>
        <w:shd w:val="clear" w:color="auto" w:fill="FFFFFF"/>
        <w:ind w:firstLine="567"/>
        <w:jc w:val="center"/>
        <w:textAlignment w:val="baseline"/>
        <w:rPr>
          <w:rFonts w:ascii="Arial" w:hAnsi="Arial" w:cs="Arial"/>
          <w:b/>
          <w:color w:val="000000" w:themeColor="text1"/>
          <w:sz w:val="22"/>
          <w:szCs w:val="22"/>
        </w:rPr>
      </w:pPr>
      <w:r w:rsidRPr="00DA76A7">
        <w:rPr>
          <w:rFonts w:ascii="Arial" w:hAnsi="Arial" w:cs="Arial"/>
          <w:b/>
          <w:bCs/>
          <w:color w:val="000000" w:themeColor="text1"/>
          <w:sz w:val="22"/>
          <w:szCs w:val="22"/>
        </w:rPr>
        <w:t>Список литературы:</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1. Семейный кодекс РФ от 29 декабря 1995 г. № 223-ФЗ. Статья 165. Усыновление (удочерение) // СПС Консультант Плюс</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2. Семейное право: учеб. пособие / Г.Н. Черничкина – М. : ИД «Юриспруденция», 2010-200 с. ISBN 978 5 9516 0440 8.</w:t>
      </w:r>
    </w:p>
    <w:p w:rsidR="00181BA7" w:rsidRPr="00DA76A7" w:rsidRDefault="00181BA7" w:rsidP="00181BA7">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3. Османский И.И. Проблемы современной семьи и семейной политики в России // Семейная политика:. Реализация внутреннего потенциала семьи : Материалы городской науч-практ. конф. 17 апреля 2003г. - Улан-Удэ , 2003. - С. 5-7</w:t>
      </w:r>
    </w:p>
    <w:p w:rsidR="00181BA7" w:rsidRPr="00DA76A7" w:rsidRDefault="00181BA7" w:rsidP="00181BA7">
      <w:pPr>
        <w:ind w:firstLine="567"/>
        <w:textAlignment w:val="top"/>
        <w:rPr>
          <w:rStyle w:val="ab"/>
          <w:rFonts w:ascii="Arial" w:hAnsi="Arial" w:cs="Arial"/>
          <w:b w:val="0"/>
          <w:color w:val="000000" w:themeColor="text1"/>
          <w:sz w:val="22"/>
          <w:szCs w:val="22"/>
        </w:rPr>
      </w:pPr>
    </w:p>
    <w:p w:rsidR="00181BA7" w:rsidRPr="00DA76A7" w:rsidRDefault="00181BA7"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ОСОБЕННОСТИ УРЕГУЛИРОВАНИЯ СТРАХОВЫХ СЛУЧАЕВ ПО КАСКО ЗА РУБЕЖОМ</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Гампикян Кристина Арсеновна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 4-го курса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Северо-Кавказский филиал Российский государственный университет правосудия</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350002, Россия, г. Краснодар, ул. Промышленная, 23</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89184557505, e-mail: kristina.2050@mail.ru</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FEATURES OF SETTLEMENT OF INSURANCE CASES FOR CASCO ABROAD</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Gampikian Kristina Arsenovna</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of the 4th year full-time department of the law faculty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North Caucasus affiliate Russian university of justice</w:t>
      </w:r>
      <w:r w:rsidRPr="00DA76A7">
        <w:rPr>
          <w:rFonts w:ascii="Arial" w:hAnsi="Arial" w:cs="Arial"/>
          <w:color w:val="000000" w:themeColor="text1"/>
          <w:sz w:val="22"/>
          <w:szCs w:val="22"/>
          <w:lang w:val="en-US"/>
        </w:rPr>
        <w:t xml:space="preserve"> </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350002, Russia, Krasnodar, Promyshlennaya str., 23</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89184557505, e-mail: kristina.2050@mail.ru</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статье рассмотрены понятие и основные условия осуществления страхования КАСКО. Определены особенности урегулирования страховых случаев по КАСКО, возникающих за пределами территории Российской Федерации.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A concept and basic terms of hull insurance realization are considered. The specifics of the settlement of insurance cases for CASCO, arising outside the territory of the Russian Federation.</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страхование КАСКО</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территория страхования, страховой случай, страховая выплата.</w:t>
      </w:r>
    </w:p>
    <w:p w:rsidR="00181BA7" w:rsidRPr="00DA76A7" w:rsidRDefault="00181BA7" w:rsidP="00181BA7">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hull insurance, insurance territory, insurance case, insurance payment.</w:t>
      </w:r>
    </w:p>
    <w:p w:rsidR="00181BA7" w:rsidRPr="00DA76A7" w:rsidRDefault="00181BA7" w:rsidP="00181BA7">
      <w:pPr>
        <w:ind w:firstLine="567"/>
        <w:jc w:val="both"/>
        <w:rPr>
          <w:rFonts w:ascii="Arial" w:hAnsi="Arial" w:cs="Arial"/>
          <w:b/>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highlight w:val="green"/>
        </w:rPr>
      </w:pPr>
      <w:r w:rsidRPr="00DA76A7">
        <w:rPr>
          <w:rFonts w:ascii="Arial" w:hAnsi="Arial" w:cs="Arial"/>
          <w:color w:val="000000" w:themeColor="text1"/>
          <w:sz w:val="22"/>
          <w:szCs w:val="22"/>
        </w:rPr>
        <w:t>Страхование КАСКО представляет собой страховую защиту прав собственника автомобиля, связанную с распоряжением и использованием транспортного средства [4, 56]. Согласно статье 929 Гражданского кодекса Российской Федерации (далее ГК РФ) двнный вид договора является договором имущественного страхования, по которому одна сторона, именуемая страховщик, обязуется за обусловленную договором плату (страховую премию) в случае наступления предусмотренного в договоре события (страхового случая) возместить другой стороне, именуемой страхователь, причиненные вследствие этого события убытки в застрахованном имуществе либо убытки в связи с иными имущественными интересами страхователя, так называемые «страховые возмещения», в пределах определенной договором суммы (страховой суммы) [1].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КАСКО - это добровольный вид страхования автомобиля, дающий возможность страхователю оградить себя от тех рисков, которые могут возникать при вождении транспортного средства. Данный вид страхования имеет некоторые особенности при наступлении страхового случая за рубежом.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Добровольное страхование, в соответствии с законодательством Российской Федерации, осуществляется на основании договора страхования и правил страхования, которые в свою очередь призваны определить общие условия и порядок его осуществления. Правила страхования, которые принимаются и утверждаются страховщиком или объединением страховщиков самостоятельно в соответствии с ГК РФ и федеральными законами, содержат положения о субъектах страхования, об объектах страхования, о страховых случаях, о страховых рисках, о порядке  определения страховой суммы, страхового тарифа, страховойпремии (страховых взносов), о порядке заключения, исполнения и прекращения договоров страхования, о правах и об обязанностях сторон, об определении размера убытков или ущерба, о порядке определения страховой выплаты, о сроке осуществления страховой выплаты, а также исчерпывающий перечень оснований отказа в страховой выплате и иные положения [2].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Существуют некоторые отличия законодательного регулирования КАСКО и ОСАГО. Например, если процесс заключения договора и действие полиса ОСАГО не должно проводиться вразрез действующему законодательству, то по КАСКО у страховых компаний полная свобода действий (право включить в договор страхования условия, не предусмотренные действующим законодательством, однако данные условия не должны противоречить правилам, установленным ГК РФ</w:t>
      </w:r>
      <w:r w:rsidRPr="00DA76A7">
        <w:rPr>
          <w:rFonts w:ascii="Arial" w:hAnsi="Arial" w:cs="Arial"/>
          <w:color w:val="000000" w:themeColor="text1"/>
          <w:sz w:val="22"/>
          <w:szCs w:val="22"/>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договоре страхования КАСКО можно выделить две его составляющие части: существенные условия страхования и дополнительные условия.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Первая часть договора является основной, именно на нее страхователю необходимо обращаться особо пристальное внимание. Она состоит из ключевых моментов, определяющих суть страхования и условия.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существенным условиям согласно ГК РФ относится следующее: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объект страхования;</w:t>
      </w:r>
    </w:p>
    <w:p w:rsidR="00181BA7" w:rsidRPr="00DA76A7" w:rsidRDefault="00181BA7" w:rsidP="00181BA7">
      <w:pPr>
        <w:ind w:firstLine="567"/>
        <w:jc w:val="both"/>
        <w:rPr>
          <w:rFonts w:ascii="Arial" w:hAnsi="Arial" w:cs="Arial"/>
          <w:color w:val="000000" w:themeColor="text1"/>
          <w:sz w:val="22"/>
          <w:szCs w:val="22"/>
        </w:rPr>
      </w:pPr>
      <w:bookmarkStart w:id="21" w:name="dst102054"/>
      <w:bookmarkEnd w:id="21"/>
      <w:r w:rsidRPr="00DA76A7">
        <w:rPr>
          <w:rFonts w:ascii="Arial" w:hAnsi="Arial" w:cs="Arial"/>
          <w:color w:val="000000" w:themeColor="text1"/>
          <w:sz w:val="22"/>
          <w:szCs w:val="22"/>
        </w:rPr>
        <w:t>2) событие, на случай наступления которого осуществляется страхование (страховой случай);</w:t>
      </w:r>
    </w:p>
    <w:p w:rsidR="00181BA7" w:rsidRPr="00DA76A7" w:rsidRDefault="00181BA7" w:rsidP="00181BA7">
      <w:pPr>
        <w:ind w:firstLine="567"/>
        <w:jc w:val="both"/>
        <w:rPr>
          <w:rFonts w:ascii="Arial" w:hAnsi="Arial" w:cs="Arial"/>
          <w:color w:val="000000" w:themeColor="text1"/>
          <w:sz w:val="22"/>
          <w:szCs w:val="22"/>
        </w:rPr>
      </w:pPr>
      <w:bookmarkStart w:id="22" w:name="dst102055"/>
      <w:bookmarkEnd w:id="22"/>
      <w:r w:rsidRPr="00DA76A7">
        <w:rPr>
          <w:rFonts w:ascii="Arial" w:hAnsi="Arial" w:cs="Arial"/>
          <w:color w:val="000000" w:themeColor="text1"/>
          <w:sz w:val="22"/>
          <w:szCs w:val="22"/>
        </w:rPr>
        <w:t>3) размер страховой суммы;</w:t>
      </w:r>
    </w:p>
    <w:p w:rsidR="00181BA7" w:rsidRPr="00DA76A7" w:rsidRDefault="00181BA7" w:rsidP="00181BA7">
      <w:pPr>
        <w:ind w:firstLine="567"/>
        <w:jc w:val="both"/>
        <w:rPr>
          <w:rFonts w:ascii="Arial" w:hAnsi="Arial" w:cs="Arial"/>
          <w:color w:val="000000" w:themeColor="text1"/>
          <w:sz w:val="22"/>
          <w:szCs w:val="22"/>
        </w:rPr>
      </w:pPr>
      <w:bookmarkStart w:id="23" w:name="dst102056"/>
      <w:bookmarkEnd w:id="23"/>
      <w:r w:rsidRPr="00DA76A7">
        <w:rPr>
          <w:rFonts w:ascii="Arial" w:hAnsi="Arial" w:cs="Arial"/>
          <w:color w:val="000000" w:themeColor="text1"/>
          <w:sz w:val="22"/>
          <w:szCs w:val="22"/>
        </w:rPr>
        <w:t>4) срок действия договора.</w:t>
      </w:r>
    </w:p>
    <w:p w:rsidR="00181BA7" w:rsidRPr="00DA76A7" w:rsidRDefault="00181BA7" w:rsidP="00181BA7">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Вторая же часть договора содержит дополнительные условия и положения. Эта информация не зависит от выбранной программы страхования и является основной политикой работы компании</w:t>
      </w:r>
      <w:r w:rsidRPr="00DA76A7">
        <w:rPr>
          <w:rFonts w:ascii="Arial" w:hAnsi="Arial" w:cs="Arial"/>
          <w:color w:val="000000" w:themeColor="text1"/>
          <w:sz w:val="22"/>
          <w:szCs w:val="22"/>
          <w:shd w:val="clear" w:color="auto" w:fill="FFFFFF"/>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важным условием договора КАСКО является пункт о территории страхования. Территория страхования –  это территория, в пределах которой объекты, указанные в договоре страхования, считаются застрахованными от предусмотренных договором страхования рисков.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 страховым случаем принято понимать свершившееся событие из числа тех, которые были указанны в договоре страхования. Данное событие обязательно должно привести к повреждению, утрате (гибели) транспортного средства и (или) к дополнительным расходам (убыткам), связанным с повреждением, утратой (гибелью) транспортного средства, и повлекшее обязанность страховщика выплатить страховое возмещение.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стандартному договору страхования КАСКО не считаются страховыми случаи, хотя и предусмотренные договором страхования, но произошедшие с застрахованным имуществом по причине использования автомобиля за пределами территории страхования.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Территория страхования может подразделяться на следующие территории использования транспортных средств: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Территория передвижения – территория, на которой транспортное средство двигается собственным ходом или транспортируется при помощи другой техники.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Территория эксплуатации – территория строительной площадки, производства работ, находящаяся в пределах Территории страхования, где транспортное средство используется по назначению.</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Территория хранения - место хранения застрахованного транспортного средства, соответствующее одному из перечисленных ниже условий: здание, сооружение (часть здания, сооружения) или специальная огороженная открытая площадка,</w:t>
      </w:r>
      <w:r w:rsidRPr="00DA76A7">
        <w:rPr>
          <w:rFonts w:ascii="Arial" w:hAnsi="Arial" w:cs="Arial"/>
          <w:color w:val="000000" w:themeColor="text1"/>
          <w:sz w:val="22"/>
          <w:szCs w:val="22"/>
        </w:rPr>
        <w:sym w:font="Symbol" w:char="F02D"/>
      </w:r>
      <w:r w:rsidRPr="00DA76A7">
        <w:rPr>
          <w:rFonts w:ascii="Arial" w:hAnsi="Arial" w:cs="Arial"/>
          <w:color w:val="000000" w:themeColor="text1"/>
          <w:sz w:val="22"/>
          <w:szCs w:val="22"/>
        </w:rPr>
        <w:t xml:space="preserve"> имеющая пункт контроля въезда-выезда автотранспорта и охрану территории, предназначенная для хранения транспортного средства; огороженная территория, охраняемая органами вневедомственной охраны МВД РФ либо частным</w:t>
      </w:r>
      <w:r w:rsidRPr="00DA76A7">
        <w:rPr>
          <w:rFonts w:ascii="Arial" w:hAnsi="Arial" w:cs="Arial"/>
          <w:color w:val="000000" w:themeColor="text1"/>
          <w:sz w:val="22"/>
          <w:szCs w:val="22"/>
        </w:rPr>
        <w:sym w:font="Symbol" w:char="F02D"/>
      </w:r>
      <w:r w:rsidRPr="00DA76A7">
        <w:rPr>
          <w:rFonts w:ascii="Arial" w:hAnsi="Arial" w:cs="Arial"/>
          <w:color w:val="000000" w:themeColor="text1"/>
          <w:sz w:val="22"/>
          <w:szCs w:val="22"/>
        </w:rPr>
        <w:t xml:space="preserve"> охранным предприятием.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стандартному договору КАСКО территорией страхования для всех транспортных средств считается территория Российской Федерации, исключение составляют территорий вооруженных конфликтов, войн и чрезвычайных положений. Однако соглашением сторон может быть предусмотрено расширение территории страхования до стран Содружества независимых государств (СНГ) и Европейского Союза. </w:t>
      </w:r>
      <w:r w:rsidRPr="00DA76A7">
        <w:rPr>
          <w:rFonts w:ascii="Arial" w:hAnsi="Arial" w:cs="Arial"/>
          <w:color w:val="000000" w:themeColor="text1"/>
          <w:sz w:val="22"/>
          <w:szCs w:val="22"/>
          <w:highlight w:val="yellow"/>
        </w:rPr>
        <w:t xml:space="preserve">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Увеличение территории действия страховки производится на необходимый страхователя срок (от нескольких дней до нескольких месяцев). Страхователь может выбрать одно или группу государств, а также определить перечень страхуемых рисков (повреждение, угон, хищение) – в зависимости от этих условий рассчитывается цена страхового полиса.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Когда речь идёт о страховании в других странах мира, нужно ориентироваться на законодательство, которое там действует (например, в Армении существует только добровольное страхование) [5, 378].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Оформление страховки КАСКО производится отдельно от Зеленой карты (страховка гражданской ответственности, действующая на территории 45 стран (все государства Европейского Союза, Иран, Тунис, Марокко, Израиль и Турция), поскольку они относятся к разным видам страхования. Зеленая карта, по сути, является международным аналогом ОСАГО [3]. Соответственно, с ее помощью владелец автомобиля страхует собственную ответственность на случай причинения в аварии вреда третьим лицам. Однако Зеленая карта не позволяет застраховать от повреждений, либо хищения само транспортное средство. Именно поэтому необходимо расширение территории действия страховки по КАСКО, который в свою очередь рассчитан на случаи угона или повреждения машины.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 дорожно-транспортными происшествиями подразумевается внешнее воздействие, подтвержденное документами компетентных органов, или оформленное без участия уполномоченных на то сотрудников полиции в соответствии с требованиями законодательства по ОСАГО, как дорожно-транспортное происшествие, на застрахованное транспортное средство в процессе его остановки, стоянки, движения собственным ходом, находящегося в исправном состоянии, под управлением указанных в договоре страхования лиц, имеющих действующие право на управление транспортным средством соответствующей категории, и не находящихся в состоянии алкогольного, наркотического или иного токсического опьянения до дорожно-транспортного происшествия или до прохождения медицинского освидетельствования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дорожно-транспортных происшествиях, произошедших на территории зарубежного государства с участием транспортного средства, застрахованного по КАСКО, необходимо сообщить о случившемся в свою страховую компанию (извещение о дорожно-транспортном происшествии европейского образца, данный документ в целом похож на российский аналог).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дорожно-транспортном происшествии важно получить информацию о страховой компании других участников происшествия. Это позволит страховщику КАСКО требовать компенсацию с компании виновника. Даже если виновником является, застрахованный по КАСКО, его страховщик формально может обжаловать данный факт.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Правильное оформление дорожно-транспортного происшествия имеет важное значение для получения выплаты по КАСКО. Если не оформить аварию надлежащим образом, впоследствии вам могут предъявить регрессное требование. Кроме того, без документов полиции страховщик почти наверняка откажется ремонтировать автомобиль по КАСКО.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Например, крайне важно соблюдать сроки, прописанные в договоре страхования и/или правилах КАСКО.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Страховщики выплачивают страховую сумму даже в случае нарушения этих условий страховки (по собственной воле или по судебному решению). Однако соблюдение сроков подачи документов в любом случае сильно упростит получение страхового возмещения.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Условия урегулирования страховых случаев за рубежом имеют свои особенности: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ограничение компенсации расходов на эвакуатор;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позиция об осуществлении утилизации или эвакуации машины за счёт страхователя при тотальной гибели (обычно при стоимости ремонта свыше 70-75%);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обязанность страхователя за свой счёт организовать экспертизу повреждений в «местной» экспертной организации с последующим возмещением расходов при страховой выплате;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обязанность страхователя перевести на русский язык предоставляемые документы без последующей компенсации соответствующих расходов;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право страхователя на организацию «необходимого ремонта» – минимально необходимое восстановление авто, обеспечивающее возможность передвижения до территории РФ.</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увеличенные сроки рассмотрения «зарубежного» убытка.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 разных компаний свой перечень подобных нюансов. Некоторые страховые организации при возникновении страховых случаев за рубежом платят только за «ущерб» (то есть без «угона»). Кроме того, встречаются отдельные документы, прописывающие шаги страхователя при страховом случае в иностранных государствах (например, специальное приложение к страховому договору).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Получение страхового возмещения по убытку за рубежом требует тщательного контроля со стороны владельца транспортного средства. Важным фактором является практика автомобильного страхования конкретного государства, о которой потерпевший может ничего не знать, например: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наличие омбудсмена, привлечение которого к решению вопросов по урегулированию убытков является привычным явлением;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практика привлечения адвокатов для получения страховой выплаты (услуги оплачиваются страховщиком виновника вместе с выплатой).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ситуации, когда дорожно-транспортное происшествие произошло за рубежом и в нем виноват иностранец, то могут быть произведены выплаты по российскому договору КАСКО, если в нем есть специальное расширение территории страхования на зарубежные страны (в соответствии с условиями конкретного договора КАСКО), а так же должна быть произведена выплата по договору ОСАГО (или «Зеленая карта») иностранца-виновника дорожно-транспортного происшествия. Иногда за компенсацией можно обратиться к корреспонденту (представителю) иностранной страховой компании на территории России. Условия выплаты определяются национальным законодательством – аналогично, как иностранец, в случае, если виновником дорожно-транспортного происшествия окажется россиянин в России, получает возмещение в соответствии с российскими законами.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Подводя итог вышесказанному, следует отметить, что страхователю по договору КАСКО предоставляется возможность защитить свои права при урегулировании страховых случаев, произошедших за пределами территории Российской Федерации. Однако перед выездом за рубеж ему необходимо расширить территорию страхования для страны, которую он намерен посетить. А при наступлении страхового случая соблюдать установленные договором страхования сроки на извещение страховщика, а также оформить происшествие в соответствии с правилами КАСКО. </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w:t>
      </w:r>
      <w:hyperlink r:id="rId116" w:history="1">
        <w:r w:rsidRPr="00DA76A7">
          <w:rPr>
            <w:rStyle w:val="af0"/>
            <w:rFonts w:ascii="Arial" w:hAnsi="Arial" w:cs="Arial"/>
            <w:color w:val="000000" w:themeColor="text1"/>
            <w:sz w:val="22"/>
            <w:szCs w:val="22"/>
            <w:u w:val="none"/>
          </w:rPr>
          <w:t>Гражданский кодекс Российской Федерации (часть вторая) от 26.01.1996 N 14-ФЗ (ред. от 05.12.2017)</w:t>
        </w:r>
      </w:hyperlink>
      <w:r w:rsidRPr="00DA76A7">
        <w:rPr>
          <w:rFonts w:ascii="Arial" w:hAnsi="Arial" w:cs="Arial"/>
          <w:color w:val="000000" w:themeColor="text1"/>
          <w:sz w:val="22"/>
          <w:szCs w:val="22"/>
        </w:rPr>
        <w:t xml:space="preserve"> [Электронный ресурс] // СПС КонсультантПлюс. – Режим доступа: http://www.consultant.ru  (дата обращения: 20.03.2018).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Закон РФ от 27.11.1992 N 4015-1 (ред. от 31.12.2017) «Об организации страхового дела в Российской Федерации» (с изм. и доп., вступ. в силу с 28.01.2018) [Электронный ресурс] // СПС КонсультантПлюс. – Режим доступа: http://www.consultant.ru (дата обращения: 20.03.2018).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w:t>
      </w:r>
      <w:hyperlink r:id="rId117" w:history="1">
        <w:r w:rsidRPr="00DA76A7">
          <w:rPr>
            <w:rStyle w:val="af0"/>
            <w:rFonts w:ascii="Arial" w:hAnsi="Arial" w:cs="Arial"/>
            <w:color w:val="000000" w:themeColor="text1"/>
            <w:sz w:val="22"/>
            <w:szCs w:val="22"/>
            <w:u w:val="none"/>
          </w:rPr>
          <w:t>Федеральный закон от 25.04.2002 N 40-ФЗ (ред. от 26.07.2017) «Об обязательном страховании гражданской ответственности владельцев транспортных средств» (с изм. и доп., вступ. в силу с 25.09.2017)</w:t>
        </w:r>
      </w:hyperlink>
      <w:r w:rsidRPr="00DA76A7">
        <w:rPr>
          <w:rFonts w:ascii="Arial" w:hAnsi="Arial" w:cs="Arial"/>
          <w:color w:val="000000" w:themeColor="text1"/>
          <w:sz w:val="22"/>
          <w:szCs w:val="22"/>
        </w:rPr>
        <w:t xml:space="preserve"> [Электронный ресурс] // СПС КонсультантПлюс. – Режим доступа: http://www.consultant.ru (дата обращения: 20.03.2018).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Землячева О.А., Федоренко О.А. Развитие страхования КАСКО в Российской Федерации// Научный вестник: Финансы, банки, инвестиции. -2016. -№1.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56-62.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Милоенко Е.В., Баймурзинова А.Б. Порядок организации страхования в странах СНГ и Азии// Проблемы формирования единого пространства экономического и социального развития стран СНГ. -2015. -С. 376-380.</w:t>
      </w:r>
    </w:p>
    <w:p w:rsidR="00181BA7" w:rsidRPr="00DA76A7" w:rsidRDefault="00181BA7" w:rsidP="00181BA7">
      <w:pPr>
        <w:ind w:firstLine="567"/>
        <w:jc w:val="center"/>
        <w:rPr>
          <w:rFonts w:ascii="Arial" w:hAnsi="Arial" w:cs="Arial"/>
          <w:b/>
          <w:bCs/>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ПОНЯТИЕ РАСЧЁТНЫХ ОБЯЗАТЕЛЬСТВ В ГРАЖДАНСКОМ ПРАВЕ</w:t>
      </w:r>
    </w:p>
    <w:p w:rsidR="00181BA7" w:rsidRPr="00DA76A7" w:rsidRDefault="00181BA7" w:rsidP="00181BA7">
      <w:pPr>
        <w:ind w:firstLine="567"/>
        <w:jc w:val="center"/>
        <w:rPr>
          <w:rFonts w:ascii="Arial" w:hAnsi="Arial" w:cs="Arial"/>
          <w:b/>
          <w:bCs/>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Гафурова Гульмира Бозоровна</w:t>
      </w:r>
    </w:p>
    <w:p w:rsidR="00181BA7" w:rsidRPr="00DA76A7" w:rsidRDefault="00181BA7" w:rsidP="00181BA7">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 xml:space="preserve">магистрант 1-го года обучения заочного отделения юридического факультета   Российско-Таджикский (Славянский) университет    </w:t>
      </w:r>
    </w:p>
    <w:p w:rsidR="00181BA7" w:rsidRPr="00DA76A7" w:rsidRDefault="00181BA7" w:rsidP="00181BA7">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 xml:space="preserve">734025, Республика Таджикистан, г. Душанбе, ул. М. Турсунзаде, 30                                                       тел.: 88 0000 305, </w:t>
      </w:r>
      <w:r w:rsidRPr="00DA76A7">
        <w:rPr>
          <w:rFonts w:ascii="Arial" w:hAnsi="Arial" w:cs="Arial"/>
          <w:bCs/>
          <w:color w:val="000000" w:themeColor="text1"/>
          <w:sz w:val="22"/>
          <w:szCs w:val="22"/>
          <w:lang w:val="en-US"/>
        </w:rPr>
        <w:t>e</w:t>
      </w:r>
      <w:r w:rsidRPr="00DA76A7">
        <w:rPr>
          <w:rFonts w:ascii="Arial" w:hAnsi="Arial" w:cs="Arial"/>
          <w:bCs/>
          <w:color w:val="000000" w:themeColor="text1"/>
          <w:sz w:val="22"/>
          <w:szCs w:val="22"/>
        </w:rPr>
        <w:t>-</w:t>
      </w:r>
      <w:r w:rsidRPr="00DA76A7">
        <w:rPr>
          <w:rFonts w:ascii="Arial" w:hAnsi="Arial" w:cs="Arial"/>
          <w:bCs/>
          <w:color w:val="000000" w:themeColor="text1"/>
          <w:sz w:val="22"/>
          <w:szCs w:val="22"/>
          <w:lang w:val="en-US"/>
        </w:rPr>
        <w:t>m</w:t>
      </w:r>
      <w:r w:rsidRPr="00DA76A7">
        <w:rPr>
          <w:rFonts w:ascii="Arial" w:hAnsi="Arial" w:cs="Arial"/>
          <w:bCs/>
          <w:color w:val="000000" w:themeColor="text1"/>
          <w:sz w:val="22"/>
          <w:szCs w:val="22"/>
        </w:rPr>
        <w:t>а</w:t>
      </w:r>
      <w:r w:rsidRPr="00DA76A7">
        <w:rPr>
          <w:rFonts w:ascii="Arial" w:hAnsi="Arial" w:cs="Arial"/>
          <w:bCs/>
          <w:color w:val="000000" w:themeColor="text1"/>
          <w:sz w:val="22"/>
          <w:szCs w:val="22"/>
          <w:lang w:val="en-US"/>
        </w:rPr>
        <w:t>il</w:t>
      </w:r>
      <w:r w:rsidRPr="00DA76A7">
        <w:rPr>
          <w:rFonts w:ascii="Arial" w:hAnsi="Arial" w:cs="Arial"/>
          <w:bCs/>
          <w:color w:val="000000" w:themeColor="text1"/>
          <w:sz w:val="22"/>
          <w:szCs w:val="22"/>
        </w:rPr>
        <w:t xml:space="preserve">: </w:t>
      </w:r>
      <w:hyperlink r:id="rId118" w:history="1">
        <w:r w:rsidRPr="00DA76A7">
          <w:rPr>
            <w:rStyle w:val="af0"/>
            <w:rFonts w:ascii="Arial" w:hAnsi="Arial" w:cs="Arial"/>
            <w:bCs/>
            <w:color w:val="000000" w:themeColor="text1"/>
            <w:sz w:val="22"/>
            <w:szCs w:val="22"/>
            <w:u w:val="none"/>
            <w:lang w:val="en-US"/>
          </w:rPr>
          <w:t>g</w:t>
        </w:r>
        <w:r w:rsidRPr="00DA76A7">
          <w:rPr>
            <w:rStyle w:val="af0"/>
            <w:rFonts w:ascii="Arial" w:hAnsi="Arial" w:cs="Arial"/>
            <w:bCs/>
            <w:color w:val="000000" w:themeColor="text1"/>
            <w:sz w:val="22"/>
            <w:szCs w:val="22"/>
            <w:u w:val="none"/>
          </w:rPr>
          <w:t>а</w:t>
        </w:r>
        <w:r w:rsidRPr="00DA76A7">
          <w:rPr>
            <w:rStyle w:val="af0"/>
            <w:rFonts w:ascii="Arial" w:hAnsi="Arial" w:cs="Arial"/>
            <w:bCs/>
            <w:color w:val="000000" w:themeColor="text1"/>
            <w:sz w:val="22"/>
            <w:szCs w:val="22"/>
            <w:u w:val="none"/>
            <w:lang w:val="en-US"/>
          </w:rPr>
          <w:t>furov</w:t>
        </w:r>
        <w:r w:rsidRPr="00DA76A7">
          <w:rPr>
            <w:rStyle w:val="af0"/>
            <w:rFonts w:ascii="Arial" w:hAnsi="Arial" w:cs="Arial"/>
            <w:bCs/>
            <w:color w:val="000000" w:themeColor="text1"/>
            <w:sz w:val="22"/>
            <w:szCs w:val="22"/>
            <w:u w:val="none"/>
          </w:rPr>
          <w:t>а_</w:t>
        </w:r>
        <w:r w:rsidRPr="00DA76A7">
          <w:rPr>
            <w:rStyle w:val="af0"/>
            <w:rFonts w:ascii="Arial" w:hAnsi="Arial" w:cs="Arial"/>
            <w:bCs/>
            <w:color w:val="000000" w:themeColor="text1"/>
            <w:sz w:val="22"/>
            <w:szCs w:val="22"/>
            <w:u w:val="none"/>
            <w:lang w:val="en-US"/>
          </w:rPr>
          <w:t>gb</w:t>
        </w:r>
        <w:r w:rsidRPr="00DA76A7">
          <w:rPr>
            <w:rStyle w:val="af0"/>
            <w:rFonts w:ascii="Arial" w:hAnsi="Arial" w:cs="Arial"/>
            <w:bCs/>
            <w:color w:val="000000" w:themeColor="text1"/>
            <w:sz w:val="22"/>
            <w:szCs w:val="22"/>
            <w:u w:val="none"/>
          </w:rPr>
          <w:t>@</w:t>
        </w:r>
        <w:r w:rsidRPr="00DA76A7">
          <w:rPr>
            <w:rStyle w:val="af0"/>
            <w:rFonts w:ascii="Arial" w:hAnsi="Arial" w:cs="Arial"/>
            <w:bCs/>
            <w:color w:val="000000" w:themeColor="text1"/>
            <w:sz w:val="22"/>
            <w:szCs w:val="22"/>
            <w:u w:val="none"/>
            <w:lang w:val="en-US"/>
          </w:rPr>
          <w:t>m</w:t>
        </w:r>
        <w:r w:rsidRPr="00DA76A7">
          <w:rPr>
            <w:rStyle w:val="af0"/>
            <w:rFonts w:ascii="Arial" w:hAnsi="Arial" w:cs="Arial"/>
            <w:bCs/>
            <w:color w:val="000000" w:themeColor="text1"/>
            <w:sz w:val="22"/>
            <w:szCs w:val="22"/>
            <w:u w:val="none"/>
          </w:rPr>
          <w:t>а</w:t>
        </w:r>
        <w:r w:rsidRPr="00DA76A7">
          <w:rPr>
            <w:rStyle w:val="af0"/>
            <w:rFonts w:ascii="Arial" w:hAnsi="Arial" w:cs="Arial"/>
            <w:bCs/>
            <w:color w:val="000000" w:themeColor="text1"/>
            <w:sz w:val="22"/>
            <w:szCs w:val="22"/>
            <w:u w:val="none"/>
            <w:lang w:val="en-US"/>
          </w:rPr>
          <w:t>il</w:t>
        </w:r>
        <w:r w:rsidRPr="00DA76A7">
          <w:rPr>
            <w:rStyle w:val="af0"/>
            <w:rFonts w:ascii="Arial" w:hAnsi="Arial" w:cs="Arial"/>
            <w:bCs/>
            <w:color w:val="000000" w:themeColor="text1"/>
            <w:sz w:val="22"/>
            <w:szCs w:val="22"/>
            <w:u w:val="none"/>
          </w:rPr>
          <w:t>.</w:t>
        </w:r>
        <w:r w:rsidRPr="00DA76A7">
          <w:rPr>
            <w:rStyle w:val="af0"/>
            <w:rFonts w:ascii="Arial" w:hAnsi="Arial" w:cs="Arial"/>
            <w:bCs/>
            <w:color w:val="000000" w:themeColor="text1"/>
            <w:sz w:val="22"/>
            <w:szCs w:val="22"/>
            <w:u w:val="none"/>
            <w:lang w:val="en-US"/>
          </w:rPr>
          <w:t>ru</w:t>
        </w:r>
      </w:hyperlink>
    </w:p>
    <w:p w:rsidR="00181BA7" w:rsidRPr="00DA76A7" w:rsidRDefault="00181BA7" w:rsidP="00181BA7">
      <w:pPr>
        <w:ind w:firstLine="567"/>
        <w:jc w:val="center"/>
        <w:rPr>
          <w:rFonts w:ascii="Arial" w:hAnsi="Arial" w:cs="Arial"/>
          <w:b/>
          <w:bCs/>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СONСEPT OF SETTLEMENT OBLIGАTIONS IN THE СIVIL LАW</w:t>
      </w:r>
    </w:p>
    <w:p w:rsidR="00181BA7" w:rsidRPr="00DA76A7" w:rsidRDefault="00181BA7" w:rsidP="00181BA7">
      <w:pPr>
        <w:ind w:firstLine="567"/>
        <w:jc w:val="center"/>
        <w:rPr>
          <w:rFonts w:ascii="Arial" w:hAnsi="Arial" w:cs="Arial"/>
          <w:b/>
          <w:bCs/>
          <w:color w:val="000000" w:themeColor="text1"/>
          <w:sz w:val="22"/>
          <w:szCs w:val="22"/>
          <w:lang w:val="en-US"/>
        </w:rPr>
      </w:pPr>
    </w:p>
    <w:p w:rsidR="00181BA7" w:rsidRPr="00DA76A7" w:rsidRDefault="00181BA7" w:rsidP="00181BA7">
      <w:pPr>
        <w:ind w:firstLine="567"/>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Gаfurovа Gul’mirа Bozorovnа</w:t>
      </w:r>
    </w:p>
    <w:p w:rsidR="00181BA7" w:rsidRPr="00DA76A7" w:rsidRDefault="00181BA7" w:rsidP="00181BA7">
      <w:pPr>
        <w:ind w:firstLine="567"/>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 xml:space="preserve">undergraduate 1st year students of the correspondence department of the lаw fаculty  </w:t>
      </w:r>
    </w:p>
    <w:p w:rsidR="00181BA7" w:rsidRPr="00DA76A7" w:rsidRDefault="00181BA7" w:rsidP="00181BA7">
      <w:pPr>
        <w:ind w:firstLine="567"/>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 xml:space="preserve">Russiаn-Tаjik (Slаvoniс) university   </w:t>
      </w:r>
    </w:p>
    <w:p w:rsidR="00181BA7" w:rsidRPr="00DA76A7" w:rsidRDefault="00181BA7" w:rsidP="00181BA7">
      <w:pPr>
        <w:ind w:firstLine="567"/>
        <w:jc w:val="center"/>
        <w:rPr>
          <w:rFonts w:ascii="Arial" w:hAnsi="Arial" w:cs="Arial"/>
          <w:b/>
          <w:bCs/>
          <w:color w:val="000000" w:themeColor="text1"/>
          <w:sz w:val="22"/>
          <w:szCs w:val="22"/>
          <w:lang w:val="en-US"/>
        </w:rPr>
      </w:pPr>
      <w:r w:rsidRPr="00DA76A7">
        <w:rPr>
          <w:rFonts w:ascii="Arial" w:hAnsi="Arial" w:cs="Arial"/>
          <w:bCs/>
          <w:color w:val="000000" w:themeColor="text1"/>
          <w:sz w:val="22"/>
          <w:szCs w:val="22"/>
          <w:lang w:val="en-US"/>
        </w:rPr>
        <w:t>734025,</w:t>
      </w:r>
      <w:r w:rsidRPr="00DA76A7">
        <w:rPr>
          <w:rFonts w:ascii="Arial" w:hAnsi="Arial" w:cs="Arial"/>
          <w:b/>
          <w:bCs/>
          <w:color w:val="000000" w:themeColor="text1"/>
          <w:sz w:val="22"/>
          <w:szCs w:val="22"/>
          <w:lang w:val="en-US"/>
        </w:rPr>
        <w:t xml:space="preserve"> </w:t>
      </w:r>
      <w:r w:rsidRPr="00DA76A7">
        <w:rPr>
          <w:rFonts w:ascii="Arial" w:hAnsi="Arial" w:cs="Arial"/>
          <w:bCs/>
          <w:color w:val="000000" w:themeColor="text1"/>
          <w:sz w:val="22"/>
          <w:szCs w:val="22"/>
          <w:lang w:val="en-US"/>
        </w:rPr>
        <w:t xml:space="preserve">Republiс of Tаjikistаn, Dushаnbe, M. Tursunzаde str., 30                                           tel.: 88 0000 305, e-mаil: </w:t>
      </w:r>
      <w:hyperlink r:id="rId119" w:history="1">
        <w:r w:rsidRPr="00DA76A7">
          <w:rPr>
            <w:rStyle w:val="af0"/>
            <w:rFonts w:ascii="Arial" w:hAnsi="Arial" w:cs="Arial"/>
            <w:bCs/>
            <w:color w:val="000000" w:themeColor="text1"/>
            <w:sz w:val="22"/>
            <w:szCs w:val="22"/>
            <w:u w:val="none"/>
            <w:lang w:val="en-US"/>
          </w:rPr>
          <w:t>gаfurovа_gb@mаil.ru</w:t>
        </w:r>
      </w:hyperlink>
    </w:p>
    <w:p w:rsidR="00181BA7" w:rsidRPr="00DA76A7" w:rsidRDefault="00181BA7" w:rsidP="00181BA7">
      <w:pPr>
        <w:ind w:firstLine="567"/>
        <w:jc w:val="right"/>
        <w:rPr>
          <w:rFonts w:ascii="Arial" w:hAnsi="Arial" w:cs="Arial"/>
          <w:b/>
          <w:color w:val="000000" w:themeColor="text1"/>
          <w:sz w:val="22"/>
          <w:szCs w:val="22"/>
          <w:lang w:val="en-US"/>
        </w:rPr>
      </w:pPr>
    </w:p>
    <w:p w:rsidR="00181BA7" w:rsidRPr="00DA76A7" w:rsidRDefault="00181BA7" w:rsidP="00181BA7">
      <w:pPr>
        <w:ind w:firstLine="567"/>
        <w:jc w:val="right"/>
        <w:rPr>
          <w:rFonts w:ascii="Arial" w:hAnsi="Arial" w:cs="Arial"/>
          <w:bCs/>
          <w:color w:val="000000" w:themeColor="text1"/>
          <w:sz w:val="22"/>
          <w:szCs w:val="22"/>
        </w:rPr>
      </w:pPr>
      <w:r w:rsidRPr="00DA76A7">
        <w:rPr>
          <w:rFonts w:ascii="Arial" w:hAnsi="Arial" w:cs="Arial"/>
          <w:color w:val="000000" w:themeColor="text1"/>
          <w:sz w:val="22"/>
          <w:szCs w:val="22"/>
        </w:rPr>
        <w:t>Научный руководитель: к.ю.н., доцент Курбонов К.Ш.</w:t>
      </w:r>
    </w:p>
    <w:p w:rsidR="00181BA7" w:rsidRPr="00DA76A7" w:rsidRDefault="00181BA7" w:rsidP="00181BA7">
      <w:pPr>
        <w:ind w:firstLine="567"/>
        <w:rPr>
          <w:rFonts w:ascii="Arial" w:hAnsi="Arial" w:cs="Arial"/>
          <w:b/>
          <w:bCs/>
          <w:color w:val="000000" w:themeColor="text1"/>
          <w:sz w:val="22"/>
          <w:szCs w:val="22"/>
        </w:rPr>
      </w:pPr>
    </w:p>
    <w:p w:rsidR="00181BA7" w:rsidRPr="00DA76A7" w:rsidRDefault="00181BA7" w:rsidP="00181BA7">
      <w:pPr>
        <w:ind w:firstLine="567"/>
        <w:jc w:val="both"/>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bCs/>
          <w:i/>
          <w:color w:val="000000" w:themeColor="text1"/>
          <w:sz w:val="22"/>
          <w:szCs w:val="22"/>
        </w:rPr>
        <w:t>В данной статье рассматриваются общие понятия расчетных обязательств в гражданском праве. Автором раскрываются такие понятия, как наличные и безналичные расчёты.</w:t>
      </w:r>
    </w:p>
    <w:p w:rsidR="00181BA7" w:rsidRPr="00DA76A7" w:rsidRDefault="00181BA7" w:rsidP="00181BA7">
      <w:pPr>
        <w:ind w:firstLine="567"/>
        <w:jc w:val="both"/>
        <w:rPr>
          <w:rFonts w:ascii="Arial" w:hAnsi="Arial" w:cs="Arial"/>
          <w:bCs/>
          <w:i/>
          <w:color w:val="000000" w:themeColor="text1"/>
          <w:sz w:val="22"/>
          <w:szCs w:val="22"/>
          <w:lang w:val="en-US"/>
        </w:rPr>
      </w:pPr>
      <w:r w:rsidRPr="00DA76A7">
        <w:rPr>
          <w:rFonts w:ascii="Arial" w:hAnsi="Arial" w:cs="Arial"/>
          <w:b/>
          <w:bCs/>
          <w:i/>
          <w:color w:val="000000" w:themeColor="text1"/>
          <w:sz w:val="22"/>
          <w:szCs w:val="22"/>
          <w:lang w:val="en-US"/>
        </w:rPr>
        <w:t>Annotation</w:t>
      </w:r>
      <w:r w:rsidRPr="00DA76A7">
        <w:rPr>
          <w:rFonts w:ascii="Arial" w:hAnsi="Arial" w:cs="Arial"/>
          <w:b/>
          <w:bCs/>
          <w:i/>
          <w:color w:val="000000" w:themeColor="text1"/>
          <w:sz w:val="22"/>
          <w:szCs w:val="22"/>
        </w:rPr>
        <w:t>:</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In</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this</w:t>
      </w:r>
      <w:r w:rsidRPr="00DA76A7">
        <w:rPr>
          <w:rFonts w:ascii="Arial" w:hAnsi="Arial" w:cs="Arial"/>
          <w:bCs/>
          <w:i/>
          <w:color w:val="000000" w:themeColor="text1"/>
          <w:sz w:val="22"/>
          <w:szCs w:val="22"/>
        </w:rPr>
        <w:t xml:space="preserve"> а</w:t>
      </w:r>
      <w:r w:rsidRPr="00DA76A7">
        <w:rPr>
          <w:rFonts w:ascii="Arial" w:hAnsi="Arial" w:cs="Arial"/>
          <w:bCs/>
          <w:i/>
          <w:color w:val="000000" w:themeColor="text1"/>
          <w:sz w:val="22"/>
          <w:szCs w:val="22"/>
          <w:lang w:val="en-US"/>
        </w:rPr>
        <w:t>rti</w:t>
      </w:r>
      <w:r w:rsidRPr="00DA76A7">
        <w:rPr>
          <w:rFonts w:ascii="Arial" w:hAnsi="Arial" w:cs="Arial"/>
          <w:bCs/>
          <w:i/>
          <w:color w:val="000000" w:themeColor="text1"/>
          <w:sz w:val="22"/>
          <w:szCs w:val="22"/>
        </w:rPr>
        <w:t>с</w:t>
      </w:r>
      <w:r w:rsidRPr="00DA76A7">
        <w:rPr>
          <w:rFonts w:ascii="Arial" w:hAnsi="Arial" w:cs="Arial"/>
          <w:bCs/>
          <w:i/>
          <w:color w:val="000000" w:themeColor="text1"/>
          <w:sz w:val="22"/>
          <w:szCs w:val="22"/>
          <w:lang w:val="en-US"/>
        </w:rPr>
        <w:t>le</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the</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gener</w:t>
      </w:r>
      <w:r w:rsidRPr="00DA76A7">
        <w:rPr>
          <w:rFonts w:ascii="Arial" w:hAnsi="Arial" w:cs="Arial"/>
          <w:bCs/>
          <w:i/>
          <w:color w:val="000000" w:themeColor="text1"/>
          <w:sz w:val="22"/>
          <w:szCs w:val="22"/>
        </w:rPr>
        <w:t>а</w:t>
      </w:r>
      <w:r w:rsidRPr="00DA76A7">
        <w:rPr>
          <w:rFonts w:ascii="Arial" w:hAnsi="Arial" w:cs="Arial"/>
          <w:bCs/>
          <w:i/>
          <w:color w:val="000000" w:themeColor="text1"/>
          <w:sz w:val="22"/>
          <w:szCs w:val="22"/>
          <w:lang w:val="en-US"/>
        </w:rPr>
        <w:t>l</w:t>
      </w:r>
      <w:r w:rsidRPr="00DA76A7">
        <w:rPr>
          <w:rFonts w:ascii="Arial" w:hAnsi="Arial" w:cs="Arial"/>
          <w:bCs/>
          <w:i/>
          <w:color w:val="000000" w:themeColor="text1"/>
          <w:sz w:val="22"/>
          <w:szCs w:val="22"/>
        </w:rPr>
        <w:t xml:space="preserve"> с</w:t>
      </w:r>
      <w:r w:rsidRPr="00DA76A7">
        <w:rPr>
          <w:rFonts w:ascii="Arial" w:hAnsi="Arial" w:cs="Arial"/>
          <w:bCs/>
          <w:i/>
          <w:color w:val="000000" w:themeColor="text1"/>
          <w:sz w:val="22"/>
          <w:szCs w:val="22"/>
          <w:lang w:val="en-US"/>
        </w:rPr>
        <w:t>on</w:t>
      </w:r>
      <w:r w:rsidRPr="00DA76A7">
        <w:rPr>
          <w:rFonts w:ascii="Arial" w:hAnsi="Arial" w:cs="Arial"/>
          <w:bCs/>
          <w:i/>
          <w:color w:val="000000" w:themeColor="text1"/>
          <w:sz w:val="22"/>
          <w:szCs w:val="22"/>
        </w:rPr>
        <w:t>с</w:t>
      </w:r>
      <w:r w:rsidRPr="00DA76A7">
        <w:rPr>
          <w:rFonts w:ascii="Arial" w:hAnsi="Arial" w:cs="Arial"/>
          <w:bCs/>
          <w:i/>
          <w:color w:val="000000" w:themeColor="text1"/>
          <w:sz w:val="22"/>
          <w:szCs w:val="22"/>
          <w:lang w:val="en-US"/>
        </w:rPr>
        <w:t>epts</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of</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settlement</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oblig</w:t>
      </w:r>
      <w:r w:rsidRPr="00DA76A7">
        <w:rPr>
          <w:rFonts w:ascii="Arial" w:hAnsi="Arial" w:cs="Arial"/>
          <w:bCs/>
          <w:i/>
          <w:color w:val="000000" w:themeColor="text1"/>
          <w:sz w:val="22"/>
          <w:szCs w:val="22"/>
        </w:rPr>
        <w:t>а</w:t>
      </w:r>
      <w:r w:rsidRPr="00DA76A7">
        <w:rPr>
          <w:rFonts w:ascii="Arial" w:hAnsi="Arial" w:cs="Arial"/>
          <w:bCs/>
          <w:i/>
          <w:color w:val="000000" w:themeColor="text1"/>
          <w:sz w:val="22"/>
          <w:szCs w:val="22"/>
          <w:lang w:val="en-US"/>
        </w:rPr>
        <w:t>tions</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in</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the</w:t>
      </w:r>
      <w:r w:rsidRPr="00DA76A7">
        <w:rPr>
          <w:rFonts w:ascii="Arial" w:hAnsi="Arial" w:cs="Arial"/>
          <w:bCs/>
          <w:i/>
          <w:color w:val="000000" w:themeColor="text1"/>
          <w:sz w:val="22"/>
          <w:szCs w:val="22"/>
        </w:rPr>
        <w:t xml:space="preserve"> с</w:t>
      </w:r>
      <w:r w:rsidRPr="00DA76A7">
        <w:rPr>
          <w:rFonts w:ascii="Arial" w:hAnsi="Arial" w:cs="Arial"/>
          <w:bCs/>
          <w:i/>
          <w:color w:val="000000" w:themeColor="text1"/>
          <w:sz w:val="22"/>
          <w:szCs w:val="22"/>
          <w:lang w:val="en-US"/>
        </w:rPr>
        <w:t>ivil</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l</w:t>
      </w:r>
      <w:r w:rsidRPr="00DA76A7">
        <w:rPr>
          <w:rFonts w:ascii="Arial" w:hAnsi="Arial" w:cs="Arial"/>
          <w:bCs/>
          <w:i/>
          <w:color w:val="000000" w:themeColor="text1"/>
          <w:sz w:val="22"/>
          <w:szCs w:val="22"/>
        </w:rPr>
        <w:t>а</w:t>
      </w:r>
      <w:r w:rsidRPr="00DA76A7">
        <w:rPr>
          <w:rFonts w:ascii="Arial" w:hAnsi="Arial" w:cs="Arial"/>
          <w:bCs/>
          <w:i/>
          <w:color w:val="000000" w:themeColor="text1"/>
          <w:sz w:val="22"/>
          <w:szCs w:val="22"/>
          <w:lang w:val="en-US"/>
        </w:rPr>
        <w:t>w</w:t>
      </w:r>
      <w:r w:rsidRPr="00DA76A7">
        <w:rPr>
          <w:rFonts w:ascii="Arial" w:hAnsi="Arial" w:cs="Arial"/>
          <w:bCs/>
          <w:i/>
          <w:color w:val="000000" w:themeColor="text1"/>
          <w:sz w:val="22"/>
          <w:szCs w:val="22"/>
        </w:rPr>
        <w:t xml:space="preserve">.  </w:t>
      </w:r>
      <w:r w:rsidRPr="00DA76A7">
        <w:rPr>
          <w:rFonts w:ascii="Arial" w:hAnsi="Arial" w:cs="Arial"/>
          <w:bCs/>
          <w:i/>
          <w:color w:val="000000" w:themeColor="text1"/>
          <w:sz w:val="22"/>
          <w:szCs w:val="22"/>
          <w:lang w:val="en-US"/>
        </w:rPr>
        <w:t>The аuthor unсovers suсh сonсepts аs саsh аnd non-саsh settlements.</w:t>
      </w:r>
    </w:p>
    <w:p w:rsidR="00181BA7" w:rsidRPr="00DA76A7" w:rsidRDefault="00181BA7" w:rsidP="00181BA7">
      <w:pPr>
        <w:ind w:firstLine="567"/>
        <w:jc w:val="both"/>
        <w:rPr>
          <w:rFonts w:ascii="Arial" w:hAnsi="Arial" w:cs="Arial"/>
          <w:bCs/>
          <w:i/>
          <w:color w:val="000000" w:themeColor="text1"/>
          <w:sz w:val="22"/>
          <w:szCs w:val="22"/>
        </w:rPr>
      </w:pPr>
      <w:r w:rsidRPr="00DA76A7">
        <w:rPr>
          <w:rFonts w:ascii="Arial" w:hAnsi="Arial" w:cs="Arial"/>
          <w:b/>
          <w:bCs/>
          <w:i/>
          <w:color w:val="000000" w:themeColor="text1"/>
          <w:sz w:val="22"/>
          <w:szCs w:val="22"/>
        </w:rPr>
        <w:t>Ключевые слова:</w:t>
      </w:r>
      <w:r w:rsidRPr="00DA76A7">
        <w:rPr>
          <w:rFonts w:ascii="Arial" w:hAnsi="Arial" w:cs="Arial"/>
          <w:bCs/>
          <w:i/>
          <w:color w:val="000000" w:themeColor="text1"/>
          <w:sz w:val="22"/>
          <w:szCs w:val="22"/>
        </w:rPr>
        <w:t xml:space="preserve"> расчётные обязательства, расчётные операции, способы расчётов, наличные расчёты, безналичные расчёты, правовая природа, денежные средства.</w:t>
      </w:r>
    </w:p>
    <w:p w:rsidR="00181BA7" w:rsidRPr="00DA76A7" w:rsidRDefault="00181BA7" w:rsidP="00181BA7">
      <w:pPr>
        <w:ind w:firstLine="567"/>
        <w:jc w:val="both"/>
        <w:rPr>
          <w:rFonts w:ascii="Arial" w:hAnsi="Arial" w:cs="Arial"/>
          <w:bCs/>
          <w:i/>
          <w:color w:val="000000" w:themeColor="text1"/>
          <w:sz w:val="22"/>
          <w:szCs w:val="22"/>
          <w:lang w:val="en-US"/>
        </w:rPr>
      </w:pPr>
      <w:r w:rsidRPr="00DA76A7">
        <w:rPr>
          <w:rFonts w:ascii="Arial" w:hAnsi="Arial" w:cs="Arial"/>
          <w:b/>
          <w:bCs/>
          <w:i/>
          <w:color w:val="000000" w:themeColor="text1"/>
          <w:sz w:val="22"/>
          <w:szCs w:val="22"/>
          <w:lang w:val="en-US"/>
        </w:rPr>
        <w:t>Key words:</w:t>
      </w:r>
      <w:r w:rsidRPr="00DA76A7">
        <w:rPr>
          <w:rFonts w:ascii="Arial" w:hAnsi="Arial" w:cs="Arial"/>
          <w:bCs/>
          <w:i/>
          <w:color w:val="000000" w:themeColor="text1"/>
          <w:sz w:val="22"/>
          <w:szCs w:val="22"/>
          <w:lang w:val="en-US"/>
        </w:rPr>
        <w:t xml:space="preserve"> settlement obligаtions, settlement operаtions, methods of pаyment, саsh settlements, non-саsh settlements, legаl nаture, саsh.</w:t>
      </w:r>
    </w:p>
    <w:p w:rsidR="00181BA7" w:rsidRPr="00DA76A7" w:rsidRDefault="00181BA7" w:rsidP="00181BA7">
      <w:pPr>
        <w:ind w:firstLine="567"/>
        <w:jc w:val="both"/>
        <w:rPr>
          <w:rFonts w:ascii="Arial" w:hAnsi="Arial" w:cs="Arial"/>
          <w:bCs/>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Обязательственные правоотношения – одна из  важнейших и  обширных подотраслей гражданского права, нормы которой призваны регламентировать динамику материальных благ и повседневно применяются предпринимателями, организациями, а также гражданами. В гражданском законодательстве обязательства определяются как обязанность одного лица (должника) совершить в пользу другого лица (кредитора) определенное действие, как-то: передать имущество, выполнить работу, уплатить деньги и т.п., либо воздержаться от определенного действия, и, соответственно, право кредитора требовать от должника исполнения его обязанности </w:t>
      </w:r>
      <w:r w:rsidRPr="00DA76A7">
        <w:rPr>
          <w:rFonts w:ascii="Arial" w:hAnsi="Arial" w:cs="Arial"/>
          <w:iCs/>
          <w:color w:val="000000" w:themeColor="text1"/>
          <w:sz w:val="22"/>
          <w:szCs w:val="22"/>
        </w:rPr>
        <w:t>[6, 38].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Необходимость по передаче денежных средств регулярно возникает в  хозяйственном обороте. Данная необходимость может вызываться исполнением публично-правовой обязанности или денежного обязательства, связанного с возмещением ущерба, оплатой предоставленного товара, выполненных работ или оказанных услуг и т.п. Действия, которые совершаются хозяйствующими субъектами по поводу осуществления платежей, в юридической и экономической литературе принято называть расчетами.</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Процесс исполнения денежных обязательств обычно называют расчётами.</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Иначе говоря, расчёты возникают и производятся в большинстве случаев по договорам, но еще и в связи с причинением и возмещением вреда [2, 43].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Расчёты, осуществляемые сторонами непосредственно по основному договору (обязанность по передаче и оплате товара, оказанию услуг или выполнению работ) являются исполнением денежного обязательства и самостоятельного расчётного обязательства не возникает. Самостоятельное расчётное обязательство возникает тогда, когда стороны для осуществления расчётов привлекают третьих лиц (кредитные организации) и возникает обособленное от основного договора обязательство по расчётам.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возникновение самостоятельных расчетных обязательств зависит от того какой способ расчетов установлен сторонами.</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 xml:space="preserve"> В зависимости от соглашения сторон и требований законодательства надлежащее исполнение денежных обязательств может осуществляться тремя способами: путем наличных или безналичных расчетов и зачета встречных требований.</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 xml:space="preserve">Правовая природа наличных денег имея  двойственный характер рассматривается, с одной стороны, как </w:t>
      </w:r>
      <w:r w:rsidRPr="00DA76A7">
        <w:rPr>
          <w:rFonts w:ascii="Arial" w:hAnsi="Arial" w:cs="Arial"/>
          <w:iCs/>
          <w:color w:val="000000" w:themeColor="text1"/>
          <w:sz w:val="22"/>
          <w:szCs w:val="22"/>
          <w:lang w:val="en-US"/>
        </w:rPr>
        <w:t>res</w:t>
      </w:r>
      <w:r w:rsidRPr="00DA76A7">
        <w:rPr>
          <w:rFonts w:ascii="Arial" w:hAnsi="Arial" w:cs="Arial"/>
          <w:iCs/>
          <w:color w:val="000000" w:themeColor="text1"/>
          <w:sz w:val="22"/>
          <w:szCs w:val="22"/>
        </w:rPr>
        <w:t xml:space="preserve"> с</w:t>
      </w:r>
      <w:r w:rsidRPr="00DA76A7">
        <w:rPr>
          <w:rFonts w:ascii="Arial" w:hAnsi="Arial" w:cs="Arial"/>
          <w:iCs/>
          <w:color w:val="000000" w:themeColor="text1"/>
          <w:sz w:val="22"/>
          <w:szCs w:val="22"/>
          <w:lang w:val="en-US"/>
        </w:rPr>
        <w:t>orpor</w:t>
      </w:r>
      <w:r w:rsidRPr="00DA76A7">
        <w:rPr>
          <w:rFonts w:ascii="Arial" w:hAnsi="Arial" w:cs="Arial"/>
          <w:iCs/>
          <w:color w:val="000000" w:themeColor="text1"/>
          <w:sz w:val="22"/>
          <w:szCs w:val="22"/>
        </w:rPr>
        <w:t>а</w:t>
      </w:r>
      <w:r w:rsidRPr="00DA76A7">
        <w:rPr>
          <w:rFonts w:ascii="Arial" w:hAnsi="Arial" w:cs="Arial"/>
          <w:iCs/>
          <w:color w:val="000000" w:themeColor="text1"/>
          <w:sz w:val="22"/>
          <w:szCs w:val="22"/>
          <w:lang w:val="en-US"/>
        </w:rPr>
        <w:t>les</w:t>
      </w:r>
      <w:r w:rsidRPr="00DA76A7">
        <w:rPr>
          <w:rFonts w:ascii="Arial" w:hAnsi="Arial" w:cs="Arial"/>
          <w:iCs/>
          <w:color w:val="000000" w:themeColor="text1"/>
          <w:sz w:val="22"/>
          <w:szCs w:val="22"/>
        </w:rPr>
        <w:t xml:space="preserve"> (телесная вещь), причем как вещь движимая, заменимая и потребляемая. С другой стороны, несравненно чаще, чем как вещь, в гражданско-правовых сделках деньги играют роль просто как то или другое количество единиц ценности. </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Под безналичными расчетами обычно понимается процедура исполнения денежных обязательств через профессиональные финансовые институты, которыми чаще всего являются банки, другие небанковские кредитные организации (МДО, МКО) и т.п. Однако данное определение является узким и не учитывает целый круг разнообразных безналичных операций, выполняемых финансовыми институтами. Многие из них не приводят к прекращению денежных обязательств, например, когда средства переводятся с одного на другой счет, принадлежащий тому же лицу, или средства перечисляются при отсутствии каких-либо обязательств и т.п. Нельзя также сказать, что безналичные расчеты - это расчеты, которые выполняются при полном отсутствии наличных денег. Наличные деньги могут присутствовать как на начальном, так и на конечном этапе безналичных расчетов, если это не запрещено законодательством.</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В общем смысле под безналичными расчётами понимаются любые операции финансовых институтов по получению или передаче денег, осуществляемые ими по поручению клиентуры путем совершения записей по соответствующим счетам. В результате многократных безналичных расчетов записи на банковских счетах клиентуры приобрели некоторые денежные функции и стали называться безналичными (кредитными) деньгами.</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Способ расчёта путем зачета встречных требований осуществляются без участия денег, причём как наличных, так и безналичных. На практике они могут оформляться как с использованием конструкции (зачет взаимных требований), так и путем двустороннего или многостороннего клиринга. Клиринг применяется расчетными палатами бирж, другими специализированными клиринговыми организациями. С правовой позиции клиринг - сложное правовое явление, на определенном этапе которого происходит новация обязательства в форме делегации.</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Возникновение расчётных правоотношений происходит на основании совершаемых клиентами и их банками расчетных сделок, совокупность стандартных правил заключения и исполнения которых (механизм расчетов) традиционно в литературе носит название форм безналичных расчетов. Формы расчетов различаются исходя из вида расчетного документа, порядка документооборота, а также наличия или отсутствия условий предоставления денег в распоряжение получателя платежа. В  гражданском законодательстве перечислены следующие формы безналичных расчетов: расчеты платежными поручениями, инкассо, аккредитив, чек.</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Безналичные расчёты в правовом понимании не являются синонимом расчётной сделки, так как при безналичных расчетах деньги проходят через несколько счетов, все формы расчетов неизбежно должны состоять из нескольких расчетных сделок, каждая из которых, как правило, направлена на исполнение соответствующего договора банковского счета. В некоторых случаях расчетные сделки могут быть совершены при отсутствии договора банковского счета. Под расчетной сделкой следует понимать любую гражданско-правовую сделку, осуществляемую субъектами системы безналичных расчетов (банками и их клиентами) в пределах определенной формы безналичных расчетов и направленную на перемещение (трансферт) безналичных активов одного счета клиента на другой счет, принадлежащий как самому клиенту, так и третьему лицу.</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Расчетные сделки бывают двусторонними и односторонними. Например, при расчетах платежными поручениями двусторонними расчетными сделками являются: договор плательщика с обслуживающим его банком о кредитовом переводе средств и договор банка плательщика с банком-посредником о кредитовом переводе средств.</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По вопросу о том, является ли расчетная сделка односторонней, двусторонней или многосторонней, в научной литературе были высказаны различные точки зрения. Так О.С. Иоффе полагал, что сделки, совершаемые во исполнение договора банковского счета, представляют собой договоры, сторонами которых являются банк и клиент [1, 703]. Е.А. Компанеец считает, что рассматриваемые сделки являются многосторонними договорами, которые связывают в одно правоотношение три стороны: плательщика, получателя средств и банк [3, 223]. Имеется также точка зрения о том, что расчетные сделки следует рассматривать как односторонние [7, 104].</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Безналичные расчеты могут осуществляться в формах, предусмотренных законодательством, установленными в соответствии с ним банковскими правилами и применяемыми в банковской практике обычаями делового оборота. Субъекты-участники гражданско-правового обязательства на передачу товаров, выполнение работ, оказание услуг имеют право определить и форму расчетов. Под формой безналичных расчетов понимаются способы и порядок исполнения денежного обязательства с использованием денежных средств на банковском счете должника [4, 233].</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Непосредственно в гражданском законодательстве предусмотрены и регулируются данные формы безналичных расчетов:</w:t>
      </w:r>
    </w:p>
    <w:p w:rsidR="00181BA7" w:rsidRPr="00DA76A7" w:rsidRDefault="00181BA7" w:rsidP="00D45D6B">
      <w:pPr>
        <w:pStyle w:val="a6"/>
        <w:widowControl w:val="0"/>
        <w:numPr>
          <w:ilvl w:val="0"/>
          <w:numId w:val="54"/>
        </w:numPr>
        <w:tabs>
          <w:tab w:val="left" w:pos="726"/>
        </w:tabs>
        <w:autoSpaceDE w:val="0"/>
        <w:autoSpaceDN w:val="0"/>
        <w:adjustRightInd w:val="0"/>
        <w:spacing w:after="0" w:line="240" w:lineRule="auto"/>
        <w:ind w:left="0" w:firstLine="567"/>
        <w:jc w:val="both"/>
        <w:rPr>
          <w:rFonts w:ascii="Arial" w:hAnsi="Arial" w:cs="Arial"/>
          <w:iCs/>
          <w:color w:val="000000" w:themeColor="text1"/>
        </w:rPr>
      </w:pPr>
      <w:r w:rsidRPr="00DA76A7">
        <w:rPr>
          <w:rFonts w:ascii="Arial" w:hAnsi="Arial" w:cs="Arial"/>
          <w:iCs/>
          <w:color w:val="000000" w:themeColor="text1"/>
        </w:rPr>
        <w:t>расчеты платежными поручениями;</w:t>
      </w:r>
    </w:p>
    <w:p w:rsidR="00181BA7" w:rsidRPr="00DA76A7" w:rsidRDefault="00181BA7" w:rsidP="00D45D6B">
      <w:pPr>
        <w:pStyle w:val="a6"/>
        <w:widowControl w:val="0"/>
        <w:numPr>
          <w:ilvl w:val="0"/>
          <w:numId w:val="54"/>
        </w:numPr>
        <w:tabs>
          <w:tab w:val="left" w:pos="726"/>
        </w:tabs>
        <w:autoSpaceDE w:val="0"/>
        <w:autoSpaceDN w:val="0"/>
        <w:adjustRightInd w:val="0"/>
        <w:spacing w:after="0" w:line="240" w:lineRule="auto"/>
        <w:ind w:left="0" w:firstLine="567"/>
        <w:jc w:val="both"/>
        <w:rPr>
          <w:rFonts w:ascii="Arial" w:hAnsi="Arial" w:cs="Arial"/>
          <w:iCs/>
          <w:color w:val="000000" w:themeColor="text1"/>
        </w:rPr>
      </w:pPr>
      <w:r w:rsidRPr="00DA76A7">
        <w:rPr>
          <w:rFonts w:ascii="Arial" w:hAnsi="Arial" w:cs="Arial"/>
          <w:iCs/>
          <w:color w:val="000000" w:themeColor="text1"/>
        </w:rPr>
        <w:t>расчеты по аккредитиву;</w:t>
      </w:r>
    </w:p>
    <w:p w:rsidR="00181BA7" w:rsidRPr="00DA76A7" w:rsidRDefault="00181BA7" w:rsidP="00D45D6B">
      <w:pPr>
        <w:pStyle w:val="a6"/>
        <w:widowControl w:val="0"/>
        <w:numPr>
          <w:ilvl w:val="0"/>
          <w:numId w:val="54"/>
        </w:numPr>
        <w:tabs>
          <w:tab w:val="left" w:pos="726"/>
        </w:tabs>
        <w:autoSpaceDE w:val="0"/>
        <w:autoSpaceDN w:val="0"/>
        <w:adjustRightInd w:val="0"/>
        <w:spacing w:after="0" w:line="240" w:lineRule="auto"/>
        <w:ind w:left="0" w:firstLine="567"/>
        <w:jc w:val="both"/>
        <w:rPr>
          <w:rFonts w:ascii="Arial" w:hAnsi="Arial" w:cs="Arial"/>
          <w:iCs/>
          <w:color w:val="000000" w:themeColor="text1"/>
        </w:rPr>
      </w:pPr>
      <w:r w:rsidRPr="00DA76A7">
        <w:rPr>
          <w:rFonts w:ascii="Arial" w:hAnsi="Arial" w:cs="Arial"/>
          <w:iCs/>
          <w:color w:val="000000" w:themeColor="text1"/>
        </w:rPr>
        <w:t>расчеты по инкассо;</w:t>
      </w:r>
    </w:p>
    <w:p w:rsidR="00181BA7" w:rsidRPr="00DA76A7" w:rsidRDefault="00181BA7" w:rsidP="00D45D6B">
      <w:pPr>
        <w:pStyle w:val="a6"/>
        <w:widowControl w:val="0"/>
        <w:numPr>
          <w:ilvl w:val="0"/>
          <w:numId w:val="54"/>
        </w:numPr>
        <w:tabs>
          <w:tab w:val="left" w:pos="726"/>
        </w:tabs>
        <w:autoSpaceDE w:val="0"/>
        <w:autoSpaceDN w:val="0"/>
        <w:adjustRightInd w:val="0"/>
        <w:spacing w:after="0" w:line="240" w:lineRule="auto"/>
        <w:ind w:left="0" w:firstLine="567"/>
        <w:jc w:val="both"/>
        <w:rPr>
          <w:rFonts w:ascii="Arial" w:hAnsi="Arial" w:cs="Arial"/>
          <w:iCs/>
          <w:color w:val="000000" w:themeColor="text1"/>
        </w:rPr>
      </w:pPr>
      <w:r w:rsidRPr="00DA76A7">
        <w:rPr>
          <w:rFonts w:ascii="Arial" w:hAnsi="Arial" w:cs="Arial"/>
          <w:iCs/>
          <w:color w:val="000000" w:themeColor="text1"/>
        </w:rPr>
        <w:t>расчеты чеками.</w:t>
      </w:r>
    </w:p>
    <w:p w:rsidR="00181BA7" w:rsidRPr="00DA76A7" w:rsidRDefault="00181BA7" w:rsidP="00181BA7">
      <w:pPr>
        <w:tabs>
          <w:tab w:val="left" w:pos="726"/>
        </w:tabs>
        <w:ind w:firstLine="567"/>
        <w:jc w:val="both"/>
        <w:rPr>
          <w:rFonts w:ascii="Arial" w:hAnsi="Arial" w:cs="Arial"/>
          <w:iCs/>
          <w:color w:val="000000" w:themeColor="text1"/>
          <w:sz w:val="22"/>
          <w:szCs w:val="22"/>
        </w:rPr>
      </w:pPr>
      <w:r w:rsidRPr="00DA76A7">
        <w:rPr>
          <w:rFonts w:ascii="Arial" w:hAnsi="Arial" w:cs="Arial"/>
          <w:iCs/>
          <w:color w:val="000000" w:themeColor="text1"/>
          <w:sz w:val="22"/>
          <w:szCs w:val="22"/>
        </w:rPr>
        <w:t>В нынешнее время в банковской практике всё большее распространение находят электронные формы расчетов, когда безналичные расчеты осуществляются главным образом с помощью телекоммуникационных систем связи, а бумажный документооборот сведен к минимуму и практически не применяется.</w:t>
      </w:r>
    </w:p>
    <w:p w:rsidR="00181BA7" w:rsidRPr="00DA76A7" w:rsidRDefault="00181BA7" w:rsidP="00181BA7">
      <w:pPr>
        <w:ind w:firstLine="567"/>
        <w:rPr>
          <w:rFonts w:ascii="Arial" w:hAnsi="Arial" w:cs="Arial"/>
          <w:b/>
          <w:bCs/>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Список литературы:</w:t>
      </w:r>
    </w:p>
    <w:p w:rsidR="00181BA7" w:rsidRPr="00DA76A7" w:rsidRDefault="00181BA7" w:rsidP="00D45D6B">
      <w:pPr>
        <w:numPr>
          <w:ilvl w:val="0"/>
          <w:numId w:val="52"/>
        </w:numPr>
        <w:shd w:val="clear" w:color="auto" w:fill="FFFFFF"/>
        <w:tabs>
          <w:tab w:val="left" w:pos="540"/>
          <w:tab w:val="left" w:pos="851"/>
          <w:tab w:val="left" w:pos="993"/>
          <w:tab w:val="left" w:pos="1418"/>
          <w:tab w:val="left" w:pos="170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Иоффе О.С. Обязательственное право. - М.: «Юрид.лит.», 1975. – 880 с.</w:t>
      </w:r>
    </w:p>
    <w:p w:rsidR="00181BA7" w:rsidRPr="00DA76A7" w:rsidRDefault="00181BA7" w:rsidP="00D45D6B">
      <w:pPr>
        <w:pStyle w:val="a6"/>
        <w:widowControl w:val="0"/>
        <w:numPr>
          <w:ilvl w:val="0"/>
          <w:numId w:val="52"/>
        </w:numPr>
        <w:shd w:val="clear" w:color="auto" w:fill="FFFFFF"/>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Исмоилова З.И. Правовое регулирование расчетных отношений в международном коммерческом обороте: дисс. … канд. юрид. наук. – Душанбе, 2014. – 196 с.</w:t>
      </w:r>
    </w:p>
    <w:p w:rsidR="00181BA7" w:rsidRPr="00DA76A7" w:rsidRDefault="00181BA7" w:rsidP="00D45D6B">
      <w:pPr>
        <w:numPr>
          <w:ilvl w:val="0"/>
          <w:numId w:val="52"/>
        </w:numPr>
        <w:shd w:val="clear" w:color="auto" w:fill="FFFFFF"/>
        <w:tabs>
          <w:tab w:val="left" w:pos="540"/>
          <w:tab w:val="left" w:pos="851"/>
          <w:tab w:val="left" w:pos="993"/>
          <w:tab w:val="left" w:pos="1418"/>
          <w:tab w:val="left" w:pos="170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Компанеец Е.С., Полонский Э.Г. Применение законодательства о кредитовании и расчетах. - М., 1967. -  260 с.</w:t>
      </w:r>
    </w:p>
    <w:p w:rsidR="00181BA7" w:rsidRPr="00DA76A7" w:rsidRDefault="00181BA7" w:rsidP="00D45D6B">
      <w:pPr>
        <w:numPr>
          <w:ilvl w:val="0"/>
          <w:numId w:val="52"/>
        </w:numPr>
        <w:shd w:val="clear" w:color="auto" w:fill="FFFFFF"/>
        <w:tabs>
          <w:tab w:val="left" w:pos="540"/>
          <w:tab w:val="left" w:pos="851"/>
          <w:tab w:val="left" w:pos="993"/>
          <w:tab w:val="left" w:pos="1418"/>
          <w:tab w:val="left" w:pos="170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Куник Я.А. Кредитные и расчетные отношения в торговле. - М.,  1970. -  163 с.</w:t>
      </w:r>
    </w:p>
    <w:p w:rsidR="00181BA7" w:rsidRPr="00DA76A7" w:rsidRDefault="00181BA7" w:rsidP="00D45D6B">
      <w:pPr>
        <w:numPr>
          <w:ilvl w:val="0"/>
          <w:numId w:val="52"/>
        </w:numPr>
        <w:tabs>
          <w:tab w:val="left" w:pos="540"/>
          <w:tab w:val="left" w:pos="851"/>
          <w:tab w:val="left" w:pos="993"/>
          <w:tab w:val="left" w:pos="1418"/>
          <w:tab w:val="left" w:pos="170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Новоселова Л.А. Денежные расчеты в предпринимательской деятельности. - М., 2006. - 160 с.</w:t>
      </w:r>
    </w:p>
    <w:p w:rsidR="00181BA7" w:rsidRPr="00DA76A7" w:rsidRDefault="00181BA7" w:rsidP="00D45D6B">
      <w:pPr>
        <w:widowControl/>
        <w:numPr>
          <w:ilvl w:val="0"/>
          <w:numId w:val="52"/>
        </w:numPr>
        <w:shd w:val="clear" w:color="auto" w:fill="FFFFFF"/>
        <w:tabs>
          <w:tab w:val="left" w:pos="540"/>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Пугинский Б.И. Составные обязательства в гражданском праве // Вестник Московского университета. – 2003.-N 6.-  С. 10-46.</w:t>
      </w:r>
    </w:p>
    <w:p w:rsidR="00181BA7" w:rsidRPr="00DA76A7" w:rsidRDefault="00181BA7" w:rsidP="00D45D6B">
      <w:pPr>
        <w:numPr>
          <w:ilvl w:val="0"/>
          <w:numId w:val="52"/>
        </w:numPr>
        <w:shd w:val="clear" w:color="auto" w:fill="FFFFFF"/>
        <w:tabs>
          <w:tab w:val="left" w:pos="540"/>
          <w:tab w:val="left" w:pos="851"/>
          <w:tab w:val="left" w:pos="993"/>
          <w:tab w:val="left" w:pos="1418"/>
          <w:tab w:val="left" w:pos="170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Флейщиц Е.А. Расчетные и кредитные правоотношения.- М., 1994.– 278  с.</w:t>
      </w:r>
    </w:p>
    <w:p w:rsidR="00181BA7" w:rsidRPr="00DA76A7" w:rsidRDefault="00181BA7" w:rsidP="00181BA7">
      <w:pPr>
        <w:shd w:val="clear" w:color="auto" w:fill="FFFFFF"/>
        <w:tabs>
          <w:tab w:val="left" w:pos="540"/>
          <w:tab w:val="left" w:pos="851"/>
          <w:tab w:val="left" w:pos="993"/>
          <w:tab w:val="left" w:pos="1418"/>
          <w:tab w:val="left" w:pos="1701"/>
        </w:tabs>
        <w:ind w:firstLine="567"/>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lang w:val="tg-Cyrl-TJ"/>
        </w:rPr>
      </w:pPr>
    </w:p>
    <w:p w:rsidR="00181BA7" w:rsidRPr="00DA76A7" w:rsidRDefault="00181BA7" w:rsidP="00181BA7">
      <w:pPr>
        <w:jc w:val="center"/>
        <w:rPr>
          <w:rFonts w:ascii="Arial" w:hAnsi="Arial" w:cs="Arial"/>
          <w:b/>
          <w:color w:val="000000" w:themeColor="text1"/>
          <w:sz w:val="22"/>
          <w:szCs w:val="22"/>
          <w:lang w:val="tg-Cyrl-TJ"/>
        </w:rPr>
      </w:pPr>
      <w:r w:rsidRPr="00DA76A7">
        <w:rPr>
          <w:rFonts w:ascii="Arial" w:hAnsi="Arial" w:cs="Arial"/>
          <w:b/>
          <w:color w:val="000000" w:themeColor="text1"/>
          <w:sz w:val="22"/>
          <w:szCs w:val="22"/>
          <w:lang w:val="tg-Cyrl-TJ"/>
        </w:rPr>
        <w:t>ПРАВОВАЯ ПРИРОДА АК</w:t>
      </w:r>
      <w:r w:rsidRPr="00DA76A7">
        <w:rPr>
          <w:rFonts w:ascii="Arial" w:hAnsi="Arial" w:cs="Arial"/>
          <w:b/>
          <w:color w:val="000000" w:themeColor="text1"/>
          <w:sz w:val="22"/>
          <w:szCs w:val="22"/>
        </w:rPr>
        <w:t>Ц</w:t>
      </w:r>
      <w:r w:rsidRPr="00DA76A7">
        <w:rPr>
          <w:rFonts w:ascii="Arial" w:hAnsi="Arial" w:cs="Arial"/>
          <w:b/>
          <w:color w:val="000000" w:themeColor="text1"/>
          <w:sz w:val="22"/>
          <w:szCs w:val="22"/>
          <w:lang w:val="tg-Cyrl-TJ"/>
        </w:rPr>
        <w:t>ИИ</w:t>
      </w:r>
    </w:p>
    <w:p w:rsidR="00181BA7" w:rsidRPr="00DA76A7" w:rsidRDefault="00181BA7" w:rsidP="00181BA7">
      <w:pPr>
        <w:jc w:val="center"/>
        <w:rPr>
          <w:rFonts w:ascii="Arial" w:hAnsi="Arial" w:cs="Arial"/>
          <w:b/>
          <w:color w:val="000000" w:themeColor="text1"/>
          <w:sz w:val="22"/>
          <w:szCs w:val="22"/>
          <w:lang w:val="tg-Cyrl-TJ"/>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Гоибова Мавзуна Сирожиддиновна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lang w:val="tg-Cyrl-TJ"/>
        </w:rPr>
        <w:t>м</w:t>
      </w:r>
      <w:r w:rsidRPr="00DA76A7">
        <w:rPr>
          <w:rFonts w:ascii="Arial" w:hAnsi="Arial" w:cs="Arial"/>
          <w:color w:val="000000" w:themeColor="text1"/>
          <w:sz w:val="22"/>
          <w:szCs w:val="22"/>
        </w:rPr>
        <w:t xml:space="preserve">магистрант 1-го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 Турсунзаде, 30</w:t>
      </w:r>
    </w:p>
    <w:p w:rsidR="00181BA7" w:rsidRPr="00DA76A7" w:rsidRDefault="00181BA7" w:rsidP="00181BA7">
      <w:pPr>
        <w:jc w:val="center"/>
        <w:rPr>
          <w:rFonts w:ascii="Arial" w:hAnsi="Arial" w:cs="Arial"/>
          <w:b/>
          <w:color w:val="000000" w:themeColor="text1"/>
          <w:sz w:val="22"/>
          <w:szCs w:val="22"/>
          <w:shd w:val="clear" w:color="auto" w:fill="FFFFFF"/>
        </w:rPr>
      </w:pPr>
      <w:r w:rsidRPr="00DA76A7">
        <w:rPr>
          <w:rFonts w:ascii="Arial" w:hAnsi="Arial" w:cs="Arial"/>
          <w:color w:val="000000" w:themeColor="text1"/>
          <w:sz w:val="22"/>
          <w:szCs w:val="22"/>
        </w:rPr>
        <w:t xml:space="preserve">тел.: 937109500,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mavzuna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gaibova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 xml:space="preserve">                                             </w:t>
      </w:r>
    </w:p>
    <w:p w:rsidR="00181BA7" w:rsidRPr="00DA76A7" w:rsidRDefault="00181BA7" w:rsidP="00181BA7">
      <w:pPr>
        <w:jc w:val="center"/>
        <w:rPr>
          <w:rFonts w:ascii="Arial" w:hAnsi="Arial" w:cs="Arial"/>
          <w:b/>
          <w:color w:val="000000" w:themeColor="text1"/>
          <w:sz w:val="22"/>
          <w:szCs w:val="22"/>
          <w:shd w:val="clear" w:color="auto" w:fill="FFFFFF"/>
        </w:rPr>
      </w:pPr>
    </w:p>
    <w:p w:rsidR="00181BA7" w:rsidRPr="00DA76A7" w:rsidRDefault="00181BA7" w:rsidP="00181BA7">
      <w:pPr>
        <w:jc w:val="center"/>
        <w:rPr>
          <w:rFonts w:ascii="Arial" w:hAnsi="Arial" w:cs="Arial"/>
          <w:b/>
          <w:color w:val="000000" w:themeColor="text1"/>
          <w:sz w:val="22"/>
          <w:szCs w:val="22"/>
          <w:shd w:val="clear" w:color="auto" w:fill="FFFFFF"/>
          <w:lang w:val="tg-Cyrl-TJ"/>
        </w:rPr>
      </w:pPr>
      <w:r w:rsidRPr="00DA76A7">
        <w:rPr>
          <w:rFonts w:ascii="Arial" w:hAnsi="Arial" w:cs="Arial"/>
          <w:b/>
          <w:color w:val="000000" w:themeColor="text1"/>
          <w:sz w:val="22"/>
          <w:szCs w:val="22"/>
          <w:shd w:val="clear" w:color="auto" w:fill="FFFFFF"/>
          <w:lang w:val="tg-Cyrl-TJ"/>
        </w:rPr>
        <w:t>LEGAL NATURE OF THE ACTION</w:t>
      </w:r>
    </w:p>
    <w:p w:rsidR="00181BA7" w:rsidRPr="00DA76A7" w:rsidRDefault="00181BA7" w:rsidP="00181BA7">
      <w:pPr>
        <w:pStyle w:val="HTML"/>
        <w:shd w:val="clear" w:color="auto" w:fill="FFFFFF"/>
        <w:jc w:val="center"/>
        <w:rPr>
          <w:rFonts w:ascii="Arial" w:hAnsi="Arial" w:cs="Arial"/>
          <w:b/>
          <w:color w:val="000000" w:themeColor="text1"/>
          <w:sz w:val="22"/>
          <w:szCs w:val="22"/>
          <w:lang w:val="en-US"/>
        </w:rPr>
      </w:pPr>
    </w:p>
    <w:p w:rsidR="00181BA7" w:rsidRPr="00DA76A7" w:rsidRDefault="00181BA7" w:rsidP="00181BA7">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Goibova Mavzuna Sirozhiddinovna</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tg-Cyrl-TJ"/>
        </w:rPr>
        <w:t>м</w:t>
      </w:r>
      <w:r w:rsidRPr="00DA76A7">
        <w:rPr>
          <w:rFonts w:ascii="Arial" w:hAnsi="Arial" w:cs="Arial"/>
          <w:color w:val="000000" w:themeColor="text1"/>
          <w:sz w:val="22"/>
          <w:szCs w:val="22"/>
          <w:shd w:val="clear" w:color="auto" w:fill="FFFFFF"/>
          <w:lang w:val="en-US"/>
        </w:rPr>
        <w:t>aster of 1 nd year of the faculty of Law</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  Russian-Tajik (Slavonic) university </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734025, Republic of Tajikistan, Dushanbe, M. Tursunzade str, 30</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rPr>
      </w:pPr>
      <w:r w:rsidRPr="00DA76A7">
        <w:rPr>
          <w:rFonts w:ascii="Arial" w:hAnsi="Arial" w:cs="Arial"/>
          <w:color w:val="000000" w:themeColor="text1"/>
          <w:sz w:val="22"/>
          <w:szCs w:val="22"/>
          <w:lang w:val="en-US"/>
        </w:rPr>
        <w:t>tel</w:t>
      </w:r>
      <w:r w:rsidRPr="00DA76A7">
        <w:rPr>
          <w:rFonts w:ascii="Arial" w:hAnsi="Arial" w:cs="Arial"/>
          <w:color w:val="000000" w:themeColor="text1"/>
          <w:sz w:val="22"/>
          <w:szCs w:val="22"/>
        </w:rPr>
        <w:t xml:space="preserve">.:  937109500, </w:t>
      </w:r>
      <w:r w:rsidRPr="00DA76A7">
        <w:rPr>
          <w:rFonts w:ascii="Arial" w:hAnsi="Arial" w:cs="Arial"/>
          <w:color w:val="000000" w:themeColor="text1"/>
          <w:sz w:val="22"/>
          <w:szCs w:val="22"/>
          <w:lang w:val="en-US"/>
        </w:rPr>
        <w:t>mavzuna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gaibova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 xml:space="preserve">                                             </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Аминова Ф.М.</w:t>
      </w:r>
    </w:p>
    <w:p w:rsidR="00181BA7" w:rsidRPr="00DA76A7" w:rsidRDefault="00181BA7" w:rsidP="00181BA7">
      <w:pPr>
        <w:ind w:firstLine="567"/>
        <w:jc w:val="center"/>
        <w:rPr>
          <w:rFonts w:ascii="Arial" w:hAnsi="Arial" w:cs="Arial"/>
          <w:color w:val="000000" w:themeColor="text1"/>
          <w:sz w:val="22"/>
          <w:szCs w:val="22"/>
          <w:shd w:val="clear" w:color="auto" w:fill="FFFFFF"/>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Статья охватывает вопросы правовой природы акции. Автором подвергнуты анализу различные точки зрения ученых как отечественных, так и зарубежных. А также высказывается собственная точка зрения по данному поводу.</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b/>
          <w:i/>
          <w:color w:val="000000" w:themeColor="text1"/>
          <w:sz w:val="22"/>
          <w:szCs w:val="22"/>
        </w:rPr>
        <w:t>.</w:t>
      </w:r>
      <w:r w:rsidRPr="00DA76A7">
        <w:rPr>
          <w:rFonts w:ascii="Arial" w:hAnsi="Arial" w:cs="Arial"/>
          <w:i/>
          <w:color w:val="000000" w:themeColor="text1"/>
          <w:sz w:val="22"/>
          <w:szCs w:val="22"/>
        </w:rPr>
        <w:t xml:space="preserve"> </w:t>
      </w:r>
      <w:r w:rsidRPr="00DA76A7">
        <w:rPr>
          <w:rFonts w:ascii="Arial" w:hAnsi="Arial" w:cs="Arial"/>
          <w:i/>
          <w:color w:val="000000" w:themeColor="text1"/>
          <w:sz w:val="22"/>
          <w:szCs w:val="22"/>
          <w:lang w:val="en-US"/>
        </w:rPr>
        <w:t>The article covers the issues of the legal nature of the action. The author has analyzed various points of view of scientists both domestic and foreign. And also expresses his own point of view on this issue.</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action, document, legal nature, world community, document, subjective rights</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акция, документ, правовая природа, мировое сообщество, документ, субъективные права</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Благодаря своему широкому распространению в мировом сообществе акции получили свое соответствующее обсуждение в юридической и экономической литературе. Дискуссии зачастую подвергается правовая природа акции, понимание которой остается неоднозначным до сегодняшнего времени. Вопрос о том, что такое акция, проще задать, чем на него ответить. Сущность ведущейся дискуссии по вопросу понятия акции коротко можно систематизировать следующим образом. Одни исследователи, придерживаясь классического понимания ценной бумаги признают акцию документом, другие считают, что акцию представляет не что иное как совокупность субъективных прав.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Сторонником первой позиции можно назвать И.Т. Тарасова, который сущность акции определял следующим образом: «акция есть документ на участие в акционерном предприятии с определенной долей акционерного капитала, дающий определенные права и возлагающий определенные обязанности» [8, 365].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Д.И. Мейером высказывалось мнение, что акцией называется акт, свидетельствующий о праве акционера, на основании чего лицо являться верителем компании на акциях [6]. Г.Ф. Шершеневич писал, что акция, во-первых, предоставляет право участия в торговом предприятии, во-вторых, является документом, свидетельствующим об этом праве [9].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Представители второй точки зрения отходят от понимания акции как документа и рассматривают ее в качестве субъективных прав. Так, В.А. Белов считает, что акции, как ценные бумаги, - это не более чем особый способ удостоверения имущественных прав участников акционерных обществ, но не основание приобретения таких прав. Отсутствие акций не доказывает ничего, в том числе и отсутствие таких прав [2, 52].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Присоединяясь к такому пониманию акции А.В. Майфат, утверждает, что при толковании понятия «акция» как документа наблюдаются и иные противоречия. Если рассматривать акцию как ценную бумагу, то законодательная формулировка о том, что «уставной капитал акционерного общества разделен на акции», то есть документы, вообще не подлежит логическому толкованию, поскольку имущество таким образом разделить просто невозможно [5, 78]. «Основную ценность представляет все-таки право, а не бумага как вещь», - пишет В.А. Дозорцев [3, 234]. Поэтому, считает Е. Крашенинников, «акция, как и любая другая ценная бумага, не представляет собой вещи» [4, 39].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Иностранная юридическая литература также богата мнениями, в которых понимание акции сводится к имущественным правам. Так, согласно английской правовой теории акции относятся к правам, заключающимся в притязаниях к третьим лицам (shoses in action). Другие авторы также приводят подобные определения акций. «Акция - есть право, которое имеет акционер при распределении прибыли. Сертификат, выданный корпорацией, не является необходимым для существования акций или их владения. Это только письменное доказательство таких фактов». Акция сама по себе представляет совокупность, пучок прав, которые регистрируются в реестре. Однако в случае фиксации этого права в форме обращаемого документа они могут быть предметом владения.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Что касается нашего отношения к пониманию правовой природы акции, то нами обосновывался документарный характер всякой ценной бумаги, даже существующей в бездокументарной форме. Поэтому очередные повторения на этот счет будут излишними. Единственное, что хотелось бы отметить, чтобы подчеркнуть необоснованность суждений сторонников второй позиции на природу акций, это то, что понимание современных российских исследователей сущности акций как имущественных прав основано на запрете существования «классических» (документарных) акций. В Российской Федерации акции могут быть только именными и существовать исключительно в бездокументарной форме (ст. 25 ФЗ РФ «Об акционерных обществах»). Именно, исходя из таких законодательных положений, сформировалось отношение к акциям как к субъективным правам. Если права воплощены в публичный достоверный документ, с принадлежностью которого как вещи связывается и принадлежность прав, то объектом гражданских прав, считает В.А. Белов, становится сам документ, «классическая» ценная бумага. Если же права не имеют материального воплощения, а учитываются в виде записей в реестре (или на счете депо), то, по мнению ученого, они остаются лишь имущественными правами [1, 12].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в Республике Таджикистан акции могут быть как именными, так и предъявительскими, и существовать как в документарной, так и в бездокументарной формах. И если применить предложенный В.А. Беловым подход к таджикской правовой системе, то получится, что документарные акции – это документы, а бездокументарные – имущественные права. Такое положение явно не связывается, прежде всего, с логическими умозаключениями. Не может одно и то же правовое явление представлять собой различные объекты гражданских прав. Бездокументарные акции, будучи ценными бумагами, являют собой не что иное, как документ, и признание за ними статуса электронных документов, как обосновывалось нами ранее, является вполне обоснованным и соответствующим современному гражданскому обороту.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нами уже отмечалось проблема правовой природы удостоверяемых акцией прав не нашла однозначного понимания в юридической литературе, полемика в отношении которой была отображена в первой главе настоящего исследования. В данной части исследования мы уже высказывали свое отношение к рассматриваемому вопросу и пришли к выводу, что акции имеют сложный правовой характер в силу сложности правовой природы закрепляемых ими субъективных прав, одни из которых являются имущественными правами (право на дивиденд, право на ликвидационную квоту), другие имеют неимущественный характер (право на управление обществом, право на информацию). Однако в рамках настоящего параграфа нами хотелось бы отразить свою позицию по вопросу, к какой группе неимущественных прав следует относить удостоверяемые акцией неимущественные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Личные неимущественные права по своей природе таковы, что являются правами строго личного характера, они выражают факт принадлежности такого права конкретной личности, личными права называются потому, что они наличные, а не одаренные государством. Такая их сособенность предопределяет их свойство принадлежать человеку от рождения или в силу закона, и не отчуждаться от личности.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же касается рассматриваемых прав акционера на управление обществом и на информацию о его деятельности, то они, как известно, также как и имущественные права, удостоверяемые акцией, утрачиваются акционером при выходе из акционерного общества. Под личными неимущественными правами применительно к гражданину доктрина и гражданское законодательство понимают не имеющие имущественного содержания неотчуждаемые абсолютные права, неразрывно связанные с личностью гражданина. Права же акционера на участие в управлении обществом и на информацию о его деятельности, - продолжает ученый, - являются «относительными (праву акционера соответствует обязанность определенного лица - самого общества) и отчуждаемыми (с переходом права собственности на акцию к другому лицу происходит переход всех удостоверяемых акцией прав).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Личные неимущественные права являются более узкой по отношению к неимущественным правам дефиницией.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этим в науке гражданского права уже давно проводится выделение наряду с личными неимущественными правами также иных неимущественных прав. Иногда например, неимущественные права классифицируются следующим образом: 1) права, не отделимые от личности (право на охрану жизни, здоровья, психики, неприкосновенность личности и т.д.); 2) права на проявление социальных качеств личности, а также обеспечение гарантии неущемляемости этих состояний (право на имя (псевдоним), фирменное наименование, на честь и достоинство, на изображение, на самостоятельное проявление воли и чувств и т.д.); 3) права на неприкосновенность сферы личной жизни и тайны ее сведения (право на неприкосновенность брачного союза и его тайны и т.д.); 4) права на творческую деятельность и пользование ее результатами (право на авторство, на пользование достижениями культуры и т.д.).</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14"/>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Белов В.А. Бездокументарные ценные бумаги: научно-практический очерк. – М., 2001. – 200с.</w:t>
      </w:r>
    </w:p>
    <w:p w:rsidR="00181BA7" w:rsidRPr="00DA76A7" w:rsidRDefault="00181BA7" w:rsidP="00D45D6B">
      <w:pPr>
        <w:pStyle w:val="a6"/>
        <w:numPr>
          <w:ilvl w:val="0"/>
          <w:numId w:val="1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Белов В.А. Сделки с акциями, выпуск которых не зарегистрирован // Законодательство. - 1998. - № 10. – С. 50-54.</w:t>
      </w:r>
    </w:p>
    <w:p w:rsidR="00181BA7" w:rsidRPr="00DA76A7" w:rsidRDefault="00181BA7" w:rsidP="00D45D6B">
      <w:pPr>
        <w:pStyle w:val="a6"/>
        <w:numPr>
          <w:ilvl w:val="0"/>
          <w:numId w:val="1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Дозорцев В.А. Принципиальные черты права собственности в гражданском праве // Гражданский кодекс: проблемы, теория, практика. - М.: Междун. центр фин.-экон. развития, 1998. – 330с.</w:t>
      </w:r>
    </w:p>
    <w:p w:rsidR="00181BA7" w:rsidRPr="00DA76A7" w:rsidRDefault="00181BA7" w:rsidP="00D45D6B">
      <w:pPr>
        <w:pStyle w:val="a6"/>
        <w:numPr>
          <w:ilvl w:val="0"/>
          <w:numId w:val="1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Крашенинников Е. Ценные бумаги на предъявителя. - Ярославль: Изд-во ЯрГУ, 1995. – 435 с.</w:t>
      </w:r>
    </w:p>
    <w:p w:rsidR="00181BA7" w:rsidRPr="00DA76A7" w:rsidRDefault="00181BA7" w:rsidP="00D45D6B">
      <w:pPr>
        <w:pStyle w:val="a6"/>
        <w:numPr>
          <w:ilvl w:val="0"/>
          <w:numId w:val="1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Майфат А.В. Гражданско-правовые конструкции инвестирования: монография – М.: «Волтерс Клувер», 2006. – 328 с.</w:t>
      </w:r>
    </w:p>
    <w:p w:rsidR="00181BA7" w:rsidRPr="00DA76A7" w:rsidRDefault="00181BA7" w:rsidP="00D45D6B">
      <w:pPr>
        <w:pStyle w:val="af2"/>
        <w:numPr>
          <w:ilvl w:val="0"/>
          <w:numId w:val="1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Мейер Д.И. Русское гражданское право. [Электронный ресурс].- Пг.: Типография «Двигатель», 1914. Режим доступа СПС «Гарант».</w:t>
      </w:r>
    </w:p>
    <w:p w:rsidR="00181BA7" w:rsidRPr="00DA76A7" w:rsidRDefault="00181BA7" w:rsidP="00D45D6B">
      <w:pPr>
        <w:pStyle w:val="a6"/>
        <w:numPr>
          <w:ilvl w:val="0"/>
          <w:numId w:val="1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Самонд А., Вильямс В. Основы договорного права/Пер с англ. С.А. Андриянова, В.В. Зайцевой; под. ред. Е.А. Флейшиц. - М.: Иностранная литература, 1955. – 430 с.</w:t>
      </w:r>
    </w:p>
    <w:p w:rsidR="00181BA7" w:rsidRPr="00DA76A7" w:rsidRDefault="00181BA7" w:rsidP="00D45D6B">
      <w:pPr>
        <w:pStyle w:val="a6"/>
        <w:numPr>
          <w:ilvl w:val="0"/>
          <w:numId w:val="1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Тарасов Н.Н. Методологические проблемы юридической науки. - Екатеринбург: Изд-во гуманит. ун-та, 2000. – 642 с.</w:t>
      </w:r>
    </w:p>
    <w:p w:rsidR="00181BA7" w:rsidRPr="00DA76A7" w:rsidRDefault="00181BA7" w:rsidP="00D45D6B">
      <w:pPr>
        <w:pStyle w:val="a6"/>
        <w:numPr>
          <w:ilvl w:val="0"/>
          <w:numId w:val="1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Шершеневич Г.Ф. Курс торгового права. В 4т. Товар. Торговые сделки. - М., 2003. – Т.2.-544 с.</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tabs>
          <w:tab w:val="left" w:pos="993"/>
        </w:tabs>
        <w:ind w:firstLine="567"/>
        <w:jc w:val="center"/>
        <w:rPr>
          <w:rFonts w:ascii="Arial" w:hAnsi="Arial" w:cs="Arial"/>
          <w:b/>
          <w:color w:val="000000" w:themeColor="text1"/>
          <w:sz w:val="22"/>
          <w:szCs w:val="22"/>
        </w:rPr>
      </w:pPr>
    </w:p>
    <w:p w:rsidR="00821AD4" w:rsidRDefault="00821AD4" w:rsidP="00181BA7">
      <w:pPr>
        <w:tabs>
          <w:tab w:val="left" w:pos="993"/>
        </w:tabs>
        <w:jc w:val="center"/>
        <w:rPr>
          <w:rFonts w:ascii="Arial" w:hAnsi="Arial" w:cs="Arial"/>
          <w:b/>
          <w:color w:val="000000" w:themeColor="text1"/>
          <w:sz w:val="22"/>
          <w:szCs w:val="22"/>
        </w:rPr>
      </w:pPr>
    </w:p>
    <w:p w:rsidR="00821AD4" w:rsidRDefault="00821AD4" w:rsidP="00181BA7">
      <w:pPr>
        <w:tabs>
          <w:tab w:val="left" w:pos="993"/>
        </w:tabs>
        <w:jc w:val="center"/>
        <w:rPr>
          <w:rFonts w:ascii="Arial" w:hAnsi="Arial" w:cs="Arial"/>
          <w:b/>
          <w:color w:val="000000" w:themeColor="text1"/>
          <w:sz w:val="22"/>
          <w:szCs w:val="22"/>
        </w:rPr>
      </w:pPr>
    </w:p>
    <w:p w:rsidR="00821AD4" w:rsidRDefault="00821AD4" w:rsidP="00181BA7">
      <w:pPr>
        <w:tabs>
          <w:tab w:val="left" w:pos="993"/>
        </w:tabs>
        <w:jc w:val="center"/>
        <w:rPr>
          <w:rFonts w:ascii="Arial" w:hAnsi="Arial" w:cs="Arial"/>
          <w:b/>
          <w:color w:val="000000" w:themeColor="text1"/>
          <w:sz w:val="22"/>
          <w:szCs w:val="22"/>
        </w:rPr>
      </w:pPr>
    </w:p>
    <w:p w:rsidR="00181BA7" w:rsidRPr="00DA76A7" w:rsidRDefault="00181BA7" w:rsidP="00181BA7">
      <w:pPr>
        <w:tabs>
          <w:tab w:val="left" w:pos="993"/>
        </w:tabs>
        <w:jc w:val="center"/>
        <w:rPr>
          <w:rFonts w:ascii="Arial" w:hAnsi="Arial" w:cs="Arial"/>
          <w:b/>
          <w:color w:val="000000" w:themeColor="text1"/>
          <w:sz w:val="22"/>
          <w:szCs w:val="22"/>
        </w:rPr>
      </w:pPr>
      <w:r w:rsidRPr="00DA76A7">
        <w:rPr>
          <w:rFonts w:ascii="Arial" w:hAnsi="Arial" w:cs="Arial"/>
          <w:b/>
          <w:color w:val="000000" w:themeColor="text1"/>
          <w:sz w:val="22"/>
          <w:szCs w:val="22"/>
        </w:rPr>
        <w:t>ФОРМА КРЕДИТНОГО ДОГОВОРА В БЛИЖАЙЩЕМ БУДЕЩЕМ</w:t>
      </w:r>
    </w:p>
    <w:p w:rsidR="00181BA7" w:rsidRPr="00DA76A7" w:rsidRDefault="00181BA7" w:rsidP="00181BA7">
      <w:pPr>
        <w:tabs>
          <w:tab w:val="left" w:pos="993"/>
        </w:tabs>
        <w:jc w:val="center"/>
        <w:rPr>
          <w:rFonts w:ascii="Arial" w:hAnsi="Arial" w:cs="Arial"/>
          <w:b/>
          <w:color w:val="000000" w:themeColor="text1"/>
          <w:sz w:val="22"/>
          <w:szCs w:val="22"/>
        </w:rPr>
      </w:pPr>
    </w:p>
    <w:p w:rsidR="00181BA7" w:rsidRPr="00DA76A7" w:rsidRDefault="00181BA7" w:rsidP="00181BA7">
      <w:pPr>
        <w:pStyle w:val="Default"/>
        <w:tabs>
          <w:tab w:val="left" w:pos="851"/>
        </w:tabs>
        <w:jc w:val="center"/>
        <w:rPr>
          <w:rFonts w:ascii="Arial" w:hAnsi="Arial" w:cs="Arial"/>
          <w:b/>
          <w:color w:val="000000" w:themeColor="text1"/>
          <w:sz w:val="22"/>
          <w:szCs w:val="22"/>
        </w:rPr>
      </w:pPr>
      <w:r w:rsidRPr="00DA76A7">
        <w:rPr>
          <w:rFonts w:ascii="Arial" w:hAnsi="Arial" w:cs="Arial"/>
          <w:b/>
          <w:color w:val="000000" w:themeColor="text1"/>
          <w:sz w:val="22"/>
          <w:szCs w:val="22"/>
        </w:rPr>
        <w:t>Давтов Борис Радикович</w:t>
      </w:r>
    </w:p>
    <w:p w:rsidR="00181BA7" w:rsidRPr="00DA76A7" w:rsidRDefault="00181BA7" w:rsidP="00181BA7">
      <w:pPr>
        <w:pStyle w:val="Default"/>
        <w:tabs>
          <w:tab w:val="left" w:pos="851"/>
        </w:tabs>
        <w:jc w:val="center"/>
        <w:rPr>
          <w:rFonts w:ascii="Arial" w:hAnsi="Arial" w:cs="Arial"/>
          <w:color w:val="000000" w:themeColor="text1"/>
          <w:sz w:val="22"/>
          <w:szCs w:val="22"/>
        </w:rPr>
      </w:pPr>
      <w:r w:rsidRPr="00DA76A7">
        <w:rPr>
          <w:rFonts w:ascii="Arial" w:hAnsi="Arial" w:cs="Arial"/>
          <w:color w:val="000000" w:themeColor="text1"/>
          <w:sz w:val="22"/>
          <w:szCs w:val="22"/>
        </w:rPr>
        <w:t>студент 4-го курса очного отделения юридического факультета</w:t>
      </w:r>
    </w:p>
    <w:p w:rsidR="00181BA7" w:rsidRPr="00DA76A7" w:rsidRDefault="00181BA7" w:rsidP="00181BA7">
      <w:pPr>
        <w:pStyle w:val="Default"/>
        <w:tabs>
          <w:tab w:val="left" w:pos="851"/>
        </w:tabs>
        <w:jc w:val="center"/>
        <w:rPr>
          <w:rFonts w:ascii="Arial" w:hAnsi="Arial" w:cs="Arial"/>
          <w:color w:val="000000" w:themeColor="text1"/>
          <w:sz w:val="22"/>
          <w:szCs w:val="22"/>
        </w:rPr>
      </w:pPr>
      <w:r w:rsidRPr="00DA76A7">
        <w:rPr>
          <w:rFonts w:ascii="Arial" w:hAnsi="Arial" w:cs="Arial"/>
          <w:color w:val="000000" w:themeColor="text1"/>
          <w:sz w:val="22"/>
          <w:szCs w:val="22"/>
        </w:rPr>
        <w:t>Пермский государственный национальный исследовательский университет</w:t>
      </w:r>
    </w:p>
    <w:p w:rsidR="00181BA7" w:rsidRPr="00DA76A7" w:rsidRDefault="00181BA7" w:rsidP="00181BA7">
      <w:pPr>
        <w:pStyle w:val="Default"/>
        <w:tabs>
          <w:tab w:val="left" w:pos="851"/>
        </w:tabs>
        <w:jc w:val="center"/>
        <w:rPr>
          <w:rFonts w:ascii="Arial" w:hAnsi="Arial" w:cs="Arial"/>
          <w:color w:val="000000" w:themeColor="text1"/>
          <w:sz w:val="22"/>
          <w:szCs w:val="22"/>
        </w:rPr>
      </w:pPr>
      <w:r w:rsidRPr="00DA76A7">
        <w:rPr>
          <w:rFonts w:ascii="Arial" w:hAnsi="Arial" w:cs="Arial"/>
          <w:color w:val="000000" w:themeColor="text1"/>
          <w:sz w:val="22"/>
          <w:szCs w:val="22"/>
        </w:rPr>
        <w:t>614067, Пермский край, г. Пермь, ул. Надеждинская, д.105</w:t>
      </w:r>
    </w:p>
    <w:p w:rsidR="00181BA7" w:rsidRPr="00DA76A7" w:rsidRDefault="00181BA7" w:rsidP="00181BA7">
      <w:pPr>
        <w:pStyle w:val="Default"/>
        <w:tabs>
          <w:tab w:val="left" w:pos="851"/>
        </w:tabs>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89824344048,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boris</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davtov</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pStyle w:val="Default"/>
        <w:tabs>
          <w:tab w:val="left" w:pos="851"/>
        </w:tabs>
        <w:jc w:val="center"/>
        <w:rPr>
          <w:rFonts w:ascii="Arial" w:hAnsi="Arial" w:cs="Arial"/>
          <w:color w:val="000000" w:themeColor="text1"/>
          <w:sz w:val="22"/>
          <w:szCs w:val="22"/>
        </w:rPr>
      </w:pPr>
    </w:p>
    <w:p w:rsidR="00181BA7" w:rsidRPr="00DA76A7" w:rsidRDefault="00181BA7" w:rsidP="00181BA7">
      <w:pPr>
        <w:pStyle w:val="Default"/>
        <w:tabs>
          <w:tab w:val="left" w:pos="851"/>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FORM OF LOAN AGREEMENT IN NEAR FUTURE</w:t>
      </w:r>
    </w:p>
    <w:p w:rsidR="00181BA7" w:rsidRPr="00DA76A7" w:rsidRDefault="00181BA7" w:rsidP="00181BA7">
      <w:pPr>
        <w:pStyle w:val="Default"/>
        <w:tabs>
          <w:tab w:val="left" w:pos="851"/>
        </w:tabs>
        <w:jc w:val="center"/>
        <w:rPr>
          <w:rFonts w:ascii="Arial" w:hAnsi="Arial" w:cs="Arial"/>
          <w:b/>
          <w:color w:val="000000" w:themeColor="text1"/>
          <w:sz w:val="22"/>
          <w:szCs w:val="22"/>
          <w:lang w:val="en-US"/>
        </w:rPr>
      </w:pPr>
    </w:p>
    <w:p w:rsidR="00181BA7" w:rsidRPr="00DA76A7" w:rsidRDefault="00181BA7" w:rsidP="00181BA7">
      <w:pPr>
        <w:pStyle w:val="Default"/>
        <w:tabs>
          <w:tab w:val="left" w:pos="851"/>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Davtov Boris Radikovich</w:t>
      </w:r>
    </w:p>
    <w:p w:rsidR="00181BA7" w:rsidRPr="00DA76A7" w:rsidRDefault="00181BA7" w:rsidP="00181BA7">
      <w:pPr>
        <w:pStyle w:val="Default"/>
        <w:tabs>
          <w:tab w:val="left" w:pos="851"/>
        </w:tabs>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student of the 4th year full-time department of the law faculty</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Perm state national research university</w:t>
      </w:r>
    </w:p>
    <w:p w:rsidR="00181BA7" w:rsidRPr="00DA76A7" w:rsidRDefault="00181BA7" w:rsidP="00181BA7">
      <w:pPr>
        <w:pStyle w:val="Default"/>
        <w:tabs>
          <w:tab w:val="left" w:pos="851"/>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614067, Perm Territory, Perm, Nadezhdinskaya str., 105</w:t>
      </w:r>
    </w:p>
    <w:p w:rsidR="00181BA7" w:rsidRPr="00DA76A7" w:rsidRDefault="00181BA7" w:rsidP="00181BA7">
      <w:pPr>
        <w:pStyle w:val="Default"/>
        <w:tabs>
          <w:tab w:val="left" w:pos="851"/>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89824344048, e-mail: boris-davtov@mail.ru</w:t>
      </w:r>
    </w:p>
    <w:p w:rsidR="00181BA7" w:rsidRPr="00DA76A7" w:rsidRDefault="00181BA7" w:rsidP="00181BA7">
      <w:pPr>
        <w:pStyle w:val="Default"/>
        <w:tabs>
          <w:tab w:val="left" w:pos="851"/>
        </w:tabs>
        <w:ind w:firstLine="567"/>
        <w:jc w:val="center"/>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Проблема формы кредитного договора является не новым в наше время и порождает множество вопросов у граждан по этому поводу. В данной статье дается краткое описание и различия между письменной и электронной формой кредитного договора и вносятся предложения по совершенствованию применения электронной формы. </w:t>
      </w:r>
    </w:p>
    <w:p w:rsidR="00181BA7" w:rsidRPr="00DA76A7" w:rsidRDefault="00181BA7" w:rsidP="00181BA7">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Nowadays,</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the problem of the form credit agreement is not new and it generates a lot of questions from citizens about this. This article contains the brief description and explains differences between written and electronic form of the loan agreement, providing suggestions for the improvement of the application of electronic form.</w:t>
      </w:r>
    </w:p>
    <w:p w:rsidR="00181BA7" w:rsidRPr="00DA76A7" w:rsidRDefault="00181BA7" w:rsidP="00181BA7">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 xml:space="preserve">This article provides the brief description and explains differences between electronic form of the loan agreement and provides suggestions to improve the application of electronic form. </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Кредитование, кредитный договор, форма договора, электронная подпись, заемщик, кредитор.</w:t>
      </w:r>
    </w:p>
    <w:p w:rsidR="00181BA7" w:rsidRPr="00DA76A7" w:rsidRDefault="00181BA7" w:rsidP="00181BA7">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Lending, loan agreement, form of contract, electronic signature,  lender, borrower.</w:t>
      </w:r>
    </w:p>
    <w:p w:rsidR="00181BA7" w:rsidRPr="00DA76A7" w:rsidRDefault="00181BA7" w:rsidP="00181BA7">
      <w:pPr>
        <w:ind w:firstLine="567"/>
        <w:jc w:val="both"/>
        <w:rPr>
          <w:rFonts w:ascii="Arial" w:hAnsi="Arial" w:cs="Arial"/>
          <w:b/>
          <w:color w:val="000000" w:themeColor="text1"/>
          <w:sz w:val="22"/>
          <w:szCs w:val="22"/>
          <w:lang w:val="en-US"/>
        </w:rPr>
      </w:pP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Кредитный договор считается заключенным с момента достижения сторонами соответствующего соглашения по всем существенным условиям договора, до реальной передачи денег заемщику, то есть в момент его подписания.  Из этого следует, что форма заключения кредитного договора является письменной. Кроме того, Гражданский кодекс Российской Федерации в статье 820 обязывает кредитора и заемщика заключить кредитный договор в письменной форме. Несоблюдение письменной формы кредитного договора влечет его ничтожность. </w:t>
      </w:r>
    </w:p>
    <w:p w:rsidR="00181BA7" w:rsidRPr="00DA76A7" w:rsidRDefault="00181BA7" w:rsidP="00181BA7">
      <w:pPr>
        <w:tabs>
          <w:tab w:val="left" w:pos="60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Гражданское законодательство называет способы заключения договора в письменной форме путем их перечисления в части 2 статьи 434 Гражданского кодекса Российской Федерации:</w:t>
      </w:r>
    </w:p>
    <w:p w:rsidR="00181BA7" w:rsidRPr="00DA76A7" w:rsidRDefault="00181BA7" w:rsidP="00181BA7">
      <w:pPr>
        <w:tabs>
          <w:tab w:val="left" w:pos="60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путем составления одного документа, подписанного сторонами;</w:t>
      </w:r>
    </w:p>
    <w:p w:rsidR="00181BA7" w:rsidRPr="00DA76A7" w:rsidRDefault="00181BA7" w:rsidP="00181BA7">
      <w:pPr>
        <w:tabs>
          <w:tab w:val="left" w:pos="60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этом достаточно только подписи сторон для заключения кредитного договора. Так, положения, содержащиеся в статье 434 и 154 Гражданского кодекса Российской Федерации, позволяют утверждать, что скрепление кредитного договора оттиском печатей соответствующих субъектов не требуется. Несмотря на это, в российской правоприменительной практике при заключении кредитного договора оттиски печатей сторон используются практически во всех случаях, что можно рассматривать как обычай делового оборота (ст. 5 ГК РФ). </w:t>
      </w:r>
    </w:p>
    <w:p w:rsidR="00181BA7" w:rsidRPr="00DA76A7" w:rsidRDefault="00181BA7" w:rsidP="00181BA7">
      <w:pPr>
        <w:tabs>
          <w:tab w:val="left" w:pos="60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путем обмена письмами, телеграммами, телексами, телефаксами и иными документами, в том числе электронными документами передаваемыми по каналам связи, позволяющими достоверно установить, что документ исходит от стороны по договору. </w:t>
      </w:r>
    </w:p>
    <w:p w:rsidR="00181BA7" w:rsidRPr="00DA76A7" w:rsidRDefault="00181BA7" w:rsidP="00181BA7">
      <w:pPr>
        <w:tabs>
          <w:tab w:val="left" w:pos="60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Современное развитие в области информационных технологий приводит и к реформированию существующего законодательства, путем перехода на «электронные рельсы». Так, постепенно складывается практика заключения договора с помощью информационных технологий и технических устройств, отличительной особенностью которых является их возможность по созданию документов в цифровом виде. В связи с тем, что прогресс не стоит на месте существенно изменяется формы и методы обращения к банковским счетам и проведения операций по ним. Так, в банковской практике продолжается внедрение информационных технологий, что приводит к усложнению правового обеспечения договорной работы. Поскольку это значительно упростило бы процесс заключения кредитного договора для заемщика и банка, уменьшило бы нагрузку на банк и бумажную волокиту, уменьшило бы финансовые затраты на содержание, обучения персонала и канцелярские принадлежности, что является весьма выгодным как для банка, так и для заемщика.</w:t>
      </w:r>
    </w:p>
    <w:p w:rsidR="00181BA7" w:rsidRPr="00DA76A7" w:rsidRDefault="00181BA7" w:rsidP="00181BA7">
      <w:pPr>
        <w:tabs>
          <w:tab w:val="left" w:pos="60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 несмотря на все эти положительные моменты, на практике возникает множество проблем по реализации этих изменений, как в кредитной сфере, так и в любой другой: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Сама электронная форма договора. Договор в электронной форме представляет из себя файл, т.е. набор определенного набора байтов машинной информации, записанного на жестком диске компьютера на другом соответствующем носителе. Что уже существенно отличается от традиционной письменной формы. Кроме того, сам электронный договор представляет из себя определенную последовательность нулей и единиц и для того, чтобы его прочесть необходимо преобразование компьютером в человекочитаемую форму.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Наличие оригинала и копии договора и их отличие. Документы представленные в электронном документообороте фактически не могут делиться на «копию» и «подлинник», как это принято в бумажном делопроизводстве. Что в свою очередь порождает множество проблем по этому поводу, так как во многих случаях необходимо предоставление оригинала документа, либо его копии.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Для подтверждения электронного документа необходимо использовать ЭП. Электронная подпись представляет из себя информацию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Она является аналогом физической подписи и обладает двумя основными свойствами: воспроизводима только одним лицом, а подлинность ее может быть удостоверена многими; она неразрывно связана с конкретным документом и только с ним. Цель ЭП состоит не только в идентификации субъекта правоотношений, но и устанавливает подлинность документа и его авторство. Т.е. необходимо, чтобы у субъекта была ЭП, а у другой стороны (кредитора) было оборудования для установления ее подлинности.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4) Волеизъявление сторон. При заключении договора в электронной форме между отсутствующими необходимо, чтобы сторона, получающая оферту или акцепт, смогла достоверно установить, что документ исходит от стороны по договору. Т.е. необходимо установить наличие и содержание подлинной воли стороны договора.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Воля стороны в договорных отношениях играет существенную роль. Поскольку заключение договора в электронной форме может произойти помимо воли стороны, путем совершение преступных действий, заключающихся в принуждение стороны либо подделки ЭП, так как смысл электронной подписи и электронных документов заключается в возможности их заключения удаленно и как следствие в физическом присутствия сторон нет нужды. Данная проблема актуальна и для документов, составляемых на бумажных носителях, но не настолько остро, если договор будет подписываться сторонами при их личной встрече (например, при заключении кредитного договора в банке). </w:t>
      </w:r>
    </w:p>
    <w:p w:rsidR="00181BA7" w:rsidRPr="00DA76A7" w:rsidRDefault="00181BA7" w:rsidP="00181BA7">
      <w:pPr>
        <w:ind w:firstLine="567"/>
        <w:jc w:val="both"/>
        <w:rPr>
          <w:rFonts w:ascii="Arial" w:hAnsi="Arial" w:cs="Arial"/>
          <w:color w:val="000000" w:themeColor="text1"/>
          <w:sz w:val="22"/>
          <w:szCs w:val="22"/>
          <w:vertAlign w:val="superscript"/>
        </w:rPr>
      </w:pPr>
      <w:r w:rsidRPr="00DA76A7">
        <w:rPr>
          <w:rFonts w:ascii="Arial" w:hAnsi="Arial" w:cs="Arial"/>
          <w:color w:val="000000" w:themeColor="text1"/>
          <w:sz w:val="22"/>
          <w:szCs w:val="22"/>
        </w:rPr>
        <w:t>5) Использование электронных документов качестве доказательств. Следует отметить, что электронный документ нельзя рассматривать как письменное доказательство в чистом виде, поскольку у электронного документа отсутствует один из важнейших признаков такого доказательства - письменная форма.</w:t>
      </w:r>
      <w:r w:rsidRPr="00DA76A7">
        <w:rPr>
          <w:rFonts w:ascii="Arial" w:hAnsi="Arial" w:cs="Arial"/>
          <w:color w:val="000000" w:themeColor="text1"/>
          <w:sz w:val="22"/>
          <w:szCs w:val="22"/>
          <w:vertAlign w:val="superscript"/>
        </w:rPr>
        <w:t>2</w:t>
      </w:r>
      <w:r w:rsidRPr="00DA76A7">
        <w:rPr>
          <w:rFonts w:ascii="Arial" w:hAnsi="Arial" w:cs="Arial"/>
          <w:color w:val="000000" w:themeColor="text1"/>
          <w:sz w:val="22"/>
          <w:szCs w:val="22"/>
        </w:rPr>
        <w:t xml:space="preserve"> В данном случае возникают проблемы по доказыванию заключения кредитного договора с помощью ЭП. Так, по мнению А.П. Вершинина, электронные документы возможно рассматривать как письменные доказательства, т.к. сведения, которые содержатся в электронных документах, представляют собой человеческую мысль (понятия, суждения, умозаключения и т.д.) относительно существующей действительности.</w:t>
      </w:r>
      <w:r w:rsidRPr="00DA76A7">
        <w:rPr>
          <w:rFonts w:ascii="Arial" w:hAnsi="Arial" w:cs="Arial"/>
          <w:color w:val="000000" w:themeColor="text1"/>
          <w:sz w:val="22"/>
          <w:szCs w:val="22"/>
          <w:vertAlign w:val="superscript"/>
        </w:rPr>
        <w:t>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Очевидно, что повсеместный переход на электронный документооборот требует адекватного правового регулирования. Эта задача постепенно решается как в Российской Федерации, так и в международной банковской практике.</w:t>
      </w:r>
    </w:p>
    <w:p w:rsidR="00181BA7" w:rsidRPr="00DA76A7" w:rsidRDefault="00181BA7" w:rsidP="00181BA7">
      <w:pPr>
        <w:tabs>
          <w:tab w:val="left" w:pos="60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сегодняшний день практика не идет по пути возможности заключения кредитного договора с помощью ЭП без подписания  письменно документов в банке, несмотря на то, что в гражданском законодательстве содержится норма, закрепленная в статье 160 ГК, в которой говорится о том, что «Использование при совершение сделок факсимильного воспроизведения подписи с помощью средств механического или иного копирования, электронной подписи либо иного аналога собственноручной подписи допускается в случаях и в порядке, предусмотренных законом, иными правовыми актами или соглашением сторон». </w:t>
      </w:r>
    </w:p>
    <w:p w:rsidR="00181BA7" w:rsidRPr="00DA76A7" w:rsidRDefault="00181BA7" w:rsidP="00181BA7">
      <w:pPr>
        <w:tabs>
          <w:tab w:val="left" w:pos="60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 тем не менее, предпосылки к решению данного вопроса все-таки появляются в связи с усложнением правовых отношений в информационной сфере. По нашему мнению, несмотря на перечисленные сложности, заключение кредитного договора в электронной форме является весьма обоснованным и практичным как для банка, так и для заемщика, но для этого необходимо тщательное правовое регулирование. Так, мы считаем, что окончательный переход на электронную форму кредитного договора возможен, но не в том виде, что предполагался изначально. Т.е. данный договор заключить удаленно не получится и соответственно необходимо физическое присутствие заемщика, но без необходимости заключения письменной формы договора. Присутствие заемщика позволит решить сразу множество проблем: установление подлинной воли стороны; позволит идентифицировать лицо и установить, что кредит берется именно на его имя. Просто сам процесс не будет требовать необходимость подписание и заполнение типового кредитного договора, необходимо будет лишь сама ЭП, либо отпечаток пальца и Паспорт, который будет сканироваться и реквизиты будут сразу заноситься в кредитный  договор.</w:t>
      </w:r>
    </w:p>
    <w:p w:rsidR="00181BA7" w:rsidRPr="00DA76A7" w:rsidRDefault="00181BA7" w:rsidP="00181BA7">
      <w:pPr>
        <w:tabs>
          <w:tab w:val="left" w:pos="600"/>
        </w:tabs>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rPr>
          <w:rFonts w:ascii="Arial" w:hAnsi="Arial" w:cs="Arial"/>
          <w:color w:val="000000" w:themeColor="text1"/>
          <w:sz w:val="22"/>
          <w:szCs w:val="22"/>
        </w:rPr>
      </w:pPr>
      <w:r w:rsidRPr="00DA76A7">
        <w:rPr>
          <w:rFonts w:ascii="Arial" w:hAnsi="Arial" w:cs="Arial"/>
          <w:color w:val="000000" w:themeColor="text1"/>
          <w:sz w:val="22"/>
          <w:szCs w:val="22"/>
        </w:rPr>
        <w:t>1. Бабкин А. А. К вопросу о форме кредитного договора // Юридический мир. – 2010. – N 2. - 17-20 с.</w:t>
      </w:r>
    </w:p>
    <w:p w:rsidR="00181BA7" w:rsidRPr="00DA76A7" w:rsidRDefault="00181BA7" w:rsidP="00181BA7">
      <w:pPr>
        <w:ind w:firstLine="567"/>
        <w:rPr>
          <w:rFonts w:ascii="Arial" w:hAnsi="Arial" w:cs="Arial"/>
          <w:color w:val="000000" w:themeColor="text1"/>
          <w:sz w:val="22"/>
          <w:szCs w:val="22"/>
        </w:rPr>
      </w:pPr>
      <w:r w:rsidRPr="00DA76A7">
        <w:rPr>
          <w:rFonts w:ascii="Arial" w:hAnsi="Arial" w:cs="Arial"/>
          <w:color w:val="000000" w:themeColor="text1"/>
          <w:sz w:val="22"/>
          <w:szCs w:val="22"/>
        </w:rPr>
        <w:t>2. Медведев И.Г. Письменные доказательства в частном праве России и Франции. - СПб.: Юрид. центр Пресс, 2004.  - 145 с.</w:t>
      </w:r>
    </w:p>
    <w:p w:rsidR="00181BA7" w:rsidRPr="00DA76A7" w:rsidRDefault="00181BA7" w:rsidP="00181BA7">
      <w:pPr>
        <w:ind w:firstLine="567"/>
        <w:rPr>
          <w:rFonts w:ascii="Arial" w:hAnsi="Arial" w:cs="Arial"/>
          <w:color w:val="000000" w:themeColor="text1"/>
          <w:sz w:val="22"/>
          <w:szCs w:val="22"/>
        </w:rPr>
      </w:pPr>
      <w:r w:rsidRPr="00DA76A7">
        <w:rPr>
          <w:rFonts w:ascii="Arial" w:hAnsi="Arial" w:cs="Arial"/>
          <w:color w:val="000000" w:themeColor="text1"/>
          <w:sz w:val="22"/>
          <w:szCs w:val="22"/>
        </w:rPr>
        <w:t>3. Вершинин А.П. Электронный документ: правовая форма и доказательства в суде. - М.: Городец, 2000. - 106 с.</w:t>
      </w:r>
    </w:p>
    <w:p w:rsidR="00E432F1" w:rsidRPr="00DA76A7" w:rsidRDefault="00E432F1" w:rsidP="00E432F1">
      <w:pPr>
        <w:ind w:firstLine="567"/>
        <w:jc w:val="center"/>
        <w:rPr>
          <w:rFonts w:ascii="Arial" w:hAnsi="Arial" w:cs="Arial"/>
          <w:b/>
          <w:color w:val="000000" w:themeColor="text1"/>
          <w:sz w:val="22"/>
          <w:szCs w:val="22"/>
        </w:rPr>
      </w:pPr>
    </w:p>
    <w:p w:rsidR="00E432F1" w:rsidRPr="00DA76A7" w:rsidRDefault="00E432F1" w:rsidP="00E432F1">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ПРАВОВОЕ РЕГУЛИРОВАНИЕ ПРЕДПРИНИМАТЕЛЬСКОЙ ДЕЯТЕЛЬНОСТИ ИНОСТРАННЫХ КОМПАНИЙ НА ТЕРРИТОРИИ РОССИЙСКОЙ ФЕДЕРАЦИИ</w:t>
      </w:r>
    </w:p>
    <w:p w:rsidR="00E432F1" w:rsidRPr="00DA76A7" w:rsidRDefault="00E432F1" w:rsidP="00E432F1">
      <w:pPr>
        <w:ind w:firstLine="567"/>
        <w:jc w:val="center"/>
        <w:rPr>
          <w:rFonts w:ascii="Arial" w:hAnsi="Arial" w:cs="Arial"/>
          <w:b/>
          <w:color w:val="000000" w:themeColor="text1"/>
          <w:sz w:val="22"/>
          <w:szCs w:val="22"/>
        </w:rPr>
      </w:pPr>
    </w:p>
    <w:p w:rsidR="00E432F1" w:rsidRPr="00DA76A7" w:rsidRDefault="00E432F1" w:rsidP="00E432F1">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Евтушенко Валерия Андреевна</w:t>
      </w:r>
    </w:p>
    <w:p w:rsidR="00E432F1" w:rsidRPr="00DA76A7" w:rsidRDefault="00E432F1" w:rsidP="00E432F1">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3-го курса очного отделения факультета непрерывного образования</w:t>
      </w:r>
    </w:p>
    <w:p w:rsidR="00E432F1" w:rsidRPr="00DA76A7" w:rsidRDefault="00E432F1" w:rsidP="00E432F1">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Российский государственный университет правосудия </w:t>
      </w:r>
    </w:p>
    <w:p w:rsidR="00E432F1" w:rsidRPr="00DA76A7" w:rsidRDefault="00E432F1" w:rsidP="00E432F1">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350002, Российская Федерация, г. Краснодар, ул. Леваневского, 187/1</w:t>
      </w:r>
    </w:p>
    <w:p w:rsidR="00E432F1" w:rsidRPr="00DA76A7" w:rsidRDefault="00E432F1" w:rsidP="00E432F1">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+7-923-631-11-19,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120" w:history="1">
        <w:r w:rsidRPr="00DA76A7">
          <w:rPr>
            <w:rFonts w:ascii="Arial" w:hAnsi="Arial" w:cs="Arial"/>
            <w:color w:val="000000" w:themeColor="text1"/>
            <w:sz w:val="22"/>
            <w:szCs w:val="22"/>
            <w:lang w:val="en-US"/>
          </w:rPr>
          <w:t>madam</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evtuschencko</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yandex</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hyperlink>
    </w:p>
    <w:p w:rsidR="00E432F1" w:rsidRPr="00DA76A7" w:rsidRDefault="00E432F1" w:rsidP="00E432F1">
      <w:pPr>
        <w:ind w:firstLine="567"/>
        <w:jc w:val="center"/>
        <w:rPr>
          <w:rFonts w:ascii="Arial" w:hAnsi="Arial" w:cs="Arial"/>
          <w:color w:val="000000" w:themeColor="text1"/>
          <w:sz w:val="22"/>
          <w:szCs w:val="22"/>
        </w:rPr>
      </w:pPr>
    </w:p>
    <w:p w:rsidR="00E432F1" w:rsidRPr="00DA76A7" w:rsidRDefault="00E432F1" w:rsidP="00E432F1">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REGULATION OF ENTERPRISE ACTIVITY OF FOREIGN COMPANIES ON THE TERRITORY OF THE RUSSIAN FEDERATION</w:t>
      </w:r>
    </w:p>
    <w:p w:rsidR="00E432F1" w:rsidRPr="00DA76A7" w:rsidRDefault="00E432F1" w:rsidP="00E432F1">
      <w:pPr>
        <w:ind w:firstLine="567"/>
        <w:jc w:val="center"/>
        <w:rPr>
          <w:rFonts w:ascii="Arial" w:hAnsi="Arial" w:cs="Arial"/>
          <w:b/>
          <w:color w:val="000000" w:themeColor="text1"/>
          <w:sz w:val="22"/>
          <w:szCs w:val="22"/>
          <w:lang w:val="en-US"/>
        </w:rPr>
      </w:pPr>
    </w:p>
    <w:p w:rsidR="00E432F1" w:rsidRPr="00DA76A7" w:rsidRDefault="00E432F1" w:rsidP="00E432F1">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Evtushenko Valeria Andreevna</w:t>
      </w:r>
    </w:p>
    <w:p w:rsidR="00E432F1" w:rsidRPr="00DA76A7" w:rsidRDefault="00E432F1" w:rsidP="00E432F1">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student 3-rd year of full-time department of the faculty of continuous education</w:t>
      </w:r>
    </w:p>
    <w:p w:rsidR="00E432F1" w:rsidRPr="00DA76A7" w:rsidRDefault="00E432F1" w:rsidP="00E432F1">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 state university of justice</w:t>
      </w:r>
    </w:p>
    <w:p w:rsidR="00E432F1" w:rsidRPr="00DA76A7" w:rsidRDefault="00E432F1" w:rsidP="00E432F1">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350002, Russian Federation, Krasnodar, st. Levanevsky, 187/1</w:t>
      </w:r>
    </w:p>
    <w:p w:rsidR="00E432F1" w:rsidRPr="00DA76A7" w:rsidRDefault="00E432F1" w:rsidP="00E432F1">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+7-923-631-11-19, e-mail: madam.evtuschencko@yandex.ru</w:t>
      </w:r>
    </w:p>
    <w:p w:rsidR="00E432F1" w:rsidRPr="00DA76A7" w:rsidRDefault="00E432F1" w:rsidP="00E432F1">
      <w:pPr>
        <w:ind w:firstLine="567"/>
        <w:jc w:val="center"/>
        <w:rPr>
          <w:rFonts w:ascii="Arial" w:hAnsi="Arial" w:cs="Arial"/>
          <w:color w:val="000000" w:themeColor="text1"/>
          <w:sz w:val="22"/>
          <w:szCs w:val="22"/>
          <w:lang w:val="en-US"/>
        </w:rPr>
      </w:pPr>
    </w:p>
    <w:p w:rsidR="00E432F1" w:rsidRPr="00DA76A7" w:rsidRDefault="00E432F1" w:rsidP="00E432F1">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рассмотрены правовые основы предпринимательской деятельности иностранных компаний на территории Российской Федерации, пробелы законодательства в данной сфере, описаны особенности осуществления предпринимательской деятельности иностранными компаниями на территории Российской Федерации.</w:t>
      </w:r>
    </w:p>
    <w:p w:rsidR="00E432F1" w:rsidRPr="00DA76A7" w:rsidRDefault="00E432F1" w:rsidP="00E432F1">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examines the legal basis for the entrepreneurial activity of foreign companies on the territory of the Russian Federation, the gaps in legislation in this area, describes the specifics of doing business by foreign companies on the territory of the Russian Federation.</w:t>
      </w:r>
    </w:p>
    <w:p w:rsidR="00E432F1" w:rsidRPr="00DA76A7" w:rsidRDefault="00E432F1" w:rsidP="00E432F1">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Предпринимательская деятельность; предпринимательская деятельность иностранных компаний; экономический суверенитет; правовое регулирование предпринимательской деятельности; правоспособность филиалов и представительств иностранных компаний.</w:t>
      </w:r>
    </w:p>
    <w:p w:rsidR="00E432F1" w:rsidRPr="00DA76A7" w:rsidRDefault="00E432F1" w:rsidP="00E432F1">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Entrepreneurial activity; business activities of foreign companies; economic sovereignty; legal regulation of business activities; legal capacity of branches and representative offices of foreign companies.</w:t>
      </w:r>
    </w:p>
    <w:p w:rsidR="00E432F1" w:rsidRPr="00DA76A7" w:rsidRDefault="00E432F1" w:rsidP="00E432F1">
      <w:pPr>
        <w:ind w:firstLine="567"/>
        <w:rPr>
          <w:rFonts w:ascii="Arial" w:hAnsi="Arial" w:cs="Arial"/>
          <w:i/>
          <w:color w:val="000000" w:themeColor="text1"/>
          <w:sz w:val="22"/>
          <w:szCs w:val="22"/>
          <w:lang w:val="en-US"/>
        </w:rPr>
      </w:pPr>
    </w:p>
    <w:p w:rsidR="00E432F1" w:rsidRPr="00DA76A7" w:rsidRDefault="00E432F1" w:rsidP="00E432F1">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В современном мире, в условиях международной глобализации в различных сферах жизнедеятельности общества, особое значение следует придать экономическому суверенитету государства. Процесс осуществления предпринимательской деятельности иностранными компаниями на территории Российской Федерации должен сопровождаться действиями по необходимому обеспечению экономического суверенитета государства, посредством издания внутригосударственных нормативно-правовых актов, которые регламентируют участие иностранных компаний в предпринимательской деятельности. Так, центральное место в правовом регулировании участия иностранных компаний в предпринимательской деятельности на территории Российской Федерации принадлежит следующим нормативно-правовым актам: Конституция Российской Федерации, Гражданский кодекс Российской Федерации (далее ГК РФ),</w:t>
      </w:r>
      <w:r w:rsidRPr="00DA76A7">
        <w:rPr>
          <w:rFonts w:ascii="Arial" w:hAnsi="Arial" w:cs="Arial"/>
          <w:bCs/>
          <w:color w:val="000000" w:themeColor="text1"/>
          <w:kern w:val="36"/>
          <w:sz w:val="22"/>
          <w:szCs w:val="22"/>
        </w:rPr>
        <w:t xml:space="preserve"> Федеральный закон «Об иностранных инвестициях в Российской Федерации» от 09.07.1999 г. № 160-ФЗ,</w:t>
      </w:r>
      <w:r w:rsidRPr="00DA76A7">
        <w:rPr>
          <w:rFonts w:ascii="Arial" w:eastAsia="Calibri" w:hAnsi="Arial" w:cs="Arial"/>
          <w:bCs/>
          <w:color w:val="000000" w:themeColor="text1"/>
          <w:sz w:val="22"/>
          <w:szCs w:val="22"/>
          <w:shd w:val="clear" w:color="auto" w:fill="FFFFFF"/>
        </w:rPr>
        <w:t xml:space="preserve"> Федеральный</w:t>
      </w:r>
      <w:r w:rsidRPr="00DA76A7">
        <w:rPr>
          <w:rFonts w:ascii="Arial" w:eastAsia="Calibri" w:hAnsi="Arial" w:cs="Arial"/>
          <w:color w:val="000000" w:themeColor="text1"/>
          <w:sz w:val="22"/>
          <w:szCs w:val="22"/>
          <w:shd w:val="clear" w:color="auto" w:fill="FFFFFF"/>
        </w:rPr>
        <w:t xml:space="preserve"> </w:t>
      </w:r>
      <w:r w:rsidRPr="00DA76A7">
        <w:rPr>
          <w:rFonts w:ascii="Arial" w:eastAsia="Calibri" w:hAnsi="Arial" w:cs="Arial"/>
          <w:bCs/>
          <w:color w:val="000000" w:themeColor="text1"/>
          <w:sz w:val="22"/>
          <w:szCs w:val="22"/>
          <w:shd w:val="clear" w:color="auto" w:fill="FFFFFF"/>
        </w:rPr>
        <w:t>закон</w:t>
      </w:r>
      <w:r w:rsidRPr="00DA76A7">
        <w:rPr>
          <w:rFonts w:ascii="Arial" w:eastAsia="Calibri" w:hAnsi="Arial" w:cs="Arial"/>
          <w:color w:val="000000" w:themeColor="text1"/>
          <w:sz w:val="22"/>
          <w:szCs w:val="22"/>
          <w:shd w:val="clear" w:color="auto" w:fill="FFFFFF"/>
        </w:rPr>
        <w:t xml:space="preserve"> «</w:t>
      </w:r>
      <w:r w:rsidRPr="00DA76A7">
        <w:rPr>
          <w:rFonts w:ascii="Arial" w:eastAsia="Calibri" w:hAnsi="Arial" w:cs="Arial"/>
          <w:bCs/>
          <w:color w:val="000000" w:themeColor="text1"/>
          <w:sz w:val="22"/>
          <w:szCs w:val="22"/>
          <w:shd w:val="clear" w:color="auto" w:fill="FFFFFF"/>
        </w:rPr>
        <w:t>О</w:t>
      </w:r>
      <w:r w:rsidRPr="00DA76A7">
        <w:rPr>
          <w:rFonts w:ascii="Arial" w:eastAsia="Calibri" w:hAnsi="Arial" w:cs="Arial"/>
          <w:color w:val="000000" w:themeColor="text1"/>
          <w:sz w:val="22"/>
          <w:szCs w:val="22"/>
          <w:shd w:val="clear" w:color="auto" w:fill="FFFFFF"/>
        </w:rPr>
        <w:t xml:space="preserve"> </w:t>
      </w:r>
      <w:r w:rsidRPr="00DA76A7">
        <w:rPr>
          <w:rFonts w:ascii="Arial" w:eastAsia="Calibri" w:hAnsi="Arial" w:cs="Arial"/>
          <w:bCs/>
          <w:color w:val="000000" w:themeColor="text1"/>
          <w:sz w:val="22"/>
          <w:szCs w:val="22"/>
          <w:shd w:val="clear" w:color="auto" w:fill="FFFFFF"/>
        </w:rPr>
        <w:t>государственной</w:t>
      </w:r>
      <w:r w:rsidRPr="00DA76A7">
        <w:rPr>
          <w:rFonts w:ascii="Arial" w:eastAsia="Calibri" w:hAnsi="Arial" w:cs="Arial"/>
          <w:color w:val="000000" w:themeColor="text1"/>
          <w:sz w:val="22"/>
          <w:szCs w:val="22"/>
          <w:shd w:val="clear" w:color="auto" w:fill="FFFFFF"/>
        </w:rPr>
        <w:t xml:space="preserve"> </w:t>
      </w:r>
      <w:r w:rsidRPr="00DA76A7">
        <w:rPr>
          <w:rFonts w:ascii="Arial" w:eastAsia="Calibri" w:hAnsi="Arial" w:cs="Arial"/>
          <w:bCs/>
          <w:color w:val="000000" w:themeColor="text1"/>
          <w:sz w:val="22"/>
          <w:szCs w:val="22"/>
          <w:shd w:val="clear" w:color="auto" w:fill="FFFFFF"/>
        </w:rPr>
        <w:t>регистрации</w:t>
      </w:r>
      <w:r w:rsidRPr="00DA76A7">
        <w:rPr>
          <w:rFonts w:ascii="Arial" w:eastAsia="Calibri" w:hAnsi="Arial" w:cs="Arial"/>
          <w:color w:val="000000" w:themeColor="text1"/>
          <w:sz w:val="22"/>
          <w:szCs w:val="22"/>
          <w:shd w:val="clear" w:color="auto" w:fill="FFFFFF"/>
        </w:rPr>
        <w:t xml:space="preserve"> </w:t>
      </w:r>
      <w:r w:rsidRPr="00DA76A7">
        <w:rPr>
          <w:rFonts w:ascii="Arial" w:eastAsia="Calibri" w:hAnsi="Arial" w:cs="Arial"/>
          <w:bCs/>
          <w:color w:val="000000" w:themeColor="text1"/>
          <w:sz w:val="22"/>
          <w:szCs w:val="22"/>
          <w:shd w:val="clear" w:color="auto" w:fill="FFFFFF"/>
        </w:rPr>
        <w:t>юридических</w:t>
      </w:r>
      <w:r w:rsidRPr="00DA76A7">
        <w:rPr>
          <w:rFonts w:ascii="Arial" w:eastAsia="Calibri" w:hAnsi="Arial" w:cs="Arial"/>
          <w:color w:val="000000" w:themeColor="text1"/>
          <w:sz w:val="22"/>
          <w:szCs w:val="22"/>
          <w:shd w:val="clear" w:color="auto" w:fill="FFFFFF"/>
        </w:rPr>
        <w:t xml:space="preserve"> </w:t>
      </w:r>
      <w:r w:rsidRPr="00DA76A7">
        <w:rPr>
          <w:rFonts w:ascii="Arial" w:eastAsia="Calibri" w:hAnsi="Arial" w:cs="Arial"/>
          <w:bCs/>
          <w:color w:val="000000" w:themeColor="text1"/>
          <w:sz w:val="22"/>
          <w:szCs w:val="22"/>
          <w:shd w:val="clear" w:color="auto" w:fill="FFFFFF"/>
        </w:rPr>
        <w:t>лиц,</w:t>
      </w:r>
      <w:r w:rsidRPr="00DA76A7">
        <w:rPr>
          <w:rFonts w:ascii="Arial" w:eastAsia="Calibri" w:hAnsi="Arial" w:cs="Arial"/>
          <w:color w:val="000000" w:themeColor="text1"/>
          <w:sz w:val="22"/>
          <w:szCs w:val="22"/>
          <w:shd w:val="clear" w:color="auto" w:fill="FFFFFF"/>
        </w:rPr>
        <w:t xml:space="preserve"> </w:t>
      </w:r>
      <w:r w:rsidRPr="00DA76A7">
        <w:rPr>
          <w:rFonts w:ascii="Arial" w:eastAsia="Calibri" w:hAnsi="Arial" w:cs="Arial"/>
          <w:bCs/>
          <w:color w:val="000000" w:themeColor="text1"/>
          <w:sz w:val="22"/>
          <w:szCs w:val="22"/>
          <w:shd w:val="clear" w:color="auto" w:fill="FFFFFF"/>
        </w:rPr>
        <w:t>индивидуальных</w:t>
      </w:r>
      <w:r w:rsidRPr="00DA76A7">
        <w:rPr>
          <w:rFonts w:ascii="Arial" w:eastAsia="Calibri" w:hAnsi="Arial" w:cs="Arial"/>
          <w:color w:val="000000" w:themeColor="text1"/>
          <w:sz w:val="22"/>
          <w:szCs w:val="22"/>
          <w:shd w:val="clear" w:color="auto" w:fill="FFFFFF"/>
        </w:rPr>
        <w:t xml:space="preserve"> </w:t>
      </w:r>
      <w:r w:rsidRPr="00DA76A7">
        <w:rPr>
          <w:rFonts w:ascii="Arial" w:eastAsia="Calibri" w:hAnsi="Arial" w:cs="Arial"/>
          <w:bCs/>
          <w:color w:val="000000" w:themeColor="text1"/>
          <w:sz w:val="22"/>
          <w:szCs w:val="22"/>
          <w:shd w:val="clear" w:color="auto" w:fill="FFFFFF"/>
        </w:rPr>
        <w:t>предпринимателей</w:t>
      </w:r>
      <w:r w:rsidRPr="00DA76A7">
        <w:rPr>
          <w:rFonts w:ascii="Arial" w:eastAsia="Calibri" w:hAnsi="Arial" w:cs="Arial"/>
          <w:color w:val="000000" w:themeColor="text1"/>
          <w:sz w:val="22"/>
          <w:szCs w:val="22"/>
          <w:shd w:val="clear" w:color="auto" w:fill="FFFFFF"/>
        </w:rPr>
        <w:t>» от 08.08.2001 г. № 129-ФЗ</w:t>
      </w:r>
      <w:r w:rsidRPr="00DA76A7">
        <w:rPr>
          <w:rFonts w:ascii="Arial" w:hAnsi="Arial" w:cs="Arial"/>
          <w:color w:val="000000" w:themeColor="text1"/>
          <w:sz w:val="22"/>
          <w:szCs w:val="22"/>
        </w:rPr>
        <w:t xml:space="preserve">, </w:t>
      </w:r>
      <w:r w:rsidRPr="00DA76A7">
        <w:rPr>
          <w:rFonts w:ascii="Arial" w:hAnsi="Arial" w:cs="Arial"/>
          <w:bCs/>
          <w:color w:val="000000" w:themeColor="text1"/>
          <w:kern w:val="36"/>
          <w:sz w:val="22"/>
          <w:szCs w:val="22"/>
        </w:rPr>
        <w:t>Федеральный закон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от 29.04.2008 г. № 57-ФЗ.</w:t>
      </w:r>
      <w:r w:rsidRPr="00DA76A7">
        <w:rPr>
          <w:rFonts w:ascii="Arial" w:hAnsi="Arial" w:cs="Arial"/>
          <w:color w:val="000000" w:themeColor="text1"/>
          <w:sz w:val="22"/>
          <w:szCs w:val="22"/>
        </w:rPr>
        <w:t xml:space="preserve"> </w:t>
      </w:r>
    </w:p>
    <w:p w:rsidR="00E432F1" w:rsidRPr="00DA76A7" w:rsidRDefault="00E432F1" w:rsidP="00E432F1">
      <w:pPr>
        <w:keepNext/>
        <w:keepLines/>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Регулирование предпринимательской деятельности иностранных компаний на территории РФ осуществляется и различными межгосударственными соглашениями, в числе которых можно отметить следующие: «Соглашение между Правительством Российской Федерации и Правительством Федеративной Демократической Республики Эфиопия о поощрении и взаимной защите капиталовложений» (заключено в г. Москве 10.02.2000 г.), «Соглашение между Правительством Российской Федерации и Правительством Республики Словения о поощрении и взаимной защите капиталовложений» (Заключено в г. Любляне 08.04.2000 г.), «Соглашение между Правительством Российской Федерации и Правительством Республики Армения о поощрении и взаимной защите капиталовложений» (заключено в г. Ереване 15.09.2001 г.). К системе источников правового регулирования участия иностранных компаний в предпринимательской деятельности на территории РФ относятся нормативно-правовые акты органов государственной власти и нормативно правовые акты субъектов РФ.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eastAsia="Calibri" w:hAnsi="Arial" w:cs="Arial"/>
          <w:color w:val="000000" w:themeColor="text1"/>
          <w:sz w:val="22"/>
          <w:szCs w:val="22"/>
        </w:rPr>
        <w:t>Также необходимо отметить, что п</w:t>
      </w:r>
      <w:r w:rsidRPr="00DA76A7">
        <w:rPr>
          <w:rFonts w:ascii="Arial" w:hAnsi="Arial" w:cs="Arial"/>
          <w:color w:val="000000" w:themeColor="text1"/>
          <w:sz w:val="22"/>
          <w:szCs w:val="22"/>
        </w:rPr>
        <w:t xml:space="preserve">равовое положение иностранных физических и юридических лиц, представительств и филиалов иностранных компаний определяется национальным законодательством, законодательством страны их пребывания и международными актами соответственно.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положениям Гражданского Кодекса РФ, а именно главы 4, коммерческие организации с иностранными инвестициями для осуществления своей деятельности могут создаваться с использованием следующих организационно-правовых форм: хозяйственных товариществ и обществ; товарищества на вере (коммандитного товарищества), общества с ограниченной ответственностью, акционерного общества (публичного или непубличного типа) [5].</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Часть 3 ГК РФ позволяет нам выделить признак отнесения юридических лиц к иностранным, им является место учреждения юридического лица. Ст. 1202 ГК РФ устанавливает право, которым следует руководствоваться при определении юридического лица в качестве иностранного, им называется его личный закон, а личным законом, в свою очередь, считается право страны, в которой оно учреждено [6]. Регулирование правового положения иностранных юридических лиц осуществляется нормами различных отраслей права, таких как, прежде всего, гражданское, а также международное, налоговое, валютное, таможенное. Нормы Гражданского Кодекса РФ являются общеприменимыми в отношении создания дочерних обществ российскими и иностранными компаниями.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Юридическое лицо, чтобы иметь права и нести обязанности, необходимые для осуществления деятельности, предусмотренной учредительными документами, должно обладать правоспособностью. Правоспособность представительств и филиалов является производной от правоспособности иностранного юридического лица. Признание правоспособности обособленных звеньев юридического лица осуществляется с помощью аккредитации представительств. Аккредитацию можно рассматривать как форму признания правоспособности и, одновременно, как форму государственного контроля за созданием и деятельностью представительств и филиалов иностранных компаний.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Представительства и филиалы можно рассматривать, как правовые формы деятельности иностранных компаний на территории России.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отграничить представительство от филиала. Центральная задача деятельности представительства- содействие в организации предпринимательской деятельности иностранной компании на территории РФ.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Филиал можно рассматривать как обособленное звено юридического лица, которое расположено вне места его нахождения и осуществляет полностью или частично его функции, включая и функции представительства. Филиал может осуществлять хозяйственно-производственную деятельность, в отличие от представительства.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осуществления предпринимательской деятельности на территории РФ коммерческие организации с иностранными инвестициями подлежат государственной регистрации в порядке, определяемом ФЗ «О государственной регистрации юридических лиц и индивидуальных предпринимателей». Специфика данной процедуры состоит в том, что в регистрирующий орган, к основному пакету документов дополнительно прикладывается выписка из реестра иностранных юридических лиц страны происхождения иностранной компании либо иной документ, свидетельствующий о его юридическом статусе.</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Особые, дополнительные требования предъявляются к государственной регистрации страховых компаний и кредитных организаций с участием иностранного капитала специальным отраслевым законодательством, одно из которых проявляется в том, что  необходимо получить предварительное разрешение на их создание в виде аккредитации. </w:t>
      </w:r>
    </w:p>
    <w:p w:rsidR="00E432F1" w:rsidRPr="00DA76A7" w:rsidRDefault="00E432F1" w:rsidP="00E432F1">
      <w:pPr>
        <w:ind w:firstLine="567"/>
        <w:jc w:val="both"/>
        <w:rPr>
          <w:rFonts w:ascii="Arial" w:hAnsi="Arial" w:cs="Arial"/>
          <w:bCs/>
          <w:color w:val="000000" w:themeColor="text1"/>
          <w:kern w:val="36"/>
          <w:sz w:val="22"/>
          <w:szCs w:val="22"/>
        </w:rPr>
      </w:pPr>
      <w:r w:rsidRPr="00DA76A7">
        <w:rPr>
          <w:rFonts w:ascii="Arial" w:hAnsi="Arial" w:cs="Arial"/>
          <w:color w:val="000000" w:themeColor="text1"/>
          <w:sz w:val="22"/>
          <w:szCs w:val="22"/>
        </w:rPr>
        <w:t xml:space="preserve"> </w:t>
      </w:r>
      <w:r w:rsidRPr="00DA76A7">
        <w:rPr>
          <w:rFonts w:ascii="Arial" w:hAnsi="Arial" w:cs="Arial"/>
          <w:bCs/>
          <w:color w:val="000000" w:themeColor="text1"/>
          <w:kern w:val="36"/>
          <w:sz w:val="22"/>
          <w:szCs w:val="22"/>
        </w:rPr>
        <w:t xml:space="preserve">Федеральный закон «Об иностранных инвестициях в Российской Федерации» от 09.07.1999 № 160-ФЗ </w:t>
      </w:r>
      <w:r w:rsidRPr="00DA76A7">
        <w:rPr>
          <w:rFonts w:ascii="Arial" w:eastAsia="Calibri" w:hAnsi="Arial" w:cs="Arial"/>
          <w:color w:val="000000" w:themeColor="text1"/>
          <w:sz w:val="22"/>
          <w:szCs w:val="22"/>
          <w:shd w:val="clear" w:color="auto" w:fill="FFFFFF"/>
        </w:rPr>
        <w:t>определяет основные гарантии прав иностранных инвесторов на инвестиции и получаемые от них доходы и прибыль, условия предпринимательской деятельности иностранных инвесторов на территории Российской Федерации. Данный нормативно-правовой акт направлен на привлечение и эффективное использование на территории Российской Федерации иностранных ресурсов, как материальных, так и финансовых, передовых технологий и высокотехнологичного оборудования, управленческого опыта; обеспечение стабильности условий деятельности иностранных инвесторов и соблюдение соответствия правового режима иностранных инвестиций нормам международного права и международной практике инвестиционного сотрудничества [7].</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Деятельность представительств и филиалов иностранных юридических лиц ограничивается определенным сроком, который определяется исходя из вида планируемой деятельности: один, два, три года или пять лет.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филиалу иностранной организации может быть отказано в аккредитации,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Федеральный закон от 29 апреля 2008 г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устанавливает сферы предпринимательской деятельности на территории РФ, доступ в которые является закрытым для иностранных инвесторов [9].</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Российским законодательством  предусмотрена процедура квотирования, в качестве одного из способов государственного контроля иностранного участия в определенных сферах деятельности, таких, как деятельность кредитных организаций, иностранных банков, страховых компаний.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 российском законодательстве существуют некоторые пробелы, относительно правового регулирования предпринимательской деятельности иностранных компаний на территории нашего государства, среди которых можно выделить следующие:</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Отсутствует специальный нормативно-правовой акт, который бы комплексно регулировал правовое положение иностранных юридических лиц.</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В действующем законодательстве РФ отсутствует и четко закрепленный правовой механизм международной интеграции капитала предпринимателей разных стран с учетом национального режима.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В отечественной законодательной системе не содержится единого определения понятия «иностранная компания», «иностранное юридическое лицо», что изначально, в усложнившихся условиях гражданского оборота, затрудняет отнесение той или иной компании к числу иностранных.</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Также, представляется нецелесообразной существующая очередность процедур аккредитации филиала и его лицензирования (для отдельных видов деятельности). На данный момент, аккредитация первична по отношению к лицензированию. В случае, если в выдаче лицензии филиалу отказывают- аккредитация теряет свой смысл.</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5. Можно отметить отсутствие системного подхода, относительно видов правовых форм участия иностранных компаний в предпринимательской деятельности РФ. Из-за нестабильности как в экономическом плане, так и в политическом в РФ, иностранные компании предпочитают открывать свои представительства и филиалы вместо инвестиций в совместные предприятия.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Не предусмотрено единого органа, осуществляющего аккредитацию представительств иностранных компаний на территории РФ. Эти функции в зависимости от сферы деятельности осуществляют несколько органов исполнительной власти: Государственная регистрационная палата при Министерстве юстиции РФ, Торгово-промышленная Палата РФ, Центральный Банк РФ.</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рассматриваемом нами направлении имеются непроработанные вопросы как теоретические, так и правовые. На наш взгляд, необходимо на законодательном уровне закрепить понятия  «иностранная компания» и «иностранное юридическое лицо» для того, чтобы на первых этапах планирования предпринимательской деятельности на территории Российской Федерации, иностранным компаниям были ясны элементарные основы, от которых зависит построение всех дальнейших действий для достижения своей конечной цели-правовой легализации деятельности своей компании и, наконец, получение прибыли. Требуется принять единый нормативно-правовой акт, комплексно регулирующий правовое положение иностранных юридических лиц. Было бы рационально, по нашему мнению, передать полномочия по аккредитации представительств иностранных компаний на территории РФ единой системе органов исполнительной власти.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Сложившаяся ситуация, накладывает отпечаток на результаты практической деятельности, что проявляется в недостаточно активном вложении капитала иностранными компаниями в экономику России. </w:t>
      </w:r>
    </w:p>
    <w:p w:rsidR="00E432F1" w:rsidRPr="00DA76A7" w:rsidRDefault="00E432F1" w:rsidP="00E432F1">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Исходя из перспектив вовлечения в экономику России кроме отечественного, всё больше и больше иностранного капитала, назревает потребность в совершенствовании правового регулирования инвестиционной деятельности.</w:t>
      </w:r>
    </w:p>
    <w:p w:rsidR="00E432F1" w:rsidRPr="00DA76A7" w:rsidRDefault="00E432F1" w:rsidP="00E432F1">
      <w:pPr>
        <w:jc w:val="both"/>
        <w:rPr>
          <w:rFonts w:ascii="Arial" w:eastAsia="Calibri" w:hAnsi="Arial" w:cs="Arial"/>
          <w:color w:val="000000" w:themeColor="text1"/>
          <w:sz w:val="22"/>
          <w:szCs w:val="22"/>
        </w:rPr>
      </w:pPr>
    </w:p>
    <w:p w:rsidR="00E432F1" w:rsidRPr="00DA76A7" w:rsidRDefault="00E432F1" w:rsidP="00E432F1">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Список литературы:</w:t>
      </w:r>
    </w:p>
    <w:p w:rsidR="00E432F1" w:rsidRPr="00DA76A7" w:rsidRDefault="00E432F1" w:rsidP="00E432F1">
      <w:pPr>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1. </w:t>
      </w:r>
      <w:r w:rsidRPr="00DA76A7">
        <w:rPr>
          <w:rFonts w:ascii="Arial" w:hAnsi="Arial" w:cs="Arial"/>
          <w:color w:val="000000" w:themeColor="text1"/>
          <w:sz w:val="22"/>
          <w:szCs w:val="22"/>
        </w:rPr>
        <w:t>Соглашение между Правительством Российской Федерации и Правительством Республики Армения о поощрении и взаимной защите капиталовложений» (заключено в г. Ереване 15 сентября 2001 г.)</w:t>
      </w:r>
      <w:r w:rsidRPr="00DA76A7">
        <w:rPr>
          <w:rFonts w:ascii="Arial" w:eastAsia="Calibri" w:hAnsi="Arial" w:cs="Arial"/>
          <w:color w:val="000000" w:themeColor="text1"/>
          <w:sz w:val="22"/>
          <w:szCs w:val="22"/>
        </w:rPr>
        <w:t xml:space="preserve"> // СПС Консультант Плюс. [Электронный ресурс]: http://www.consultant.ru/ (дата обращения 14.03.2018).</w:t>
      </w:r>
    </w:p>
    <w:p w:rsidR="00E432F1" w:rsidRPr="00DA76A7" w:rsidRDefault="00E432F1" w:rsidP="00E432F1">
      <w:pPr>
        <w:tabs>
          <w:tab w:val="left" w:pos="851"/>
        </w:tabs>
        <w:ind w:firstLine="567"/>
        <w:jc w:val="both"/>
        <w:rPr>
          <w:rFonts w:ascii="Arial" w:eastAsia="Calibri" w:hAnsi="Arial" w:cs="Arial"/>
          <w:color w:val="000000" w:themeColor="text1"/>
          <w:sz w:val="22"/>
          <w:szCs w:val="22"/>
        </w:rPr>
      </w:pPr>
      <w:r w:rsidRPr="00DA76A7">
        <w:rPr>
          <w:rFonts w:ascii="Arial" w:hAnsi="Arial" w:cs="Arial"/>
          <w:color w:val="000000" w:themeColor="text1"/>
          <w:sz w:val="22"/>
          <w:szCs w:val="22"/>
        </w:rPr>
        <w:t>2. Соглашение между Правительством Российской Федерации и Правительством Республики Словения о поощрении и взаимной защите капиталовложений (заключено в г. Любляне 08 апреля 2000 г.)</w:t>
      </w:r>
      <w:r w:rsidRPr="00DA76A7">
        <w:rPr>
          <w:rFonts w:ascii="Arial" w:eastAsia="Calibri" w:hAnsi="Arial" w:cs="Arial"/>
          <w:color w:val="000000" w:themeColor="text1"/>
          <w:sz w:val="22"/>
          <w:szCs w:val="22"/>
        </w:rPr>
        <w:t xml:space="preserve"> // СПС Консультант Плюс. [Электронный ресурс]: http://www.consultant.ru/ (дата обращения 14.03.2018).</w:t>
      </w:r>
    </w:p>
    <w:p w:rsidR="00E432F1" w:rsidRPr="00DA76A7" w:rsidRDefault="00E432F1" w:rsidP="00E432F1">
      <w:pPr>
        <w:tabs>
          <w:tab w:val="left" w:pos="851"/>
        </w:tabs>
        <w:ind w:firstLine="567"/>
        <w:jc w:val="both"/>
        <w:rPr>
          <w:rFonts w:ascii="Arial" w:eastAsia="Calibri" w:hAnsi="Arial" w:cs="Arial"/>
          <w:color w:val="000000" w:themeColor="text1"/>
          <w:sz w:val="22"/>
          <w:szCs w:val="22"/>
        </w:rPr>
      </w:pPr>
      <w:r w:rsidRPr="00DA76A7">
        <w:rPr>
          <w:rFonts w:ascii="Arial" w:hAnsi="Arial" w:cs="Arial"/>
          <w:color w:val="000000" w:themeColor="text1"/>
          <w:sz w:val="22"/>
          <w:szCs w:val="22"/>
        </w:rPr>
        <w:t>3. Соглашение между Правительством Российской Федерации и Правительством Федеративной Демократической Республики Эфиопия о поощрении и взаимной защите капиталовложений (заключено в г. Москве 10 февраля 2000 г.)</w:t>
      </w:r>
      <w:r w:rsidRPr="00DA76A7">
        <w:rPr>
          <w:rFonts w:ascii="Arial" w:eastAsia="Calibri" w:hAnsi="Arial" w:cs="Arial"/>
          <w:color w:val="000000" w:themeColor="text1"/>
          <w:sz w:val="22"/>
          <w:szCs w:val="22"/>
        </w:rPr>
        <w:t xml:space="preserve"> // СПС Консультант Плюс. [Электронный ресурс]: http://www.consultant.ru/ (дата обращения 14.03.2018).</w:t>
      </w:r>
    </w:p>
    <w:p w:rsidR="00E432F1" w:rsidRPr="00DA76A7" w:rsidRDefault="00E432F1" w:rsidP="00E432F1">
      <w:pPr>
        <w:tabs>
          <w:tab w:val="left" w:pos="851"/>
        </w:tabs>
        <w:ind w:firstLine="567"/>
        <w:jc w:val="both"/>
        <w:rPr>
          <w:rFonts w:ascii="Arial" w:hAnsi="Arial" w:cs="Arial"/>
          <w:color w:val="000000" w:themeColor="text1"/>
          <w:sz w:val="22"/>
          <w:szCs w:val="22"/>
        </w:rPr>
      </w:pPr>
      <w:r w:rsidRPr="00DA76A7">
        <w:rPr>
          <w:rFonts w:ascii="Arial" w:eastAsia="Calibri" w:hAnsi="Arial" w:cs="Arial"/>
          <w:color w:val="000000" w:themeColor="text1"/>
          <w:sz w:val="22"/>
          <w:szCs w:val="22"/>
        </w:rPr>
        <w:t>4</w:t>
      </w:r>
      <w:r w:rsidRPr="00DA76A7">
        <w:rPr>
          <w:rFonts w:ascii="Arial" w:hAnsi="Arial" w:cs="Arial"/>
          <w:color w:val="000000" w:themeColor="text1"/>
          <w:sz w:val="22"/>
          <w:szCs w:val="22"/>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r w:rsidRPr="00DA76A7">
        <w:rPr>
          <w:rFonts w:ascii="Arial" w:eastAsia="Calibri" w:hAnsi="Arial" w:cs="Arial"/>
          <w:color w:val="000000" w:themeColor="text1"/>
          <w:sz w:val="22"/>
          <w:szCs w:val="22"/>
        </w:rPr>
        <w:t xml:space="preserve"> // СПС Консультант Плюс. [Электронный ресурс]: http://www.consultant.ru/ (дата обращения 03.03.2018).</w:t>
      </w:r>
    </w:p>
    <w:p w:rsidR="00E432F1" w:rsidRPr="00DA76A7" w:rsidRDefault="00E432F1" w:rsidP="00E432F1">
      <w:pPr>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5. Гражданский кодекс Российской Федерации (часть первая)  от 30 ноября 1994 года № 51-ФЗ (ред. от 29.12.2017 № 459-ФЗ) // СПС Консультант Плюс. [Электронный ресурс]: </w:t>
      </w:r>
      <w:hyperlink r:id="rId121" w:history="1">
        <w:r w:rsidRPr="00DA76A7">
          <w:rPr>
            <w:rFonts w:ascii="Arial" w:eastAsia="Calibri" w:hAnsi="Arial" w:cs="Arial"/>
            <w:color w:val="000000" w:themeColor="text1"/>
            <w:sz w:val="22"/>
            <w:szCs w:val="22"/>
          </w:rPr>
          <w:t>http://www.consultant.ru/</w:t>
        </w:r>
      </w:hyperlink>
      <w:r w:rsidRPr="00DA76A7">
        <w:rPr>
          <w:rFonts w:ascii="Arial" w:eastAsia="Calibri" w:hAnsi="Arial" w:cs="Arial"/>
          <w:color w:val="000000" w:themeColor="text1"/>
          <w:sz w:val="22"/>
          <w:szCs w:val="22"/>
        </w:rPr>
        <w:t xml:space="preserve"> (дата обращения 05.03.2018).</w:t>
      </w:r>
    </w:p>
    <w:p w:rsidR="00E432F1" w:rsidRPr="00DA76A7" w:rsidRDefault="00E432F1" w:rsidP="00E432F1">
      <w:pPr>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6. Гражданский кодекс Российской Федерации (часть третья) от 26 ноября 2001 года № 146-ФЗ (ред. от 28.03.2017 № 39-ФЗ) // СПС Консультант Плюс. [Электронный ресурс]: http://www.consultant.ru/ (дата обращения 05.03.2018).</w:t>
      </w:r>
    </w:p>
    <w:p w:rsidR="00E432F1" w:rsidRPr="00DA76A7" w:rsidRDefault="00E432F1" w:rsidP="00E432F1">
      <w:pPr>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7. Федеральный закон от 29 апреля 2008 года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(ред. от 18.07.2017 № 165-ФЗ) // СПС Консультант Плюс. [Электронный ресурс]: http://www.consultant.ru/ (дата обращения 11.03.2018).</w:t>
      </w:r>
    </w:p>
    <w:p w:rsidR="00E432F1" w:rsidRPr="00DA76A7" w:rsidRDefault="00E432F1" w:rsidP="00E432F1">
      <w:pPr>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8. Федеральный закон от 08.08.2001 № 129-ФЗ «О государственной регистрации юридических лиц и индивидуальных предпринимателей» (ред. от 31.12.2017 № 226-ФЗ) // СПС Консультант Плюс. [Электронный ресурс]: http://www.consultant.ru/ (дата обращения 11.03.2018).</w:t>
      </w:r>
    </w:p>
    <w:p w:rsidR="00E432F1" w:rsidRPr="00DA76A7" w:rsidRDefault="00E432F1" w:rsidP="00E432F1">
      <w:pPr>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9. </w:t>
      </w:r>
      <w:r w:rsidRPr="00DA76A7">
        <w:rPr>
          <w:rFonts w:ascii="Arial" w:hAnsi="Arial" w:cs="Arial"/>
          <w:bCs/>
          <w:color w:val="000000" w:themeColor="text1"/>
          <w:kern w:val="36"/>
          <w:sz w:val="22"/>
          <w:szCs w:val="22"/>
        </w:rPr>
        <w:t xml:space="preserve">Федеральный закон «Об иностранных инвестициях в Российской Федерации» от 09 июля 1999 года № 160-ФЗ (ред. от 18.07.2017 № 165-ФЗ) </w:t>
      </w:r>
      <w:r w:rsidRPr="00DA76A7">
        <w:rPr>
          <w:rFonts w:ascii="Arial" w:eastAsia="Calibri" w:hAnsi="Arial" w:cs="Arial"/>
          <w:color w:val="000000" w:themeColor="text1"/>
          <w:sz w:val="22"/>
          <w:szCs w:val="22"/>
        </w:rPr>
        <w:t>// СПС Консультант Плюс. [Электронный ресурс]: http://www.consultant.ru/ (дата обращения 11.03.2018).</w:t>
      </w:r>
    </w:p>
    <w:p w:rsidR="00E432F1" w:rsidRPr="00DA76A7" w:rsidRDefault="00E432F1" w:rsidP="001713F3">
      <w:pPr>
        <w:tabs>
          <w:tab w:val="left" w:pos="851"/>
          <w:tab w:val="left" w:pos="3000"/>
        </w:tabs>
        <w:spacing w:line="256" w:lineRule="auto"/>
        <w:jc w:val="both"/>
        <w:rPr>
          <w:rFonts w:ascii="Arial" w:eastAsia="Calibri" w:hAnsi="Arial" w:cs="Arial"/>
          <w:color w:val="000000" w:themeColor="text1"/>
          <w:sz w:val="22"/>
          <w:szCs w:val="22"/>
        </w:rPr>
      </w:pPr>
    </w:p>
    <w:p w:rsidR="00181BA7" w:rsidRPr="00DA76A7" w:rsidRDefault="00181BA7" w:rsidP="00E432F1">
      <w:pPr>
        <w:tabs>
          <w:tab w:val="left" w:pos="851"/>
          <w:tab w:val="left" w:pos="3000"/>
        </w:tabs>
        <w:spacing w:line="256" w:lineRule="auto"/>
        <w:ind w:firstLine="567"/>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ПРАВОВЫЕ ПОСЛЕДСТВИЯ ПРИЗНАНИЯ ОТЦОВСТВА НЕДЕЙСТВИТЕЛЬНЫМ</w:t>
      </w:r>
    </w:p>
    <w:p w:rsidR="00181BA7" w:rsidRPr="00DA76A7" w:rsidRDefault="00181BA7" w:rsidP="00181BA7">
      <w:pPr>
        <w:jc w:val="center"/>
        <w:rPr>
          <w:rFonts w:ascii="Arial" w:hAnsi="Arial" w:cs="Arial"/>
          <w:b/>
          <w:color w:val="000000" w:themeColor="text1"/>
          <w:sz w:val="22"/>
          <w:szCs w:val="22"/>
          <w:shd w:val="clear" w:color="auto" w:fill="FFFFFF"/>
        </w:rPr>
      </w:pPr>
    </w:p>
    <w:p w:rsidR="00181BA7" w:rsidRPr="00DA76A7" w:rsidRDefault="00181BA7" w:rsidP="00181BA7">
      <w:pPr>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Епифанова Екатерина Ильинична</w:t>
      </w:r>
    </w:p>
    <w:p w:rsidR="00181BA7" w:rsidRPr="00DA76A7" w:rsidRDefault="00181BA7" w:rsidP="00181BA7">
      <w:pPr>
        <w:jc w:val="center"/>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студент 3-го курса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Государственный институт экономики, финансов, права и технологий</w:t>
      </w:r>
    </w:p>
    <w:p w:rsidR="00181BA7" w:rsidRPr="00DA76A7" w:rsidRDefault="00181BA7" w:rsidP="00181BA7">
      <w:pPr>
        <w:jc w:val="center"/>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188306, Россия, г. Гатчина, ул. Рощинская, 5</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rPr>
        <w:t>тел</w:t>
      </w:r>
      <w:r w:rsidRPr="00DA76A7">
        <w:rPr>
          <w:rFonts w:ascii="Arial" w:hAnsi="Arial" w:cs="Arial"/>
          <w:color w:val="000000" w:themeColor="text1"/>
          <w:sz w:val="22"/>
          <w:szCs w:val="22"/>
          <w:shd w:val="clear" w:color="auto" w:fill="FFFFFF"/>
          <w:lang w:val="en-US"/>
        </w:rPr>
        <w:t xml:space="preserve">.: 999-529-29-53, e-mail: </w:t>
      </w:r>
      <w:hyperlink r:id="rId122" w:history="1">
        <w:r w:rsidRPr="00DA76A7">
          <w:rPr>
            <w:rStyle w:val="af0"/>
            <w:rFonts w:ascii="Arial" w:hAnsi="Arial" w:cs="Arial"/>
            <w:color w:val="000000" w:themeColor="text1"/>
            <w:sz w:val="22"/>
            <w:szCs w:val="22"/>
            <w:u w:val="none"/>
            <w:shd w:val="clear" w:color="auto" w:fill="FFFFFF"/>
            <w:lang w:val="en-US"/>
          </w:rPr>
          <w:t>e.epifanova2017@yandex.ru</w:t>
        </w:r>
      </w:hyperlink>
    </w:p>
    <w:p w:rsidR="00AC492D" w:rsidRPr="00240D8D" w:rsidRDefault="00AC492D" w:rsidP="00181BA7">
      <w:pPr>
        <w:jc w:val="center"/>
        <w:rPr>
          <w:rFonts w:ascii="Arial" w:hAnsi="Arial" w:cs="Arial"/>
          <w:b/>
          <w:color w:val="000000" w:themeColor="text1"/>
          <w:sz w:val="22"/>
          <w:szCs w:val="22"/>
          <w:shd w:val="clear" w:color="auto" w:fill="FFFFFF"/>
          <w:lang w:val="en-US"/>
        </w:rPr>
      </w:pPr>
    </w:p>
    <w:p w:rsidR="00181BA7" w:rsidRPr="00DA76A7" w:rsidRDefault="00181BA7" w:rsidP="00181BA7">
      <w:pPr>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LEGAL CONSEQUENCES OF RECOGNITION OF PATERNITY IS INVALID</w:t>
      </w:r>
    </w:p>
    <w:p w:rsidR="00181BA7" w:rsidRPr="00DA76A7" w:rsidRDefault="00181BA7" w:rsidP="00181BA7">
      <w:pPr>
        <w:jc w:val="center"/>
        <w:rPr>
          <w:rFonts w:ascii="Arial" w:hAnsi="Arial" w:cs="Arial"/>
          <w:color w:val="000000" w:themeColor="text1"/>
          <w:sz w:val="22"/>
          <w:szCs w:val="22"/>
          <w:shd w:val="clear" w:color="auto" w:fill="FFFFFF"/>
          <w:lang w:val="en-US"/>
        </w:rPr>
      </w:pPr>
    </w:p>
    <w:p w:rsidR="00181BA7" w:rsidRPr="00DA76A7" w:rsidRDefault="00181BA7" w:rsidP="00181BA7">
      <w:pPr>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Epifanova Ekaterina Il`inichna</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student of 3rd year of full-time department of the faculty of law</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State institute of economics, finance, law and technology</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188306, Russia, Roshchinskaya str., 5</w:t>
      </w:r>
    </w:p>
    <w:p w:rsidR="00181BA7" w:rsidRPr="00DA76A7" w:rsidRDefault="00181BA7" w:rsidP="00181BA7">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tel.: 999-529-29-53, e-mail: </w:t>
      </w:r>
      <w:hyperlink r:id="rId123" w:history="1">
        <w:r w:rsidRPr="00DA76A7">
          <w:rPr>
            <w:rStyle w:val="af0"/>
            <w:rFonts w:ascii="Arial" w:hAnsi="Arial" w:cs="Arial"/>
            <w:color w:val="000000" w:themeColor="text1"/>
            <w:sz w:val="22"/>
            <w:szCs w:val="22"/>
            <w:u w:val="none"/>
            <w:shd w:val="clear" w:color="auto" w:fill="FFFFFF"/>
            <w:lang w:val="en-US"/>
          </w:rPr>
          <w:t>e.epifanova2017@yandex.ru</w:t>
        </w:r>
      </w:hyperlink>
    </w:p>
    <w:p w:rsidR="00181BA7" w:rsidRPr="00DA76A7" w:rsidRDefault="00181BA7" w:rsidP="00181BA7">
      <w:pPr>
        <w:jc w:val="both"/>
        <w:rPr>
          <w:rFonts w:ascii="Arial" w:hAnsi="Arial" w:cs="Arial"/>
          <w:color w:val="000000" w:themeColor="text1"/>
          <w:sz w:val="22"/>
          <w:szCs w:val="22"/>
          <w:shd w:val="clear" w:color="auto" w:fill="FFFFFF"/>
          <w:lang w:val="en-US"/>
        </w:rPr>
      </w:pPr>
    </w:p>
    <w:p w:rsidR="00181BA7" w:rsidRPr="00DA76A7" w:rsidRDefault="00181BA7" w:rsidP="00181BA7">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rPr>
        <w:t>Аннотация.</w:t>
      </w:r>
      <w:r w:rsidRPr="00DA76A7">
        <w:rPr>
          <w:rFonts w:ascii="Arial" w:hAnsi="Arial" w:cs="Arial"/>
          <w:i/>
          <w:color w:val="000000" w:themeColor="text1"/>
          <w:sz w:val="22"/>
          <w:szCs w:val="22"/>
          <w:shd w:val="clear" w:color="auto" w:fill="FFFFFF"/>
        </w:rPr>
        <w:t xml:space="preserve"> В статье рассмотрены проблемы признания отцовства недействительным и его правовые последствия. Рассмотрен вопрос нарушения прав при взыскании алиментов с лиц, не являющихся отцом ребенка. Предложено</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решение</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выявленной</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проблемы</w:t>
      </w:r>
      <w:r w:rsidRPr="00DA76A7">
        <w:rPr>
          <w:rFonts w:ascii="Arial" w:hAnsi="Arial" w:cs="Arial"/>
          <w:i/>
          <w:color w:val="000000" w:themeColor="text1"/>
          <w:sz w:val="22"/>
          <w:szCs w:val="22"/>
          <w:shd w:val="clear" w:color="auto" w:fill="FFFFFF"/>
          <w:lang w:val="en-US"/>
        </w:rPr>
        <w:t>.</w:t>
      </w:r>
    </w:p>
    <w:p w:rsidR="00181BA7" w:rsidRPr="00DA76A7" w:rsidRDefault="00181BA7" w:rsidP="00181BA7">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Annotation.</w:t>
      </w:r>
      <w:r w:rsidRPr="00DA76A7">
        <w:rPr>
          <w:rFonts w:ascii="Arial" w:hAnsi="Arial" w:cs="Arial"/>
          <w:i/>
          <w:color w:val="000000" w:themeColor="text1"/>
          <w:sz w:val="22"/>
          <w:szCs w:val="22"/>
          <w:shd w:val="clear" w:color="auto" w:fill="FFFFFF"/>
          <w:lang w:val="en-US"/>
        </w:rPr>
        <w:t xml:space="preserve"> In article problems of recognition of paternity invalid and his legal consequences are considered. The question of violation of the rights when collecting alimony from the persons who aren't the child's father is considered. The solution of the revealed problem is proposed.</w:t>
      </w:r>
    </w:p>
    <w:p w:rsidR="00181BA7" w:rsidRPr="00DA76A7" w:rsidRDefault="00181BA7" w:rsidP="00181BA7">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rPr>
        <w:t>Ключевые</w:t>
      </w:r>
      <w:r w:rsidRPr="00DA76A7">
        <w:rPr>
          <w:rFonts w:ascii="Arial" w:hAnsi="Arial" w:cs="Arial"/>
          <w:b/>
          <w:i/>
          <w:color w:val="000000" w:themeColor="text1"/>
          <w:sz w:val="22"/>
          <w:szCs w:val="22"/>
          <w:shd w:val="clear" w:color="auto" w:fill="FFFFFF"/>
          <w:lang w:val="en-US"/>
        </w:rPr>
        <w:t xml:space="preserve"> </w:t>
      </w:r>
      <w:r w:rsidRPr="00DA76A7">
        <w:rPr>
          <w:rFonts w:ascii="Arial" w:hAnsi="Arial" w:cs="Arial"/>
          <w:b/>
          <w:i/>
          <w:color w:val="000000" w:themeColor="text1"/>
          <w:sz w:val="22"/>
          <w:szCs w:val="22"/>
          <w:shd w:val="clear" w:color="auto" w:fill="FFFFFF"/>
        </w:rPr>
        <w:t>слова</w:t>
      </w:r>
      <w:r w:rsidRPr="00DA76A7">
        <w:rPr>
          <w:rFonts w:ascii="Arial" w:hAnsi="Arial" w:cs="Arial"/>
          <w:b/>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судебные</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органы</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отцовство</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ребенок</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алименты</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актовая</w:t>
      </w:r>
      <w:r w:rsidRPr="00DA76A7">
        <w:rPr>
          <w:rFonts w:ascii="Arial"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rPr>
        <w:t>запись</w:t>
      </w:r>
      <w:r w:rsidRPr="00DA76A7">
        <w:rPr>
          <w:rFonts w:ascii="Arial" w:hAnsi="Arial" w:cs="Arial"/>
          <w:i/>
          <w:color w:val="000000" w:themeColor="text1"/>
          <w:sz w:val="22"/>
          <w:szCs w:val="22"/>
          <w:shd w:val="clear" w:color="auto" w:fill="FFFFFF"/>
          <w:lang w:val="en-US"/>
        </w:rPr>
        <w:t>.</w:t>
      </w:r>
    </w:p>
    <w:p w:rsidR="00181BA7" w:rsidRPr="00DA76A7" w:rsidRDefault="00181BA7" w:rsidP="00181BA7">
      <w:pPr>
        <w:ind w:firstLine="567"/>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Key words:</w:t>
      </w:r>
      <w:r w:rsidRPr="00DA76A7">
        <w:rPr>
          <w:rFonts w:ascii="Arial" w:hAnsi="Arial" w:cs="Arial"/>
          <w:i/>
          <w:color w:val="000000" w:themeColor="text1"/>
          <w:sz w:val="22"/>
          <w:szCs w:val="22"/>
          <w:shd w:val="clear" w:color="auto" w:fill="FFFFFF"/>
          <w:lang w:val="en-US"/>
        </w:rPr>
        <w:t xml:space="preserve"> judicial authorities, paternity, child, alimony, assembly record.</w:t>
      </w:r>
    </w:p>
    <w:p w:rsidR="00181BA7" w:rsidRPr="00DA76A7" w:rsidRDefault="00181BA7" w:rsidP="00181BA7">
      <w:pPr>
        <w:ind w:firstLine="567"/>
        <w:rPr>
          <w:rFonts w:ascii="Arial" w:hAnsi="Arial" w:cs="Arial"/>
          <w:color w:val="000000" w:themeColor="text1"/>
          <w:sz w:val="22"/>
          <w:szCs w:val="22"/>
          <w:shd w:val="clear" w:color="auto" w:fill="FFFFFF"/>
          <w:lang w:val="en-US"/>
        </w:rPr>
      </w:pPr>
    </w:p>
    <w:p w:rsidR="00181BA7" w:rsidRPr="00DA76A7" w:rsidRDefault="00181BA7" w:rsidP="00181BA7">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Доказательством факта того, что конкретные лица являются родителями ребенка, выступает наличие соответствующей записи в книге регистрации рождений. При определенных обстоятельствах данная запись может быть оспорена и признана недействительной. Процедура признания отцовства недействительным осуществляется в соответствии с нормами Семейного кодекса РФ исключительно в порядке судебного производства.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Зачастую встречаются случаи, когда необдуманные решения вносят в жизнь граждан дополнительные, а иногда и неразрешимые проблемы. Так, например, невозможно оспорить отцовство, если записанный в качестве отца ребенка знал, что это не его ребенок, и не важно, по каким соображениям это было сделано.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особым случаем является, когда супруг дал свое согласие на использование метода искусственного оплодотворения или производство имплантации эмбриона: в этом случае суд не примет этот факт в качестве аргумента для признания отцовства недействительным.</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судебные органы за признанием записи, свидетельствующей о недействительности родства родителей с ребенком, может обратиться:</w:t>
      </w:r>
    </w:p>
    <w:p w:rsidR="00181BA7" w:rsidRPr="00DA76A7" w:rsidRDefault="00181BA7" w:rsidP="00D45D6B">
      <w:pPr>
        <w:widowControl/>
        <w:numPr>
          <w:ilvl w:val="0"/>
          <w:numId w:val="57"/>
        </w:numPr>
        <w:shd w:val="clear" w:color="auto" w:fill="FFFFFF"/>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Лицо, записанное в книге записей рождения ребенка в качестве отца, либо матери;</w:t>
      </w:r>
    </w:p>
    <w:p w:rsidR="00181BA7" w:rsidRPr="00DA76A7" w:rsidRDefault="00181BA7" w:rsidP="00D45D6B">
      <w:pPr>
        <w:widowControl/>
        <w:numPr>
          <w:ilvl w:val="0"/>
          <w:numId w:val="57"/>
        </w:numPr>
        <w:shd w:val="clear" w:color="auto" w:fill="FFFFFF"/>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Биологический отец или мать ребенка, а также сам ребенок, если он достиг возраста 18 лет;</w:t>
      </w:r>
    </w:p>
    <w:p w:rsidR="00181BA7" w:rsidRPr="00DA76A7" w:rsidRDefault="00181BA7" w:rsidP="00D45D6B">
      <w:pPr>
        <w:widowControl/>
        <w:numPr>
          <w:ilvl w:val="0"/>
          <w:numId w:val="57"/>
        </w:numPr>
        <w:shd w:val="clear" w:color="auto" w:fill="FFFFFF"/>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Попечитель или опекун ребенка;</w:t>
      </w:r>
    </w:p>
    <w:p w:rsidR="00181BA7" w:rsidRPr="00DA76A7" w:rsidRDefault="00181BA7" w:rsidP="00D45D6B">
      <w:pPr>
        <w:widowControl/>
        <w:numPr>
          <w:ilvl w:val="0"/>
          <w:numId w:val="57"/>
        </w:numPr>
        <w:shd w:val="clear" w:color="auto" w:fill="FFFFFF"/>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один из родителей признан судом недееспособным, то от его имени подать заявление может его опекун.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соответствии с законодательством РФ, чтобы отменить запись о родителях в ЗАГСе, необходимо судебное решение. Для этого потребуется обратиться с исковым </w:t>
      </w:r>
      <w:hyperlink r:id="rId124" w:history="1">
        <w:r w:rsidRPr="00DA76A7">
          <w:rPr>
            <w:rStyle w:val="af0"/>
            <w:rFonts w:ascii="Arial" w:hAnsi="Arial" w:cs="Arial"/>
            <w:color w:val="000000" w:themeColor="text1"/>
            <w:sz w:val="22"/>
            <w:szCs w:val="22"/>
            <w:u w:val="none"/>
          </w:rPr>
          <w:t>заявлением о признании отцовства недействительным в районный суд</w:t>
        </w:r>
      </w:hyperlink>
      <w:r w:rsidRPr="00DA76A7">
        <w:rPr>
          <w:rFonts w:ascii="Arial" w:hAnsi="Arial" w:cs="Arial"/>
          <w:color w:val="000000" w:themeColor="text1"/>
          <w:sz w:val="22"/>
          <w:szCs w:val="22"/>
        </w:rPr>
        <w:t xml:space="preserve"> по месту жительства истца либо ответчика в письменной форме.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w:t>
      </w:r>
      <w:hyperlink r:id="rId125" w:history="1">
        <w:r w:rsidRPr="00DA76A7">
          <w:rPr>
            <w:rStyle w:val="af0"/>
            <w:rFonts w:ascii="Arial" w:hAnsi="Arial" w:cs="Arial"/>
            <w:color w:val="000000" w:themeColor="text1"/>
            <w:sz w:val="22"/>
            <w:szCs w:val="22"/>
            <w:u w:val="none"/>
          </w:rPr>
          <w:t>судебном заседании</w:t>
        </w:r>
      </w:hyperlink>
      <w:r w:rsidRPr="00DA76A7">
        <w:rPr>
          <w:rFonts w:ascii="Arial" w:hAnsi="Arial" w:cs="Arial"/>
          <w:color w:val="000000" w:themeColor="text1"/>
          <w:sz w:val="22"/>
          <w:szCs w:val="22"/>
        </w:rPr>
        <w:t xml:space="preserve"> необходимо доказать обстоятельства, на которые ссылается истец. В качестве доказательств можно предоставить:</w:t>
      </w:r>
    </w:p>
    <w:p w:rsidR="00181BA7" w:rsidRPr="00DA76A7" w:rsidRDefault="00181BA7" w:rsidP="00D45D6B">
      <w:pPr>
        <w:pStyle w:val="a6"/>
        <w:numPr>
          <w:ilvl w:val="0"/>
          <w:numId w:val="58"/>
        </w:numPr>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показания свидетелей;</w:t>
      </w:r>
    </w:p>
    <w:p w:rsidR="00181BA7" w:rsidRPr="00DA76A7" w:rsidRDefault="00181BA7" w:rsidP="00D45D6B">
      <w:pPr>
        <w:pStyle w:val="a6"/>
        <w:numPr>
          <w:ilvl w:val="0"/>
          <w:numId w:val="58"/>
        </w:numPr>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заключение эксперта;</w:t>
      </w:r>
    </w:p>
    <w:p w:rsidR="00181BA7" w:rsidRPr="00DA76A7" w:rsidRDefault="00181BA7" w:rsidP="00D45D6B">
      <w:pPr>
        <w:pStyle w:val="a6"/>
        <w:numPr>
          <w:ilvl w:val="0"/>
          <w:numId w:val="58"/>
        </w:numPr>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различного рода аудио- либо видео- записи.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Свидетели могут подтвердить, что в интересующий период времени истец находился в отношениях с ответчиком, либо, наоборот, в них не состоял. Эксперт даст свое заключение, например, на представленные суду результаты анализа ДНК (только после проведения исследования). Аудио и видеозаписи могут косвенно служить доказательством, если на них зафиксированы факты, которые подтвердят или опровергнут нахождение в отношениях истца и ответчика [2].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Обращаясь с таким требованием в суд, лицо, оспаривающее отцовство, чаще всего не имеет никакого желания выполнять обязанности по материальному содержанию ребенка. Поэтому вместе с вынесением </w:t>
      </w:r>
      <w:hyperlink r:id="rId126" w:tgtFrame="_blank" w:history="1">
        <w:r w:rsidRPr="00DA76A7">
          <w:rPr>
            <w:rStyle w:val="af0"/>
            <w:rFonts w:ascii="Arial" w:hAnsi="Arial" w:cs="Arial"/>
            <w:color w:val="000000" w:themeColor="text1"/>
            <w:sz w:val="22"/>
            <w:szCs w:val="22"/>
            <w:u w:val="none"/>
          </w:rPr>
          <w:t>решения о признании отцовства</w:t>
        </w:r>
      </w:hyperlink>
      <w:r w:rsidRPr="00DA76A7">
        <w:rPr>
          <w:rFonts w:ascii="Arial" w:hAnsi="Arial" w:cs="Arial"/>
          <w:color w:val="000000" w:themeColor="text1"/>
          <w:sz w:val="22"/>
          <w:szCs w:val="22"/>
        </w:rPr>
        <w:t xml:space="preserve"> недействительным, истцу необходимо заявить требование о снятии алиментных обязательств. На основании судебного решения, вступившего в законную силу, в актовую запись вносятся изменения.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Когда судебным решением признается отцовство недействительным, то никаких прав и обязанностей теперь уже у бывшего отца перед ребёнком нет (теперь для него это «чужой» ребёнок), он лишается даже права общаться с ребёнком и участвовать в его воспитании. Вместе с тем, бывший отец также лишается права потребовать со своего уже бывшего ребенка алименты или какой-либо помощи в старости.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одной стороны, право на признание отцовства недействительным является возможностью гражданина защитить свои права в случае, если гражданин был фактически обманут. С другой стороны, поскольку свидетельские показания – одно из самых простых для фальсификации доказательств [1, 49], то подобный механизм может быть использован в неправомерных целях (например, для отказа от выполнения обязанностей по содержанию ребенка или в целях мести матери ребенка, если у нее нет средств для проведения анализа ДНК).</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 тем, существует проблема, связанная с восполнением «псевдо отцом» нарушенных прав. Одним из оснований внесения сведений об отце ребенка в свидетельство о рождении выступает наличие свидетельства о регистрации брака. В совокупности свидетельство о рождении и свидетельство о регистрации брака дают право матери на подачу заявления об установлении алиментов. Судебная практика показывает, что не всегда отцом ребенка оказывается мужчина, указанный в свидетельстве о регистрации брака. Итак, если в свидетельстве о рождении ребенка записан такой «псевдо отец», ему придется оспаривать отцовство, а пока длится судебный процесс, он обязан выплачивать алименты. При этом все взысканные с него средства, до получения удовлетворительного судебного решения об оспаривании отцовства не возвращаются, что нарушает принцип гражданского права, а именно право на восстановление нарушенных прав.</w:t>
      </w:r>
    </w:p>
    <w:p w:rsidR="00181BA7" w:rsidRPr="001713F3" w:rsidRDefault="00181BA7" w:rsidP="001713F3">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этим представляется целесообразным предоставить возможность обращаться в суд с исковым заявлением о возврате всех перечисленных денежных сумм, а также взыскание судебных расходов, понесенных при оспаривании отцовства. В случаях, когда «псевдо отец» не уплатил средства на содержание ребенка, судебным органам следует отзывать исполнительный лист, а органам ФССП прекращат</w:t>
      </w:r>
      <w:r w:rsidR="001713F3">
        <w:rPr>
          <w:rFonts w:ascii="Arial" w:hAnsi="Arial" w:cs="Arial"/>
          <w:color w:val="000000" w:themeColor="text1"/>
          <w:sz w:val="22"/>
          <w:szCs w:val="22"/>
        </w:rPr>
        <w:t xml:space="preserve">ь исполнительное производство. </w:t>
      </w: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Голубева Л.А. Правовой идеализм в государственном управлении как путь к правовому нигилизму общества // Российский журнал правовых исследований. 2015. № 4 (5). С. 39-42.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Признание отцовства недействительным [Электронный ресурс]. URL: http://m.yurist-online.net/article/1586/priznanie-ottsovstva-nedeystvitelnyim (дата обращения: 21.03.2018).</w:t>
      </w:r>
    </w:p>
    <w:p w:rsidR="00AC492D" w:rsidRDefault="00AC492D" w:rsidP="001713F3">
      <w:pP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НЕКОТОРЫЕ ВОПРОСЫ ОБ ОБЛИГАЦИИ В ГРАЖДАНСКОМ ПРАВЕ Р</w:t>
      </w:r>
      <w:r w:rsidR="0035387D" w:rsidRPr="00DA76A7">
        <w:rPr>
          <w:rFonts w:ascii="Arial" w:hAnsi="Arial" w:cs="Arial"/>
          <w:b/>
          <w:color w:val="000000" w:themeColor="text1"/>
          <w:sz w:val="22"/>
          <w:szCs w:val="22"/>
        </w:rPr>
        <w:t xml:space="preserve">ЕСУПБЛИКИ </w:t>
      </w:r>
      <w:r w:rsidRPr="00DA76A7">
        <w:rPr>
          <w:rFonts w:ascii="Arial" w:hAnsi="Arial" w:cs="Arial"/>
          <w:b/>
          <w:color w:val="000000" w:themeColor="text1"/>
          <w:sz w:val="22"/>
          <w:szCs w:val="22"/>
        </w:rPr>
        <w:t>Т</w:t>
      </w:r>
      <w:r w:rsidR="0035387D" w:rsidRPr="00DA76A7">
        <w:rPr>
          <w:rFonts w:ascii="Arial" w:hAnsi="Arial" w:cs="Arial"/>
          <w:b/>
          <w:color w:val="000000" w:themeColor="text1"/>
          <w:sz w:val="22"/>
          <w:szCs w:val="22"/>
        </w:rPr>
        <w:t>АДЖИКИСТАН</w:t>
      </w:r>
    </w:p>
    <w:p w:rsidR="00181BA7" w:rsidRPr="00DA76A7" w:rsidRDefault="00181BA7" w:rsidP="00181BA7">
      <w:pPr>
        <w:ind w:firstLine="567"/>
        <w:jc w:val="center"/>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Желтова Виктория Алексеевна</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3-го курса очного отделения юридического факультета</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Турсунзаде,30</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тел.: 93</w:t>
      </w:r>
      <w:r w:rsidRPr="00DA76A7">
        <w:rPr>
          <w:rFonts w:ascii="Arial" w:hAnsi="Arial" w:cs="Arial"/>
          <w:color w:val="000000" w:themeColor="text1"/>
          <w:sz w:val="22"/>
          <w:szCs w:val="22"/>
          <w:lang w:val="en-US"/>
        </w:rPr>
        <w:t> </w:t>
      </w:r>
      <w:r w:rsidRPr="00DA76A7">
        <w:rPr>
          <w:rFonts w:ascii="Arial" w:hAnsi="Arial" w:cs="Arial"/>
          <w:color w:val="000000" w:themeColor="text1"/>
          <w:sz w:val="22"/>
          <w:szCs w:val="22"/>
        </w:rPr>
        <w:t xml:space="preserve">902 23 71,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grajdan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ind w:firstLine="567"/>
        <w:jc w:val="center"/>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SOME QUESTIONS ABOUT BONDS IN CIVIL LAW IN THE REPUBLIC OF TAJIKISTAN</w:t>
      </w:r>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Zheltova Victoria Alekseevna</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student of the 3rd year full-time department of the law faculty</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 xml:space="preserve"> tel.: 93 902 23 71, e-mail: grajdan.pravo@mail.ru</w:t>
      </w:r>
    </w:p>
    <w:p w:rsidR="00181BA7" w:rsidRPr="001713F3" w:rsidRDefault="00181BA7" w:rsidP="00181BA7">
      <w:pPr>
        <w:ind w:firstLine="567"/>
        <w:jc w:val="right"/>
        <w:rPr>
          <w:rFonts w:ascii="Arial" w:hAnsi="Arial" w:cs="Arial"/>
          <w:b/>
          <w:color w:val="000000" w:themeColor="text1"/>
          <w:sz w:val="4"/>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преподаватель Сидиков Д.А</w:t>
      </w:r>
    </w:p>
    <w:p w:rsidR="00181BA7" w:rsidRPr="001713F3" w:rsidRDefault="00181BA7" w:rsidP="00181BA7">
      <w:pPr>
        <w:ind w:firstLine="567"/>
        <w:jc w:val="both"/>
        <w:rPr>
          <w:rFonts w:ascii="Arial" w:hAnsi="Arial" w:cs="Arial"/>
          <w:color w:val="000000" w:themeColor="text1"/>
          <w:sz w:val="18"/>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понятие и виды облигации, покупка и продажа облигаций, где можно найти данные о</w:t>
      </w:r>
      <w:r w:rsidR="0035387D" w:rsidRPr="00DA76A7">
        <w:rPr>
          <w:rFonts w:ascii="Arial" w:hAnsi="Arial" w:cs="Arial"/>
          <w:i/>
          <w:color w:val="000000" w:themeColor="text1"/>
          <w:sz w:val="22"/>
          <w:szCs w:val="22"/>
        </w:rPr>
        <w:t>Б</w:t>
      </w:r>
      <w:r w:rsidRPr="00DA76A7">
        <w:rPr>
          <w:rFonts w:ascii="Arial" w:hAnsi="Arial" w:cs="Arial"/>
          <w:i/>
          <w:color w:val="000000" w:themeColor="text1"/>
          <w:sz w:val="22"/>
          <w:szCs w:val="22"/>
        </w:rPr>
        <w:t xml:space="preserve"> облигации, также предоставлены сайты, в том числе и итоговая характеристика облигаций.</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A concept and types of bond, purchase and sale of bonds are examined in this article, where it is possible to find data about bond web sites, including final description of bonds, are also given.</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понятие облигации, номинал, курс, пункт, купон, дата погашения, дисконт, гражданское право.</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concept of bond, face value, course, point, coupon, maturity date, discount, civil  law.</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переводе с латинского «облигация» буквально означает «обязательство» т.е срочная долговая ценная бумага, удостоверяющая отношение займа между её эмитентом и владельцем. Объясняется тем, что обязательство возмещения взятой в долг суммы, т. е возникает долговое обязательство . Организация, выпустившая облигацию (эмитент), выступает в роли заёмщика денег, а покупатель облигации (инвестор или облигационер ) в роли кредитора. Облигация –это ценная бумага, которая: 1) выражает заёмные, долговые отношения между эмитентом и облигационером; 2) самостоятельно вращается на фондовом рынке вплоть до её погашения эмитентом и имеет собственный курс; 3) обладает свойствами ликвидности, надёжности, доходности и другими инвестиционными преимуществами [4,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47].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последнее время отмечается просто невообразимый рост заинтересованности населения по поводу облигаций. Одной из главных причин- это выпуск Министерством Финансов народных облигаций, которые может приобрести любой человек и предлагающих доход, немного выше, чем по банковским вкладам.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Облигация имеет итоговые характеристики-номинал, курс, пункт, купон, дата погашения, дисконт и др. Курс облигации назначается в процентах к номиналу. Дисконт (как и премия) - это разница между продажной ценой и номиналом облигации; в случае с премией эта разница положительна, а в случае с дисконтом- отрицательна. Купон (купонный процент) -это фиксированный процент, который устанавливается в момент эмиссии облигации. Исходя из данного процента облигационер получает систематические платежи по облигации. Чем выше размер купонного процента, тем выше ее инвестиционная привлекательность. Величина купона зависит от имиджа, надёжности эмитента. На него влияет и срок обращения облигации. Чем длительнее срок, тем больше купон, так как рыночный риск прямо пропорционален сроку обращения облигации [3,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91].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Облигация относится к основным ценным бумагам, широко распространяется на фондовом рынке и представляет собой срочную, долговую бумагу, которая подтверждает отношения займа между ее владельцем и эмитентом. Она выпускается, как правило на срок от одного года и более. При покупке облигации покупатель кредитует продавца. Эмитент обязуется выкупить облигацию в установленный срок. Доход по облигациям обычно ниже, чем по акциям, но он более надёжен, так как в меньшей степени зависит от ситуации на рынке и циклических колебаний в экономике. Поэтому облигации являются более привлекательными ценными бумагами для многих категорий людей, заботящихся не только о доходности, но и о надёжности своих вкладов.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Облигации выпускаются с целью привлечения дополнительных средств для проведения каких-либо мероприятий, способствующих увеличению прибыли или объёма производства товаров. Средства от продажи облигаций государственных займов применяются для покрытия дефицита государственного бюджета. Облигации имеют право выпускать только юридические лица (предприятия и их объединения, акционерные общества, кооперативы, банки, государство или муниципально - административные органы).  Держатель облигации приобретает сертификат облигации как доказательство того, что компания должна ему. В зависимости от эмитента: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государственные- издаются федеральным правительством и субъектами РФ, - являются самыми надёжными ценными бумагами;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муниципальные- выпускаются местными органами государственной власти;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корпоративные- публикуются юридическими лицами;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иностранные- публикуются иностранными эмитентами, могут существовать как частными, так и государственными.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Облигации с оговоренной датой погашения (критерии отнесения к этим облигациям у каждой страны свои) По сроку действия: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краткосрочные (до года)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среднесрочные (1-5 лет)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 долгосрочные (5-30 лет)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зависимости от внесения в реестр у эмитента (порядка владения) именные –бывают документарные и бездокументарные, заёмщик обязан вести реестр именных облигаций и в случае потери облигации возобновляет её за определённую дату. На предъявителя- всегда только документарные, реестр владельцев не ведётся, при потере облигации права владельца восстанавливаются через суд.</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характеру обращения: обычные конвертируемые – держатели этих облигаций имеют право в течение определенного срока или на весь период обращения обменивать (конвертировать) их на обыкновенные и привилегированные акции [5,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101].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признаку надёжности: достойные- выпускаются заёмщиками с твёрдой репутацией; макулатурные- спекулятивные облигации с высокой степенью риска и высоким купонным доходом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способу обеспечения займа: закладные- обеспеченные залогом имущества; гарантированные –обеспеченные третьими лицами; без обеспечения- не имеют под собой никакого обеспечения и основаны на доверии к эмитенту.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зависимости от вида обеспечения: ипотечные- выпущенные под залог недвижимости или земли; с плавающим залогом-в качестве обеспечения выступают машины, оборудование, материалы и другое; под залог ценных бумаг.</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методу погашения облигаций: с разовым погашением номинальной стоимости: с распределённым по времени погашением; с последовательным погашением фиксированной доли общего количества облигаций.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зависимости  от формы погашения долга заёмщиком: с компенсацией в денежной форме; с возмещением в натуральной форме.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и где можно купить бумаги? Покупка облигаций допустима только после заключения договора с брокером, дающим доступ на фондовый рынок, где именно и обращаются ценные бумаги. Весь процесс содержится в 3 этапах: заключение договора с брокером. внесение денег на счет. приобретение ценных бумаг.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приобретённого дохода по облигациям государство высчитает с вас 13% налог. Налогообложению подлежат- выплаты по купонам и курсовая разница между покупкой и продажей.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Где смотреть данные? Вся информация по предоставленным параметрам облигация на рынке доступна в торговом терминале. Когда вы заключите договор с брокером, у вас будет доступ на фондовый рынок. В программе можно спокойно сортировать и находить нужные бумаги по заданным условиям (доходность, размер и дата выплат купонов, текущая стоимость, длительность и многое другое). Можно осмотреть протекающие доходности, ближайшие выплаты по купонам, а также рассчитываемые новые эмиссии.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Зачем облигации необходимы эмитентам, если можно просто взять кредит? Почему они настолько популярны у корпоративных и индивидуальных инвесторов, если можно вложиться в «голубые фишки» и заработать существенно больше? Продавец облигаций выпускает их с одной целью-привлечь дополнительные денежные средства. Например:1. Компания использует деньги, полученные с облигаций, на её продвижение, расширение ассортимента товаров или спектра услуг.; 2. Предприятие привлекает облигациями деньги для увеличения производственных мощностей, модернизации, закупки нового оборудования, сырья и т.п.; 3. Правительство прибегает к ценным бумагам, чтобы получить дополнительное финансирование дефицита бюджета.; 4. Местные органы власти с помощью заёмных денег выравнивают доходы, расходы и реализуют конкретные проекты; 5. Банки получают дополнительные оборотные средства, которые могут использовать в своих целях. Держатели облигаций преследуют только две цели: сохранить свои деньги и получить дополнительный доход с процентов.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Получение дохода с облигаций –это стабильный и простой источник пассивного накопления денег. Однако прежде чем покупать и продавать ценные бумаги, стоит понимать, что их может коснуться инфляция. Это касается долгосрочных облигаций. У краткосрочных инфляционные риски минимальны. Продать облигацию можно по истечению срока её погашения или досрочно.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практике многие компании стараются раньше выкупить свои ценные бумаги, чтобы не выплачивать их держателям проценты. Продавать облигации просто. Достаточно обратиться к брокеру или самостоятельно выставить через интернет выставить их на продажу. Но при последнем варианте продажа облигаций можно затянуться, если торги по ним проходили давно. Покупать и продавать облигации может любое заинтересованное в этом лицо: обычные граждане или крупные инвесторы, в том числе государственные. </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5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Республики Таджикистан от 6 ноября 1994 г., [Электронный ресурс]. – Режим доступа: </w:t>
      </w:r>
      <w:hyperlink r:id="rId127" w:history="1">
        <w:r w:rsidRPr="00DA76A7">
          <w:rPr>
            <w:rStyle w:val="af0"/>
            <w:rFonts w:ascii="Arial" w:hAnsi="Arial" w:cs="Arial"/>
            <w:color w:val="000000" w:themeColor="text1"/>
            <w:u w:val="none"/>
          </w:rPr>
          <w:t>http://www.president.tj/ru/taxonomy/term/5/112</w:t>
        </w:r>
      </w:hyperlink>
      <w:r w:rsidRPr="00DA76A7">
        <w:rPr>
          <w:rFonts w:ascii="Arial" w:hAnsi="Arial" w:cs="Arial"/>
          <w:color w:val="000000" w:themeColor="text1"/>
        </w:rPr>
        <w:t xml:space="preserve"> (дата обращения: 13.03.2018)</w:t>
      </w:r>
    </w:p>
    <w:p w:rsidR="00181BA7" w:rsidRPr="00DA76A7" w:rsidRDefault="00181BA7" w:rsidP="00D45D6B">
      <w:pPr>
        <w:pStyle w:val="a6"/>
        <w:numPr>
          <w:ilvl w:val="0"/>
          <w:numId w:val="5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Гражданский кодекс Республики Таджикистан. Ч. 1 от 30 июня 1999года // Ахбори Маджлиси Оли Республики Таджикистан, 1999 г., №6, ст. 153; 2015 г., №3, ст. 200.</w:t>
      </w:r>
    </w:p>
    <w:p w:rsidR="00181BA7" w:rsidRPr="00DA76A7" w:rsidRDefault="00181BA7" w:rsidP="00D45D6B">
      <w:pPr>
        <w:pStyle w:val="a6"/>
        <w:numPr>
          <w:ilvl w:val="0"/>
          <w:numId w:val="5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Белов В.А. Юридические факты в гражданском праве: учеб. пособие для бакалавра и магистратуры. - М.:Юрайт, 2017. - 450 с.</w:t>
      </w:r>
    </w:p>
    <w:p w:rsidR="00181BA7" w:rsidRPr="00DA76A7" w:rsidRDefault="00181BA7" w:rsidP="00D45D6B">
      <w:pPr>
        <w:pStyle w:val="a6"/>
        <w:numPr>
          <w:ilvl w:val="0"/>
          <w:numId w:val="5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Беляева О.А. Чеки в современном гражданском обороте // Журнал российского права. – 2001. – №3. С. 44-47</w:t>
      </w:r>
    </w:p>
    <w:p w:rsidR="00181BA7" w:rsidRPr="00DA76A7" w:rsidRDefault="00181BA7" w:rsidP="00D45D6B">
      <w:pPr>
        <w:pStyle w:val="a6"/>
        <w:numPr>
          <w:ilvl w:val="0"/>
          <w:numId w:val="5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Гражданское право:  учебник в 3-х т. Т. 1 / В. В. Безбах [и др.]; отв. ред. В. П. Мозолин. -  М.: Проспект, 2014. - 964 с.</w:t>
      </w:r>
    </w:p>
    <w:p w:rsidR="00181BA7" w:rsidRPr="00DA76A7" w:rsidRDefault="00181BA7" w:rsidP="00181BA7">
      <w:pPr>
        <w:pStyle w:val="a6"/>
        <w:tabs>
          <w:tab w:val="left" w:pos="851"/>
        </w:tabs>
        <w:spacing w:after="0" w:line="240" w:lineRule="auto"/>
        <w:ind w:left="0" w:firstLine="567"/>
        <w:jc w:val="both"/>
        <w:rPr>
          <w:rFonts w:ascii="Arial" w:hAnsi="Arial" w:cs="Arial"/>
          <w:color w:val="000000" w:themeColor="text1"/>
        </w:rPr>
      </w:pPr>
    </w:p>
    <w:p w:rsidR="00AC492D" w:rsidRDefault="00AC492D" w:rsidP="001713F3">
      <w:pPr>
        <w:pStyle w:val="ac"/>
        <w:rPr>
          <w:rFonts w:ascii="Arial" w:hAnsi="Arial" w:cs="Arial"/>
          <w:b/>
          <w:color w:val="000000" w:themeColor="text1"/>
        </w:rPr>
      </w:pPr>
    </w:p>
    <w:p w:rsidR="00181BA7" w:rsidRPr="00DA76A7" w:rsidRDefault="00181BA7" w:rsidP="00181BA7">
      <w:pPr>
        <w:pStyle w:val="ac"/>
        <w:ind w:firstLine="567"/>
        <w:jc w:val="center"/>
        <w:rPr>
          <w:rFonts w:ascii="Arial" w:hAnsi="Arial" w:cs="Arial"/>
          <w:b/>
          <w:color w:val="000000" w:themeColor="text1"/>
        </w:rPr>
      </w:pPr>
      <w:r w:rsidRPr="00DA76A7">
        <w:rPr>
          <w:rFonts w:ascii="Arial" w:hAnsi="Arial" w:cs="Arial"/>
          <w:b/>
          <w:color w:val="000000" w:themeColor="text1"/>
        </w:rPr>
        <w:t xml:space="preserve">ПРОБЛЕМЫ </w:t>
      </w:r>
      <w:r w:rsidRPr="00DA76A7">
        <w:rPr>
          <w:rFonts w:ascii="Arial" w:hAnsi="Arial" w:cs="Arial"/>
          <w:b/>
          <w:bCs/>
          <w:color w:val="000000" w:themeColor="text1"/>
        </w:rPr>
        <w:t>ПРОЦЕДУРЫ УСЫНОВЛЕНИЯ (УДОЧЕРЕНИЯ)</w:t>
      </w:r>
      <w:r w:rsidRPr="00DA76A7">
        <w:rPr>
          <w:rFonts w:ascii="Arial" w:hAnsi="Arial" w:cs="Arial"/>
          <w:b/>
          <w:color w:val="000000" w:themeColor="text1"/>
        </w:rPr>
        <w:t xml:space="preserve"> В РЕСПУБЛИКЕ ТАДЖИКИСТАН</w:t>
      </w:r>
      <w:r w:rsidRPr="00DA76A7">
        <w:rPr>
          <w:rFonts w:ascii="Arial" w:hAnsi="Arial" w:cs="Arial"/>
          <w:b/>
          <w:color w:val="000000" w:themeColor="text1"/>
        </w:rPr>
        <w:br/>
      </w:r>
    </w:p>
    <w:p w:rsidR="00181BA7" w:rsidRPr="00DA76A7" w:rsidRDefault="00181BA7" w:rsidP="00181BA7">
      <w:pPr>
        <w:pStyle w:val="ac"/>
        <w:ind w:firstLine="567"/>
        <w:jc w:val="center"/>
        <w:rPr>
          <w:rFonts w:ascii="Arial" w:hAnsi="Arial" w:cs="Arial"/>
          <w:color w:val="000000" w:themeColor="text1"/>
        </w:rPr>
      </w:pPr>
      <w:r w:rsidRPr="00DA76A7">
        <w:rPr>
          <w:rFonts w:ascii="Arial" w:hAnsi="Arial" w:cs="Arial"/>
          <w:b/>
          <w:color w:val="000000" w:themeColor="text1"/>
        </w:rPr>
        <w:t>Зайнутдинова Зумрад Закировна</w:t>
      </w:r>
      <w:r w:rsidRPr="00DA76A7">
        <w:rPr>
          <w:rFonts w:ascii="Arial" w:hAnsi="Arial" w:cs="Arial"/>
          <w:b/>
          <w:color w:val="000000" w:themeColor="text1"/>
        </w:rPr>
        <w:br/>
      </w:r>
      <w:r w:rsidRPr="00DA76A7">
        <w:rPr>
          <w:rFonts w:ascii="Arial" w:hAnsi="Arial" w:cs="Arial"/>
          <w:color w:val="000000" w:themeColor="text1"/>
        </w:rPr>
        <w:t>студентка 2-го курса очного отделения юридического факультета</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542B0A" w:rsidRDefault="00181BA7" w:rsidP="00181BA7">
      <w:pPr>
        <w:ind w:firstLine="567"/>
        <w:jc w:val="center"/>
        <w:rPr>
          <w:rStyle w:val="af0"/>
          <w:rFonts w:ascii="Arial" w:hAnsi="Arial" w:cs="Arial"/>
          <w:color w:val="000000" w:themeColor="text1"/>
          <w:sz w:val="22"/>
          <w:szCs w:val="22"/>
          <w:u w:val="none"/>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90-91-73-37,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hyperlink r:id="rId128" w:history="1">
        <w:r w:rsidRPr="00DA76A7">
          <w:rPr>
            <w:rStyle w:val="af0"/>
            <w:rFonts w:ascii="Arial" w:hAnsi="Arial" w:cs="Arial"/>
            <w:color w:val="000000" w:themeColor="text1"/>
            <w:sz w:val="22"/>
            <w:szCs w:val="22"/>
            <w:u w:val="none"/>
            <w:lang w:val="en-US"/>
          </w:rPr>
          <w:t>zumrad</w:t>
        </w:r>
        <w:r w:rsidRPr="00542B0A">
          <w:rPr>
            <w:rStyle w:val="af0"/>
            <w:rFonts w:ascii="Arial" w:hAnsi="Arial" w:cs="Arial"/>
            <w:color w:val="000000" w:themeColor="text1"/>
            <w:sz w:val="22"/>
            <w:szCs w:val="22"/>
            <w:u w:val="none"/>
            <w:lang w:val="en-US"/>
          </w:rPr>
          <w:t>1998@</w:t>
        </w:r>
        <w:r w:rsidRPr="00DA76A7">
          <w:rPr>
            <w:rStyle w:val="af0"/>
            <w:rFonts w:ascii="Arial" w:hAnsi="Arial" w:cs="Arial"/>
            <w:color w:val="000000" w:themeColor="text1"/>
            <w:sz w:val="22"/>
            <w:szCs w:val="22"/>
            <w:u w:val="none"/>
            <w:lang w:val="en-US"/>
          </w:rPr>
          <w:t>mail</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p>
    <w:p w:rsidR="00181BA7" w:rsidRPr="00542B0A" w:rsidRDefault="00181BA7" w:rsidP="00181BA7">
      <w:pPr>
        <w:ind w:firstLine="567"/>
        <w:jc w:val="center"/>
        <w:rPr>
          <w:rStyle w:val="af0"/>
          <w:rFonts w:ascii="Arial" w:hAnsi="Arial" w:cs="Arial"/>
          <w:color w:val="000000" w:themeColor="text1"/>
          <w:sz w:val="22"/>
          <w:szCs w:val="22"/>
          <w:u w:val="none"/>
          <w:lang w:val="en-US"/>
        </w:rPr>
      </w:pPr>
    </w:p>
    <w:p w:rsidR="00181BA7" w:rsidRPr="00DA76A7" w:rsidRDefault="00181BA7" w:rsidP="00181BA7">
      <w:pPr>
        <w:ind w:firstLine="567"/>
        <w:jc w:val="center"/>
        <w:rPr>
          <w:rStyle w:val="af0"/>
          <w:rFonts w:ascii="Arial" w:hAnsi="Arial" w:cs="Arial"/>
          <w:b/>
          <w:color w:val="000000" w:themeColor="text1"/>
          <w:sz w:val="22"/>
          <w:szCs w:val="22"/>
          <w:u w:val="none"/>
          <w:lang w:val="en-US"/>
        </w:rPr>
      </w:pPr>
      <w:r w:rsidRPr="00DA76A7">
        <w:rPr>
          <w:rStyle w:val="af0"/>
          <w:rFonts w:ascii="Arial" w:hAnsi="Arial" w:cs="Arial"/>
          <w:b/>
          <w:color w:val="000000" w:themeColor="text1"/>
          <w:sz w:val="22"/>
          <w:szCs w:val="22"/>
          <w:u w:val="none"/>
          <w:lang w:val="en-US"/>
        </w:rPr>
        <w:t>PROBLEMS OF THE ADOPTION PROCEDURE IN THE REPUBLIC OF TAJIKISTAN</w:t>
      </w:r>
    </w:p>
    <w:p w:rsidR="00181BA7" w:rsidRPr="00DA76A7" w:rsidRDefault="00181BA7" w:rsidP="00181BA7">
      <w:pPr>
        <w:ind w:firstLine="567"/>
        <w:jc w:val="center"/>
        <w:rPr>
          <w:rStyle w:val="af0"/>
          <w:rFonts w:ascii="Arial" w:hAnsi="Arial" w:cs="Arial"/>
          <w:b/>
          <w:color w:val="000000" w:themeColor="text1"/>
          <w:sz w:val="22"/>
          <w:szCs w:val="22"/>
          <w:u w:val="none"/>
          <w:lang w:val="en-US"/>
        </w:rPr>
      </w:pPr>
    </w:p>
    <w:p w:rsidR="00181BA7" w:rsidRPr="00DA76A7" w:rsidRDefault="00181BA7" w:rsidP="00181BA7">
      <w:pPr>
        <w:ind w:firstLine="567"/>
        <w:jc w:val="center"/>
        <w:rPr>
          <w:rStyle w:val="af0"/>
          <w:rFonts w:ascii="Arial" w:hAnsi="Arial" w:cs="Arial"/>
          <w:b/>
          <w:color w:val="000000" w:themeColor="text1"/>
          <w:sz w:val="22"/>
          <w:szCs w:val="22"/>
          <w:u w:val="none"/>
          <w:lang w:val="en-US"/>
        </w:rPr>
      </w:pPr>
      <w:r w:rsidRPr="00DA76A7">
        <w:rPr>
          <w:rStyle w:val="af0"/>
          <w:rFonts w:ascii="Arial" w:hAnsi="Arial" w:cs="Arial"/>
          <w:b/>
          <w:color w:val="000000" w:themeColor="text1"/>
          <w:sz w:val="22"/>
          <w:szCs w:val="22"/>
          <w:u w:val="none"/>
          <w:lang w:val="en-US"/>
        </w:rPr>
        <w:t>Zaynutdinova Zumrad Zakirovna</w:t>
      </w:r>
    </w:p>
    <w:p w:rsidR="00181BA7" w:rsidRPr="00DA76A7" w:rsidRDefault="00181BA7" w:rsidP="00181BA7">
      <w:pPr>
        <w:ind w:firstLine="567"/>
        <w:jc w:val="center"/>
        <w:rPr>
          <w:rStyle w:val="af0"/>
          <w:rFonts w:ascii="Arial" w:hAnsi="Arial" w:cs="Arial"/>
          <w:b/>
          <w:color w:val="000000" w:themeColor="text1"/>
          <w:sz w:val="22"/>
          <w:szCs w:val="22"/>
          <w:u w:val="none"/>
          <w:lang w:val="en-US"/>
        </w:rPr>
      </w:pPr>
      <w:r w:rsidRPr="00DA76A7">
        <w:rPr>
          <w:rFonts w:ascii="Arial" w:hAnsi="Arial" w:cs="Arial"/>
          <w:color w:val="000000" w:themeColor="text1"/>
          <w:sz w:val="22"/>
          <w:szCs w:val="22"/>
          <w:shd w:val="clear" w:color="auto" w:fill="FFFFFF"/>
          <w:lang w:val="en-US"/>
        </w:rPr>
        <w:t>student of the 2 nd year full-time department of the law faculty</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 xml:space="preserve"> Russian-Tajik (Slavonic) university </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734025, Republic of Tajikistan, Dushanbe, M. Tursunzade str., 30</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 xml:space="preserve"> tel.: 90-91-73-37, e-mail: umrad1998@mail.ru</w:t>
      </w:r>
    </w:p>
    <w:p w:rsidR="00181BA7" w:rsidRPr="00DA76A7" w:rsidRDefault="00181BA7" w:rsidP="00181BA7">
      <w:pPr>
        <w:ind w:firstLine="567"/>
        <w:jc w:val="right"/>
        <w:rPr>
          <w:rFonts w:ascii="Arial" w:hAnsi="Arial" w:cs="Arial"/>
          <w:color w:val="000000" w:themeColor="text1"/>
          <w:sz w:val="22"/>
          <w:szCs w:val="22"/>
        </w:rPr>
      </w:pPr>
      <w:r w:rsidRPr="00542B0A">
        <w:rPr>
          <w:rFonts w:ascii="Arial" w:hAnsi="Arial" w:cs="Arial"/>
          <w:color w:val="000000" w:themeColor="text1"/>
          <w:sz w:val="22"/>
          <w:szCs w:val="22"/>
        </w:rPr>
        <w:br/>
      </w:r>
      <w:r w:rsidRPr="00DA76A7">
        <w:rPr>
          <w:rFonts w:ascii="Arial" w:hAnsi="Arial" w:cs="Arial"/>
          <w:color w:val="000000" w:themeColor="text1"/>
          <w:sz w:val="22"/>
          <w:szCs w:val="22"/>
        </w:rPr>
        <w:t>Научный руководитель:  преподаватель Сидиков Д.А.</w:t>
      </w:r>
    </w:p>
    <w:p w:rsidR="00181BA7" w:rsidRPr="00DA76A7" w:rsidRDefault="00181BA7" w:rsidP="00181BA7">
      <w:pPr>
        <w:ind w:firstLine="567"/>
        <w:jc w:val="right"/>
        <w:rPr>
          <w:rFonts w:ascii="Arial" w:hAnsi="Arial" w:cs="Arial"/>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общие понятия усыновления, а также рассматриваются основные аспекты процедуры усыновления в сравнительно-правовой форме по законодательству Республики Таджикистан и международными странами на примере Германии.</w:t>
      </w:r>
    </w:p>
    <w:p w:rsidR="00181BA7" w:rsidRPr="00DA76A7" w:rsidRDefault="00181BA7" w:rsidP="00181BA7">
      <w:pPr>
        <w:ind w:firstLine="567"/>
        <w:jc w:val="both"/>
        <w:rPr>
          <w:rFonts w:ascii="Arial" w:hAnsi="Arial" w:cs="Arial"/>
          <w:i/>
          <w:color w:val="000000" w:themeColor="text1"/>
          <w:sz w:val="22"/>
          <w:szCs w:val="22"/>
          <w:lang w:val="en-US"/>
        </w:rPr>
      </w:pPr>
      <w:r w:rsidRPr="00DA76A7">
        <w:rPr>
          <w:rStyle w:val="af6"/>
          <w:rFonts w:ascii="Arial" w:eastAsiaTheme="minorEastAsia" w:hAnsi="Arial" w:cs="Arial"/>
          <w:b/>
          <w:color w:val="000000" w:themeColor="text1"/>
          <w:sz w:val="22"/>
          <w:szCs w:val="22"/>
          <w:lang w:val="en-US"/>
        </w:rPr>
        <w:t>Annotation.</w:t>
      </w:r>
      <w:r w:rsidRPr="00DA76A7">
        <w:rPr>
          <w:rStyle w:val="af6"/>
          <w:rFonts w:ascii="Arial" w:eastAsiaTheme="minorEastAsia" w:hAnsi="Arial" w:cs="Arial"/>
          <w:color w:val="000000" w:themeColor="text1"/>
          <w:sz w:val="22"/>
          <w:szCs w:val="22"/>
          <w:lang w:val="en-US"/>
        </w:rPr>
        <w:t xml:space="preserve"> In this article, the general concepts of adoption are considered, and the main aspects of the adoption procedure in comparative legal form under the legislation of the Republic of Tajikistan and international countries are examined on the example of Germany</w:t>
      </w:r>
      <w:r w:rsidRPr="00DA76A7">
        <w:rPr>
          <w:rFonts w:ascii="Arial" w:hAnsi="Arial" w:cs="Arial"/>
          <w:i/>
          <w:color w:val="000000" w:themeColor="text1"/>
          <w:sz w:val="22"/>
          <w:szCs w:val="22"/>
          <w:shd w:val="clear" w:color="auto" w:fill="FFFFFF"/>
          <w:lang w:val="en-US"/>
        </w:rPr>
        <w:t>.</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усыновление (удочерение), усыновитель семейное право.</w:t>
      </w:r>
      <w:r w:rsidRPr="00DA76A7">
        <w:rPr>
          <w:rFonts w:ascii="Arial" w:hAnsi="Arial" w:cs="Arial"/>
          <w:i/>
          <w:color w:val="000000" w:themeColor="text1"/>
          <w:sz w:val="22"/>
          <w:szCs w:val="22"/>
        </w:rPr>
        <w:br/>
        <w:t xml:space="preserve">        </w:t>
      </w:r>
      <w:r w:rsidRPr="00DA76A7">
        <w:rPr>
          <w:rFonts w:ascii="Arial" w:hAnsi="Arial" w:cs="Arial"/>
          <w:b/>
          <w:i/>
          <w:color w:val="000000" w:themeColor="text1"/>
          <w:sz w:val="22"/>
          <w:szCs w:val="22"/>
        </w:rPr>
        <w:t xml:space="preserve"> </w:t>
      </w:r>
      <w:r w:rsidRPr="00DA76A7">
        <w:rPr>
          <w:rFonts w:ascii="Arial" w:hAnsi="Arial" w:cs="Arial"/>
          <w:b/>
          <w:i/>
          <w:color w:val="000000" w:themeColor="text1"/>
          <w:sz w:val="22"/>
          <w:szCs w:val="22"/>
          <w:lang w:val="en-US"/>
        </w:rPr>
        <w:t>Key</w:t>
      </w:r>
      <w:r w:rsidRPr="00DA76A7">
        <w:rPr>
          <w:rFonts w:ascii="Arial" w:hAnsi="Arial" w:cs="Arial"/>
          <w:b/>
          <w:i/>
          <w:color w:val="000000" w:themeColor="text1"/>
          <w:sz w:val="22"/>
          <w:szCs w:val="22"/>
        </w:rPr>
        <w:t xml:space="preserve"> </w:t>
      </w:r>
      <w:r w:rsidRPr="00DA76A7">
        <w:rPr>
          <w:rFonts w:ascii="Arial" w:hAnsi="Arial" w:cs="Arial"/>
          <w:b/>
          <w:i/>
          <w:color w:val="000000" w:themeColor="text1"/>
          <w:sz w:val="22"/>
          <w:szCs w:val="22"/>
          <w:lang w:val="en-US"/>
        </w:rPr>
        <w:t>words</w:t>
      </w:r>
      <w:r w:rsidRPr="00DA76A7">
        <w:rPr>
          <w:rFonts w:ascii="Arial" w:hAnsi="Arial" w:cs="Arial"/>
          <w:i/>
          <w:color w:val="000000" w:themeColor="text1"/>
          <w:sz w:val="22"/>
          <w:szCs w:val="22"/>
        </w:rPr>
        <w:t xml:space="preserve">: </w:t>
      </w:r>
      <w:r w:rsidRPr="00DA76A7">
        <w:rPr>
          <w:rFonts w:ascii="Arial" w:hAnsi="Arial" w:cs="Arial"/>
          <w:i/>
          <w:color w:val="000000" w:themeColor="text1"/>
          <w:sz w:val="22"/>
          <w:szCs w:val="22"/>
          <w:lang w:val="en-US"/>
        </w:rPr>
        <w:t>adoption</w:t>
      </w:r>
      <w:r w:rsidRPr="00DA76A7">
        <w:rPr>
          <w:rFonts w:ascii="Arial" w:hAnsi="Arial" w:cs="Arial"/>
          <w:i/>
          <w:color w:val="000000" w:themeColor="text1"/>
          <w:sz w:val="22"/>
          <w:szCs w:val="22"/>
        </w:rPr>
        <w:t xml:space="preserve">, </w:t>
      </w:r>
      <w:r w:rsidRPr="00DA76A7">
        <w:rPr>
          <w:rFonts w:ascii="Arial" w:hAnsi="Arial" w:cs="Arial"/>
          <w:i/>
          <w:color w:val="000000" w:themeColor="text1"/>
          <w:sz w:val="22"/>
          <w:szCs w:val="22"/>
          <w:lang w:val="en-US"/>
        </w:rPr>
        <w:t>family</w:t>
      </w:r>
      <w:r w:rsidRPr="00DA76A7">
        <w:rPr>
          <w:rFonts w:ascii="Arial" w:hAnsi="Arial" w:cs="Arial"/>
          <w:i/>
          <w:color w:val="000000" w:themeColor="text1"/>
          <w:sz w:val="22"/>
          <w:szCs w:val="22"/>
        </w:rPr>
        <w:t xml:space="preserve"> </w:t>
      </w:r>
      <w:r w:rsidRPr="00DA76A7">
        <w:rPr>
          <w:rFonts w:ascii="Arial" w:hAnsi="Arial" w:cs="Arial"/>
          <w:i/>
          <w:color w:val="000000" w:themeColor="text1"/>
          <w:sz w:val="22"/>
          <w:szCs w:val="22"/>
          <w:lang w:val="en-US"/>
        </w:rPr>
        <w:t>law</w:t>
      </w:r>
      <w:r w:rsidRPr="00DA76A7">
        <w:rPr>
          <w:rFonts w:ascii="Arial" w:hAnsi="Arial" w:cs="Arial"/>
          <w:i/>
          <w:color w:val="000000" w:themeColor="text1"/>
          <w:sz w:val="22"/>
          <w:szCs w:val="22"/>
        </w:rPr>
        <w:t>.</w:t>
      </w:r>
    </w:p>
    <w:p w:rsidR="00181BA7" w:rsidRPr="00DA76A7" w:rsidRDefault="00181BA7" w:rsidP="00181BA7">
      <w:pPr>
        <w:ind w:firstLine="567"/>
        <w:jc w:val="center"/>
        <w:rPr>
          <w:rFonts w:ascii="Arial" w:hAnsi="Arial" w:cs="Arial"/>
          <w:color w:val="000000" w:themeColor="text1"/>
          <w:sz w:val="22"/>
          <w:szCs w:val="22"/>
        </w:rPr>
      </w:pPr>
    </w:p>
    <w:p w:rsidR="00181BA7" w:rsidRPr="00DA76A7" w:rsidRDefault="00181BA7" w:rsidP="00181BA7">
      <w:pPr>
        <w:ind w:firstLine="567"/>
        <w:jc w:val="both"/>
        <w:rPr>
          <w:rFonts w:ascii="Arial" w:hAnsi="Arial" w:cs="Arial"/>
          <w:b/>
          <w:bCs/>
          <w:color w:val="000000" w:themeColor="text1"/>
          <w:sz w:val="22"/>
          <w:szCs w:val="22"/>
          <w:shd w:val="clear" w:color="auto" w:fill="FFFFFF"/>
        </w:rPr>
      </w:pPr>
      <w:r w:rsidRPr="00DA76A7">
        <w:rPr>
          <w:rFonts w:ascii="Arial" w:hAnsi="Arial" w:cs="Arial"/>
          <w:color w:val="000000" w:themeColor="text1"/>
          <w:sz w:val="22"/>
          <w:szCs w:val="22"/>
        </w:rPr>
        <w:t>Усыновление как форма устройства детей-сирот и детей, оставшихся без попечения родителей, является одной из самых приоритетных во всех странах мира. Нет ничего ценнее для каждого ребенка, как обретение семьи. С давних времен обществу было известно понятие усыновления (удочерения). Однако, в документальном виде реализация данных действий возникла не сразу. В связи с этим и возникла необходимость формирования института усыновления (удочерения) во всех странах мира.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Cs/>
          <w:color w:val="000000" w:themeColor="text1"/>
          <w:sz w:val="22"/>
          <w:szCs w:val="22"/>
          <w:shd w:val="clear" w:color="auto" w:fill="FFFFFF"/>
        </w:rPr>
        <w:t xml:space="preserve">Усыновление </w:t>
      </w:r>
      <w:r w:rsidRPr="00DA76A7">
        <w:rPr>
          <w:rFonts w:ascii="Arial" w:hAnsi="Arial" w:cs="Arial"/>
          <w:color w:val="000000" w:themeColor="text1"/>
          <w:sz w:val="22"/>
          <w:szCs w:val="22"/>
          <w:shd w:val="clear" w:color="auto" w:fill="FFFFFF"/>
        </w:rPr>
        <w:t>(</w:t>
      </w:r>
      <w:r w:rsidRPr="00DA76A7">
        <w:rPr>
          <w:rFonts w:ascii="Arial" w:hAnsi="Arial" w:cs="Arial"/>
          <w:bCs/>
          <w:color w:val="000000" w:themeColor="text1"/>
          <w:sz w:val="22"/>
          <w:szCs w:val="22"/>
          <w:shd w:val="clear" w:color="auto" w:fill="FFFFFF"/>
        </w:rPr>
        <w:t>удочерение)</w:t>
      </w:r>
      <w:r w:rsidRPr="00DA76A7">
        <w:rPr>
          <w:rFonts w:ascii="Arial" w:hAnsi="Arial" w:cs="Arial"/>
          <w:color w:val="000000" w:themeColor="text1"/>
          <w:sz w:val="22"/>
          <w:szCs w:val="22"/>
          <w:shd w:val="clear" w:color="auto" w:fill="FFFFFF"/>
        </w:rPr>
        <w:t> — форма </w:t>
      </w:r>
      <w:hyperlink r:id="rId129" w:tooltip="Семья" w:history="1">
        <w:r w:rsidRPr="00DA76A7">
          <w:rPr>
            <w:rFonts w:ascii="Arial" w:hAnsi="Arial" w:cs="Arial"/>
            <w:color w:val="000000" w:themeColor="text1"/>
            <w:sz w:val="22"/>
            <w:szCs w:val="22"/>
          </w:rPr>
          <w:t>семейного</w:t>
        </w:r>
      </w:hyperlink>
      <w:r w:rsidRPr="00DA76A7">
        <w:rPr>
          <w:rFonts w:ascii="Arial" w:hAnsi="Arial" w:cs="Arial"/>
          <w:color w:val="000000" w:themeColor="text1"/>
          <w:sz w:val="22"/>
          <w:szCs w:val="22"/>
          <w:shd w:val="clear" w:color="auto" w:fill="FFFFFF"/>
        </w:rPr>
        <w:t> воспитания детей, лишённых родительской опеки, с установлением между усыновленным и усыновителем правовых (личных и имущественных) отношений, существующих между родителями и детьми.</w:t>
      </w:r>
      <w:r w:rsidRPr="00DA76A7">
        <w:rPr>
          <w:rFonts w:ascii="Arial" w:hAnsi="Arial" w:cs="Arial"/>
          <w:color w:val="000000" w:themeColor="text1"/>
          <w:sz w:val="22"/>
          <w:szCs w:val="22"/>
          <w:shd w:val="clear" w:color="auto" w:fill="FFFFFF"/>
        </w:rPr>
        <w:br/>
        <w:t xml:space="preserve">Иными словами под усыновлением (удочерением)  следует понимать </w:t>
      </w:r>
      <w:r w:rsidRPr="00DA76A7">
        <w:rPr>
          <w:rFonts w:ascii="Arial" w:hAnsi="Arial" w:cs="Arial"/>
          <w:color w:val="000000" w:themeColor="text1"/>
          <w:sz w:val="22"/>
          <w:szCs w:val="22"/>
        </w:rPr>
        <w:t xml:space="preserve">юридический акт, в результате которого между усыновителем и его родственниками, с одной стороны, и усыновленным ребенком - с другой, возникают такие же права и обязанности, как между родителями и детьми, а также их родственниками по происхождению   </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shd w:val="clear" w:color="auto" w:fill="FFFFFF"/>
        </w:rPr>
        <w:t>Усыновление является самой предпочтительной формой семейного воспитания детей, оставшихся без попечения родителей.</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shd w:val="clear" w:color="auto" w:fill="FFFFFF"/>
        </w:rPr>
        <w:t xml:space="preserve">Исходя из истории, следует отметить, что по свидетельству </w:t>
      </w:r>
      <w:r w:rsidRPr="00DA76A7">
        <w:rPr>
          <w:rFonts w:ascii="Arial" w:hAnsi="Arial" w:cs="Arial"/>
          <w:color w:val="000000" w:themeColor="text1"/>
        </w:rPr>
        <w:t>К.П. Победоносцева, усыновление как юридическое учреждение «принялось особливо в германском праве».</w:t>
      </w:r>
      <w:r w:rsidRPr="00DA76A7">
        <w:rPr>
          <w:rFonts w:ascii="Arial" w:hAnsi="Arial" w:cs="Arial"/>
          <w:color w:val="000000" w:themeColor="text1"/>
        </w:rPr>
        <w:br/>
        <w:t>Первыми практикующими представителями данной формы семейного воспитания детей являлись европейские страны. Примером является форма искусственного сообщения родительских прав, которая образовалась в Германии и получила название Einkindschaft (присоединение детей, unio prolium). В начале XIX в. Франция включила возможность усыновления в свой Гражданский кодекс, после чего усыновление получило распространение во всем западном мире. Затем, позднее понятие усыновления (удочерения), а также его применение на практике получило возможность и в странах Азии. Азиатские страны ввели усыновление в свое законодательство в XIX и XX вв., причем в большинстве стран усыновление рассматривалось как помощь именно ребенку, и потому правовые связи между ребенком и семьей его происхождения сохранялись, несмотря на усыновление (простое усыновление).</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Сегодня, однако, большинство стран благоволят к полному усыновлению (adoption plena), т.е. к усыновлению, которое влечет не только полную интеграцию ребенка в новую семью, но и прерывает все правовые связи с семьей происхождения (биологической семьей).</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Усыновление (удочерение) в Республике Таджикистан регулируется нормами семейного законодательства Республики Таджикистан. В Главе 19, статьях с 126 по 146 регулируются все вопросы, связанные с порядком усыновления (удочерения) детей, оставшихся без попечения родителей. А именно: Допущение к усыновлению (ст.125), порядок усыновления (126), отношение лиц, имеющих право быть усыновителями (ст.127), согласие родителей на усыновление ребенка (ст.129), мнение усыновляемого ребенка на усыновление (ст. 132) и т.д.</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Рассмотрим основные аспекты усыновление (удочерения) в сравнительно-правовой форме на примере законодательства Республики Таджикистан и Федеративной Республики Германии.</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В ст. 6 ч. 1 Конституции (Основного закона) Германии говорится, что брак и семья находятся под особой защитой государства, что является аналогичным с понятием о защите брака в Республике Таджикистан ст.1 Семейного Кодекса Республики Таджикистан.</w:t>
      </w:r>
      <w:r w:rsidRPr="00DA76A7">
        <w:rPr>
          <w:rFonts w:ascii="Arial" w:hAnsi="Arial" w:cs="Arial"/>
          <w:color w:val="000000" w:themeColor="text1"/>
        </w:rPr>
        <w:br/>
        <w:t>В ФРГ понятие «семья» охватывает отношения между родителями и их детьми. Это следует понимать, прежде всего, как конституционную «гарантию института» и как выражение основополагающей ценности, записанных в публичном и частном праве. В соответствии с ч. 2 ст. 6 Конституции (Основного закона) Германии забота и воспитание детей являются естественным правом и первичной обязанностью родителей. В законодательных источниках РТ отсутствует толкование понятия «семьи», однако ст.2 СК РТ раскрывает отношения, регулируемые законодательством РТ о семье.</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Основным источником семейного законодательства Германии является четвертая книга Гражданского кодекса, состоящая из четырех глав. Первые три &amp; это «Гражданский брак», «Семейные отношения» и «Опека», а в Республике Таджикистан основным источником семейного законодательства является Семейный Кодекс РТ.</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Цель усыновления в Германии определена в ст. 1741 Гражданского уложения Германии: «Усыновление ребенка допустимо, если оно служит его благу, и следует ожидать, что между усыновителем и ребенком возникнут отношения, характерные для родителей и их детей» (</w:t>
      </w:r>
      <w:r w:rsidRPr="00DA76A7">
        <w:rPr>
          <w:rFonts w:ascii="Arial" w:hAnsi="Arial" w:cs="Arial"/>
          <w:color w:val="000000" w:themeColor="text1"/>
          <w:lang w:val="en-US"/>
        </w:rPr>
        <w:t>Die</w:t>
      </w:r>
      <w:r w:rsidRPr="00DA76A7">
        <w:rPr>
          <w:rFonts w:ascii="Arial" w:hAnsi="Arial" w:cs="Arial"/>
          <w:color w:val="000000" w:themeColor="text1"/>
        </w:rPr>
        <w:t xml:space="preserve"> </w:t>
      </w:r>
      <w:r w:rsidRPr="00DA76A7">
        <w:rPr>
          <w:rFonts w:ascii="Arial" w:hAnsi="Arial" w:cs="Arial"/>
          <w:color w:val="000000" w:themeColor="text1"/>
          <w:lang w:val="en-US"/>
        </w:rPr>
        <w:t>Annahme</w:t>
      </w:r>
      <w:r w:rsidRPr="00DA76A7">
        <w:rPr>
          <w:rFonts w:ascii="Arial" w:hAnsi="Arial" w:cs="Arial"/>
          <w:color w:val="000000" w:themeColor="text1"/>
        </w:rPr>
        <w:t xml:space="preserve"> </w:t>
      </w:r>
      <w:r w:rsidRPr="00DA76A7">
        <w:rPr>
          <w:rFonts w:ascii="Arial" w:hAnsi="Arial" w:cs="Arial"/>
          <w:color w:val="000000" w:themeColor="text1"/>
          <w:lang w:val="en-US"/>
        </w:rPr>
        <w:t>als</w:t>
      </w:r>
      <w:r w:rsidRPr="00DA76A7">
        <w:rPr>
          <w:rFonts w:ascii="Arial" w:hAnsi="Arial" w:cs="Arial"/>
          <w:color w:val="000000" w:themeColor="text1"/>
        </w:rPr>
        <w:t xml:space="preserve"> </w:t>
      </w:r>
      <w:r w:rsidRPr="00DA76A7">
        <w:rPr>
          <w:rFonts w:ascii="Arial" w:hAnsi="Arial" w:cs="Arial"/>
          <w:color w:val="000000" w:themeColor="text1"/>
          <w:lang w:val="en-US"/>
        </w:rPr>
        <w:t>Kind</w:t>
      </w:r>
      <w:r w:rsidRPr="00DA76A7">
        <w:rPr>
          <w:rFonts w:ascii="Arial" w:hAnsi="Arial" w:cs="Arial"/>
          <w:color w:val="000000" w:themeColor="text1"/>
        </w:rPr>
        <w:t xml:space="preserve"> </w:t>
      </w:r>
      <w:r w:rsidRPr="00DA76A7">
        <w:rPr>
          <w:rFonts w:ascii="Arial" w:hAnsi="Arial" w:cs="Arial"/>
          <w:color w:val="000000" w:themeColor="text1"/>
          <w:lang w:val="en-US"/>
        </w:rPr>
        <w:t>ist</w:t>
      </w:r>
      <w:r w:rsidRPr="00DA76A7">
        <w:rPr>
          <w:rFonts w:ascii="Arial" w:hAnsi="Arial" w:cs="Arial"/>
          <w:color w:val="000000" w:themeColor="text1"/>
        </w:rPr>
        <w:t xml:space="preserve"> </w:t>
      </w:r>
      <w:r w:rsidRPr="00DA76A7">
        <w:rPr>
          <w:rFonts w:ascii="Arial" w:hAnsi="Arial" w:cs="Arial"/>
          <w:color w:val="000000" w:themeColor="text1"/>
          <w:lang w:val="en-US"/>
        </w:rPr>
        <w:t>zul</w:t>
      </w:r>
      <w:r w:rsidRPr="00DA76A7">
        <w:rPr>
          <w:rFonts w:ascii="Arial" w:hAnsi="Arial" w:cs="Arial"/>
          <w:color w:val="000000" w:themeColor="text1"/>
        </w:rPr>
        <w:t>а</w:t>
      </w:r>
      <w:r w:rsidRPr="00DA76A7">
        <w:rPr>
          <w:rFonts w:ascii="Arial" w:hAnsi="Arial" w:cs="Arial"/>
          <w:color w:val="000000" w:themeColor="text1"/>
          <w:lang w:val="en-US"/>
        </w:rPr>
        <w:t>ssig</w:t>
      </w:r>
      <w:r w:rsidRPr="00DA76A7">
        <w:rPr>
          <w:rFonts w:ascii="Arial" w:hAnsi="Arial" w:cs="Arial"/>
          <w:color w:val="000000" w:themeColor="text1"/>
        </w:rPr>
        <w:t xml:space="preserve"> </w:t>
      </w:r>
      <w:r w:rsidRPr="00DA76A7">
        <w:rPr>
          <w:rFonts w:ascii="Arial" w:hAnsi="Arial" w:cs="Arial"/>
          <w:color w:val="000000" w:themeColor="text1"/>
          <w:lang w:val="en-US"/>
        </w:rPr>
        <w:t>wenn</w:t>
      </w:r>
      <w:r w:rsidRPr="00DA76A7">
        <w:rPr>
          <w:rFonts w:ascii="Arial" w:hAnsi="Arial" w:cs="Arial"/>
          <w:color w:val="000000" w:themeColor="text1"/>
        </w:rPr>
        <w:t xml:space="preserve"> </w:t>
      </w:r>
      <w:r w:rsidRPr="00DA76A7">
        <w:rPr>
          <w:rFonts w:ascii="Arial" w:hAnsi="Arial" w:cs="Arial"/>
          <w:color w:val="000000" w:themeColor="text1"/>
          <w:lang w:val="en-US"/>
        </w:rPr>
        <w:t>sie</w:t>
      </w:r>
      <w:r w:rsidRPr="00DA76A7">
        <w:rPr>
          <w:rFonts w:ascii="Arial" w:hAnsi="Arial" w:cs="Arial"/>
          <w:color w:val="000000" w:themeColor="text1"/>
        </w:rPr>
        <w:t xml:space="preserve"> </w:t>
      </w:r>
      <w:r w:rsidRPr="00DA76A7">
        <w:rPr>
          <w:rFonts w:ascii="Arial" w:hAnsi="Arial" w:cs="Arial"/>
          <w:color w:val="000000" w:themeColor="text1"/>
          <w:lang w:val="en-US"/>
        </w:rPr>
        <w:t>dem</w:t>
      </w:r>
      <w:r w:rsidRPr="00DA76A7">
        <w:rPr>
          <w:rFonts w:ascii="Arial" w:hAnsi="Arial" w:cs="Arial"/>
          <w:color w:val="000000" w:themeColor="text1"/>
        </w:rPr>
        <w:t xml:space="preserve"> </w:t>
      </w:r>
      <w:r w:rsidRPr="00DA76A7">
        <w:rPr>
          <w:rFonts w:ascii="Arial" w:hAnsi="Arial" w:cs="Arial"/>
          <w:color w:val="000000" w:themeColor="text1"/>
          <w:lang w:val="en-US"/>
        </w:rPr>
        <w:t>Wohl</w:t>
      </w:r>
      <w:r w:rsidRPr="00DA76A7">
        <w:rPr>
          <w:rFonts w:ascii="Arial" w:hAnsi="Arial" w:cs="Arial"/>
          <w:color w:val="000000" w:themeColor="text1"/>
        </w:rPr>
        <w:t xml:space="preserve"> </w:t>
      </w:r>
      <w:r w:rsidRPr="00DA76A7">
        <w:rPr>
          <w:rFonts w:ascii="Arial" w:hAnsi="Arial" w:cs="Arial"/>
          <w:color w:val="000000" w:themeColor="text1"/>
          <w:lang w:val="en-US"/>
        </w:rPr>
        <w:t>des</w:t>
      </w:r>
      <w:r w:rsidRPr="00DA76A7">
        <w:rPr>
          <w:rFonts w:ascii="Arial" w:hAnsi="Arial" w:cs="Arial"/>
          <w:color w:val="000000" w:themeColor="text1"/>
        </w:rPr>
        <w:t xml:space="preserve"> </w:t>
      </w:r>
      <w:r w:rsidRPr="00DA76A7">
        <w:rPr>
          <w:rFonts w:ascii="Arial" w:hAnsi="Arial" w:cs="Arial"/>
          <w:color w:val="000000" w:themeColor="text1"/>
          <w:lang w:val="en-US"/>
        </w:rPr>
        <w:t>Kindes</w:t>
      </w:r>
      <w:r w:rsidRPr="00DA76A7">
        <w:rPr>
          <w:rFonts w:ascii="Arial" w:hAnsi="Arial" w:cs="Arial"/>
          <w:color w:val="000000" w:themeColor="text1"/>
        </w:rPr>
        <w:t xml:space="preserve"> </w:t>
      </w:r>
      <w:r w:rsidRPr="00DA76A7">
        <w:rPr>
          <w:rFonts w:ascii="Arial" w:hAnsi="Arial" w:cs="Arial"/>
          <w:color w:val="000000" w:themeColor="text1"/>
          <w:lang w:val="en-US"/>
        </w:rPr>
        <w:t>dient</w:t>
      </w:r>
      <w:r w:rsidRPr="00DA76A7">
        <w:rPr>
          <w:rFonts w:ascii="Arial" w:hAnsi="Arial" w:cs="Arial"/>
          <w:color w:val="000000" w:themeColor="text1"/>
        </w:rPr>
        <w:t xml:space="preserve"> </w:t>
      </w:r>
      <w:r w:rsidRPr="00DA76A7">
        <w:rPr>
          <w:rFonts w:ascii="Arial" w:hAnsi="Arial" w:cs="Arial"/>
          <w:color w:val="000000" w:themeColor="text1"/>
          <w:lang w:val="en-US"/>
        </w:rPr>
        <w:t>und</w:t>
      </w:r>
      <w:r w:rsidRPr="00DA76A7">
        <w:rPr>
          <w:rFonts w:ascii="Arial" w:hAnsi="Arial" w:cs="Arial"/>
          <w:color w:val="000000" w:themeColor="text1"/>
        </w:rPr>
        <w:t xml:space="preserve"> </w:t>
      </w:r>
      <w:r w:rsidRPr="00DA76A7">
        <w:rPr>
          <w:rFonts w:ascii="Arial" w:hAnsi="Arial" w:cs="Arial"/>
          <w:color w:val="000000" w:themeColor="text1"/>
          <w:lang w:val="en-US"/>
        </w:rPr>
        <w:t>zu</w:t>
      </w:r>
      <w:r w:rsidRPr="00DA76A7">
        <w:rPr>
          <w:rFonts w:ascii="Arial" w:hAnsi="Arial" w:cs="Arial"/>
          <w:color w:val="000000" w:themeColor="text1"/>
        </w:rPr>
        <w:t xml:space="preserve"> </w:t>
      </w:r>
      <w:r w:rsidRPr="00DA76A7">
        <w:rPr>
          <w:rFonts w:ascii="Arial" w:hAnsi="Arial" w:cs="Arial"/>
          <w:color w:val="000000" w:themeColor="text1"/>
          <w:lang w:val="en-US"/>
        </w:rPr>
        <w:t>erwarten</w:t>
      </w:r>
      <w:r w:rsidRPr="00DA76A7">
        <w:rPr>
          <w:rFonts w:ascii="Arial" w:hAnsi="Arial" w:cs="Arial"/>
          <w:color w:val="000000" w:themeColor="text1"/>
        </w:rPr>
        <w:t xml:space="preserve"> </w:t>
      </w:r>
      <w:r w:rsidRPr="00DA76A7">
        <w:rPr>
          <w:rFonts w:ascii="Arial" w:hAnsi="Arial" w:cs="Arial"/>
          <w:color w:val="000000" w:themeColor="text1"/>
          <w:lang w:val="en-US"/>
        </w:rPr>
        <w:t>ist</w:t>
      </w:r>
      <w:r w:rsidRPr="00DA76A7">
        <w:rPr>
          <w:rFonts w:ascii="Arial" w:hAnsi="Arial" w:cs="Arial"/>
          <w:color w:val="000000" w:themeColor="text1"/>
        </w:rPr>
        <w:t xml:space="preserve"> </w:t>
      </w:r>
      <w:r w:rsidRPr="00DA76A7">
        <w:rPr>
          <w:rFonts w:ascii="Arial" w:hAnsi="Arial" w:cs="Arial"/>
          <w:color w:val="000000" w:themeColor="text1"/>
          <w:lang w:val="en-US"/>
        </w:rPr>
        <w:t>dass</w:t>
      </w:r>
      <w:r w:rsidRPr="00DA76A7">
        <w:rPr>
          <w:rFonts w:ascii="Arial" w:hAnsi="Arial" w:cs="Arial"/>
          <w:color w:val="000000" w:themeColor="text1"/>
        </w:rPr>
        <w:t xml:space="preserve"> </w:t>
      </w:r>
      <w:r w:rsidRPr="00DA76A7">
        <w:rPr>
          <w:rFonts w:ascii="Arial" w:hAnsi="Arial" w:cs="Arial"/>
          <w:color w:val="000000" w:themeColor="text1"/>
          <w:lang w:val="en-US"/>
        </w:rPr>
        <w:t>zwischen</w:t>
      </w:r>
      <w:r w:rsidRPr="00DA76A7">
        <w:rPr>
          <w:rFonts w:ascii="Arial" w:hAnsi="Arial" w:cs="Arial"/>
          <w:color w:val="000000" w:themeColor="text1"/>
        </w:rPr>
        <w:t xml:space="preserve"> </w:t>
      </w:r>
      <w:r w:rsidRPr="00DA76A7">
        <w:rPr>
          <w:rFonts w:ascii="Arial" w:hAnsi="Arial" w:cs="Arial"/>
          <w:color w:val="000000" w:themeColor="text1"/>
          <w:lang w:val="en-US"/>
        </w:rPr>
        <w:t>dem</w:t>
      </w:r>
      <w:r w:rsidRPr="00DA76A7">
        <w:rPr>
          <w:rFonts w:ascii="Arial" w:hAnsi="Arial" w:cs="Arial"/>
          <w:color w:val="000000" w:themeColor="text1"/>
        </w:rPr>
        <w:t xml:space="preserve"> </w:t>
      </w:r>
      <w:r w:rsidRPr="00DA76A7">
        <w:rPr>
          <w:rFonts w:ascii="Arial" w:hAnsi="Arial" w:cs="Arial"/>
          <w:color w:val="000000" w:themeColor="text1"/>
          <w:lang w:val="en-US"/>
        </w:rPr>
        <w:t>Annehmenden</w:t>
      </w:r>
      <w:r w:rsidRPr="00DA76A7">
        <w:rPr>
          <w:rFonts w:ascii="Arial" w:hAnsi="Arial" w:cs="Arial"/>
          <w:color w:val="000000" w:themeColor="text1"/>
        </w:rPr>
        <w:t xml:space="preserve"> </w:t>
      </w:r>
      <w:r w:rsidRPr="00DA76A7">
        <w:rPr>
          <w:rFonts w:ascii="Arial" w:hAnsi="Arial" w:cs="Arial"/>
          <w:color w:val="000000" w:themeColor="text1"/>
          <w:lang w:val="en-US"/>
        </w:rPr>
        <w:t>und</w:t>
      </w:r>
      <w:r w:rsidRPr="00DA76A7">
        <w:rPr>
          <w:rFonts w:ascii="Arial" w:hAnsi="Arial" w:cs="Arial"/>
          <w:color w:val="000000" w:themeColor="text1"/>
        </w:rPr>
        <w:t xml:space="preserve"> </w:t>
      </w:r>
      <w:r w:rsidRPr="00DA76A7">
        <w:rPr>
          <w:rFonts w:ascii="Arial" w:hAnsi="Arial" w:cs="Arial"/>
          <w:color w:val="000000" w:themeColor="text1"/>
          <w:lang w:val="en-US"/>
        </w:rPr>
        <w:t>dem</w:t>
      </w:r>
      <w:r w:rsidRPr="00DA76A7">
        <w:rPr>
          <w:rFonts w:ascii="Arial" w:hAnsi="Arial" w:cs="Arial"/>
          <w:color w:val="000000" w:themeColor="text1"/>
        </w:rPr>
        <w:t xml:space="preserve"> </w:t>
      </w:r>
      <w:r w:rsidRPr="00DA76A7">
        <w:rPr>
          <w:rFonts w:ascii="Arial" w:hAnsi="Arial" w:cs="Arial"/>
          <w:color w:val="000000" w:themeColor="text1"/>
          <w:lang w:val="en-US"/>
        </w:rPr>
        <w:t>Kind</w:t>
      </w:r>
      <w:r w:rsidRPr="00DA76A7">
        <w:rPr>
          <w:rFonts w:ascii="Arial" w:hAnsi="Arial" w:cs="Arial"/>
          <w:color w:val="000000" w:themeColor="text1"/>
        </w:rPr>
        <w:t xml:space="preserve"> </w:t>
      </w:r>
      <w:r w:rsidRPr="00DA76A7">
        <w:rPr>
          <w:rFonts w:ascii="Arial" w:hAnsi="Arial" w:cs="Arial"/>
          <w:color w:val="000000" w:themeColor="text1"/>
          <w:lang w:val="en-US"/>
        </w:rPr>
        <w:t>ein</w:t>
      </w:r>
      <w:r w:rsidRPr="00DA76A7">
        <w:rPr>
          <w:rFonts w:ascii="Arial" w:hAnsi="Arial" w:cs="Arial"/>
          <w:color w:val="000000" w:themeColor="text1"/>
        </w:rPr>
        <w:t xml:space="preserve"> </w:t>
      </w:r>
      <w:r w:rsidRPr="00DA76A7">
        <w:rPr>
          <w:rFonts w:ascii="Arial" w:hAnsi="Arial" w:cs="Arial"/>
          <w:color w:val="000000" w:themeColor="text1"/>
          <w:lang w:val="en-US"/>
        </w:rPr>
        <w:t>Eltern</w:t>
      </w:r>
      <w:r w:rsidRPr="00DA76A7">
        <w:rPr>
          <w:rFonts w:ascii="Arial" w:hAnsi="Arial" w:cs="Arial"/>
          <w:color w:val="000000" w:themeColor="text1"/>
        </w:rPr>
        <w:t>&amp;</w:t>
      </w:r>
      <w:r w:rsidRPr="00DA76A7">
        <w:rPr>
          <w:rFonts w:ascii="Arial" w:hAnsi="Arial" w:cs="Arial"/>
          <w:color w:val="000000" w:themeColor="text1"/>
          <w:lang w:val="en-US"/>
        </w:rPr>
        <w:t>Kind</w:t>
      </w:r>
      <w:r w:rsidRPr="00DA76A7">
        <w:rPr>
          <w:rFonts w:ascii="Arial" w:hAnsi="Arial" w:cs="Arial"/>
          <w:color w:val="000000" w:themeColor="text1"/>
        </w:rPr>
        <w:t>&amp;</w:t>
      </w:r>
      <w:r w:rsidRPr="00DA76A7">
        <w:rPr>
          <w:rFonts w:ascii="Arial" w:hAnsi="Arial" w:cs="Arial"/>
          <w:color w:val="000000" w:themeColor="text1"/>
          <w:lang w:val="en-US"/>
        </w:rPr>
        <w:t>Verh</w:t>
      </w:r>
      <w:r w:rsidRPr="00DA76A7">
        <w:rPr>
          <w:rFonts w:ascii="Arial" w:hAnsi="Arial" w:cs="Arial"/>
          <w:color w:val="000000" w:themeColor="text1"/>
        </w:rPr>
        <w:t>а</w:t>
      </w:r>
      <w:r w:rsidRPr="00DA76A7">
        <w:rPr>
          <w:rFonts w:ascii="Arial" w:hAnsi="Arial" w:cs="Arial"/>
          <w:color w:val="000000" w:themeColor="text1"/>
          <w:lang w:val="en-US"/>
        </w:rPr>
        <w:t>ltnis</w:t>
      </w:r>
      <w:r w:rsidRPr="00DA76A7">
        <w:rPr>
          <w:rFonts w:ascii="Arial" w:hAnsi="Arial" w:cs="Arial"/>
          <w:color w:val="000000" w:themeColor="text1"/>
        </w:rPr>
        <w:t xml:space="preserve"> </w:t>
      </w:r>
      <w:r w:rsidRPr="00DA76A7">
        <w:rPr>
          <w:rFonts w:ascii="Arial" w:hAnsi="Arial" w:cs="Arial"/>
          <w:color w:val="000000" w:themeColor="text1"/>
          <w:lang w:val="en-US"/>
        </w:rPr>
        <w:t>entsteht</w:t>
      </w:r>
      <w:r w:rsidRPr="00DA76A7">
        <w:rPr>
          <w:rFonts w:ascii="Arial" w:hAnsi="Arial" w:cs="Arial"/>
          <w:color w:val="000000" w:themeColor="text1"/>
        </w:rPr>
        <w:t xml:space="preserve"> ). [6]</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Таджикистан в свою очередь целью усыновления (удочерения) считает помощь, оказываемую ребенку на получение возможности жить в семье, а также помощь обрести полную семью супругам, не имеющих возможность иметь детей. В Германии усыновить ребенка супруги могут только вместе.</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Имеются лишь немногочисленные исключения из общего правила. Также при выполнении определенных предпосылок возможно усыновление детей и одинокими людьми. Хотя статистика и утверждает, что подобного практически не происходит. В свою очередь Таджикистан допускает усыновление ребенка как супругами вместе, так одинокими людьми. Существует лишь исключение в том, что лица, не состоящие между собой в браке, не могут совместно усыновить одного и того же ребенка.</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Следующей отличительной особенностью является возраст усыновителей. Возраст усыновителей в Германии не должен быть менее 21 года для женщин и 25 – для мужчин. Одинокие усыновители не могут быть моложе 25 лет. Верхней границы не существует. В свою очередь Таджикистан допускает усыновление лицами, достигшими совершеннолетнего возраста т.е. 18 лет как по отношению к мужчинам, так и по отношению к женщинам. Возраст совершеннолетия также относится и к одиноким усыновителям.</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 xml:space="preserve">В Германии в 2001 г. вместе с введением в действие института зарегистрированного партнерства (в рамках которого однополые партнеры наделялись далеко не всеми правами, доступными гетеросексуальным супругам, к примеру, отсутствовала возможность внутрисемейного усыновления) однополым парам, воспитывающим детей, стала доступна специфическая форма опеки. Биологический родитель может заключить со своим партнером соглашение о родительских правах, в котором определяется, каким образом будут решаться вопросы повседневной жизни ребенка. В экстраординарных случаях (непосредственная опасность для жизни ребенка) партнер может принимать самостоятельно «все законные меры, необходимые для благополучия ребенка», с незамедлительным уведомлением об этом биологического родителя. Кроме того, в 2004 г. в законодательство были внесены изменения [6] расширяющие перечень прав, доступных однополым партнерам, в том числе в части, касающейся внутрисемейного усыновления. Что же касается Республики Таджикистан, она категорически запрещает любые формы усыновления (удочерения) детей, а также установления опеки и попечительства над детьми среди однополых партнеров, а также лиц, заключивших однополые браки. Также следует отметить, что в нашей стране однополые браки запрещены, в сравнении с европейскими странами. </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Таким образом, сравнив некоторые аспекты правового регулирования усыновления (удочерения) в Республике Таджикистан и Германии можно сделать вывод о том, что как в Германии, так и в Таджикистане постепенно происходит все большее сближение семьи основанной на усыновлении. Ранее это сближение в основном происходило за счет приближения правового регулирования отношений между усыновленными и усыновителями к правовому регулированию отношений между родителями и детьми, а само усыновление конструировалось по модели кровнородственной семьи. В настоящее время правовые основания отношений между родителями и детьми все более приближаются к правовым основаниям усыновления. Но, несмотря ни на что, усыновление является наилучшим видом семейного воспитания детей, поскольку тогда дети оказываются в условиях, наиболее схожих с тем, которые складываются в семье, основанной на родстве. Однако следует отметить, что Республика Таджикистан внесла поправки в закон «О государственной регистрации актов гражданского состояния», запрещающие браки между близкими родственниками, которые влекут за собой положительные итоги как с медицинской точки зрения, так и с нравственной.</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Проведенное нами исследование процедуры усыновления по законодательству зарубежных стран в лице Германии в сравнении с законодательством Республики Таджикистан позволило сформулировать ряд концептуально важных выводов.</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В отличие от зарубежных стран в Республике Таджикистан отмечается большее количество детских домов. При этом воспитанниками указанных учреждений являются преимущественно дети подросткового возраста и дети-инвалиды, другими словами, не совсем «востребованная» на родине категория кандидатов в усыновляемые. Причин тому несколько: с одной стороны, социально-психологическая настроенность нашего общества, а с другой весьма слабая государственная поддержка лиц, взявших на воспитание детей-инвалидов. Если сравнивать с законодательством зарубежных стран, то, к примеру, в Германии родители, усыновившие ребенка, освобождаются от большей части налогового бремени и получают солидные ежемесячные выплаты. Кроме того, в США, Канаде, Италии, Испании, Германии и Франции осталось незначительное количество государственных детских домов, что значительно отличается от положения Таджикистана. На практике нашей страны частных детских домов не существует. Обусловлено это тем, что в зарубежных странах, преимущественно Дальнего Зарубежья, широкое распространение получили более выгодные для детей формы: патронатная семья, семейный детдом и т.п., дающие малышу ощущение не госучреждения, а настоящей семьи. Думается, данная полезная практика могла бы быть воспринята и в Республике Таджикистан. Также хотелось бы отметить возрастные категории, по достижению которых, лицо в праве усыновить (удочерить) ребенка. Такой практикой пользуется Германия, Таджикистан же в свою очередь данных оговорок не имеет. На мой взгляд, данная практика также могла бы быть воспринята и нашим государством. Хотелось бы обосновать свое предложение тем, что на сегодняшний день не каждое лицо по достижению 18-го возраста в силах отвечать за каждый свой поступок здраво и с полной ответственностью, а усыновление (удочерение) ребенка в свою очередь это большая ответственность со стороны усыновителя т.к. данное лицо усыновляя ребенка в дальнейшем и определяет его судьбу в новой семье.</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В подавляющем большинстве зарубежных стран на законодательном уровне разрешено усыновлять детей однополым родителям (к примеру, Нидерланды). Подобные нормативные положения в законодательстве Республике Таджикистан категорически отсутствуют, что обусловлено особенностями таджикской культуры и таджикского национального менталитета. В данном случае я полностью согласна с законодательством нашей республики, в связи с тем, что, исходя из моральной точки зрения, ребенок, с момента появления на свет, нуждается в воспитании матери, в лице женщины и отца, в лице мужчины. Однако однополые браки категорически не соответствуют этому главному эталону семьи. Иными словами, усыновляя ребенка, однополая семья не сможет воспроизвести всю атмосферу и эмоциональный характер, которые сможет дать полноценная разнополая семья, а это, к сожалению, в дальнейшем может сказаться на ребенке по психологическим факторам, которые могут понести тяжелые медицинские последствия.</w:t>
      </w:r>
    </w:p>
    <w:p w:rsidR="00181BA7" w:rsidRPr="00DA76A7" w:rsidRDefault="00181BA7" w:rsidP="00181BA7">
      <w:pPr>
        <w:ind w:firstLine="567"/>
        <w:jc w:val="center"/>
        <w:rPr>
          <w:rFonts w:ascii="Arial" w:hAnsi="Arial" w:cs="Arial"/>
          <w:b/>
          <w:color w:val="000000" w:themeColor="text1"/>
          <w:sz w:val="22"/>
          <w:szCs w:val="22"/>
          <w:shd w:val="clear" w:color="auto" w:fill="FFFFFF"/>
        </w:rPr>
      </w:pPr>
    </w:p>
    <w:p w:rsidR="00181BA7" w:rsidRPr="00DA76A7" w:rsidRDefault="00181BA7" w:rsidP="00181BA7">
      <w:pPr>
        <w:ind w:firstLine="567"/>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Список литературы:</w:t>
      </w:r>
    </w:p>
    <w:p w:rsidR="00181BA7" w:rsidRPr="00DA76A7" w:rsidRDefault="00181BA7" w:rsidP="00D45D6B">
      <w:pPr>
        <w:pStyle w:val="a6"/>
        <w:numPr>
          <w:ilvl w:val="0"/>
          <w:numId w:val="8"/>
        </w:numPr>
        <w:tabs>
          <w:tab w:val="left" w:pos="915"/>
        </w:tabs>
        <w:spacing w:after="0" w:line="240" w:lineRule="auto"/>
        <w:ind w:left="0" w:firstLine="567"/>
        <w:contextualSpacing w:val="0"/>
        <w:jc w:val="both"/>
        <w:rPr>
          <w:rFonts w:ascii="Arial" w:hAnsi="Arial" w:cs="Arial"/>
          <w:b/>
          <w:color w:val="000000" w:themeColor="text1"/>
          <w:shd w:val="clear" w:color="auto" w:fill="FFFFFF"/>
        </w:rPr>
      </w:pPr>
      <w:r w:rsidRPr="00DA76A7">
        <w:rPr>
          <w:rFonts w:ascii="Arial" w:hAnsi="Arial" w:cs="Arial"/>
          <w:color w:val="000000" w:themeColor="text1"/>
        </w:rPr>
        <w:t xml:space="preserve">Конституция Республики Таджикистан от 6 ноября 1994 г. [Электронный ресурс]. – Режим доступа: </w:t>
      </w:r>
      <w:hyperlink r:id="rId130" w:history="1">
        <w:r w:rsidRPr="00DA76A7">
          <w:rPr>
            <w:rStyle w:val="af0"/>
            <w:rFonts w:ascii="Arial" w:hAnsi="Arial" w:cs="Arial"/>
            <w:color w:val="000000" w:themeColor="text1"/>
            <w:u w:val="none"/>
          </w:rPr>
          <w:t>http://www.president.tj/ru/taxonomy/term/5/112</w:t>
        </w:r>
      </w:hyperlink>
      <w:r w:rsidRPr="00DA76A7">
        <w:rPr>
          <w:rFonts w:ascii="Arial" w:hAnsi="Arial" w:cs="Arial"/>
          <w:color w:val="000000" w:themeColor="text1"/>
        </w:rPr>
        <w:t xml:space="preserve"> (дата обращения: 15.02.2018).</w:t>
      </w:r>
    </w:p>
    <w:p w:rsidR="00181BA7" w:rsidRPr="00DA76A7" w:rsidRDefault="00181BA7" w:rsidP="00D45D6B">
      <w:pPr>
        <w:pStyle w:val="a6"/>
        <w:numPr>
          <w:ilvl w:val="0"/>
          <w:numId w:val="8"/>
        </w:numPr>
        <w:tabs>
          <w:tab w:val="left" w:pos="915"/>
        </w:tabs>
        <w:spacing w:after="0" w:line="240" w:lineRule="auto"/>
        <w:ind w:left="0" w:firstLine="567"/>
        <w:contextualSpacing w:val="0"/>
        <w:jc w:val="both"/>
        <w:rPr>
          <w:rFonts w:ascii="Arial" w:hAnsi="Arial" w:cs="Arial"/>
          <w:b/>
          <w:color w:val="000000" w:themeColor="text1"/>
          <w:shd w:val="clear" w:color="auto" w:fill="FFFFFF"/>
        </w:rPr>
      </w:pPr>
      <w:r w:rsidRPr="00DA76A7">
        <w:rPr>
          <w:rFonts w:ascii="Arial" w:hAnsi="Arial" w:cs="Arial"/>
          <w:color w:val="000000" w:themeColor="text1"/>
        </w:rPr>
        <w:t>Гражданский кодекс Республики Таджикистан: ч. 2 от 11 декабря 1999 года // Ахбори Маджлиси Оли Республики Таджикистан, 1999 год, № 12., ст. 323, 2012 г., № 7., ст. 699; 2013 г., № 7, ст. 505.</w:t>
      </w:r>
    </w:p>
    <w:p w:rsidR="00181BA7" w:rsidRPr="00DA76A7" w:rsidRDefault="00181BA7" w:rsidP="00D45D6B">
      <w:pPr>
        <w:pStyle w:val="a6"/>
        <w:numPr>
          <w:ilvl w:val="0"/>
          <w:numId w:val="8"/>
        </w:numPr>
        <w:tabs>
          <w:tab w:val="left" w:pos="915"/>
        </w:tabs>
        <w:spacing w:after="0" w:line="240" w:lineRule="auto"/>
        <w:ind w:left="0" w:firstLine="567"/>
        <w:contextualSpacing w:val="0"/>
        <w:jc w:val="both"/>
        <w:rPr>
          <w:rFonts w:ascii="Arial" w:hAnsi="Arial" w:cs="Arial"/>
          <w:b/>
          <w:color w:val="000000" w:themeColor="text1"/>
          <w:shd w:val="clear" w:color="auto" w:fill="FFFFFF"/>
        </w:rPr>
      </w:pPr>
      <w:r w:rsidRPr="00DA76A7">
        <w:rPr>
          <w:rFonts w:ascii="Arial" w:hAnsi="Arial" w:cs="Arial"/>
          <w:color w:val="000000" w:themeColor="text1"/>
        </w:rPr>
        <w:t xml:space="preserve">Семейный Кодекс Республики Таджикистан от 25.03.2011г. [Электронный ресурс]. – Режим доступа: </w:t>
      </w:r>
      <w:hyperlink r:id="rId131" w:history="1">
        <w:r w:rsidRPr="00DA76A7">
          <w:rPr>
            <w:rStyle w:val="af0"/>
            <w:rFonts w:ascii="Arial" w:hAnsi="Arial" w:cs="Arial"/>
            <w:color w:val="000000" w:themeColor="text1"/>
            <w:u w:val="none"/>
          </w:rPr>
          <w:t>http://www.asia-realty.ru/co-zakon-tajikistan.php?Id=324</w:t>
        </w:r>
      </w:hyperlink>
    </w:p>
    <w:p w:rsidR="00181BA7" w:rsidRPr="00DA76A7" w:rsidRDefault="00181BA7" w:rsidP="00D45D6B">
      <w:pPr>
        <w:pStyle w:val="a6"/>
        <w:numPr>
          <w:ilvl w:val="0"/>
          <w:numId w:val="8"/>
        </w:numPr>
        <w:tabs>
          <w:tab w:val="left" w:pos="915"/>
        </w:tabs>
        <w:spacing w:after="0" w:line="240" w:lineRule="auto"/>
        <w:ind w:left="0" w:firstLine="567"/>
        <w:contextualSpacing w:val="0"/>
        <w:jc w:val="both"/>
        <w:rPr>
          <w:rFonts w:ascii="Arial" w:hAnsi="Arial" w:cs="Arial"/>
          <w:b/>
          <w:color w:val="000000" w:themeColor="text1"/>
          <w:shd w:val="clear" w:color="auto" w:fill="FFFFFF"/>
        </w:rPr>
      </w:pPr>
      <w:r w:rsidRPr="00DA76A7">
        <w:rPr>
          <w:rFonts w:ascii="Arial" w:hAnsi="Arial" w:cs="Arial"/>
          <w:color w:val="000000" w:themeColor="text1"/>
        </w:rPr>
        <w:t xml:space="preserve"> Процедура усыновления по законодательству зарубежных стран: монография / Е. В. Буянова. – Оренбург: ООО ИПК «Уни&amp; верситет», 2013. – 247 с.</w:t>
      </w:r>
    </w:p>
    <w:p w:rsidR="00181BA7" w:rsidRPr="00DA76A7" w:rsidRDefault="00181BA7" w:rsidP="00D45D6B">
      <w:pPr>
        <w:pStyle w:val="a6"/>
        <w:numPr>
          <w:ilvl w:val="0"/>
          <w:numId w:val="8"/>
        </w:numPr>
        <w:tabs>
          <w:tab w:val="left" w:pos="915"/>
        </w:tabs>
        <w:spacing w:after="0" w:line="240" w:lineRule="auto"/>
        <w:ind w:left="0" w:firstLine="567"/>
        <w:contextualSpacing w:val="0"/>
        <w:jc w:val="both"/>
        <w:rPr>
          <w:rStyle w:val="af0"/>
          <w:rFonts w:ascii="Arial" w:hAnsi="Arial" w:cs="Arial"/>
          <w:b/>
          <w:color w:val="000000" w:themeColor="text1"/>
          <w:u w:val="none"/>
          <w:shd w:val="clear" w:color="auto" w:fill="FFFFFF"/>
        </w:rPr>
      </w:pPr>
      <w:r w:rsidRPr="00DA76A7">
        <w:rPr>
          <w:rFonts w:ascii="Arial" w:hAnsi="Arial" w:cs="Arial"/>
          <w:color w:val="000000" w:themeColor="text1"/>
        </w:rPr>
        <w:t xml:space="preserve">Новостные каналы. [Электронный ресурс]. – Режим доступа: </w:t>
      </w:r>
      <w:hyperlink r:id="rId132" w:history="1">
        <w:r w:rsidRPr="00DA76A7">
          <w:rPr>
            <w:rStyle w:val="af0"/>
            <w:rFonts w:ascii="Arial" w:hAnsi="Arial" w:cs="Arial"/>
            <w:color w:val="000000" w:themeColor="text1"/>
            <w:u w:val="none"/>
          </w:rPr>
          <w:t>https://ru.sputnik-tj.com/society/20151022/1017214707.html</w:t>
        </w:r>
      </w:hyperlink>
      <w:r w:rsidRPr="00DA76A7">
        <w:rPr>
          <w:rStyle w:val="af0"/>
          <w:rFonts w:ascii="Arial" w:hAnsi="Arial" w:cs="Arial"/>
          <w:color w:val="000000" w:themeColor="text1"/>
          <w:u w:val="none"/>
        </w:rPr>
        <w:t xml:space="preserve"> </w:t>
      </w:r>
      <w:hyperlink r:id="rId133" w:history="1">
        <w:r w:rsidRPr="00DA76A7">
          <w:rPr>
            <w:rStyle w:val="af0"/>
            <w:rFonts w:ascii="Arial" w:hAnsi="Arial" w:cs="Arial"/>
            <w:color w:val="000000" w:themeColor="text1"/>
            <w:u w:val="none"/>
          </w:rPr>
          <w:t>https://news.tj/ru/news/osobennosti-natsionalnogo-usynovleniya</w:t>
        </w:r>
      </w:hyperlink>
    </w:p>
    <w:p w:rsidR="00181BA7" w:rsidRPr="00DA76A7" w:rsidRDefault="00181BA7" w:rsidP="00D45D6B">
      <w:pPr>
        <w:pStyle w:val="a6"/>
        <w:numPr>
          <w:ilvl w:val="0"/>
          <w:numId w:val="8"/>
        </w:numPr>
        <w:tabs>
          <w:tab w:val="left" w:pos="915"/>
        </w:tabs>
        <w:spacing w:after="0" w:line="240" w:lineRule="auto"/>
        <w:ind w:left="0" w:firstLine="567"/>
        <w:contextualSpacing w:val="0"/>
        <w:jc w:val="both"/>
        <w:rPr>
          <w:rFonts w:ascii="Arial" w:hAnsi="Arial" w:cs="Arial"/>
          <w:b/>
          <w:color w:val="000000" w:themeColor="text1"/>
          <w:shd w:val="clear" w:color="auto" w:fill="FFFFFF"/>
        </w:rPr>
      </w:pPr>
      <w:r w:rsidRPr="00DA76A7">
        <w:rPr>
          <w:rFonts w:ascii="Arial" w:hAnsi="Arial" w:cs="Arial"/>
          <w:color w:val="000000" w:themeColor="text1"/>
          <w:lang w:val="en-US"/>
        </w:rPr>
        <w:t xml:space="preserve">Gesetz zur Uberarbeitung des Lebenspartnerschaftsrechts vom 15. </w:t>
      </w:r>
      <w:r w:rsidRPr="00DA76A7">
        <w:rPr>
          <w:rFonts w:ascii="Arial" w:hAnsi="Arial" w:cs="Arial"/>
          <w:color w:val="000000" w:themeColor="text1"/>
        </w:rPr>
        <w:t>Dezember 2004 // [Электронный ресурс]. – Режим доступа: http://www.bmj.bund.de (дата обращения: 18.02.2018).</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НАДЛЕЖАЩЕЕ ИСПОЛНЕНИЕ СЛОЖНЫХ ОБЯЗАТЕЛЬСТВ, СОДЕРЖАЩИХСЯ В ЗАВЕЩАНИИ</w:t>
      </w:r>
      <w:r w:rsidRPr="00DA76A7">
        <w:rPr>
          <w:rStyle w:val="af3"/>
          <w:rFonts w:ascii="Arial" w:hAnsi="Arial" w:cs="Arial"/>
          <w:b/>
          <w:color w:val="000000" w:themeColor="text1"/>
          <w:sz w:val="22"/>
          <w:szCs w:val="22"/>
        </w:rPr>
        <w:footnoteReference w:customMarkFollows="1" w:id="5"/>
        <w:sym w:font="Symbol" w:char="F02A"/>
      </w:r>
    </w:p>
    <w:p w:rsidR="00181BA7" w:rsidRPr="00DA76A7" w:rsidRDefault="00181BA7" w:rsidP="00181BA7">
      <w:pPr>
        <w:tabs>
          <w:tab w:val="center" w:pos="4677"/>
          <w:tab w:val="right" w:pos="9355"/>
        </w:tabs>
        <w:ind w:firstLine="567"/>
        <w:rPr>
          <w:rFonts w:ascii="Arial" w:hAnsi="Arial" w:cs="Arial"/>
          <w:b/>
          <w:color w:val="000000" w:themeColor="text1"/>
          <w:sz w:val="22"/>
          <w:szCs w:val="22"/>
        </w:rPr>
      </w:pP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Захаркина Анна Владимировна</w:t>
      </w:r>
    </w:p>
    <w:p w:rsidR="00181BA7" w:rsidRPr="00DA76A7" w:rsidRDefault="00181BA7" w:rsidP="00181BA7">
      <w:pPr>
        <w:tabs>
          <w:tab w:val="center" w:pos="4677"/>
          <w:tab w:val="right" w:pos="9355"/>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аспирант 3-го года обучения, старший преподаватель кафедры гражданского права</w:t>
      </w:r>
    </w:p>
    <w:p w:rsidR="00181BA7" w:rsidRPr="00DA76A7" w:rsidRDefault="00181BA7" w:rsidP="00181BA7">
      <w:pPr>
        <w:tabs>
          <w:tab w:val="center" w:pos="4677"/>
          <w:tab w:val="right" w:pos="9355"/>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Пермский государственный национальный исследовательский университет</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614990, Россия, г. Пермь, ул. Букирева, 15</w:t>
      </w:r>
    </w:p>
    <w:p w:rsidR="00181BA7" w:rsidRPr="00542B0A" w:rsidRDefault="00181BA7" w:rsidP="00181BA7">
      <w:pPr>
        <w:tabs>
          <w:tab w:val="center" w:pos="4677"/>
          <w:tab w:val="right" w:pos="9355"/>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+79523155558,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hyperlink r:id="rId134" w:history="1">
        <w:r w:rsidRPr="00DA76A7">
          <w:rPr>
            <w:rStyle w:val="af0"/>
            <w:rFonts w:ascii="Arial" w:hAnsi="Arial" w:cs="Arial"/>
            <w:color w:val="000000" w:themeColor="text1"/>
            <w:sz w:val="22"/>
            <w:szCs w:val="22"/>
            <w:u w:val="none"/>
            <w:lang w:val="en-US"/>
          </w:rPr>
          <w:t>AnnaVladimirovna</w:t>
        </w:r>
        <w:r w:rsidRPr="00542B0A">
          <w:rPr>
            <w:rStyle w:val="af0"/>
            <w:rFonts w:ascii="Arial" w:hAnsi="Arial" w:cs="Arial"/>
            <w:color w:val="000000" w:themeColor="text1"/>
            <w:sz w:val="22"/>
            <w:szCs w:val="22"/>
            <w:u w:val="none"/>
            <w:lang w:val="en-US"/>
          </w:rPr>
          <w:t>2009@</w:t>
        </w:r>
        <w:r w:rsidRPr="00DA76A7">
          <w:rPr>
            <w:rStyle w:val="af0"/>
            <w:rFonts w:ascii="Arial" w:hAnsi="Arial" w:cs="Arial"/>
            <w:color w:val="000000" w:themeColor="text1"/>
            <w:sz w:val="22"/>
            <w:szCs w:val="22"/>
            <w:u w:val="none"/>
            <w:lang w:val="en-US"/>
          </w:rPr>
          <w:t>yandex</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p>
    <w:p w:rsidR="00181BA7" w:rsidRPr="00542B0A" w:rsidRDefault="00181BA7" w:rsidP="00181BA7">
      <w:pPr>
        <w:tabs>
          <w:tab w:val="center" w:pos="4677"/>
          <w:tab w:val="right" w:pos="9355"/>
        </w:tabs>
        <w:ind w:firstLine="567"/>
        <w:jc w:val="center"/>
        <w:rPr>
          <w:rFonts w:ascii="Arial" w:hAnsi="Arial" w:cs="Arial"/>
          <w:b/>
          <w:color w:val="000000" w:themeColor="text1"/>
          <w:sz w:val="22"/>
          <w:szCs w:val="22"/>
          <w:lang w:val="en-US"/>
        </w:rPr>
      </w:pP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PROPER EXECUTION OF COMPLEX COMMITMENTS CONTAINED IN THE WILL</w:t>
      </w:r>
    </w:p>
    <w:p w:rsidR="00181BA7" w:rsidRPr="00DA76A7" w:rsidRDefault="00181BA7" w:rsidP="00181BA7">
      <w:pPr>
        <w:tabs>
          <w:tab w:val="left" w:pos="4380"/>
        </w:tabs>
        <w:ind w:firstLine="567"/>
        <w:jc w:val="center"/>
        <w:rPr>
          <w:rFonts w:ascii="Arial" w:hAnsi="Arial" w:cs="Arial"/>
          <w:b/>
          <w:color w:val="000000" w:themeColor="text1"/>
          <w:sz w:val="22"/>
          <w:szCs w:val="22"/>
          <w:lang w:val="en-US"/>
        </w:rPr>
      </w:pPr>
    </w:p>
    <w:p w:rsidR="00181BA7" w:rsidRPr="00DA76A7" w:rsidRDefault="00181BA7" w:rsidP="00181BA7">
      <w:pPr>
        <w:tabs>
          <w:tab w:val="left" w:pos="4380"/>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Zakharkina Anna Vladimirovna</w:t>
      </w:r>
    </w:p>
    <w:p w:rsidR="00181BA7" w:rsidRPr="00DA76A7" w:rsidRDefault="00181BA7" w:rsidP="00181BA7">
      <w:pPr>
        <w:tabs>
          <w:tab w:val="center" w:pos="4677"/>
          <w:tab w:val="right" w:pos="9355"/>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post-graduate student 3 years, senior lecturer of the department of civil law</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Perm state national research university</w:t>
      </w:r>
    </w:p>
    <w:p w:rsidR="00181BA7" w:rsidRPr="00DA76A7" w:rsidRDefault="00181BA7" w:rsidP="00181BA7">
      <w:pPr>
        <w:tabs>
          <w:tab w:val="center" w:pos="4677"/>
          <w:tab w:val="right" w:pos="9355"/>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614990, Russia, Perm, Bukirev str., 15</w:t>
      </w:r>
    </w:p>
    <w:p w:rsidR="00181BA7" w:rsidRPr="00DA76A7" w:rsidRDefault="00181BA7" w:rsidP="00181BA7">
      <w:pPr>
        <w:tabs>
          <w:tab w:val="center" w:pos="4677"/>
          <w:tab w:val="right" w:pos="9355"/>
        </w:tabs>
        <w:ind w:firstLine="567"/>
        <w:jc w:val="center"/>
        <w:rPr>
          <w:rFonts w:ascii="Arial" w:hAnsi="Arial" w:cs="Arial"/>
          <w:color w:val="000000" w:themeColor="text1"/>
          <w:sz w:val="22"/>
          <w:szCs w:val="22"/>
          <w:lang w:val="fr-FR"/>
        </w:rPr>
      </w:pPr>
      <w:r w:rsidRPr="00DA76A7">
        <w:rPr>
          <w:rFonts w:ascii="Arial" w:hAnsi="Arial" w:cs="Arial"/>
          <w:color w:val="000000" w:themeColor="text1"/>
          <w:sz w:val="22"/>
          <w:szCs w:val="22"/>
          <w:lang w:val="fr-FR"/>
        </w:rPr>
        <w:t xml:space="preserve">tel.: +79523155558,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fr-FR"/>
        </w:rPr>
        <w:t xml:space="preserve">-mail: </w:t>
      </w:r>
      <w:hyperlink r:id="rId135" w:history="1">
        <w:r w:rsidRPr="00DA76A7">
          <w:rPr>
            <w:rStyle w:val="af0"/>
            <w:rFonts w:ascii="Arial" w:hAnsi="Arial" w:cs="Arial"/>
            <w:color w:val="000000" w:themeColor="text1"/>
            <w:sz w:val="22"/>
            <w:szCs w:val="22"/>
            <w:u w:val="none"/>
            <w:lang w:val="fr-FR"/>
          </w:rPr>
          <w:t>AnnaVladimirovna2009@yandex.ru</w:t>
        </w:r>
      </w:hyperlink>
    </w:p>
    <w:p w:rsidR="00181BA7" w:rsidRPr="00DA76A7" w:rsidRDefault="00181BA7" w:rsidP="00181BA7">
      <w:pPr>
        <w:tabs>
          <w:tab w:val="center" w:pos="4677"/>
          <w:tab w:val="right" w:pos="9355"/>
        </w:tabs>
        <w:ind w:firstLine="567"/>
        <w:jc w:val="right"/>
        <w:rPr>
          <w:rFonts w:ascii="Arial" w:hAnsi="Arial" w:cs="Arial"/>
          <w:color w:val="000000" w:themeColor="text1"/>
          <w:sz w:val="22"/>
          <w:szCs w:val="22"/>
          <w:lang w:val="fr-FR"/>
        </w:rPr>
      </w:pPr>
    </w:p>
    <w:p w:rsidR="00181BA7" w:rsidRPr="00DA76A7" w:rsidRDefault="00181BA7" w:rsidP="00181BA7">
      <w:pPr>
        <w:tabs>
          <w:tab w:val="center" w:pos="4677"/>
          <w:tab w:val="right" w:pos="9355"/>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Статья посвящена рассмотрению одного из актуальных вопросов современной цивилистической науки – надлежащему исполнению сложных обязательств, содержащихся в завещании. Делается вывод о необходимости закрепления на законодательном уровне презумпции возмездности проживания отказополучателя в доме наследника и обязании отказополучателя, если иное не предусмотрено завещанием, компенсировать собственнику жилого помещения расходы на содержание занимаемой жилой площади. Кроме того, завещателям рекомендуется в отношении животных устанавливать в тексте завещания необходимость осуществлять уход за животным вплоть до его естественной смерти.</w:t>
      </w:r>
    </w:p>
    <w:p w:rsidR="00181BA7" w:rsidRPr="00DA76A7" w:rsidRDefault="00181BA7" w:rsidP="00181BA7">
      <w:pPr>
        <w:tabs>
          <w:tab w:val="center" w:pos="4677"/>
          <w:tab w:val="right" w:pos="9355"/>
        </w:tabs>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is devoted to the consideration of one of the topical issues of modern civil science – proper fulfillment of complex obligations contained in the will. It is concluded that the presumption of compensability of the residence of the refusal-recipient in the heir's house should be fixed at the legislative level and the obligation of the refusal-recipient, unless otherwise provided by the will, to compensate the owner of the premises for the maintenance of the occupied living space. In addition, testators are advised to establish in the text of the will the need to care for the animal until its natural death.</w:t>
      </w:r>
    </w:p>
    <w:p w:rsidR="00181BA7" w:rsidRPr="00DA76A7" w:rsidRDefault="00181BA7" w:rsidP="00181BA7">
      <w:pPr>
        <w:tabs>
          <w:tab w:val="center" w:pos="4677"/>
          <w:tab w:val="right" w:pos="9355"/>
        </w:tabs>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надлежащее исполнение обязательства;</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сложное обязательство; завещание; завещательный отказ; завещательное возложение; гражданское законодательство.</w:t>
      </w:r>
    </w:p>
    <w:p w:rsidR="00181BA7" w:rsidRPr="00DA76A7" w:rsidRDefault="00181BA7" w:rsidP="00181BA7">
      <w:pPr>
        <w:tabs>
          <w:tab w:val="center" w:pos="4677"/>
          <w:tab w:val="right" w:pos="9355"/>
        </w:tabs>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proper performance of the obligation; complex undertaking; will; testator's refusal; testator's assignment; civil law.</w:t>
      </w:r>
    </w:p>
    <w:p w:rsidR="00181BA7" w:rsidRPr="00DA76A7" w:rsidRDefault="00181BA7" w:rsidP="00181BA7">
      <w:pPr>
        <w:ind w:firstLine="567"/>
        <w:jc w:val="both"/>
        <w:rPr>
          <w:rFonts w:ascii="Arial" w:hAnsi="Arial" w:cs="Arial"/>
          <w:b/>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Значение завещания как центрального института наследственного права неуклонно возрастает в современной парадигме гражданского права. Это объясняется в первую очередь тем, что наследование посредством завещания способствует стабилизации и развитию гражданского оборота.</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Завещание как центральный институт наследственного права было известно еще древнему римскому праву. В римскую эпоху завещание рассматривалось в качестве волевого акта особого рода, с помощью которого собственник имущества определял, кому и в каком размере должны перейти права и обязанности, входящие в это имущество, на случай смерти собственника. Так, римский юрист Ульпиан отметил, что завещание представляет собой «правомерное выражение воли, сделанное торжественно для того, чтобы оно действовало после нашей смерти» [15,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27]. Интересно отметить, что в Древнем Риме грамотно составленное завещание было непременным свидетельством высокого интеллектуального развития личности, ясности его мыслей и способности предвидеть последствия своих действий [14,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54].</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Завещание – это личное распоряжение гражданина принадлежащим ему имуществом на случай смерти, совершенное в предусмотренной законом форме. Ценность завещания заключается в том, что оно определяет порядок перехода наследственной массы или ее части к конкретным участникам гражданского оборота – физическим лицам, юридическим лицам или публично-правовым образованиям.</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Как видим, завещание – это, прежде всего, сделка, прямо связанная со смертью, поскольку заключается на ее случай. Весьма интересно в этом отношении высказывание В.И. Синайского: завещание представляет собой специфический инструмент, благодаря которому «человек в праве как бы умирает, но продолжает существовать в лице своих правопреемников» [19,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546].</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Стоит обратить внимание, что российское гражданское законодательство прямо запрещает дарение на случай смерти, т.е. договор, который содержит условие о передачи дара одаряемому после смерти дарителя. Такой договор является ничтожным.</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Однако в юридической литературе обращается внимание на то, что некоторые зарубежные правопорядки прямо предусматривают возможность заключения подобного договора. </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Так, в соответствии с положениями Гражданского кодекса Квебека, дарение на случай смерти представляет собой конструкцию дарения, при которой лишение дарителя обладания имуществом происходит вследствие его смерти (ст.</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1808).</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Приведем еще один пример. Согласно Закону о наследовании, действующему в Китайской Народной Республике, гражданин вправе заключить договор, именуемый «завещательный дар», сущность которого заключается в следующем: контрагент по данной сделке берет на себя обязательства по обеспечению гражданина при смерти и по организации похоронного процесса в обмен на право получения завещательного дара. Как видим, такая конструкция схожа с российским договором пожизненного содержания с иждивением.</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 отличие от зарубежных правопорядков, в России допускается лишь одна конструкция, позволяющая распорядиться на случай смерти, – завещание.</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Важно обратить внимание на следующую проблему современного наследственного права России и зарубежных стран. Правопорядки различных государств в вопросе перехода имущественных прав от умершего к его правопреемникам во многом противоречат друг другу, что приводит к возникновению коллизий.</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К сожалению, Россия не является участницей международных конвенций, которые содержат относящиеся к наследованию коллизионные нормы. Среди них </w:t>
      </w:r>
      <w:hyperlink r:id="rId136" w:history="1">
        <w:r w:rsidRPr="00DA76A7">
          <w:rPr>
            <w:rFonts w:ascii="Arial" w:eastAsia="Calibri" w:hAnsi="Arial" w:cs="Arial"/>
            <w:bCs/>
            <w:color w:val="000000" w:themeColor="text1"/>
            <w:sz w:val="22"/>
            <w:szCs w:val="22"/>
          </w:rPr>
          <w:t>Конвенция</w:t>
        </w:r>
      </w:hyperlink>
      <w:r w:rsidRPr="00DA76A7">
        <w:rPr>
          <w:rFonts w:ascii="Arial" w:eastAsia="Calibri" w:hAnsi="Arial" w:cs="Arial"/>
          <w:bCs/>
          <w:color w:val="000000" w:themeColor="text1"/>
          <w:sz w:val="22"/>
          <w:szCs w:val="22"/>
        </w:rPr>
        <w:t xml:space="preserve"> 1961</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г. о коллизиях законов, касающихся формы завещательных распоряжений, Гаагская </w:t>
      </w:r>
      <w:hyperlink r:id="rId137" w:history="1">
        <w:r w:rsidRPr="00DA76A7">
          <w:rPr>
            <w:rFonts w:ascii="Arial" w:eastAsia="Calibri" w:hAnsi="Arial" w:cs="Arial"/>
            <w:bCs/>
            <w:color w:val="000000" w:themeColor="text1"/>
            <w:sz w:val="22"/>
            <w:szCs w:val="22"/>
          </w:rPr>
          <w:t>конвенция</w:t>
        </w:r>
      </w:hyperlink>
      <w:r w:rsidRPr="00DA76A7">
        <w:rPr>
          <w:rFonts w:ascii="Arial" w:eastAsia="Calibri" w:hAnsi="Arial" w:cs="Arial"/>
          <w:bCs/>
          <w:color w:val="000000" w:themeColor="text1"/>
          <w:sz w:val="22"/>
          <w:szCs w:val="22"/>
        </w:rPr>
        <w:t xml:space="preserve"> относительно международного управления имуществом лиц от 2 октября 1973</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г. и Вашингтонская </w:t>
      </w:r>
      <w:hyperlink r:id="rId138" w:history="1">
        <w:r w:rsidRPr="00DA76A7">
          <w:rPr>
            <w:rFonts w:ascii="Arial" w:eastAsia="Calibri" w:hAnsi="Arial" w:cs="Arial"/>
            <w:bCs/>
            <w:color w:val="000000" w:themeColor="text1"/>
            <w:sz w:val="22"/>
            <w:szCs w:val="22"/>
          </w:rPr>
          <w:t>конвенция</w:t>
        </w:r>
      </w:hyperlink>
      <w:r w:rsidRPr="00DA76A7">
        <w:rPr>
          <w:rFonts w:ascii="Arial" w:eastAsia="Calibri" w:hAnsi="Arial" w:cs="Arial"/>
          <w:bCs/>
          <w:color w:val="000000" w:themeColor="text1"/>
          <w:sz w:val="22"/>
          <w:szCs w:val="22"/>
        </w:rPr>
        <w:t xml:space="preserve"> о единообразном законе, о форме международного завещания от 26 октября 1973 г.</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Кроме того, Россия не присоединилась к Конвенции о праве, применимом к наследованию, принятой 1 августа 1989 г. в Гааге при проведении XVI сессии Гаагской конференции по международному частному праву. Как отмечают специалисты, указанная Конвенция представляет особый интерес для нотариата, т.к. включает в себя универсальные правила разрешения коллизий норм различных государств при регулировании наследственных правоотношений с иностранным элементом [11,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55–56].</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В области регулирования коллизионных вопросов наследственного права важное значение приобретают такие международные конвенции, как </w:t>
      </w:r>
      <w:hyperlink r:id="rId139" w:history="1">
        <w:r w:rsidRPr="00DA76A7">
          <w:rPr>
            <w:rFonts w:ascii="Arial" w:eastAsia="Calibri" w:hAnsi="Arial" w:cs="Arial"/>
            <w:bCs/>
            <w:color w:val="000000" w:themeColor="text1"/>
            <w:sz w:val="22"/>
            <w:szCs w:val="22"/>
          </w:rPr>
          <w:t>Конвенция</w:t>
        </w:r>
      </w:hyperlink>
      <w:r w:rsidRPr="00DA76A7">
        <w:rPr>
          <w:rFonts w:ascii="Arial" w:eastAsia="Calibri" w:hAnsi="Arial" w:cs="Arial"/>
          <w:bCs/>
          <w:color w:val="000000" w:themeColor="text1"/>
          <w:sz w:val="22"/>
          <w:szCs w:val="22"/>
        </w:rPr>
        <w:t xml:space="preserve"> о правовой помощи и правовых отношениях по гражданским, семейным и уголовным делам, заключенная в г.</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Минске 22 января 1993 г. и вступившая в силу для Белоруссии, Казахстана, Узбекистана, России, Таджикистана, Армении, Украины, Киргизии, Молдавии, Азербайджана, Грузии, Туркмении.</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Принимая во внимание значимость унификации законодательства и расширения международного сотрудничества по правовым вопросам, страны СНГ 7 октября 2002 г. в г.</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Кишиневе подписали </w:t>
      </w:r>
      <w:hyperlink r:id="rId140" w:history="1">
        <w:r w:rsidRPr="00DA76A7">
          <w:rPr>
            <w:rFonts w:ascii="Arial" w:eastAsia="Calibri" w:hAnsi="Arial" w:cs="Arial"/>
            <w:bCs/>
            <w:color w:val="000000" w:themeColor="text1"/>
            <w:sz w:val="22"/>
            <w:szCs w:val="22"/>
          </w:rPr>
          <w:t>Конвенцию</w:t>
        </w:r>
      </w:hyperlink>
      <w:r w:rsidRPr="00DA76A7">
        <w:rPr>
          <w:rFonts w:ascii="Arial" w:eastAsia="Calibri" w:hAnsi="Arial" w:cs="Arial"/>
          <w:bCs/>
          <w:color w:val="000000" w:themeColor="text1"/>
          <w:sz w:val="22"/>
          <w:szCs w:val="22"/>
        </w:rPr>
        <w:t xml:space="preserve"> «О правовой помощи и правовых отношениях по гражданским, семейным и уголовным делам», которая вступила в силу для следующих государств: Белоруссии, Азербайджана, Казахстана, Киргизии, Армении и Таджикистана.</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Большое влияние на развитие международного сотрудничества, в том числе по коллизионным вопросам наследственного права, оказывают двусторонние договоры. На сегодняшний день Россия заключила такие договоры с Азербайджаном, Республикой Молдова и другими странами.</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 свое время В.И.</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Серебровский писал: «...завещание представляет собой выраженную в установленной законом форме волю наследодателя по распоряжению принадлежащим ему имуществом на случай смерти» [18,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115].</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Стоит согласиться с О.М. Родионовой, которая отмечает, что наследодатель непосредственно не устанавливает круг прав и обязанностей, которые должны перейти к наследнику, поскольку эти права и обязанности уже существуют. Задача завещателя – определить, кто именно будет субъектом данных правоотношений после его смерти [16,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296]. Именно такое понимание завещания существовало в римском праве [10,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640].</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Поскольку завещание позволяет полноценно выразить последнюю волю наследодателя, наследование по завещанию в отличие от наследования по закону является приоритетной формой распоряжения имуществом на случай смерти физического лица.</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В юридической литературе отмечается, что завещание представляет собой способ, с помощью которого наследодатель вправе изменить порядок наследования, предусмотренный законом [4,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37].</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Важно обратить внимание, что для наследственного правоотношения завещание выступает первичным юридическим фактом, который в сочетании с иным юридическим фактом – открытием наследства – порождает юридический состав [21,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120], необходимый для призвания наследников к наследованию по завещанию.</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Таким образом, завещание представляет собой сделку с отлагательным сроком действия, при этом такой срок прямо не установлен, он связан с наступлением конкретного события – смерти завещателя [7,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328].</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bCs/>
          <w:color w:val="000000" w:themeColor="text1"/>
          <w:sz w:val="22"/>
          <w:szCs w:val="22"/>
        </w:rPr>
        <w:t>В соответствии с п.</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5 ст.</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1118 ГК РФ, </w:t>
      </w:r>
      <w:r w:rsidRPr="00DA76A7">
        <w:rPr>
          <w:rFonts w:ascii="Arial" w:eastAsia="Calibri" w:hAnsi="Arial" w:cs="Arial"/>
          <w:color w:val="000000" w:themeColor="text1"/>
          <w:sz w:val="22"/>
          <w:szCs w:val="22"/>
        </w:rPr>
        <w:t>завещание является односторонней сделкой, которая создает права и обязанности после открытия наследства.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Поскольку завещание является односторонней сделкой, для нотариального удостоверения завещания необходимо установить волеизъявление только одного лица – завещателя.</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Как видим из текста ГК РФ, легальное определение такой категории как «завещание» в гражданском законодательстве отсутствует. В юридической доктрине существуют различные определения данной категории.</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Наиболее подробное и заслуживающее признания определение предложено Е.В. Лысенко: «завещание представляет собой юридически значимое действие физического лица, облекаемое в строго определенную форму и направленное на желаемое отчуждение прав и обязанностей на имущество, составляющее наследственную массу, а также определение условий реализации данного акта» [13,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16].</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bCs/>
          <w:color w:val="000000" w:themeColor="text1"/>
          <w:sz w:val="22"/>
          <w:szCs w:val="22"/>
        </w:rPr>
        <w:t>Б.Б.</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Черепахин, предложивший развернутые классификации односторонних сделок, определил завещание как «</w:t>
      </w:r>
      <w:r w:rsidRPr="00DA76A7">
        <w:rPr>
          <w:rFonts w:ascii="Arial" w:eastAsia="Calibri" w:hAnsi="Arial" w:cs="Arial"/>
          <w:color w:val="000000" w:themeColor="text1"/>
          <w:sz w:val="22"/>
          <w:szCs w:val="22"/>
        </w:rPr>
        <w:t xml:space="preserve">односторонне управомочивающую распорядительную сделку, не нуждающуюся в восприятии других лиц» [23, </w:t>
      </w:r>
      <w:r w:rsidRPr="00DA76A7">
        <w:rPr>
          <w:rFonts w:ascii="Arial" w:eastAsia="Calibri" w:hAnsi="Arial" w:cs="Arial"/>
          <w:color w:val="000000" w:themeColor="text1"/>
          <w:sz w:val="22"/>
          <w:szCs w:val="22"/>
          <w:lang w:val="en-US"/>
        </w:rPr>
        <w:t>c</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 </w:t>
      </w:r>
      <w:r w:rsidRPr="00DA76A7">
        <w:rPr>
          <w:rFonts w:ascii="Arial" w:eastAsia="Calibri" w:hAnsi="Arial" w:cs="Arial"/>
          <w:color w:val="000000" w:themeColor="text1"/>
          <w:sz w:val="22"/>
          <w:szCs w:val="22"/>
        </w:rPr>
        <w:t>331]. Заметим, что завещание не только не нуждается в восприятии ее другими лицами, но и императивно требует сохранения информации, содержащейся в завещании, в тайне.</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Российское гражданское законодательство о наследовании не допускает договоры о наследовании, взаимные завещания, в которых лица назначают друг друга наследниками, а также корреспективные завещания – разновидность взаимного завещания, особенностью которого является автоматическая недействительность второго завещания в случае отмены первого [17, </w:t>
      </w:r>
      <w:r w:rsidRPr="00DA76A7">
        <w:rPr>
          <w:rFonts w:ascii="Arial" w:eastAsia="Calibri" w:hAnsi="Arial" w:cs="Arial"/>
          <w:color w:val="000000" w:themeColor="text1"/>
          <w:sz w:val="22"/>
          <w:szCs w:val="22"/>
          <w:lang w:val="en-US"/>
        </w:rPr>
        <w:t>c</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 </w:t>
      </w:r>
      <w:r w:rsidRPr="00DA76A7">
        <w:rPr>
          <w:rFonts w:ascii="Arial" w:eastAsia="Calibri" w:hAnsi="Arial" w:cs="Arial"/>
          <w:color w:val="000000" w:themeColor="text1"/>
          <w:sz w:val="22"/>
          <w:szCs w:val="22"/>
        </w:rPr>
        <w:t>20].</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bCs/>
          <w:color w:val="000000" w:themeColor="text1"/>
          <w:sz w:val="22"/>
          <w:szCs w:val="22"/>
        </w:rPr>
        <w:t xml:space="preserve">Т.П. Великоклад, характеризуя институт завещания, обращает внимание на то, что завещание как «сделка </w:t>
      </w:r>
      <w:r w:rsidRPr="00DA76A7">
        <w:rPr>
          <w:rFonts w:ascii="Arial" w:eastAsia="Calibri" w:hAnsi="Arial" w:cs="Arial"/>
          <w:color w:val="000000" w:themeColor="text1"/>
          <w:sz w:val="22"/>
          <w:szCs w:val="22"/>
        </w:rPr>
        <w:t xml:space="preserve">имеет отсроченный период исполнения и обладает свойством отменимости» [9, </w:t>
      </w:r>
      <w:r w:rsidRPr="00DA76A7">
        <w:rPr>
          <w:rFonts w:ascii="Arial" w:eastAsia="Calibri" w:hAnsi="Arial" w:cs="Arial"/>
          <w:color w:val="000000" w:themeColor="text1"/>
          <w:sz w:val="22"/>
          <w:szCs w:val="22"/>
          <w:lang w:val="en-US"/>
        </w:rPr>
        <w:t>c</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 </w:t>
      </w:r>
      <w:r w:rsidRPr="00DA76A7">
        <w:rPr>
          <w:rFonts w:ascii="Arial" w:eastAsia="Calibri" w:hAnsi="Arial" w:cs="Arial"/>
          <w:color w:val="000000" w:themeColor="text1"/>
          <w:sz w:val="22"/>
          <w:szCs w:val="22"/>
        </w:rPr>
        <w:t>10].</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Уважая мнения ученых-цивилистов по вопросу определения завещания, позволим себе предложить вариант доктринального определения данной правовой категории. Завещание – это односторонняя, безвозмездная, строго личная, формально-определенная, управомачивающая, распорядительная сделка с отлагательным сроком действия, являющаяся юридически значимым действием, представляющая собой индивидуальный волевой акт дееспособного физического лица, не нуждающийся в восприятии другими лицами и направленный на распоряжение имуществом на случай смерти с целью упорядочения наследственного правопреемства.</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 силу п. 1 ст. 1137 ГК РФ, завещатель, пользуясь фундаментальным принципом наследственного права – свободой завещания, вправе совершить особое завещательное распоряжение – завещательный отказ, сущность которого заключается в следующем: под завещательным отказом понимается возложение на наследника или наследников по закону или по завещанию исполнение за счет ненаследственной массы обязанности имущественного характера в пользу определенного третьего лица или лиц, именуемых отказополучателями. Содержание завещательного отказа должно быть отражено в тексте завещания наследодателя.</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Как видим, благодаря конструкции завещательного отказа между наследниками, на которых возложены функции его исполнения, и поименованными в завещании третьими лицами или лицом возникает обязательственная правовая связь.</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При этом данное обязательство может быть охарактеризовано как безвозмездное, сложное, однообъектное обязательство. Кредитор (отказополучатель) наделяется правом требования к наследникам, у которых в силу завещательного отказа возникает лишь обязанность выполнить такое требование, содержание которого должно быть максимально конкретизировано в тексте завещания.</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Важно отметить, что в качестве предмета завещательного отказа может быть лишь требование имущественной природы – передача вещи в собственность или в пользование, передача имущественного права, приобретение за счет наследственной массы определенного имущества и передача его в собственность отказополучателя, осуществление в пользу отказополучателя периодических денежных платежей, выполнение для последнего определенной работы или оказание для него услуги.</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Так, достаточно часто в качестве предмета завещательного отказа выступает обязанность предоставить отказополучателю право пожизненного пользования жилым домом, квартирой или иным жилым помещением, входящим в наследственную массу. Следовательно, указанное право пользования жилым помещением обременяет это жилое помещение, и даже в случае совершения сделки, направленной на отчуждение этого жилого помещения, сохраняет свою силу.</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Обратимся к анализу судебной практики.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А.Л. обратилась в суд с иском к И., УФМС по Пермскому краю о вселении ее с несовершеннолетним сыном в квартиру по адресу: &lt;...&gt;, возложении на УФМС по Пермскому краю обязанности по регистрации ее по месту жительства, взыскании компенсации морального вреда.</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Свои требования А.Л. обосновывает тем, что с сентября 1995 года по март 2010 года фактически проживала в указанной выше квартире, которая принадлежала ее отцу, А.К. В 2007 году собственником квартиры стала ее дочь – И., на основании завещания. Завещанием на И. возложена обязанность предоставления ей – А.Л., права постоянного проживания в спорной квартире. На ее иждивении находится несовершеннолетний сын – А. 1. С сентября 2005 года она работает в МОУ Организация, где ей предоставлено временное служебное жилье, неблагоустроенная комната. Каждые выходные она приезжала домой. В ноябре 2009 года дочь привела в квартиру сожителя, и они стали чинить препятствия в проживании. В марте 2010 года был сменен замок, доступ в квартиру был закрыт. Судом постановлено решение: вселить А.Л., несовершеннолетнего А.К. в квартиру по адресу: &lt;...&gt;, обязать управление Федеральной миграционной службы по Пермскому краю зарегистрировать А.Л. по адресу: &lt;...&gt; по месту жительства [3].</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Проблема обременения жилого помещения завещательным отказом является одной из актуальных и неоднозначно решаемых как в юридической литературе, так и в правоприменительной практике.</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Так, многие ученые считают необходимым установить компенсацию за право пожизненного пользования жилым помещением в интересах наследников [8, </w:t>
      </w:r>
      <w:r w:rsidRPr="00DA76A7">
        <w:rPr>
          <w:rFonts w:ascii="Arial" w:eastAsia="Calibri" w:hAnsi="Arial" w:cs="Arial"/>
          <w:color w:val="000000" w:themeColor="text1"/>
          <w:sz w:val="22"/>
          <w:szCs w:val="22"/>
          <w:lang w:val="en-US"/>
        </w:rPr>
        <w:t>c</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 </w:t>
      </w:r>
      <w:r w:rsidRPr="00DA76A7">
        <w:rPr>
          <w:rFonts w:ascii="Arial" w:eastAsia="Calibri" w:hAnsi="Arial" w:cs="Arial"/>
          <w:color w:val="000000" w:themeColor="text1"/>
          <w:sz w:val="22"/>
          <w:szCs w:val="22"/>
        </w:rPr>
        <w:t>30].</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Считаем необходимым закрепить на законодательном уровне презумпцию возмездности проживания отказополучателя в доме наследника и обязать отказополучателя, если иное не предусмотрено завещанием, компенсировать собственнику жилого помещения расходы на содержание занимаемой жилой площади.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Важно, чтобы право пользования жилым помещением как предмет завещательного отказа, было определенно установлено в тексте завещания. В связи с этим приведем небезынтересный пример из судебной практики.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Истец обратился в суд с заявлением о признании утратившей право на жилое помещение, выселении, снятии с регистрационного учета. Вступившим в законную силу решением суда в удовлетворении иска ответчика к истице о признании завещания недействительным отказано, однако ответчик продолжает пользоваться жилым помещением. Ответчик заявил встречные требования о признании права пользования квартирой. Суд постановил: требование удовлетворено, поскольку ответчица не обладала правом пользования жилым помещением на момент его приватизации и право бессрочного пользования помещением не приобрела; вудовлетворении встречного требования отказано, поскольку доказательств наличия завещательного отказа в завещании не представлено [1].</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Право, предоставленное отказополучателю по завещательному отказу, ограничено определенным сроком – тремя годами и не может быть передано другим лицам, следовательно, носит строго личный характер. В то же время наследодатель вправе подназначить отказополучателя.</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Также следует обратить внимание на то, что завещательный отказ должен быть исполнен только и исключительно за счет наследственной массы, причем за вычетом долгов наследодателя, а также за вычетом той части наследственного имущества, которая составляет обязательную долю наследника.</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Приведем пример из судебной практики.</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bCs/>
          <w:color w:val="000000" w:themeColor="text1"/>
          <w:sz w:val="22"/>
          <w:szCs w:val="22"/>
        </w:rPr>
        <w:t>Г. обратился в суд с иском к Ф. об установлении фиксированной денежной суммы в размере 10000 рублей, которые ответчик обязана уплачивать в его пользу по завещательному отказу, ссылаясь на то, что сумма 3000 рублей, которую в настоящий момент уплачивает в его пользу Ф. мала.</w:t>
      </w:r>
      <w:r w:rsidRPr="00DA76A7">
        <w:rPr>
          <w:rFonts w:ascii="Arial" w:eastAsia="Calibri" w:hAnsi="Arial" w:cs="Arial"/>
          <w:color w:val="000000" w:themeColor="text1"/>
          <w:sz w:val="22"/>
          <w:szCs w:val="22"/>
        </w:rPr>
        <w:t xml:space="preserve"> В удовлетворении исковых требований об установлении фиксированной денежной суммы по завещательному отказу в размере большем, чем ответчик уплачивает в настоящий момент, отказано правомерно, поскольку данные требования истца не основаны на законе, так как в завещательном отказе не указана конкретная сумма периодических платежей и законом установлено, что объем прав отказополучателя устанавливается наследодателем при составлении завещания и не может быть изменен ни наследниками, ни самим отказополучателем [2].</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Как видим из анализа представленного судебного разбирательства, содержание завещательного отказа строго ограничено содержанием завещания и не может быть впоследствии изменено даже в судебном порядке.</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Анализ судебной практики позволил С.А. Смирнову сделать весьма справедливые выводы относительно конструкции завещательного отказа и проблем применения данной конструкции: суды по-разному решают вопрос о пресекательном характере срока права на получение завещательного отказа; нет единства среди правоприменителей и в отношении определения начала течения срока исполнения обязательств перед отказополучателем; вызывает острую дискуссию возможность перехода обязанности, вытекающей из завещательного отказа, к другим наследникам [20, </w:t>
      </w:r>
      <w:r w:rsidRPr="00DA76A7">
        <w:rPr>
          <w:rFonts w:ascii="Arial" w:eastAsia="Calibri" w:hAnsi="Arial" w:cs="Arial"/>
          <w:color w:val="000000" w:themeColor="text1"/>
          <w:sz w:val="22"/>
          <w:szCs w:val="22"/>
          <w:lang w:val="en-US"/>
        </w:rPr>
        <w:t>c</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 </w:t>
      </w:r>
      <w:r w:rsidRPr="00DA76A7">
        <w:rPr>
          <w:rFonts w:ascii="Arial" w:eastAsia="Calibri" w:hAnsi="Arial" w:cs="Arial"/>
          <w:color w:val="000000" w:themeColor="text1"/>
          <w:sz w:val="22"/>
          <w:szCs w:val="22"/>
        </w:rPr>
        <w:t>23].</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Считаем необходимым закрепить на законодательном уровне презумпцию возмездности проживания отказополучателя в доме наследника и обязать отказополучателя, если иное не предусмотрено завещанием, компенсировать собственнику жилого помещения расходы на содержание занимаемой жилой площади.</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 соответствии со ст. 1139 ГК РФ, под завещательным возложением понимается особое завещательное распоряжение наследодателя, сделанное им в завещании и направленное на возложение на одного или нескольких наследников по закону либо по завещанию обязанности имущественного либо неимущественного характера, направленной на достижение общеполезной цели.</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Интересно обратить внимание на то, что в отличие от завещательного отказа, субъектом завещательного возложения может быть не только собственно наследник, но и исполнитель завещания при условии, что последний получит для этого часть наследственного имущества.</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К примеру, возложением будет считаться распоряжение наследодателя осуществлять после его смерти уход за его домашними животными.</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Диспозитивно установлено, что любые заинтересованные лица вправе осуществлять надзор за исполнением завещательного возложения и требовать в судебном порядке реализации такого возложения, однако иное может быть предусмотрено самим завещанием.</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Отметим, что завещательные возложения в строгом смысле слова встречаются в практике достаточно редко. При этом вызывает оживленную дискуссию проблема установления предмета завещательного возложения [5,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30; 6,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 xml:space="preserve">29; 12, </w:t>
      </w:r>
      <w:r w:rsidRPr="00DA76A7">
        <w:rPr>
          <w:rFonts w:ascii="Arial" w:eastAsia="Calibri" w:hAnsi="Arial" w:cs="Arial"/>
          <w:bCs/>
          <w:color w:val="000000" w:themeColor="text1"/>
          <w:sz w:val="22"/>
          <w:szCs w:val="22"/>
          <w:lang w:val="en-US"/>
        </w:rPr>
        <w:t>c</w:t>
      </w:r>
      <w:r w:rsidRPr="00DA76A7">
        <w:rPr>
          <w:rFonts w:ascii="Arial" w:eastAsia="Calibri" w:hAnsi="Arial" w:cs="Arial"/>
          <w:bCs/>
          <w:color w:val="000000" w:themeColor="text1"/>
          <w:sz w:val="22"/>
          <w:szCs w:val="22"/>
        </w:rPr>
        <w:t>.</w:t>
      </w:r>
      <w:r w:rsidRPr="00DA76A7">
        <w:rPr>
          <w:rFonts w:ascii="Arial" w:eastAsia="Calibri" w:hAnsi="Arial" w:cs="Arial"/>
          <w:bCs/>
          <w:color w:val="000000" w:themeColor="text1"/>
          <w:sz w:val="22"/>
          <w:szCs w:val="22"/>
          <w:lang w:val="en-US"/>
        </w:rPr>
        <w:t> </w:t>
      </w:r>
      <w:r w:rsidRPr="00DA76A7">
        <w:rPr>
          <w:rFonts w:ascii="Arial" w:eastAsia="Calibri" w:hAnsi="Arial" w:cs="Arial"/>
          <w:bCs/>
          <w:color w:val="000000" w:themeColor="text1"/>
          <w:sz w:val="22"/>
          <w:szCs w:val="22"/>
        </w:rPr>
        <w:t>19]. Так, ученые-цивилисты по-разному квалифицируют распоряжения наследодателя неимущественного характера.</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Не вызывает сомнений, что возложение на наследников обязанности осуществлять необходимый надзор, уход и заботу за домашними животными есть завещательное возложение. Однако и здесь не все так просто.</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Во-первых, возникает вопрос: что такое «домашнее животное» с точки зрения позитивного правового регулирования? Ответ на данный вопрос весьма затруднителен, т.к. российское законодательство не содержит легального определения данного понятия.</w:t>
      </w:r>
    </w:p>
    <w:p w:rsidR="00181BA7" w:rsidRPr="00DA76A7" w:rsidRDefault="00181BA7" w:rsidP="00181BA7">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Во-вторых, возникает ряд трудноразрешимых вопросов: кто становится собственником такого домашнего животного, какой правовой режим распространяется на это животное и, наконец, как долго наследник обязан осуществлять уход за домашним животным.</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bCs/>
          <w:color w:val="000000" w:themeColor="text1"/>
          <w:sz w:val="22"/>
          <w:szCs w:val="22"/>
        </w:rPr>
        <w:t>В этом отношении интересна позиция М.В. </w:t>
      </w:r>
      <w:r w:rsidRPr="00DA76A7">
        <w:rPr>
          <w:rFonts w:ascii="Arial" w:eastAsia="Calibri" w:hAnsi="Arial" w:cs="Arial"/>
          <w:color w:val="000000" w:themeColor="text1"/>
          <w:sz w:val="22"/>
          <w:szCs w:val="22"/>
        </w:rPr>
        <w:t xml:space="preserve">Телюкиной, которая прямо пишет: «…если наследник выбросит собаку, как только потратит на нее свою наследственную долю, ничего с этим нельзя будет поделать» [22, </w:t>
      </w:r>
      <w:r w:rsidRPr="00DA76A7">
        <w:rPr>
          <w:rFonts w:ascii="Arial" w:eastAsia="Calibri" w:hAnsi="Arial" w:cs="Arial"/>
          <w:color w:val="000000" w:themeColor="text1"/>
          <w:sz w:val="22"/>
          <w:szCs w:val="22"/>
          <w:lang w:val="en-US"/>
        </w:rPr>
        <w:t>c</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 </w:t>
      </w:r>
      <w:r w:rsidRPr="00DA76A7">
        <w:rPr>
          <w:rFonts w:ascii="Arial" w:eastAsia="Calibri" w:hAnsi="Arial" w:cs="Arial"/>
          <w:color w:val="000000" w:themeColor="text1"/>
          <w:sz w:val="22"/>
          <w:szCs w:val="22"/>
        </w:rPr>
        <w:t>84].</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Таким образом, уход за животным за пределами стоимости наследственной массы не может быть обязанностью наследника, если иное прямо не предусмотрено завещанием.</w:t>
      </w:r>
    </w:p>
    <w:p w:rsidR="00181BA7" w:rsidRPr="00DA76A7" w:rsidRDefault="00181BA7" w:rsidP="00181BA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Следовательно, в целях избежания подобных ситуаций, не регламентированных позитивным правом, наследодателям следует максимально детализировать содержание завещательного возложения. Поэтому в отношении животных считаем целесообразным для самих завещателей устанавливать в тексте завещания необходимость осуществлять уход за животным вплоть до его естественной смерти.</w:t>
      </w: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f2"/>
        <w:numPr>
          <w:ilvl w:val="0"/>
          <w:numId w:val="60"/>
        </w:numPr>
        <w:tabs>
          <w:tab w:val="left" w:pos="993"/>
        </w:tabs>
        <w:ind w:left="0"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Апелляционное определение Московского областного суда от 09.06.2014 по делу № 33-10291/2014 // [Электронный ресурс]. – Доступ из справочно-правовой системы «КонсультантПлюс» (дата обращения: 04.03.2018 г.).</w:t>
      </w:r>
    </w:p>
    <w:p w:rsidR="00181BA7" w:rsidRPr="00DA76A7" w:rsidRDefault="00181BA7" w:rsidP="00D45D6B">
      <w:pPr>
        <w:pStyle w:val="af2"/>
        <w:numPr>
          <w:ilvl w:val="0"/>
          <w:numId w:val="60"/>
        </w:numPr>
        <w:tabs>
          <w:tab w:val="left" w:pos="993"/>
        </w:tabs>
        <w:ind w:left="0"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Определение Московского городского суда от 23.09.2010 по делу № 33-26996 // [Электронный ресурс]. – Доступ из справочно-правовой системы «КонсультантПлюс» (дата обращения: 04.03.2018 г.).</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Определение Пермского краевого суда от 02.02.2011 по делу № 33-918 // [Электронный ресурс]. – Доступ из справочно-правовой системы «КонсультантПлюс» (дата обращения: 04.03.2018 г.).</w:t>
      </w:r>
    </w:p>
    <w:p w:rsidR="00181BA7" w:rsidRPr="00DA76A7" w:rsidRDefault="00181BA7" w:rsidP="00D45D6B">
      <w:pPr>
        <w:pStyle w:val="af2"/>
        <w:numPr>
          <w:ilvl w:val="0"/>
          <w:numId w:val="60"/>
        </w:numPr>
        <w:tabs>
          <w:tab w:val="left" w:pos="993"/>
        </w:tabs>
        <w:ind w:left="0"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Абраменков М.С. </w:t>
      </w:r>
      <w:hyperlink r:id="rId141" w:history="1">
        <w:r w:rsidRPr="00DA76A7">
          <w:rPr>
            <w:rFonts w:ascii="Arial" w:hAnsi="Arial" w:cs="Arial"/>
            <w:bCs/>
            <w:color w:val="000000" w:themeColor="text1"/>
            <w:sz w:val="22"/>
            <w:szCs w:val="22"/>
          </w:rPr>
          <w:t>Наследование по завещанию</w:t>
        </w:r>
      </w:hyperlink>
      <w:r w:rsidRPr="00DA76A7">
        <w:rPr>
          <w:rFonts w:ascii="Arial" w:hAnsi="Arial" w:cs="Arial"/>
          <w:bCs/>
          <w:color w:val="000000" w:themeColor="text1"/>
          <w:sz w:val="22"/>
          <w:szCs w:val="22"/>
        </w:rPr>
        <w:t xml:space="preserve"> в Российской Федерации и зарубежных странах: сравнительно-правовой аспект // Наследственное право. – 2008. – № 4. – С. 36–43.</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Барков А.В., Грачев Р.Ю. Завещательное возложение в механизме гражданско-правового регулирования ритуальных услуг // Наследственное право. – 2011. – № 4. – С. 30–32.</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Блинков О.Е. Завещательное возложение в российском и зарубежном гражданском праве // Российская юстиция. – 2009. – № 7. – С. 29–32.</w:t>
      </w:r>
    </w:p>
    <w:p w:rsidR="00181BA7" w:rsidRPr="00DA76A7" w:rsidRDefault="00181BA7" w:rsidP="00D45D6B">
      <w:pPr>
        <w:pStyle w:val="af2"/>
        <w:numPr>
          <w:ilvl w:val="0"/>
          <w:numId w:val="60"/>
        </w:numPr>
        <w:tabs>
          <w:tab w:val="left" w:pos="993"/>
        </w:tabs>
        <w:ind w:left="0"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Булаевский Б.А. Наследственное право / Под ред. К.Б. Ярошенко. – М.: Волтерс Клувер, 2005. – 448 с.</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Бумажникова О.В. Компенсация при установлении завещательного отказа // Нотариус. – 2014. – № 3. – С. 30–32.</w:t>
      </w:r>
    </w:p>
    <w:p w:rsidR="00181BA7" w:rsidRPr="00DA76A7" w:rsidRDefault="00181BA7" w:rsidP="00D45D6B">
      <w:pPr>
        <w:pStyle w:val="af2"/>
        <w:numPr>
          <w:ilvl w:val="0"/>
          <w:numId w:val="60"/>
        </w:numPr>
        <w:tabs>
          <w:tab w:val="left" w:pos="993"/>
        </w:tabs>
        <w:ind w:left="0" w:firstLine="567"/>
        <w:jc w:val="both"/>
        <w:rPr>
          <w:rFonts w:ascii="Arial" w:eastAsia="Times New Roman" w:hAnsi="Arial" w:cs="Arial"/>
          <w:color w:val="000000" w:themeColor="text1"/>
          <w:sz w:val="22"/>
          <w:szCs w:val="22"/>
          <w:lang w:eastAsia="ru-RU"/>
        </w:rPr>
      </w:pPr>
      <w:r w:rsidRPr="00DA76A7">
        <w:rPr>
          <w:rFonts w:ascii="Arial" w:hAnsi="Arial" w:cs="Arial"/>
          <w:color w:val="000000" w:themeColor="text1"/>
          <w:sz w:val="22"/>
          <w:szCs w:val="22"/>
        </w:rPr>
        <w:t>Великоклад Т.П.  Особенности наследования по завещанию в России: автореф. дис. … канд. юрид. наук. – М., 2008. – 26 с.</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Дождев Д.В. Римское частное право. – М.: Норма, 2008. – 704 с.</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bCs/>
          <w:color w:val="000000" w:themeColor="text1"/>
        </w:rPr>
        <w:t xml:space="preserve">Забелова Л.Б. Международное частное право. – М.: </w:t>
      </w:r>
      <w:r w:rsidRPr="00DA76A7">
        <w:rPr>
          <w:rFonts w:ascii="Arial" w:hAnsi="Arial" w:cs="Arial"/>
          <w:color w:val="000000" w:themeColor="text1"/>
          <w:shd w:val="clear" w:color="auto" w:fill="FFFFFF"/>
        </w:rPr>
        <w:t xml:space="preserve">МИЭМП, </w:t>
      </w:r>
      <w:r w:rsidRPr="00DA76A7">
        <w:rPr>
          <w:rFonts w:ascii="Arial" w:hAnsi="Arial" w:cs="Arial"/>
          <w:bCs/>
          <w:color w:val="000000" w:themeColor="text1"/>
        </w:rPr>
        <w:t>2010. – 100 с.</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Кирилловых А.А. К проблеме регулирования завещательных возложений // Нотариус. – 2011. – № 2. – С. 19–26.</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Лысенко Е.В. Наследование в российском гражданском праве: составление, изменение и отмена завещания // Нотариус. – 2013. – № 2. – С. 16–18.</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Мананников О.В. </w:t>
      </w:r>
      <w:hyperlink r:id="rId142" w:history="1">
        <w:r w:rsidRPr="00DA76A7">
          <w:rPr>
            <w:rFonts w:ascii="Arial" w:hAnsi="Arial" w:cs="Arial"/>
            <w:color w:val="000000" w:themeColor="text1"/>
          </w:rPr>
          <w:t>Наследование по завещанию</w:t>
        </w:r>
      </w:hyperlink>
      <w:r w:rsidRPr="00DA76A7">
        <w:rPr>
          <w:rFonts w:ascii="Arial" w:hAnsi="Arial" w:cs="Arial"/>
          <w:color w:val="000000" w:themeColor="text1"/>
        </w:rPr>
        <w:t xml:space="preserve"> и недействительность завещания // Нотариус. – 2003. – № 1. – С. 54–58.</w:t>
      </w:r>
    </w:p>
    <w:p w:rsidR="00181BA7" w:rsidRPr="00DA76A7" w:rsidRDefault="00181BA7" w:rsidP="00D45D6B">
      <w:pPr>
        <w:pStyle w:val="af2"/>
        <w:numPr>
          <w:ilvl w:val="0"/>
          <w:numId w:val="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Римское частное право: учебник / Под ред. И.Б. Новицкого, И.С. Перетерского. – М.: Юрист, 1994. – 560 с.</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Родионова О.М. Механизм гражданско-правового регулирования в контексте современного частного права. – М.: Статут, 2013. – 336 с.</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bCs/>
          <w:color w:val="000000" w:themeColor="text1"/>
        </w:rPr>
        <w:t>Свит Ю.П. Содержание завещания // Законы России: опыт, анализ, практика. – 2006. – № 10. – С.</w:t>
      </w:r>
      <w:r w:rsidRPr="00DA76A7">
        <w:rPr>
          <w:rFonts w:ascii="Arial" w:hAnsi="Arial" w:cs="Arial"/>
          <w:bCs/>
          <w:color w:val="000000" w:themeColor="text1"/>
          <w:lang w:val="en-US"/>
        </w:rPr>
        <w:t> </w:t>
      </w:r>
      <w:r w:rsidRPr="00DA76A7">
        <w:rPr>
          <w:rFonts w:ascii="Arial" w:hAnsi="Arial" w:cs="Arial"/>
          <w:bCs/>
          <w:color w:val="000000" w:themeColor="text1"/>
        </w:rPr>
        <w:t>20.</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bCs/>
          <w:color w:val="000000" w:themeColor="text1"/>
        </w:rPr>
        <w:t>Серебровский В.И. Избранные труды по наследственному и страховому праву. – 2-е изд., исправ. – М.: Статут, 2002. – 558 с.</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Синайский В.И. Русское гражданское право. – М.: Статут, 2002. – 638 с.</w:t>
      </w:r>
    </w:p>
    <w:p w:rsidR="00181BA7" w:rsidRPr="00DA76A7" w:rsidRDefault="00181BA7" w:rsidP="00D45D6B">
      <w:pPr>
        <w:pStyle w:val="a6"/>
        <w:numPr>
          <w:ilvl w:val="0"/>
          <w:numId w:val="60"/>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Смирнов С.А. Тенденции современной судебной практики по делам о завещательном отказе // Наследственное право. – 2013. – № 3. – С. 23–27.</w:t>
      </w:r>
    </w:p>
    <w:p w:rsidR="00181BA7" w:rsidRPr="00DA76A7" w:rsidRDefault="00181BA7" w:rsidP="00D45D6B">
      <w:pPr>
        <w:pStyle w:val="af2"/>
        <w:numPr>
          <w:ilvl w:val="0"/>
          <w:numId w:val="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Сутягин А.В. Имущественные отношения супругов и наследование / под ред. А.В. Сутягина. – М.: ГроссМедиа, РОСБУХ, 2008. – 128 с.</w:t>
      </w:r>
    </w:p>
    <w:p w:rsidR="00181BA7" w:rsidRPr="00DA76A7" w:rsidRDefault="00181BA7" w:rsidP="00D45D6B">
      <w:pPr>
        <w:pStyle w:val="af2"/>
        <w:numPr>
          <w:ilvl w:val="0"/>
          <w:numId w:val="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Телюкина М.В. Наследственное право: Комментарий Гражданского кодекса Российской Федерации: учеб.-практ. пособие. – М.: Дело, 2002. – 216 с.</w:t>
      </w:r>
    </w:p>
    <w:p w:rsidR="00181BA7" w:rsidRPr="00DA76A7" w:rsidRDefault="00181BA7" w:rsidP="00D45D6B">
      <w:pPr>
        <w:pStyle w:val="af2"/>
        <w:numPr>
          <w:ilvl w:val="0"/>
          <w:numId w:val="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Черепахин Б.Б. Труды по гражданскому праву / Науч. ред.: С.С. Алексеев. – М.: Статут, 2001. – 479 с.</w:t>
      </w:r>
    </w:p>
    <w:p w:rsidR="00181BA7" w:rsidRDefault="00181BA7" w:rsidP="001713F3">
      <w:pPr>
        <w:rPr>
          <w:rFonts w:ascii="Arial" w:hAnsi="Arial" w:cs="Arial"/>
          <w:b/>
          <w:color w:val="000000" w:themeColor="text1"/>
          <w:sz w:val="22"/>
          <w:szCs w:val="22"/>
        </w:rPr>
      </w:pPr>
    </w:p>
    <w:p w:rsidR="001713F3" w:rsidRPr="00DA76A7" w:rsidRDefault="001713F3" w:rsidP="001713F3">
      <w:pP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К ВОПРОСУ О ПОНЯТИИ ТУРИСТСКОЙ ДЕЯТЕЛЬНОСТИ КАК ВИДА ПРЕДПРИНИМАТЕЛЬСКОЙ ДЕЯТЕЛЬНОСТИ</w:t>
      </w:r>
    </w:p>
    <w:p w:rsidR="00181BA7" w:rsidRPr="00DA76A7" w:rsidRDefault="00181BA7" w:rsidP="00181BA7">
      <w:pPr>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Зоолшоева Жандия Латифджановна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3-го года обучения заочного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181BA7" w:rsidRPr="00542B0A"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(+992) 2230460,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hyperlink r:id="rId143" w:history="1">
        <w:r w:rsidRPr="00DA76A7">
          <w:rPr>
            <w:rStyle w:val="af0"/>
            <w:rFonts w:ascii="Arial" w:hAnsi="Arial" w:cs="Arial"/>
            <w:color w:val="000000" w:themeColor="text1"/>
            <w:sz w:val="22"/>
            <w:szCs w:val="22"/>
            <w:u w:val="none"/>
            <w:lang w:val="en-US"/>
          </w:rPr>
          <w:t>jandiya</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l</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mail</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p>
    <w:p w:rsidR="00181BA7" w:rsidRPr="00542B0A" w:rsidRDefault="00181BA7"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713F3" w:rsidRPr="00542B0A" w:rsidRDefault="001713F3" w:rsidP="00181BA7">
      <w:pPr>
        <w:jc w:val="center"/>
        <w:rPr>
          <w:rFonts w:ascii="Arial" w:hAnsi="Arial" w:cs="Arial"/>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TO THE QUESTION OF THE CONCEPT OF TOURISTIC ACTIVITY AS A KIND OF BUSINESS ACTIVITY</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Zoloshoeva Zhandiya Latifjanovna</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3nd year student of full-time department of the law of faculty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2230460,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144" w:history="1">
        <w:r w:rsidRPr="00DA76A7">
          <w:rPr>
            <w:rStyle w:val="af0"/>
            <w:rFonts w:ascii="Arial" w:hAnsi="Arial" w:cs="Arial"/>
            <w:color w:val="000000" w:themeColor="text1"/>
            <w:sz w:val="22"/>
            <w:szCs w:val="22"/>
            <w:u w:val="none"/>
            <w:lang w:val="en-US"/>
          </w:rPr>
          <w:t>jandiya-l@mail.ru</w:t>
        </w:r>
      </w:hyperlink>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Султонова Т.И.</w:t>
      </w:r>
    </w:p>
    <w:p w:rsidR="00181BA7" w:rsidRPr="00DA76A7" w:rsidRDefault="00181BA7" w:rsidP="00181BA7">
      <w:pPr>
        <w:ind w:firstLine="567"/>
        <w:jc w:val="both"/>
        <w:rPr>
          <w:rFonts w:ascii="Arial" w:hAnsi="Arial" w:cs="Arial"/>
          <w:b/>
          <w:color w:val="000000" w:themeColor="text1"/>
          <w:sz w:val="22"/>
          <w:szCs w:val="22"/>
        </w:rPr>
      </w:pPr>
    </w:p>
    <w:p w:rsidR="00181BA7" w:rsidRPr="00DA76A7" w:rsidRDefault="00181BA7" w:rsidP="00181BA7">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исследуется понятие туристкой деятельности. Делается вывод, что рассмотрение туристской деятельности с гражданско-правовых позиций позволяет признавать её как разновидность предпринимательской деятельности, подпадающую под действие гражданского законодательства, на которую распространяются все общие положения и принципы предпринимательства. Выявляется, что туристская деятельность, как вид предпринимательства, характеризуется следующими квалифицирующими признаками, которые подчёркивают самобытность данного вида деятельности: 1) самостоятельность; 2) систематичность; 3) рисковый характер; 4) направленность на получение прибыли; 5) профессионализм субъектов туристической деятельности.</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explores the concept of tourist activity. It is concluded that the consideration of tourism activities from the civil-legal positions allows us to recognize it as a kind of entrepreneurial activity that is subject to the civil law, which is subject to all general provisions and principles of entrepreneurship. It is revealed that tourist activity, as a kind of entrepreneurship, is characterized by the following qualifying signs, which underline the identity of this type of activity: 1) independence; 2) systematic; 3) risky character; 4) the focus on making a profit; 5) professionalism of the subjects of tourism activities.</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туристская деятельность, предпринимательская деятельность, риск самостоятельность, систематичность, прибыль.</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tourism activity, entrepreneurial activity, risk independence, systematic, profit.</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 2 Закона РТ «О туризме», туризм представляет собой вид занятия, реализуемый систему организации проведения отдыха с оздоровительной, ознакомительной целью, в целях паломничества (за исключением хаджа), коммерческих, спортивных, профессионально-служебных и иных целях посредством путешествия (тура) и временного пребывания за пределами места жительства. Исходя из такого определения туризма, оно, будучи явлением общественной жизнедеятельности, представляет собой достаточно многоаспектную категорию. Его сущность находит появление в культурном, социальном, экономическом и правовом смыслах. Его можно рассматривать и как социально-культурный феномен, и как образ жизнедеятельности человека, и как разновидность экономической индустрии, и как объект маркетинговых манипуляций. Однако для целей настоящего исследования нас интересует понятия туризма как гражданско-правового явления. Рассмотрение туристской деятельности с гражданско-правовых позиций позволяет признавать её как разновидность предпринимательской деятельности, подпадающую под действие гражданского законодательства, на которую распространяются все общие положения и принципы предпринимательства [7, 34].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Понятие предпринимательской деятельности находит своё отражение в п.3 ст. 1 Гражданского кодекса РТ. Согласно этой норме предпринимательская деятельность – это самостоятельная, осуществляемая на свой риск деятельность, направленная на систематическое получение прибыли от использования имущества, продажи товаров, выполнения работ или оказания услуг лицами, зарегистрированными в этом качестве в установленном законом порядке. Данное определение дублируется в Законе РТ «О государственной защите и поддержке предпринимательства» от 26 июля 2014 года, № 1107.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Применение этого законодательного определения к туристской деятельности позволит выявить квалифицирующие признаки туристской деятельности как разновидности предпринимательства и понять правовую особенность данной деятельности.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Итак, туристская деятельность, будучи разновидностью предпринимательской деятельности, характеризуется признаком самостоятельности. Данный признак означает, что лицо, осуществляющее туристскую деятельность, участвует в гражданском обороте непосредственно, от своего имени, своей волей и в своем интересе. Турагенты и туроператоры, независимо от того, в какой форме осуществляется туристская деятельность (в форме юридического лица или без образования юридического лица) самостоятельно определяют направления и способы осуществления своей деятельности. Конечно же, при этом субъекты туристской деятельности должны учитывать границы дозволенности, которые определяются действующим законодательством посредством установления дозволительных и запретительных норм. В частности, речь идёт о правовых обязанностях субъектов туристской деятельности, о требованиях осуществления туристской деятельности, установленных в законе, о запретах, установленных антимонопольным и иным законодательством.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Самостоятельность в сфере предпринимательской деятельности условно можно разделить  и организационную. Имущественная самостоятельность предполагает у субъекта туристской деятельности обособленного собственного имущества как экономической базы деятельности [3, 3-4]. Объём имущественной самостоятельности зависит от того юридического титула, на основе которого это имущество принадлежит предпринимателю [5]. В том случае если турагент и туроператор используют в своей деятельности имущество, принадлежащее им на праве собственности, речь идёт об их полной имущественной самостоятельности. В том же случае, когда субъекты туристской деятельности используют имущество на ограниченном вещном праве, то здесь можно говорить об ограниченной имущественной самостоятельности.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Помимо имущественной самостоятельности субъекты туристской деятельности обладают организационной самостоятельностью. Это означает, что начиная с вопросов принятия решения относительно формы осуществления туристской деятельностью, организационно-правовой формы юридического лица, выбора вида туристской деятельности, выбором контрагентов в своей договорной деятельности и заканчивая принятием решения о добровольном прекращении деятельности, они свободны, но опять же в пределах, установленных законом [2, 48].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Следующим квалифицирующим признаком туристской деятельности как вида предпринимательства является систематический характер её осуществления. Данный признак означает, что для турагента и туроператора занятие туристской деятельности является основным способом получения прибыли. Как обращал внимание в своё время П.П. Цитович, «действие, совершённое в одиночку, случайно, не есть торговое, но оно становится таковым, если совершение таких действий является промыслом. Отдельное действие получает торговый характер из-за принадлежности его к непрерывной совокупности – промыслу» [8, 83].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Туроператорская и турагентская деятельность, а также иная деятельность по организации путешествий требует от них принятия неординарных решений, связанных с обеспечением безопасности путешествий. Субъекты туристкой деятельности при выборе того или иного действия не в состоянии однозначно предвидеть его результат. Именно поэтому данный вид деятельности отнесён к повышенной степени риска.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научной литературе предпринимательский риск принято рассматривать как психическое отношение субъекта предпринимательства к результатам своей деятельности, направленное на сознательное допущение каких-либо невыгодных последствий, а также на достижение положительного результата [6, 108].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факторам риска в сфере туризма относятся опасности, связанные с отсутствием необходимой информации о туристской услуги и её характеристиках. В виду рискового характера туристской деятельности в сфере туризма получило развитие страхования рисков предпринимательской деятельности. В данном случае объектом страхования ответственности туроператора и турагента являются их имущественные интересы, обусловленные риском появления обязанности возместить туристам реальный ущерб, который возник в результате неисполнения или ненадлежащего исполнения туроператором или турагентом своих обязательств по договору об оказании туристических услуг.</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Законе РТ «О туризме» вопросам </w:t>
      </w:r>
      <w:bookmarkStart w:id="24" w:name="A000000011"/>
      <w:bookmarkEnd w:id="24"/>
      <w:r w:rsidRPr="00DA76A7">
        <w:rPr>
          <w:rFonts w:ascii="Arial" w:hAnsi="Arial" w:cs="Arial"/>
          <w:color w:val="000000" w:themeColor="text1"/>
          <w:sz w:val="22"/>
          <w:szCs w:val="22"/>
        </w:rPr>
        <w:t>страхования при осуществлении туристской деятельности посвящена ст.10. Согласно её положениям, в случае, если законодательством страны (места) временного пребывания установлены требования предоставления гарантий оплаты медицинской помощи лицам, временно находящимся на её территории, туроператор или турагент обязаны предоставить такие гарантии. Основной формой предоставления таких гарантий является страхование туристов на случай внезапного заболевания и от несчастных случаев. При этом турист вправе требовать от туроператора и турагентаоказание содействия в предоставлении услуг по страхованию иных рисков, связанных с совершением путешествия. По согласованию с туристами субъектами туристской деятельности осуществляется страхование рисков в туризме, связанных с повышенной опасностью для жизни и здоровья туристов. Страхование же иных рисков имеет добровольный характер и осуществляется туристами самостоятельно или через фигуру туроператора и турагента. В том случае, когда речь идёт об экстремальных видах туризма, туристы обязаны иметь страховой полис международного уровня.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Следующим квалифицирующим признаком туристской деятельности как вида предпринимательства, является её направленность на систематическое получение прибыли. На извлечение прибыли из предпринимательской деятельности в качестве основного мотива предпринимателя указывал ещё А.И. Каминка. В частности, учёный отмечал, что «элемент спекулятивного стремления к прибыли является чрезвычайно существенным для понимания отношений, которые создаются деятельностью предпринимателя» [4, 28].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Здесь важно иметь в виду, что квалифицирующим признаком туристской деятельности является не прибыль сама по себе, как конечный результат деятельности туроператора и турагента, а направленность туристской деятельности на получение прибыли. Ведь в результате осуществления своей деятельности туроператор и турагент могут и не получить прибыль и, более того, понести убытки в виду рискованного характера туристкой деятельности. Однако отсутствие прибыли нисколько не умалит предпринимательский статус туристкой деятельности, поскольку она изначально имела своей целью получение прибыли. Как отмечается в этой связи юридической литературе, «...получение прибыли, являясь основной целью предпринимателя, придаёт его деятельности коммерческий характер, который не утрачивается даже и в том случае, если в результате её осуществления получена не прибыль, а убыток. Вместе с тем, если получение прибыли как цель не ставится изначально, деятельность нельзя назвать предпринимательской, она не носит коммерческого характера» [1, 27].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Большое значение в достижении успеха в туристской индустрии имеет профессионализм. Формирование туристского продукта требует наличие и субъектов, осуществляющих туристскую деятельность, определённых профессиональных знаний туристского рынка. Речь, в частности, идёт о знаниях в области потребительского спроса, потребительских предпочтениях, степени владения информацией об имеющихся предложениях со стороны поставщиков туристских услуг. Также здесь требуются навыки ведения туристского бизнеса с учётом особенностей его управления. В частности, основная рыночная роль туроператоров состоит в соединении поставщиков услуг с клиентами-туристами. Здесь очень важным является правильный выбор поставщиков услуг, в основе которого должны лежать профессионализм туроператора в области знаний туристического рынка. То же самое можно сказать о деятельности турагента. Туроператоры и турагенты – это профессионально занимающиеся туристской деятельностью организаторы путешествий.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этой связи одним из квалифицирующим признаком туристской деятельности является её профессиональный характер. В отличие от туристкой деятельности, многие виды предпринимательства не требуют специального получения знаний и квалификации для успешного достижения на рынке эффективных конечных предпринимательских результатов. Однако применительно ктуристкой деятельности профессионализм является главной её чертой. На это прямо указывают и положения нормативных правовых актов, регламентирующих осуществление туристской деятельности. Так, осуществление туристской деятельности законодатель ставит в зависимость от наличия у субъектов, осуществляющих данную деятельность, соответствующего профессионального образования. Так, одним из лицензионных требований и условий при осуществлении туристской деятельности для юридических лиц является наличие в штате юридического лица не менее одного работника, имеющего специальное образование в сфере туризма или стаж работы в сфере туризма не менее 3 лет. При осуществлении туристской деятельности индивидуальными предпринимателями требуется специализированная подготовка, квалификационный документ и опыт по организации туристических путей (п.п.3,4 главы 41 Положения об особенностях лицензирования отдельных видов деятельности (в новой редакции), утверждённого Постановлением Правительства Республики Таджикистан от 3 апреля 2007 года № 172).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туристская деятельность, как вид предпринимательства, характеризуется следующими квалифицирующими признаками, которые подчёркивают самобытность данного вида деятельности: 1) самостоятельность; 2) систематичность; 3) рисковый характер; 4) направленность на получение прибыли; 5) профессионализм субъектов туристической деятельности.</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61"/>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Андреев В.К., Степанюк Л.И., Остроухова В.И. Правовое регулирование предпринимательской деятельности: Учебное пособие. - М.: Изд-во БЕК, 1996. – 35 с.</w:t>
      </w:r>
    </w:p>
    <w:p w:rsidR="00181BA7" w:rsidRPr="00DA76A7" w:rsidRDefault="00181BA7" w:rsidP="00D45D6B">
      <w:pPr>
        <w:pStyle w:val="a6"/>
        <w:numPr>
          <w:ilvl w:val="0"/>
          <w:numId w:val="61"/>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Белых В.С.  Отношения в сфере предпринимательства как предмет предпринимательского права / </w:t>
      </w:r>
      <w:r w:rsidRPr="00DA76A7">
        <w:rPr>
          <w:rFonts w:ascii="Arial" w:hAnsi="Arial" w:cs="Arial"/>
          <w:bCs/>
          <w:color w:val="000000" w:themeColor="text1"/>
        </w:rPr>
        <w:t>Сборник научных статей «Актуальные проблемы науки и практики коммерческого права». Выпуск 5. / Под ред. В.Ф. Попондопуло, О.Ю. Скворцова. - М.: ВолтерсКлувер, 2005. С. 48-59.</w:t>
      </w:r>
    </w:p>
    <w:p w:rsidR="00181BA7" w:rsidRPr="00DA76A7" w:rsidRDefault="00181BA7" w:rsidP="00D45D6B">
      <w:pPr>
        <w:pStyle w:val="a6"/>
        <w:numPr>
          <w:ilvl w:val="0"/>
          <w:numId w:val="61"/>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Ершова И.В., Иванова Т.М. Предпринимательское право: Учебное пособие. - М.: Юриспруденция, 1999. – 336 с.</w:t>
      </w:r>
    </w:p>
    <w:p w:rsidR="00181BA7" w:rsidRPr="00DA76A7" w:rsidRDefault="00181BA7" w:rsidP="00D45D6B">
      <w:pPr>
        <w:pStyle w:val="a6"/>
        <w:numPr>
          <w:ilvl w:val="0"/>
          <w:numId w:val="61"/>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Каминка А.И. Основы предпринимательского права. – Петроград: Изд-во «Труд». 1917. – 345 с.</w:t>
      </w:r>
    </w:p>
    <w:p w:rsidR="00181BA7" w:rsidRPr="00DA76A7" w:rsidRDefault="00181BA7" w:rsidP="00D45D6B">
      <w:pPr>
        <w:pStyle w:val="a6"/>
        <w:numPr>
          <w:ilvl w:val="0"/>
          <w:numId w:val="61"/>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Комментарий к Гражданскому кодексу Российской Федерации [Электронный ресурс]: В 3-х т. Т. 2: Комментарий к Гражданскому кодексу Российской Федерации, части второй (постатейный) / под ред. Т.Е. Абовой, А.Ю. Кабалкина. – М.: Юрайт, 2006.– Режим доступа: http: // www. consultant.ru. - (Дата обращения 25.01.16).</w:t>
      </w:r>
    </w:p>
    <w:p w:rsidR="00181BA7" w:rsidRPr="00DA76A7" w:rsidRDefault="00181BA7" w:rsidP="00D45D6B">
      <w:pPr>
        <w:pStyle w:val="af2"/>
        <w:numPr>
          <w:ilvl w:val="0"/>
          <w:numId w:val="6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Рахимов М.З. Правовые проблемы достижения конечного результата предпринимательской деятельности. // Дис…д-ра юр. наук. – Душанбе, 2002. – 354 с.</w:t>
      </w:r>
    </w:p>
    <w:p w:rsidR="00181BA7" w:rsidRPr="00DA76A7" w:rsidRDefault="00181BA7" w:rsidP="00D45D6B">
      <w:pPr>
        <w:pStyle w:val="af2"/>
        <w:numPr>
          <w:ilvl w:val="0"/>
          <w:numId w:val="6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Суворов Е.Д. Гражданско-правовое регулирование туристской деятельности. - М., 2000. – 154 с.</w:t>
      </w:r>
    </w:p>
    <w:p w:rsidR="00181BA7" w:rsidRPr="00DA76A7" w:rsidRDefault="00181BA7" w:rsidP="00D45D6B">
      <w:pPr>
        <w:pStyle w:val="a6"/>
        <w:numPr>
          <w:ilvl w:val="0"/>
          <w:numId w:val="61"/>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Цитович П.П. Очерк основных понятий торгового права. - М., 2001. – 448 с.</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ПРОБЛЕМЫ ГРАЖДАНСКО-ПРАВОВОЙ ОТВЕТСТВЕННОСТИ ОРГАНОВ МЕСТНОГО САМОУПРАВЛЕНИЯ ЗА НАНЕСЕННЫЙ ВРЕД ПО ЗАКОНОДАТЕЛЬСТВУ РЕСПУБЛИКИ ТАДЖИКИСТАН</w:t>
      </w:r>
    </w:p>
    <w:p w:rsidR="00181BA7" w:rsidRPr="00DA76A7" w:rsidRDefault="00181BA7" w:rsidP="00181BA7">
      <w:pPr>
        <w:jc w:val="both"/>
        <w:rPr>
          <w:rFonts w:ascii="Arial" w:hAnsi="Arial" w:cs="Arial"/>
          <w:color w:val="000000" w:themeColor="text1"/>
          <w:sz w:val="22"/>
          <w:szCs w:val="22"/>
        </w:rPr>
      </w:pPr>
    </w:p>
    <w:p w:rsidR="00181BA7" w:rsidRPr="00DA76A7" w:rsidRDefault="00181BA7" w:rsidP="00181BA7">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Зухурзода Далер Шукурджон</w:t>
      </w:r>
    </w:p>
    <w:p w:rsidR="00181BA7" w:rsidRPr="00DA76A7" w:rsidRDefault="00181BA7" w:rsidP="00181BA7">
      <w:pPr>
        <w:jc w:val="center"/>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соискатель юридичес</w:t>
      </w:r>
      <w:r w:rsidRPr="00DA76A7">
        <w:rPr>
          <w:rFonts w:ascii="Arial" w:hAnsi="Arial" w:cs="Arial"/>
          <w:color w:val="000000" w:themeColor="text1"/>
          <w:sz w:val="22"/>
          <w:szCs w:val="22"/>
          <w:shd w:val="clear" w:color="auto" w:fill="FFFFFF"/>
        </w:rPr>
        <w:softHyphen/>
        <w:t xml:space="preserve">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Таджикский национальный университет</w:t>
      </w:r>
    </w:p>
    <w:p w:rsidR="00181BA7" w:rsidRPr="00DA76A7" w:rsidRDefault="00181BA7" w:rsidP="00181BA7">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пр. Рудаки, 57 </w:t>
      </w:r>
    </w:p>
    <w:p w:rsidR="00181BA7" w:rsidRPr="00542B0A"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93-722-55-55,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d</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zuhurov</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r w:rsidRPr="00542B0A">
        <w:rPr>
          <w:rFonts w:ascii="Arial" w:hAnsi="Arial" w:cs="Arial"/>
          <w:color w:val="000000" w:themeColor="text1"/>
          <w:sz w:val="22"/>
          <w:szCs w:val="22"/>
          <w:lang w:val="en-US"/>
        </w:rPr>
        <w:t xml:space="preserve"> </w:t>
      </w:r>
    </w:p>
    <w:p w:rsidR="00181BA7" w:rsidRPr="00542B0A" w:rsidRDefault="00181BA7" w:rsidP="00181BA7">
      <w:pPr>
        <w:pStyle w:val="a4"/>
        <w:jc w:val="center"/>
        <w:rPr>
          <w:rFonts w:ascii="Arial" w:hAnsi="Arial" w:cs="Arial"/>
          <w:color w:val="000000" w:themeColor="text1"/>
          <w:sz w:val="22"/>
          <w:szCs w:val="22"/>
          <w:lang w:val="en-US"/>
        </w:rPr>
      </w:pPr>
    </w:p>
    <w:p w:rsidR="001713F3" w:rsidRPr="00542B0A" w:rsidRDefault="001713F3" w:rsidP="00181BA7">
      <w:pPr>
        <w:pStyle w:val="a4"/>
        <w:jc w:val="center"/>
        <w:rPr>
          <w:rFonts w:ascii="Arial" w:hAnsi="Arial" w:cs="Arial"/>
          <w:color w:val="000000" w:themeColor="text1"/>
          <w:sz w:val="22"/>
          <w:szCs w:val="22"/>
          <w:lang w:val="en-US"/>
        </w:rPr>
      </w:pPr>
    </w:p>
    <w:p w:rsidR="001713F3" w:rsidRPr="00542B0A" w:rsidRDefault="001713F3" w:rsidP="00181BA7">
      <w:pPr>
        <w:pStyle w:val="a4"/>
        <w:jc w:val="center"/>
        <w:rPr>
          <w:rFonts w:ascii="Arial" w:hAnsi="Arial" w:cs="Arial"/>
          <w:color w:val="000000" w:themeColor="text1"/>
          <w:sz w:val="22"/>
          <w:szCs w:val="22"/>
          <w:lang w:val="en-US"/>
        </w:rPr>
      </w:pPr>
    </w:p>
    <w:p w:rsidR="001713F3" w:rsidRPr="00542B0A" w:rsidRDefault="001713F3" w:rsidP="00181BA7">
      <w:pPr>
        <w:pStyle w:val="a4"/>
        <w:jc w:val="center"/>
        <w:rPr>
          <w:rFonts w:ascii="Arial" w:hAnsi="Arial" w:cs="Arial"/>
          <w:color w:val="000000" w:themeColor="text1"/>
          <w:sz w:val="22"/>
          <w:szCs w:val="22"/>
          <w:lang w:val="en-US"/>
        </w:rPr>
      </w:pPr>
    </w:p>
    <w:p w:rsidR="001713F3" w:rsidRPr="00542B0A" w:rsidRDefault="001713F3" w:rsidP="00181BA7">
      <w:pPr>
        <w:pStyle w:val="a4"/>
        <w:jc w:val="center"/>
        <w:rPr>
          <w:rFonts w:ascii="Arial" w:hAnsi="Arial" w:cs="Arial"/>
          <w:color w:val="000000" w:themeColor="text1"/>
          <w:sz w:val="22"/>
          <w:szCs w:val="22"/>
          <w:lang w:val="en-US"/>
        </w:rPr>
      </w:pPr>
    </w:p>
    <w:p w:rsidR="00181BA7" w:rsidRPr="00DA76A7" w:rsidRDefault="00181BA7" w:rsidP="00181BA7">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PROBLEMS OF CIVIL LEGAL LIABILITY OF LOCAL SELF-GOVERNMENT BODIES FOR APPLICABLE HARM LEGISLATION </w:t>
      </w:r>
    </w:p>
    <w:p w:rsidR="00181BA7" w:rsidRPr="00DA76A7" w:rsidRDefault="00181BA7" w:rsidP="00181BA7">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OF THE REPUBLIC OF TAJIKISTAN</w:t>
      </w:r>
    </w:p>
    <w:p w:rsidR="00181BA7" w:rsidRPr="00DA76A7" w:rsidRDefault="00181BA7" w:rsidP="00181BA7">
      <w:pPr>
        <w:pStyle w:val="a4"/>
        <w:jc w:val="center"/>
        <w:rPr>
          <w:rFonts w:ascii="Arial" w:hAnsi="Arial" w:cs="Arial"/>
          <w:b/>
          <w:color w:val="000000" w:themeColor="text1"/>
          <w:sz w:val="22"/>
          <w:szCs w:val="22"/>
          <w:lang w:val="en-US"/>
        </w:rPr>
      </w:pPr>
    </w:p>
    <w:p w:rsidR="00181BA7" w:rsidRPr="00DA76A7" w:rsidRDefault="00181BA7" w:rsidP="00181BA7">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Zuhurzoda Daler Shukurjon</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applicant of law faculty </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Tajik national university</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Rudaki Ave., 57</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93-722-55-55,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d.zuhurov@mail.ru </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рассмотрены проблемы гражданско-правовой ответственности органов местного самоуправления за нанесенный вред по законодательству Республики Таджикистан. В результате анализа обращено внимание на то, что правосубъектность органов местного самоуправления не регулировано надлежащим образом в законодательстве Республики Таджи</w:t>
      </w:r>
      <w:r w:rsidRPr="00DA76A7">
        <w:rPr>
          <w:rFonts w:ascii="Arial" w:hAnsi="Arial" w:cs="Arial"/>
          <w:i/>
          <w:color w:val="000000" w:themeColor="text1"/>
          <w:sz w:val="22"/>
          <w:szCs w:val="22"/>
        </w:rPr>
        <w:softHyphen/>
        <w:t xml:space="preserve">кистан, что соответственно негативно влияет на эффективность гражданско-правовой ответственности этого субъекта. Исходя из этого, предложены рекомендации по усовершенствованию законодательства. </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ответственность, вред, государственный орган, органы местного самоуправления, Джамоат, вина, акт, законодательство.</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deals with the problems of civil liability of local governments for the damage caused by the legislation of the Republic of Tajikistan. As a result of the analysis, attention was drawn to the fact that the legal personality of local governments is not properly regulated in the legislation of the Republic of Tajikistan, which accordingly negatively affects the efficiency of civil liability of this entity. Proceeding from this, the recommendations on improvement of the legislation are offered.</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responsibility, harm, state body, local self-government bodies, Jamoat, wine, act, legislation.</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известно, народ как источник государственной власти, осущест</w:t>
      </w:r>
      <w:r w:rsidRPr="00DA76A7">
        <w:rPr>
          <w:rFonts w:ascii="Arial" w:hAnsi="Arial" w:cs="Arial"/>
          <w:color w:val="000000" w:themeColor="text1"/>
          <w:sz w:val="22"/>
          <w:szCs w:val="22"/>
        </w:rPr>
        <w:softHyphen/>
        <w:t xml:space="preserve">вляет свою власть непосредственно, а также через своих представителей. Одной из этих форм является местное самоуправление.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Таджикистане местное самоуправление осуществляется в сельских поселениях - в поселках и селах (дехотах). Граждане Республики Таджикис</w:t>
      </w:r>
      <w:r w:rsidRPr="00DA76A7">
        <w:rPr>
          <w:rFonts w:ascii="Arial" w:hAnsi="Arial" w:cs="Arial"/>
          <w:color w:val="000000" w:themeColor="text1"/>
          <w:sz w:val="22"/>
          <w:szCs w:val="22"/>
        </w:rPr>
        <w:softHyphen/>
        <w:t xml:space="preserve">тан, достигшие 18-летнего возраста и проживающие на территории посёлка и села, имеют право участвовать в организации и деятельности органов самоуправления посёлка и села. На этом уровне государственная власть «заканчивается» и управление переходит непосредственно самому народу, т.е. это децентрализованная форма управления – когда население само управляет своими делами, само решает вопросы местного характера и обеспечивает самостоятельное решение вопросов местного значения. Исходя из этого, этот институт так и называется – «местное самоуправление» и в Конституции Республики Таджикистан регулирован в отдельной главе (глава шестая) наряду с местной власти.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Законе Республики Таджикистан от 5 августа 2009 года «Об органах самоуправления посёлков и сёл» дано понятие самоуправление посёлков и сёл, в соответствии с которым оно понимается как деятельность населения посёлков и сёл, непосредственно или через органы самоуправления посёлков и сёл под свою ответственность в целях решения социальных, экономических и культурных вопросов, имеющих местное значение, с учетом общесоциаль</w:t>
      </w:r>
      <w:r w:rsidRPr="00DA76A7">
        <w:rPr>
          <w:rFonts w:ascii="Arial" w:hAnsi="Arial" w:cs="Arial"/>
          <w:color w:val="000000" w:themeColor="text1"/>
          <w:sz w:val="22"/>
          <w:szCs w:val="22"/>
        </w:rPr>
        <w:softHyphen/>
        <w:t>ных интересов, национальных традиций и местной специфики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Законом возложен ряд вопросы, относящиеся к ведению местного самоуправления: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принимает бюджет посёлка и села, контролирует исполнение и утверждает отчет по его исполнению;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назначает и проводит голосование для населения посёлка и села по вопросам местного значения;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вносит предложения по изменению административно-территориальных единиц, присвоению названий, переименованию сёл и улиц, площадей и других объектов в порядке, установленном нормативными правовыми актами;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и утверждение программ социально-экономического развития посёлков и сёл;</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контроль за использованием и сохранением приусадебных и дополнительных личных подсобных земель;</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учреждение коммунальных и других предприятий, кооперативов, мастерских, цехов по народным промыслам и других организаций в соответствии с законодательством;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поддержка инициатив по социально-экономическому развитию посёлков и сёл;</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привлечение населения к проведению мероприятий по гражданской обороне и устранению последствий стихийных бедствий;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принятие мер по обеспечению общественного порядка на соответствующей территории Джамоата и предотвращению случаев правонарушения в пределах полномочий Джамоата;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участие в разработке и осуществлении региональных программ содействия занятости населения и принятие мер по регулированию миграционных процессов;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контроль за упорядочением традиций, торжеств и обрядов;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принятие мер по улучшению жилищно–бытовых условий населения, охраны здоровья и защиты окружающей среды;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решение вопросов местного значения (содержание и благоустройство дорог, улиц, площадей, культурных учреждений, источников водоснабжения, местных рынков, а также содержание кладбищ и обеспечение чистоты местности от мусора) и утверждение правил по их осуществлению;</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содействие в укреплении законности и правопорядка;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контроль за исполнением правил паспортного режима и в соответствии с установленным порядком регистрации прибытия и выбытия граждан;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учет малообеспеченных семей и организация их социальной поддержки;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регистрация актов гражданского состояния в соответствии с законодательством;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осуществление отдельных нотариальных действий в соответствии с нормами Закона Республики Таджикистан «О государственном нотариате»;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выдача гражданам документов, подтверждающих их место жительства, семейное и иное положение;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содействие в организации призыва на военную службу и других военных мероприятий;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обеспечение необходимых мер по защите сельскохозяйственных угодий, предотвращению болезней скота, защите лесов и кустарников;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и реализация мероприятий по защите окружающей среды;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содействие сбору налогов и других платежей;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содействие обеспечению защите прав потребителей;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другие полномочия, возложенные нормативными правовыми актами.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решения местных вопросов местное самоуправление должно иметь денежные средства. Естественно, что для осуществления этих задач, местное самоуправление должно иметь какую-то организа</w:t>
      </w:r>
      <w:r w:rsidRPr="00DA76A7">
        <w:rPr>
          <w:rFonts w:ascii="Arial" w:hAnsi="Arial" w:cs="Arial"/>
          <w:color w:val="000000" w:themeColor="text1"/>
          <w:sz w:val="22"/>
          <w:szCs w:val="22"/>
        </w:rPr>
        <w:softHyphen/>
        <w:t xml:space="preserve">ционную форму, ибо оно в том числе выступает в гражданско-правовых отношениях как самостоятельный субъект.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качестве таковой законодательством выбрано орган (квазигосу</w:t>
      </w:r>
      <w:r w:rsidRPr="00DA76A7">
        <w:rPr>
          <w:rFonts w:ascii="Arial" w:hAnsi="Arial" w:cs="Arial"/>
          <w:color w:val="000000" w:themeColor="text1"/>
          <w:sz w:val="22"/>
          <w:szCs w:val="22"/>
        </w:rPr>
        <w:softHyphen/>
        <w:t xml:space="preserve">дарственный орган). Органом самоуправления посёлков и сёл является Джамоат. Джамоат признан законодательством юридическим лицом, имеет круглую печать, на которой изображены Государственный герб Республики Таджикистан и полное название Джамоата. Джамоат не входит в систему органов исполнительной власти. Таким образом, Джамоат это орган местного самоуправления, создаваемый для осуществления функций публичного управления на своей территории в целях обеспечения публичных интересов, развития экономики и социально-культурной сферы и решения местных вопросов жизнедеятельности населения. Органы местного самоуправления для выполнения задач и функций публичного местного управления получают соответствующие полномочия, компетенцию. Одним словом местное самоуправление относится к институтам </w:t>
      </w:r>
      <w:hyperlink r:id="rId145" w:tooltip="Публичная власть" w:history="1">
        <w:r w:rsidRPr="00DA76A7">
          <w:rPr>
            <w:rFonts w:ascii="Arial" w:hAnsi="Arial" w:cs="Arial"/>
            <w:color w:val="000000" w:themeColor="text1"/>
            <w:sz w:val="22"/>
            <w:szCs w:val="22"/>
          </w:rPr>
          <w:t>публичной власти</w:t>
        </w:r>
      </w:hyperlink>
      <w:r w:rsidRPr="00DA76A7">
        <w:rPr>
          <w:rFonts w:ascii="Arial" w:hAnsi="Arial" w:cs="Arial"/>
          <w:color w:val="000000" w:themeColor="text1"/>
          <w:sz w:val="22"/>
          <w:szCs w:val="22"/>
        </w:rPr>
        <w:t xml:space="preserve">, а не </w:t>
      </w:r>
      <w:hyperlink r:id="rId146" w:tooltip="Гражданское общество" w:history="1">
        <w:r w:rsidRPr="00DA76A7">
          <w:rPr>
            <w:rFonts w:ascii="Arial" w:hAnsi="Arial" w:cs="Arial"/>
            <w:color w:val="000000" w:themeColor="text1"/>
            <w:sz w:val="22"/>
            <w:szCs w:val="22"/>
          </w:rPr>
          <w:t xml:space="preserve">гражданской. </w:t>
        </w:r>
      </w:hyperlink>
      <w:r w:rsidRPr="00DA76A7">
        <w:rPr>
          <w:rFonts w:ascii="Arial" w:hAnsi="Arial" w:cs="Arial"/>
          <w:color w:val="000000" w:themeColor="text1"/>
          <w:sz w:val="22"/>
          <w:szCs w:val="22"/>
        </w:rPr>
        <w:t>Поэтому в современном обороте гражданско-правовая ответственность этого органа приобретает актуальный характер.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статье 16 Гражданского кодекса Республики Таджикистан предусмотрено, что убытки, причиненные гражданину или юридическому лицу в результате незаконных действий (бездействия) органов местного самоуправления или должностных лиц этих органов, подлежат возмещению Республикой Таджикистан или соответствующим органом Республики Таджикистан.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Данный вопрос конкретизирован в статье 1084 (Ответственность за вред, причиненный государственными органами, органами местной власти, а также их должностными лицами) Гражданского кодекса Республики Таджикистан. Согласно этой статье вред, причиненный в результате издания государственными органами актов, не соответствующих законодательству, подлежит возмещению на основании решения суда независимо от вины органов и должностных лиц, издавших акт. Вред возмещается за счет государственного бюджета (статья 151). Представителем казны выступают финансовые органы либо другие органы и граждане по специальному поручению (часть 3 статьи 150). Вред, причиненный незаконными действиями (бездействием) должностных лиц государственных органов в области административного управления, возмещается на общих основаниях (статья 1100) за счет денежных средств, находящихся в распоряжении этих органов. При их недостаточности вред возмещается субсидиарно за счет государственного бюджета.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видно из содержания этой статьи, в ней нет упоминания об ответственности органов местного самоуправления. Между прочем и в статье 16 Гражданского кодекса Республики Таджикистан, когда речь идет об ответственности за издания не соответствующего закону или иному правовому акту, этот орган не предусмотрен.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 тем, в Законе Республики Таджикистан «Об органах самоуправления посёлков и сёл» этот вопрос не решен, хотя есть упоминания об общей ответственности этого органа.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Исходя из этой ситуации, приходится обратиться опять к Гражданскому кодексу Республики Таджикистан.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 здесь возникает резонный вопрос: можно ли применить нормы гражданского законодательства об ответственности государственных органов (или органов местной власти) в отношении органов местного самоуправления или ответственность должна наступать на общих основаниях – как обычное юридическое лицо?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Ответ на этот вопрос осложнен тем, что в законодательстве Республики Таджикистан нет однозначного ответа на вопрос о правовом статусе органов местного самоуправления.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Например, статья 14 Закона Республики Таджикистан «Об органах самоуправления посёлков и сёл» говорит об отдельных государственных полномочиях, возлагаемых на органы самоуправления посёлков и сёл. Следовательно, логически можно заключить органы самоуправления посёлков и сёл это негосударственные органы. Европейская хартия о местном самоуправлении (Страсбург, 15 октября 1985 года) также исходит из того, что органы местного самоуправления это негосудар</w:t>
      </w:r>
      <w:r w:rsidRPr="00DA76A7">
        <w:rPr>
          <w:rFonts w:ascii="Arial" w:hAnsi="Arial" w:cs="Arial"/>
          <w:color w:val="000000" w:themeColor="text1"/>
          <w:sz w:val="22"/>
          <w:szCs w:val="22"/>
        </w:rPr>
        <w:softHyphen/>
        <w:t xml:space="preserve">ственные органы. Негосударственный характер органов местного самоуправления поддерживается и в науке [2; 5].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в Джамоатах работают государственные служащие. Часть 2 статьи 6 Закона Республики Таджикистан «О государственной службе» приравнивает должностные лица органов самоуправления поселков и сел, перечень должностей которых определяется Реестром государственных должностей Республики Таджикистан, к административным государственным служащим.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Вышеприведенные нормы законодательства и доводы достаточны, чтобы бесконечно спорить и применяемой норме. Думается, что если исходить из чистого формализма, то наиболее точная позиция будет тем, что нельзя применять нормы, касающихся государственных органов (тем более органов местной власти), в отношении органов местного самоуправления. Однако это самый легкий путь не может решить те проблемы, которые существуют на практике, не говоря о правах участников гражданского оборота, которые имеют дела с государственными служащими и/или получают государственный услуги. Органы местного самоуправления, выступая в обороте в качестве таковых, ничем не отличаются от других государственных органов. Поэтому двойной подход не соответствует целям оборота. Что касается позиции законодателя по этому поводу, мы считаем, что в этом вопросе допущена техническая ошибка, в результате чего органы местного самоуправления остались вне правового регулирования по статье 1084 Гражданского кодекса Республики Таджикистан. Дополнительными доводами являются то, что в статье 16 Гражданского кодекса Республики Таджикистан также пропущены эти органы, а Модельный Гражданский кодекс СНГ (принят в г. Санкт-Петербурге 13 мая 1995 года на 6-м пленарном заседании Межпарламентской ассамблеи государств-участников СНГ). Например, ст. 995 Модельного Гражданского кодекса СНГ (Ответственность за вред, причиненный  государственными органами, органами местного самоуправления, а  также их должностными лицами</w:t>
      </w:r>
      <w:r w:rsidRPr="00DA76A7">
        <w:rPr>
          <w:rFonts w:ascii="Arial" w:hAnsi="Arial" w:cs="Arial"/>
          <w:color w:val="000000" w:themeColor="text1"/>
          <w:sz w:val="22"/>
          <w:szCs w:val="22"/>
          <w:vertAlign w:val="superscript"/>
        </w:rPr>
        <w:t>)</w:t>
      </w:r>
      <w:r w:rsidRPr="00DA76A7">
        <w:rPr>
          <w:rFonts w:ascii="Arial" w:hAnsi="Arial" w:cs="Arial"/>
          <w:color w:val="000000" w:themeColor="text1"/>
          <w:sz w:val="22"/>
          <w:szCs w:val="22"/>
        </w:rPr>
        <w:t xml:space="preserve"> предусматривает ответственность органов местного самоуправления.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основе вышеизложенного, в рамках данной статье мы исходить из особенностей ответственности за нанесенный вред, предусмотренных в статье 1084 Гражданского кодекса Республики Таджикистан.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Вопросы ответственности за вред, причиненный государственными органами, органами местной власти, а  также  их  должностными лицами, наиболее подробно исследованы в литературе [3; 6; 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того чтобы возникла ответственность по статье 1084 Гражданского кодекса Республики Таджикистан, необходимы наличия нескольких условий: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Наличие вреда. В рамках данной статьи возмещению подлежать как имущественный, таки и неимущественный вред (компенсация морального вреда) [7].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отличие от прежнего гражданского законодательства, в Гражданском кодексе Республики Таджикистан не ограничивает потерпевших, ими могут быть как граждане, так и юридические лица.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Поэтому физические лица могут требовать за причинение вреда в сфере властно-административных отношений и компенсацию морального вреда. Для возникновения права на компенсацию морального вреда необходимо, чтобы в результате действия государственных органов, нарушающих личные неимущественные права либо посягающих на принадлежащие гражданину другие  нематериальные блага, гражданину был причинен моральный вред (физические и  нравственные страдания).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Противоправность деяния государственного органа. Данное деяние заключается в издании государственными органами актов, не соответствующих законодательству. Следует подчеркнуть, что по этому вопросу положение нашего законодательства полностью соответствует положениям статьи 995 Модельного Гражданского кодекса СНГ. Однако изучение соответствующих положений гражданского законодательства некоторых стран СНГ (например, России, Киргизии) показывает, что в них предусмотрена ответственность за все деяния государственных органов (в том числе за издание актов, не соответствующих законо</w:t>
      </w:r>
      <w:r w:rsidRPr="00DA76A7">
        <w:rPr>
          <w:rFonts w:ascii="Arial" w:hAnsi="Arial" w:cs="Arial"/>
          <w:color w:val="000000" w:themeColor="text1"/>
          <w:sz w:val="22"/>
          <w:szCs w:val="22"/>
        </w:rPr>
        <w:softHyphen/>
        <w:t xml:space="preserve">дательству). Мы поддерживаем позицию по расширению сфер деяний, за которые государственные органы должны нести ответственность. Простейшим аргументом в пользу этой позиции является то, что статья 16 Гражданского кодекса Республики Таджикистан уже предусматривает такую возможность. Поэтому положение статьи 1084 Гражданского кодекса Республики Таджикистан несогласованно со статёй 16 Гражданского кодекса Республики Таджикистан. Необходимо устранить этого несоответствия.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 «изданием государственными органами актов, не соответ</w:t>
      </w:r>
      <w:r w:rsidRPr="00DA76A7">
        <w:rPr>
          <w:rFonts w:ascii="Arial" w:hAnsi="Arial" w:cs="Arial"/>
          <w:color w:val="000000" w:themeColor="text1"/>
          <w:sz w:val="22"/>
          <w:szCs w:val="22"/>
        </w:rPr>
        <w:softHyphen/>
        <w:t>ствующих законодательству» следует понимать издание актов, противо</w:t>
      </w:r>
      <w:r w:rsidRPr="00DA76A7">
        <w:rPr>
          <w:rFonts w:ascii="Arial" w:hAnsi="Arial" w:cs="Arial"/>
          <w:color w:val="000000" w:themeColor="text1"/>
          <w:sz w:val="22"/>
          <w:szCs w:val="22"/>
        </w:rPr>
        <w:softHyphen/>
        <w:t>речащие не только законам, но и другим правовым актам. Ими могут быть различные приказы, распоряжения, указания и иные властные предписания, которые направлены гражданам и юридическим лицам и которые подлежат обязательному исполнению. Эти акты ненорма</w:t>
      </w:r>
      <w:r w:rsidRPr="00DA76A7">
        <w:rPr>
          <w:rFonts w:ascii="Arial" w:hAnsi="Arial" w:cs="Arial"/>
          <w:color w:val="000000" w:themeColor="text1"/>
          <w:sz w:val="22"/>
          <w:szCs w:val="22"/>
        </w:rPr>
        <w:softHyphen/>
        <w:t>тивного характера, принятые как единолично, так и коллегиально.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Спорными остаются вопросы возникновения ответственности при устной форме этих деяний, а также противоправное бездействие. В любом случае вред должен причиняться в сфере властно-административных отношений.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необходимо отметить, что круг должностных лиц, подпадающих под действием указанных статей, требует уточнения исходя из соответствующих органов, ибо понятие должностных лиц в законодательстве Республики Таджикистан  имеет широкое значение.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Причинно-следственная связь между действиями (бездействием) государственных органов и наступившими вредоносными последствиями.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4. Вина. По Гражданскому кодексу Республики Таджикистан (часть 1 статьи 1084) для возникновения ответственности соответствующих государственных органов за издания актов, не соответствующих законодательству, наличия вины не требуется. Однако в силу части 2 статьи 1084 и статьи 16 Гражданского кодекса Республики Таджикистан ответственность в других случаях возникает только при наличии вины.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в зависимости от  деяний соответствующих государственных органов, возмещение вреда происходить из разных источников: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 если вред нанесен в результате издания актов, не соответствующих законодательству (часть 1 статьи 1084 Гражданского кодекса Республики Таджикистан), возмещение происходить за счет государственного бюджета. Представителем казны выступают финансовые органы либо другие органы и граждане по специальному поручению;</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 если вред нанесен в результате незаконных действий (бездействий) должностных лиц государственных органов в области административ</w:t>
      </w:r>
      <w:r w:rsidRPr="00DA76A7">
        <w:rPr>
          <w:rFonts w:ascii="Arial" w:hAnsi="Arial" w:cs="Arial"/>
          <w:color w:val="000000" w:themeColor="text1"/>
          <w:sz w:val="22"/>
          <w:szCs w:val="22"/>
        </w:rPr>
        <w:softHyphen/>
        <w:t>ного управления (часть 2 статьи 1084 Гражданского кодекса Республики Таджикистан)</w:t>
      </w:r>
      <w:r w:rsidRPr="00DA76A7">
        <w:rPr>
          <w:rStyle w:val="af3"/>
          <w:rFonts w:ascii="Arial" w:eastAsia="Calibri" w:hAnsi="Arial" w:cs="Arial"/>
          <w:color w:val="000000" w:themeColor="text1"/>
          <w:sz w:val="22"/>
          <w:szCs w:val="22"/>
        </w:rPr>
        <w:footnoteReference w:id="6"/>
      </w:r>
      <w:r w:rsidRPr="00DA76A7">
        <w:rPr>
          <w:rFonts w:ascii="Arial" w:hAnsi="Arial" w:cs="Arial"/>
          <w:color w:val="000000" w:themeColor="text1"/>
          <w:sz w:val="22"/>
          <w:szCs w:val="22"/>
        </w:rPr>
        <w:t>, возмещение происходить на общих основаниях за счет денежных средств, находящихся в распоряжении этих органов. При их недостаточности вред возмещается субсидиарно за счет государствен</w:t>
      </w:r>
      <w:r w:rsidRPr="00DA76A7">
        <w:rPr>
          <w:rFonts w:ascii="Arial" w:hAnsi="Arial" w:cs="Arial"/>
          <w:color w:val="000000" w:themeColor="text1"/>
          <w:sz w:val="22"/>
          <w:szCs w:val="22"/>
        </w:rPr>
        <w:softHyphen/>
        <w:t>ного бюджета;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если вред нанесен в результате иных незаконных действий и  бездействий (за исключением случаев ответственности за  вред,  причиненный  незаконными  действиями органов дознания, предвари</w:t>
      </w:r>
      <w:r w:rsidRPr="00DA76A7">
        <w:rPr>
          <w:rFonts w:ascii="Arial" w:hAnsi="Arial" w:cs="Arial"/>
          <w:color w:val="000000" w:themeColor="text1"/>
          <w:sz w:val="22"/>
          <w:szCs w:val="22"/>
        </w:rPr>
        <w:softHyphen/>
        <w:t>тельного следствия, прокуратуры и суда по статье 1086 Гражданского кодекса Республики Таджикистан), которые предусмотрены статёй 16 Гражданского кодекса Республики Таджикистан, возмещение проис</w:t>
      </w:r>
      <w:r w:rsidRPr="00DA76A7">
        <w:rPr>
          <w:rFonts w:ascii="Arial" w:hAnsi="Arial" w:cs="Arial"/>
          <w:color w:val="000000" w:themeColor="text1"/>
          <w:sz w:val="22"/>
          <w:szCs w:val="22"/>
        </w:rPr>
        <w:softHyphen/>
        <w:t>ходить на общих основаниях. Т.е. здесь применимо следующие положения статьи 1079 Гражданского кодекса Республики Таджикистан: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вред,  причиненный  неправомерными  действиями  (бездействием) личности или имуществу гражданина, а также вред, причиненный юридическому лицу,  подлежит возмещению лицом, причинившим вред, в полном объеме;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законом может быть возложена обязанность возмещения вреда на  лицо, не являющееся причинителем вреда;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законом или договором может быть установлена  повышенная  ответственность причинителя вреда или более высокий размер возмещения;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ответственность возникает при наличии вины, если в законах не установлено иное.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рассмотрение проблем ответственности органов местного самоуправления показывает, что необходимо усовершенствовать данный институт. В этих целях, в первую очередь, необходимо в статьях 16, 137 и 1084 Гражданского кодекса Республики Таджикистан предусмотреть органы местного самоуправления как субъект гражданско-правовых отношений. Публичный характер деятельности этих органов требует соответствующего решения. Следовательно, необходимы специальные правила деликтной ответственности. Достижение этих целей возможны только путем изложения этих статей в новой редакции.</w:t>
      </w: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10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Закон Республики Таджикистан от 5 августа 2009 года «Об органах самоуправления посёлков и сёл» // Ахбори Маджлиси Оли Республики Таджикистан, 2009 год, №7-8, ст. 503; 2012 год, №4, ст.277; №8, ст.833; 2015 год, №11, ст.964.</w:t>
      </w:r>
    </w:p>
    <w:p w:rsidR="00181BA7" w:rsidRPr="00DA76A7" w:rsidRDefault="00181BA7" w:rsidP="00D45D6B">
      <w:pPr>
        <w:pStyle w:val="af2"/>
        <w:numPr>
          <w:ilvl w:val="0"/>
          <w:numId w:val="109"/>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Каширских О.Н. Германский федерализм: от кооперативного к конкурентному? // Современная Европа. - 2007. № 4 (32). - С. 100 – 113.</w:t>
      </w:r>
    </w:p>
    <w:p w:rsidR="00181BA7" w:rsidRPr="00DA76A7" w:rsidRDefault="00181BA7" w:rsidP="00D45D6B">
      <w:pPr>
        <w:pStyle w:val="a6"/>
        <w:numPr>
          <w:ilvl w:val="0"/>
          <w:numId w:val="109"/>
        </w:num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Маковский А.Л. Гражданская ответственность государства за акты власти // Гражданский кодекс России. Проблемы. Теория. Практика. - М., 1998. - С. 67 - 112.</w:t>
      </w:r>
    </w:p>
    <w:p w:rsidR="00181BA7" w:rsidRPr="00DA76A7" w:rsidRDefault="00181BA7" w:rsidP="00D45D6B">
      <w:pPr>
        <w:pStyle w:val="a6"/>
        <w:numPr>
          <w:ilvl w:val="0"/>
          <w:numId w:val="109"/>
        </w:num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Arial" w:hAnsi="Arial" w:cs="Arial"/>
          <w:color w:val="000000" w:themeColor="text1"/>
        </w:rPr>
      </w:pPr>
      <w:r w:rsidRPr="00DA76A7">
        <w:rPr>
          <w:rFonts w:ascii="Arial" w:hAnsi="Arial" w:cs="Arial"/>
          <w:bCs/>
          <w:color w:val="000000" w:themeColor="text1"/>
        </w:rPr>
        <w:t xml:space="preserve">Мирзоев П.З. Внедоговорная ответственность государства за вред, причиненный предпринимателям: дисс. .. канд. юрид. наук. - Душанбе, 2012. – 187 с. </w:t>
      </w:r>
    </w:p>
    <w:p w:rsidR="00181BA7" w:rsidRPr="00DA76A7" w:rsidRDefault="00181BA7" w:rsidP="00D45D6B">
      <w:pPr>
        <w:pStyle w:val="af2"/>
        <w:numPr>
          <w:ilvl w:val="0"/>
          <w:numId w:val="109"/>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Правдин Д.Г. Органы местного самоуправления как юридические лица // Пробелы в Российском законодательстве. - 2011. - № 2. - С. 18-20.</w:t>
      </w:r>
    </w:p>
    <w:p w:rsidR="00181BA7" w:rsidRPr="00DA76A7" w:rsidRDefault="00181BA7" w:rsidP="00D45D6B">
      <w:pPr>
        <w:pStyle w:val="a6"/>
        <w:numPr>
          <w:ilvl w:val="0"/>
          <w:numId w:val="109"/>
        </w:num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Рахимов М.З. Имущественная ответственность государства за причинённый предпринимателям вред // Вестник Высшего</w:t>
      </w:r>
      <w:r w:rsidRPr="00DA76A7">
        <w:rPr>
          <w:rFonts w:ascii="Arial" w:hAnsi="Arial" w:cs="Arial"/>
          <w:bCs/>
          <w:color w:val="000000" w:themeColor="text1"/>
        </w:rPr>
        <w:t xml:space="preserve"> Экономического Суда Республики Таджикистан. – 2009. - №1. С. 86 -102. </w:t>
      </w:r>
    </w:p>
    <w:p w:rsidR="00181BA7" w:rsidRPr="00DA76A7" w:rsidRDefault="00181BA7" w:rsidP="00D45D6B">
      <w:pPr>
        <w:pStyle w:val="af2"/>
        <w:numPr>
          <w:ilvl w:val="0"/>
          <w:numId w:val="109"/>
        </w:numPr>
        <w:tabs>
          <w:tab w:val="left" w:pos="851"/>
        </w:tabs>
        <w:ind w:left="0"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Ярошенко К.Б. Понятие и состав вреда в деликтных обязательствах // Проблемы гражданского права: Сб. статей. - М., 2000. - С. 335-336.</w:t>
      </w: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 </w:t>
      </w:r>
    </w:p>
    <w:p w:rsidR="00181BA7" w:rsidRPr="00DA76A7" w:rsidRDefault="00181BA7" w:rsidP="00181BA7">
      <w:pPr>
        <w:jc w:val="center"/>
        <w:rPr>
          <w:rFonts w:ascii="Arial" w:hAnsi="Arial" w:cs="Arial"/>
          <w:b/>
          <w:caps/>
          <w:color w:val="000000" w:themeColor="text1"/>
          <w:sz w:val="22"/>
          <w:szCs w:val="22"/>
        </w:rPr>
      </w:pPr>
      <w:r w:rsidRPr="00DA76A7">
        <w:rPr>
          <w:rFonts w:ascii="Arial" w:hAnsi="Arial" w:cs="Arial"/>
          <w:b/>
          <w:caps/>
          <w:color w:val="000000" w:themeColor="text1"/>
          <w:sz w:val="22"/>
          <w:szCs w:val="22"/>
        </w:rPr>
        <w:t>РОЛЬ процедуры медиации при расторжении брака</w:t>
      </w:r>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Измайлов Виталий Викторович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аспирант кафедры гражданского и предпринимательского права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Всероссийский государственный университет юстиции</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117638, Россия, г. Москва, ул. Азовская, д. 2, кор. 1</w:t>
      </w:r>
    </w:p>
    <w:p w:rsidR="00181BA7" w:rsidRPr="00542B0A" w:rsidRDefault="00181BA7" w:rsidP="00181BA7">
      <w:pPr>
        <w:jc w:val="center"/>
        <w:rPr>
          <w:rStyle w:val="af0"/>
          <w:rFonts w:ascii="Arial" w:hAnsi="Arial" w:cs="Arial"/>
          <w:color w:val="000000" w:themeColor="text1"/>
          <w:sz w:val="22"/>
          <w:szCs w:val="22"/>
          <w:u w:val="none"/>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9037339493,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hyperlink r:id="rId147" w:history="1">
        <w:r w:rsidRPr="00DA76A7">
          <w:rPr>
            <w:rStyle w:val="af0"/>
            <w:rFonts w:ascii="Arial" w:hAnsi="Arial" w:cs="Arial"/>
            <w:color w:val="000000" w:themeColor="text1"/>
            <w:sz w:val="22"/>
            <w:szCs w:val="22"/>
            <w:u w:val="none"/>
            <w:lang w:val="en-US"/>
          </w:rPr>
          <w:t>law</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vizmailov</w:t>
        </w:r>
        <w:r w:rsidRPr="00542B0A">
          <w:rPr>
            <w:rStyle w:val="af0"/>
            <w:rFonts w:ascii="Arial" w:hAnsi="Arial" w:cs="Arial"/>
            <w:color w:val="000000" w:themeColor="text1"/>
            <w:sz w:val="22"/>
            <w:szCs w:val="22"/>
            <w:u w:val="none"/>
            <w:lang w:val="en-US"/>
          </w:rPr>
          <w:t>.</w:t>
        </w:r>
        <w:r w:rsidRPr="00DA76A7">
          <w:rPr>
            <w:rStyle w:val="af0"/>
            <w:rFonts w:ascii="Arial" w:hAnsi="Arial" w:cs="Arial"/>
            <w:color w:val="000000" w:themeColor="text1"/>
            <w:sz w:val="22"/>
            <w:szCs w:val="22"/>
            <w:u w:val="none"/>
            <w:lang w:val="en-US"/>
          </w:rPr>
          <w:t>ru</w:t>
        </w:r>
      </w:hyperlink>
    </w:p>
    <w:p w:rsidR="00181BA7" w:rsidRPr="00542B0A" w:rsidRDefault="00181BA7" w:rsidP="00181BA7">
      <w:pPr>
        <w:jc w:val="center"/>
        <w:rPr>
          <w:rStyle w:val="af0"/>
          <w:rFonts w:ascii="Arial" w:hAnsi="Arial" w:cs="Arial"/>
          <w:color w:val="000000" w:themeColor="text1"/>
          <w:sz w:val="22"/>
          <w:szCs w:val="22"/>
          <w:u w:val="none"/>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ROLE OF MEDIATION IN DIVORCE</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Izmailov Vitaly Viktorovich</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post-graduate student of the Department of civil and business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All-Russian state University of justice</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117638, Russia, Moscow, Azovskaya str., 2, cor. 1</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9037339493, e-mail: law@vizmailov.ru</w:t>
      </w:r>
    </w:p>
    <w:p w:rsidR="00181BA7" w:rsidRPr="00DA76A7" w:rsidRDefault="00181BA7" w:rsidP="00181BA7">
      <w:pPr>
        <w:jc w:val="both"/>
        <w:rPr>
          <w:rFonts w:ascii="Arial" w:hAnsi="Arial" w:cs="Arial"/>
          <w:color w:val="000000" w:themeColor="text1"/>
          <w:sz w:val="22"/>
          <w:szCs w:val="22"/>
          <w:lang w:val="en-US"/>
        </w:rPr>
      </w:pPr>
    </w:p>
    <w:p w:rsidR="00181BA7" w:rsidRPr="00DA76A7" w:rsidRDefault="00181BA7" w:rsidP="00181BA7">
      <w:pPr>
        <w:pStyle w:val="a4"/>
        <w:tabs>
          <w:tab w:val="decimal" w:pos="851"/>
          <w:tab w:val="decimal" w:pos="993"/>
        </w:tabs>
        <w:ind w:firstLine="567"/>
        <w:jc w:val="both"/>
        <w:rPr>
          <w:rFonts w:ascii="Arial" w:eastAsiaTheme="minorHAnsi" w:hAnsi="Arial" w:cs="Arial"/>
          <w:color w:val="000000" w:themeColor="text1"/>
          <w:sz w:val="22"/>
          <w:szCs w:val="22"/>
        </w:rPr>
      </w:pPr>
      <w:r w:rsidRPr="00DA76A7">
        <w:rPr>
          <w:rFonts w:ascii="Arial" w:hAnsi="Arial" w:cs="Arial"/>
          <w:color w:val="000000" w:themeColor="text1"/>
          <w:sz w:val="22"/>
          <w:szCs w:val="22"/>
          <w:lang w:val="en-US"/>
        </w:rPr>
        <w:tab/>
      </w:r>
      <w:r w:rsidRPr="00DA76A7">
        <w:rPr>
          <w:rFonts w:ascii="Arial" w:eastAsiaTheme="minorHAnsi" w:hAnsi="Arial" w:cs="Arial"/>
          <w:color w:val="000000" w:themeColor="text1"/>
          <w:sz w:val="22"/>
          <w:szCs w:val="22"/>
        </w:rPr>
        <w:t>На протяжении многих столетий человечество вырабатывало разные механизмы, стратегии и подходы к разрешению бракоразводных конфликтов. Сегодня наиболее распространенным и официально санкционированным государством способом разрешения спора при расторжении брака является судебное разбирательство.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Полностью согласны с высказанным в науке мнением В.О. Аболонина, что во многих странах мира сегодня успешно развиваются и применяются различные модели судебной медиации, предполагающие внедрение примирительных процедур непосредственно в гражданское судопроизводство. Такая практика позволяет разнообразить правосудие, сделать его более гибким, более направленным на устранение не только последствий, но и причин любого судебного спора [6, 8]. Действительно, семейная медиация призвана урегулировать конфликт в том случае, когда самостоятельно у членов семьи не получается найти обоюдовыгодное решение, но есть шанс решить вопрос, не дожидаясь судебного решения.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последнее время именно семейная медиация приобретает существенную роль в разрешении конфликтов между членами семьи и находит свое закрепление в законодательстве многих государств. Для российского права институт семейной медиации можно считать новой областью регулирования семейных правоотношений, возникшей в результате расширения форм досудебного и внесудебного урегулирования конфликтов между членами семьи.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расторжении брака весьма важное значение имеет применение процедуры медиации, соответственно, актуально ставить вопрос об использовании различного рода посреднических примирительных процедур. В качестве предпосылок для такого посредничества выступают социальные, психологические аспекты семейной жизнедеятельности супругов и особенности тех отношений, которые складываются при расторжении брака.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Медиация призвана урегулировать семейный конфликт, который привел к постановке вопроса о расторжении брака в том случае, когда самостоятельно у сторон не получается найти обоюдовыгодное решение, но есть шанс решить вопрос, не дожидаясь судебного решения при участии посредника - медиатора.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небезосновательно указывается в литературе, «медиация позволит избежать распад семьи и расторжение брака, сохранить отношения с детьми, относительно невысокие затраты, отсутствие принудительного исполнения решения, так как в ходе примирительных процедур стороны сами вырабатывают удовлетворяющее их решение и заинтересованы в его исполнении» [7, 32]. Действительно, при применении посреднических примирительных процедур велика вероятность предотвратить расторжение брака, а если семья уже распалась и сохранение супружеских отношений не представляется возможным, с помощью медиации возможно урегулирования супружеского конфликта и разрешение вопросов, возникающих в связи с расторжением брака, цивилизованным, бесконфликтным способом, с учетом удовлетворения интересов все участников процедуры развода.</w:t>
      </w:r>
    </w:p>
    <w:p w:rsidR="00181BA7" w:rsidRPr="00DA76A7" w:rsidRDefault="00666D87" w:rsidP="00181BA7">
      <w:pPr>
        <w:ind w:firstLine="567"/>
        <w:jc w:val="both"/>
        <w:rPr>
          <w:rFonts w:ascii="Arial" w:hAnsi="Arial" w:cs="Arial"/>
          <w:color w:val="000000" w:themeColor="text1"/>
          <w:sz w:val="22"/>
          <w:szCs w:val="22"/>
        </w:rPr>
      </w:pPr>
      <w:hyperlink r:id="rId148" w:history="1">
        <w:r w:rsidR="00181BA7" w:rsidRPr="00DA76A7">
          <w:rPr>
            <w:rFonts w:ascii="Arial" w:hAnsi="Arial" w:cs="Arial"/>
            <w:color w:val="000000" w:themeColor="text1"/>
            <w:sz w:val="22"/>
            <w:szCs w:val="22"/>
          </w:rPr>
          <w:t>П. 2 ст. 2</w:t>
        </w:r>
      </w:hyperlink>
      <w:r w:rsidR="00181BA7" w:rsidRPr="00DA76A7">
        <w:rPr>
          <w:rFonts w:ascii="Arial" w:hAnsi="Arial" w:cs="Arial"/>
          <w:color w:val="000000" w:themeColor="text1"/>
          <w:sz w:val="22"/>
          <w:szCs w:val="22"/>
        </w:rPr>
        <w:t xml:space="preserve"> Федерального закона от 27.07.2010 № 193-ФЗ «Об альтернативной процедуре урегулирования споров с участием посредника (процедуре медиации)» [3] (далее - Закон о медиации) определяет процедуру медиации как способ урегулирования споров при содействии медиатора на основе добровольного согласия сторон в целях достижения ими взаимоприемлемого решения.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Термин «медиация» этимологически произошел от лат. mediatio - посредничество; англ. mediation. Среди юристов, ученых и практиков, не прекращаются дискуссии о понятии «медиация».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В.Ф. Яковлев считает, что медиация представляет собой деятельность специалиста по урегулированию споров в рамках переговоров спорящих сторон в целях заключения между ними мирового соглашения [24, 13]. По мнению Е.И. Носыревой, медиация - это процедура урегулирования спора с помощью избираемого сторонами третьего лица, именуемого посредником, которое содействует сторонам в ведении переговоров и достижении соглашения по спору [14, 63]. И.В. Решетникова предлагает рассматривать медиацию как форму примирения сторон, в ходе которой нейтральное лицо, избранное добровольно сторонами (исходя из его компетенции и авторитета), проводит переговоры [17, 53]. Другие ученые в области гражданского (арбитражного) процесса также отмечают, что медиация как процедура примирения сторон невозможна без участия третьего лица (посредника) в том или ином качестве [10, 42].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В научной литературе также можно найти следующие краткие, но наукоемкие определения медиации - это «процедура посредничества при разрешении спорных ситуаций» </w:t>
      </w:r>
      <w:r w:rsidRPr="00DA76A7">
        <w:rPr>
          <w:rFonts w:ascii="Arial" w:hAnsi="Arial" w:cs="Arial"/>
          <w:color w:val="000000" w:themeColor="text1"/>
          <w:sz w:val="22"/>
          <w:szCs w:val="22"/>
        </w:rPr>
        <w:t xml:space="preserve">[22, 26], </w:t>
      </w:r>
      <w:r w:rsidRPr="00DA76A7">
        <w:rPr>
          <w:rFonts w:ascii="Arial" w:hAnsi="Arial" w:cs="Arial"/>
          <w:bCs/>
          <w:color w:val="000000" w:themeColor="text1"/>
          <w:sz w:val="22"/>
          <w:szCs w:val="22"/>
        </w:rPr>
        <w:t>«внесудебный способ разрешения спорных ситуаций»</w:t>
      </w:r>
      <w:r w:rsidRPr="00DA76A7">
        <w:rPr>
          <w:rFonts w:ascii="Arial" w:hAnsi="Arial" w:cs="Arial"/>
          <w:color w:val="000000" w:themeColor="text1"/>
          <w:sz w:val="22"/>
          <w:szCs w:val="22"/>
        </w:rPr>
        <w:t xml:space="preserve"> между субъектами различных правоотношений [20, 34], </w:t>
      </w:r>
      <w:r w:rsidRPr="00DA76A7">
        <w:rPr>
          <w:rFonts w:ascii="Arial" w:hAnsi="Arial" w:cs="Arial"/>
          <w:bCs/>
          <w:color w:val="000000" w:themeColor="text1"/>
          <w:sz w:val="22"/>
          <w:szCs w:val="22"/>
        </w:rPr>
        <w:t xml:space="preserve">«процесс разрешения конфликта, в котором нейтральная третья сторона - медиатор - способствует выработке добровольного взаимовыгодного соглашения между конфликтующими сторонами» </w:t>
      </w:r>
      <w:r w:rsidRPr="00DA76A7">
        <w:rPr>
          <w:rFonts w:ascii="Arial" w:hAnsi="Arial" w:cs="Arial"/>
          <w:color w:val="000000" w:themeColor="text1"/>
          <w:sz w:val="22"/>
          <w:szCs w:val="22"/>
        </w:rPr>
        <w:t>[23]</w:t>
      </w:r>
      <w:r w:rsidRPr="00DA76A7">
        <w:rPr>
          <w:rFonts w:ascii="Arial" w:hAnsi="Arial" w:cs="Arial"/>
          <w:bCs/>
          <w:color w:val="000000" w:themeColor="text1"/>
          <w:sz w:val="22"/>
          <w:szCs w:val="22"/>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свете сказанного определим </w:t>
      </w:r>
      <w:r w:rsidRPr="00DA76A7">
        <w:rPr>
          <w:rFonts w:ascii="Arial" w:hAnsi="Arial" w:cs="Arial"/>
          <w:bCs/>
          <w:color w:val="000000" w:themeColor="text1"/>
          <w:sz w:val="22"/>
          <w:szCs w:val="22"/>
        </w:rPr>
        <w:t>медиацию</w:t>
      </w:r>
      <w:r w:rsidRPr="00DA76A7">
        <w:rPr>
          <w:rFonts w:ascii="Arial" w:hAnsi="Arial" w:cs="Arial"/>
          <w:color w:val="000000" w:themeColor="text1"/>
          <w:sz w:val="22"/>
          <w:szCs w:val="22"/>
        </w:rPr>
        <w:t xml:space="preserve"> при расторжении брака как альтернативную форму разрешения бракоразводного процесса с участием третьего нейтрального лица - медиатора (посредника), который помогает восстановить и (или) укрепить семейный связи между конфликтующими сторонами- супругами, направленные на сохранение семьи или решить возникшие в связи с расторжением брака спорные вопросы с целью достижения между ними взаимопонимания и выработки соглашения по спору о расторжении брака путем составления договора, который должен содержать согласованные условия супругов в отношении дела о расторжении брака.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соответствии со </w:t>
      </w:r>
      <w:hyperlink r:id="rId149" w:history="1">
        <w:r w:rsidRPr="00DA76A7">
          <w:rPr>
            <w:rFonts w:ascii="Arial" w:hAnsi="Arial" w:cs="Arial"/>
            <w:color w:val="000000" w:themeColor="text1"/>
            <w:sz w:val="22"/>
            <w:szCs w:val="22"/>
          </w:rPr>
          <w:t>ст. 3</w:t>
        </w:r>
      </w:hyperlink>
      <w:r w:rsidRPr="00DA76A7">
        <w:rPr>
          <w:rFonts w:ascii="Arial" w:hAnsi="Arial" w:cs="Arial"/>
          <w:color w:val="000000" w:themeColor="text1"/>
          <w:sz w:val="22"/>
          <w:szCs w:val="22"/>
        </w:rPr>
        <w:t xml:space="preserve"> Закона о медиации альтернативная процедура урегулирования споров проводится при взаимном волеизъявлении сторон на основе принципов добровольности, конфиденциальности, сотрудничества и равноправия сторон.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Институт медиации - относительно новый междисциплинарный правовой институт, имеющий социально-полезную направленность. Согласно </w:t>
      </w:r>
      <w:hyperlink r:id="rId150" w:history="1">
        <w:r w:rsidRPr="00DA76A7">
          <w:rPr>
            <w:rFonts w:ascii="Arial" w:hAnsi="Arial" w:cs="Arial"/>
            <w:color w:val="000000" w:themeColor="text1"/>
            <w:sz w:val="22"/>
            <w:szCs w:val="22"/>
          </w:rPr>
          <w:t>ч. 2</w:t>
        </w:r>
      </w:hyperlink>
      <w:r w:rsidRPr="00DA76A7">
        <w:rPr>
          <w:rFonts w:ascii="Arial" w:hAnsi="Arial" w:cs="Arial"/>
          <w:color w:val="000000" w:themeColor="text1"/>
          <w:sz w:val="22"/>
          <w:szCs w:val="22"/>
        </w:rPr>
        <w:t xml:space="preserve">, </w:t>
      </w:r>
      <w:hyperlink r:id="rId151" w:history="1">
        <w:r w:rsidRPr="00DA76A7">
          <w:rPr>
            <w:rFonts w:ascii="Arial" w:hAnsi="Arial" w:cs="Arial"/>
            <w:color w:val="000000" w:themeColor="text1"/>
            <w:sz w:val="22"/>
            <w:szCs w:val="22"/>
          </w:rPr>
          <w:t>3</w:t>
        </w:r>
      </w:hyperlink>
      <w:r w:rsidRPr="00DA76A7">
        <w:rPr>
          <w:rFonts w:ascii="Arial" w:hAnsi="Arial" w:cs="Arial"/>
          <w:color w:val="000000" w:themeColor="text1"/>
          <w:sz w:val="22"/>
          <w:szCs w:val="22"/>
        </w:rPr>
        <w:t xml:space="preserve"> и </w:t>
      </w:r>
      <w:hyperlink r:id="rId152" w:history="1">
        <w:r w:rsidRPr="00DA76A7">
          <w:rPr>
            <w:rFonts w:ascii="Arial" w:hAnsi="Arial" w:cs="Arial"/>
            <w:color w:val="000000" w:themeColor="text1"/>
            <w:sz w:val="22"/>
            <w:szCs w:val="22"/>
          </w:rPr>
          <w:t>5 ст. 1</w:t>
        </w:r>
      </w:hyperlink>
      <w:r w:rsidRPr="00DA76A7">
        <w:rPr>
          <w:rFonts w:ascii="Arial" w:hAnsi="Arial" w:cs="Arial"/>
          <w:color w:val="000000" w:themeColor="text1"/>
          <w:sz w:val="22"/>
          <w:szCs w:val="22"/>
        </w:rPr>
        <w:t xml:space="preserve"> Закона о медиации с ее помощью могут быть урегулированы споры, вытекающие из гражданских правоотношений, в т.ч. в связи с осуществлением предпринимательской и иной экономической деятельности, семейных и трудовых правоотношений, а также в иных случаях, предусмотренных федеральными законами, за исключением коллективных трудовых споров, а также споров, затрагивающих интересы третьих лиц.</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Для России, в отличие от европейских стран, несудебное урегулирование споров является относительно новой процедурой. Как полагают эксперты, медиация сможет в корне изменить правосудие, а может даже и в целом улучшить «моральный климат» в стране [12, 8]. Полагаем, что особенно ценное значение имеет эта процедура применительно к конфликтам в семье, т.к. позволяет обеспечить стабильность брачно-семейных отношений, сохранить семью, учесть интересы всех участников семейного конфликта.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Министерством юстиции разработана долгосрочная программа повышения эффективности исполнения судебных решений на 2011 - 2020 годы, отдельной главой в этой программе является внедрение медиативных процедур в исполнительное производство. Данные обстоятельства имеют немаловажное значение для исполнения судебных решений по семейным белам, где, зачастую, принудительное исполнение имеет значительные затруднения.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 из причин эффективности медиации в семейном споре - это изначальное свойство семейных правоотношений - их лично-доверительный характер. Необходимо отметить, что о медиабельности споров в научной литературе высказывались многие авторы [11, 91]; [18, 230].</w:t>
      </w:r>
    </w:p>
    <w:p w:rsidR="00181BA7" w:rsidRPr="00DA76A7" w:rsidRDefault="00666D87" w:rsidP="00181BA7">
      <w:pPr>
        <w:ind w:firstLine="567"/>
        <w:jc w:val="both"/>
        <w:rPr>
          <w:rFonts w:ascii="Arial" w:hAnsi="Arial" w:cs="Arial"/>
          <w:color w:val="000000" w:themeColor="text1"/>
          <w:sz w:val="22"/>
          <w:szCs w:val="22"/>
        </w:rPr>
      </w:pPr>
      <w:hyperlink r:id="rId153" w:history="1">
        <w:r w:rsidR="00181BA7" w:rsidRPr="00DA76A7">
          <w:rPr>
            <w:rFonts w:ascii="Arial" w:hAnsi="Arial" w:cs="Arial"/>
            <w:color w:val="000000" w:themeColor="text1"/>
            <w:sz w:val="22"/>
            <w:szCs w:val="22"/>
          </w:rPr>
          <w:t>Концепция</w:t>
        </w:r>
      </w:hyperlink>
      <w:r w:rsidR="00181BA7" w:rsidRPr="00DA76A7">
        <w:rPr>
          <w:rFonts w:ascii="Arial" w:hAnsi="Arial" w:cs="Arial"/>
          <w:color w:val="000000" w:themeColor="text1"/>
          <w:sz w:val="22"/>
          <w:szCs w:val="22"/>
        </w:rPr>
        <w:t xml:space="preserve"> совершенствования семейного законодательства Российской Федерации обоснованан идея необходимости совершенствования правовых механизмов, позволяющих предупредить распад семьи, возникновение семейно-правовых конфликтов. Необходимо дополнение Семейного </w:t>
      </w:r>
      <w:hyperlink r:id="rId154" w:history="1">
        <w:r w:rsidR="00181BA7" w:rsidRPr="00DA76A7">
          <w:rPr>
            <w:rFonts w:ascii="Arial" w:hAnsi="Arial" w:cs="Arial"/>
            <w:color w:val="000000" w:themeColor="text1"/>
            <w:sz w:val="22"/>
            <w:szCs w:val="22"/>
          </w:rPr>
          <w:t>кодекса</w:t>
        </w:r>
      </w:hyperlink>
      <w:r w:rsidR="00181BA7" w:rsidRPr="00DA76A7">
        <w:rPr>
          <w:rFonts w:ascii="Arial" w:hAnsi="Arial" w:cs="Arial"/>
          <w:color w:val="000000" w:themeColor="text1"/>
          <w:sz w:val="22"/>
          <w:szCs w:val="22"/>
        </w:rPr>
        <w:t xml:space="preserve"> РФ (далее - СК РФ) [1]  специальными нормами, регламентирующими особенности применения института посредничества (медиации) при разрешении семейно-правовых споров [4]. Как представляется, особо актуальны эти предложения для процедуры урегулирования споров между супругами, в частности, при расторжении брака на разных этапах этого процесса.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соответствии со </w:t>
      </w:r>
      <w:hyperlink r:id="rId155" w:history="1">
        <w:r w:rsidRPr="00DA76A7">
          <w:rPr>
            <w:rFonts w:ascii="Arial" w:hAnsi="Arial" w:cs="Arial"/>
            <w:color w:val="000000" w:themeColor="text1"/>
            <w:sz w:val="22"/>
            <w:szCs w:val="22"/>
          </w:rPr>
          <w:t>ст. 3</w:t>
        </w:r>
      </w:hyperlink>
      <w:r w:rsidRPr="00DA76A7">
        <w:rPr>
          <w:rFonts w:ascii="Arial" w:hAnsi="Arial" w:cs="Arial"/>
          <w:color w:val="000000" w:themeColor="text1"/>
          <w:sz w:val="22"/>
          <w:szCs w:val="22"/>
        </w:rPr>
        <w:t xml:space="preserve"> Закона о медиации альтернативная процедура урегулирования споров проводится при взаимном волеизъявлении сторон на основе принципов добровольности, конфиденциальности, сотрудничества и равноправия сторон.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 России институт медиации весьма эффективно используется в семейно-правовой сфере, в частности при расторжении брака.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международном уровне в последнее время уделяется внимание развитию трансграничной семейной медиации. Так, относительно медиации в семейных вопросах Комитетом министров Совета Европы дана была отдельная рекомендация (CE Pek (98) 1E), «в соответствии с которой государства должны ввести или пропагандировать медиацию по семейным вопросам или, при необходимости, проводить мероприятия по усовершенствованию действующей медиации по семейным вопросам, а также рассмотреть возможность создания механизмов применения медиации в делах, включающих международные аспекты, особенно во всех делах, касающихся детей, и в частности когда речь идет об опеке и контактах с детьми, если родители проживают или будут проживать в разных государствах» [8, 34].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Медиация принципиально отличается от судебного порядка рассмотрения споров о расторжении брака. Во-первых, третье лицо, участвующее в урегулировании конфликта, не выносит вердикт, а является посредником в процессе принятия решения сторонами бракоразводного процесса; во-вторых, супруги самостоятельно устанавливают регламент процедуры; в-третьих, срок проведения медиации, хоть и ограничен законодательством, но его продолжительность зависит от сторон спора - супругов.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Помимо этого, расходы, понесенные сторонами в процессе урегулирования спора путем медиации, по данному основанию не компенсируются. Данная позиция подтверждается </w:t>
      </w:r>
      <w:hyperlink r:id="rId156" w:history="1">
        <w:r w:rsidRPr="00DA76A7">
          <w:rPr>
            <w:rFonts w:ascii="Arial" w:hAnsi="Arial" w:cs="Arial"/>
            <w:color w:val="000000" w:themeColor="text1"/>
            <w:sz w:val="22"/>
            <w:szCs w:val="22"/>
          </w:rPr>
          <w:t>Постановлением</w:t>
        </w:r>
      </w:hyperlink>
      <w:r w:rsidRPr="00DA76A7">
        <w:rPr>
          <w:rFonts w:ascii="Arial" w:hAnsi="Arial" w:cs="Arial"/>
          <w:color w:val="000000" w:themeColor="text1"/>
          <w:sz w:val="22"/>
          <w:szCs w:val="22"/>
        </w:rPr>
        <w:t xml:space="preserve"> Пленума ВС РФ от 21.01.2016 № 1 «О некоторых вопросах применения законодательства о возмещении издержек, связанных с рассмотрением дела» [5].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Итак, сравнивая медиацию как процедуру рассмотрения спора при расторжении брака с судебным порядком, нельзя не заметить принципиальное сущностное отличие между ними, способное привести к решающему выбору спорящих сторон и предпочтению применения процедуры медиации. В суде правовой спор рассматривается по существу и </w:t>
      </w:r>
      <w:r w:rsidRPr="00DA76A7">
        <w:rPr>
          <w:rFonts w:ascii="Arial" w:hAnsi="Arial" w:cs="Arial"/>
          <w:bCs/>
          <w:color w:val="000000" w:themeColor="text1"/>
          <w:sz w:val="22"/>
          <w:szCs w:val="22"/>
        </w:rPr>
        <w:t>разрешается</w:t>
      </w:r>
      <w:r w:rsidRPr="00DA76A7">
        <w:rPr>
          <w:rFonts w:ascii="Arial" w:hAnsi="Arial" w:cs="Arial"/>
          <w:color w:val="000000" w:themeColor="text1"/>
          <w:sz w:val="22"/>
          <w:szCs w:val="22"/>
        </w:rPr>
        <w:t xml:space="preserve"> исключительно с точки зрения буквы закона и системного толкования действующего российского законодательства, в итоге судебное решение может не устроить по каким-то позициям как истца, так и ответчика, причем зачастую по разным причинам. Цель же процедуры медиации, как указано в </w:t>
      </w:r>
      <w:hyperlink r:id="rId157" w:history="1">
        <w:r w:rsidRPr="00DA76A7">
          <w:rPr>
            <w:rFonts w:ascii="Arial" w:hAnsi="Arial" w:cs="Arial"/>
            <w:color w:val="000000" w:themeColor="text1"/>
            <w:sz w:val="22"/>
            <w:szCs w:val="22"/>
          </w:rPr>
          <w:t>ст. 2</w:t>
        </w:r>
      </w:hyperlink>
      <w:r w:rsidRPr="00DA76A7">
        <w:rPr>
          <w:rFonts w:ascii="Arial" w:hAnsi="Arial" w:cs="Arial"/>
          <w:color w:val="000000" w:themeColor="text1"/>
          <w:sz w:val="22"/>
          <w:szCs w:val="22"/>
        </w:rPr>
        <w:t xml:space="preserve"> Закона о медиации, заключается в </w:t>
      </w:r>
      <w:r w:rsidRPr="00DA76A7">
        <w:rPr>
          <w:rFonts w:ascii="Arial" w:hAnsi="Arial" w:cs="Arial"/>
          <w:bCs/>
          <w:color w:val="000000" w:themeColor="text1"/>
          <w:sz w:val="22"/>
          <w:szCs w:val="22"/>
        </w:rPr>
        <w:t>урегулировании</w:t>
      </w:r>
      <w:r w:rsidRPr="00DA76A7">
        <w:rPr>
          <w:rFonts w:ascii="Arial" w:hAnsi="Arial" w:cs="Arial"/>
          <w:color w:val="000000" w:themeColor="text1"/>
          <w:sz w:val="22"/>
          <w:szCs w:val="22"/>
        </w:rPr>
        <w:t xml:space="preserve"> спора, в особенности, возникшего между супругами при расторжении брака, который, как правило, затрагивает интересы третьих лиц. При этом медиатор не разрешает спор с правовых позиций, не выясняет, кто прав, кто виноват, хотя это тоже может иметь место в супружеском конфликте. Задача медиатора состоит в определении истинных потребностей и интересов сторон в супружеском конфликте, а также в оказании содействия сторонам для принятия ими решения о расторжении брака. Таким образом, медиатор, как правило, руководит процедурой развода, профессионально управляет конфликтом, но ни в коем случае не принимает решения в вопросе исхода конфликта. Вместе с тем, он направляет действия супругов на примирительные процедуры с целью сохранения семьи. Медиативное соглашение как итоговый документ в процедуре медиации при расторжении брака может быть взаимовыгодным только при его добровольном и самостоятельном принятии спорящими сторонами, с учетом соблюдения личных и имущественных интересов третьих лиц: детей, возможно, иных нетрудоспособных лиц. Грамотно и профессионально проведенные медиативные процедуры должны приводить стороны к исполнению медиативного соглашения, без потребности в государственной поддержке через механизмы принуждения, предусмотренные в законодательстве.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Особенность и, соответственно, особая ценность медиации как способа урегулирования споров, в том числе возникающих при расторжении брака, заключается в том, что данная процедура является альтернативой и может применяться как вместо существующих юрисдикционных форм расторжения брака, и в то же время может применяться наряду с ними. Так, например, если один из супругов обратился в суд с заявлением о расторжении брака, а другой супруг возражает против развода, это не исключает возможность обращения к третьей независимой стороне – посреднику, медиатору с тем, чтобы урегулировать спор и минимизировать конфликтную ситуацию. Однако применение процедуры медиации, в свою очередь, не лишает супругов права на судебную защиту. Такой способ урегулирования спора не подменяет собой уже существующие способы, а дополняет их, тем самым предоставляя субъектам супружеских семейных правоотношений новые возможности для мирного урегулирования споров при расторжении брака и защите прав супругов и третьих лиц.</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согласиться с О.И. Величковой в том, что «семейные споры признаются одними из самых «благодатных» для проведения процедур медиации, поскольку именно в этом случае вероятность заключения медиативного соглашения считается максимально высокой. Причины этого, на наш взгляд, очевидны и лежат на поверхности. Стороны семейного конфликта как никто связаны личными отношениями, им глубоко не все равно, как этот конфликт разрешится, и при всей остроте накала страстей в семейных спорах они, как никто, готовы пойти на компромисс ради сохранения в дальнейшем нормальных отношений. … Поэтому одна из причин эффективности медиации в семейном споре – это изначальное свойство семейных правоотношений – их лично-доверительный характер» [9, 217].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Заметим, что Закон о медиации не содержит перечня семейно-правовых конфликтов, урегулирование которых возможно и необходимо при участии посредника (медиатора). Представляется, что расторжение брака относится к числу именно таких споров, т.к. имеются широкие возможности для «сглаживания» спорных вопросов, касающихся не только расторгающих брак супругов, но и, например, детей. Кроме того, действующее семейное и гражданско-процессуальное законодательство уже содержит некоторые процессуальные гарантии возможного сохранения брака, в частности, примирительный срок для супругов. Однако в течение указанного срока супруги, один из которых намеревается расторгнуть брак, а другой категорически против, как говорится, «предоставлены сами себе». А участие в процедуре развода посредника-медиатора позволит супругам, намеревающимся расторгнуть брак, разрешить супружеский конфликт с наименьшей конфронтацией.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Основное отличие юрисдикционных от неюрисдикционных способов урегулирования и разрешения правовых споров между супругами заключается в том, что в рамках первых уполномоченные лица выносят обязательное для участников правового конфликта решение, осуществляя свою деятельность в области правоприменительной деятельности, в то время как медиатор не обладает полномочиями по принятию обязательного решения, он строит свою деятельность по организации переговоров между спорящими сторонами, основываясь на их интересах.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Стоит согласиться с утверждением С.И. Калашниковой о том, что «медиатор не занимается правоприменением, его задача заключается в организации совместной работы участников спора по решению возникшей проблемы, оказании помощи в достижении взаимоприемлемого соглашения» [11, 12].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Представляется, что медиативные процедуры при наличии споров, возникающие из семейных правоотношений, могут разрешаться в примирительной процессе по общим правилам частной медиации.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Целесообразность передачи в судебную компетенцию дел о разводе всегда была причиной сомнений, высказываемых в процессуальной литературе [19, 27]. Определение оснований, указанных в ст. 22 СК РФ, сводится к установлению наличия воли хотя бы одного из супругов на расторжение брака. Другие факты судом не изучаются. Суд «только проверяет наличие или отсутствие установленных законом условий, при которых существующий брак перестает быть таковым» [15, 10].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главной целью, которую преследует государство, устанавливая и регламентируя процедуру развода, является примирение сторон. Полагаем, что весьма эффективной может быть признана такая процедура, которая позволит если не восстановить брачные отношения, то хотя бы сохранить нормальные, не «воинственные» отношения. Деятельность медиатора в данном случае будет наиболее эффективной и целесообразной.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Представляется, что в настоящее время есть объективная потребность и необходимость в решении вопроса о применения процедуры медиации при расторжении брака в суде, когда один из супругов против расторжения брака в обязательном порядке.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частности, абз.1 п.2 ст.22 СК РФ предлагается изложить в следующей редакции: «При рассмотрении дела о расторжении брака при отсутствии согласия одного из супругов на расторжение брака суд принимает меры к примирению супругов и откладывает разбирательство дела до момента представления сторонами медиативного соглашения».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научной литературе вполне обоснованно предлагается внести изменения в </w:t>
      </w:r>
      <w:hyperlink r:id="rId158" w:history="1">
        <w:r w:rsidRPr="00DA76A7">
          <w:rPr>
            <w:rFonts w:ascii="Arial" w:hAnsi="Arial" w:cs="Arial"/>
            <w:color w:val="000000" w:themeColor="text1"/>
            <w:sz w:val="22"/>
            <w:szCs w:val="22"/>
          </w:rPr>
          <w:t>ст. 150</w:t>
        </w:r>
      </w:hyperlink>
      <w:r w:rsidRPr="00DA76A7">
        <w:rPr>
          <w:rFonts w:ascii="Arial" w:hAnsi="Arial" w:cs="Arial"/>
          <w:color w:val="000000" w:themeColor="text1"/>
          <w:sz w:val="22"/>
          <w:szCs w:val="22"/>
        </w:rPr>
        <w:t xml:space="preserve"> ГПК РФ [2] и предоставить суду право в ходе подготовки дела к судебному разбирательству направлять стороны на информационную встречу с медиатором. Во время проведения встречи сторонам спора необходимо разъяснять преимущества медиации по сравнению с судебным разбирательством и делать предложения о принятии участия в примирительной процедуре на всех стадиях судебного разбирательства. Уместно вспомнить высказывание Д.Г. Фильченко, который указывал, что примирение сторон на данном этапе представляет собой реальную альтернативу судебному разбирательству [21, 100].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Эффективность применения медиации как формы защиты семейных прав граждан, в том числе в рамках бракоразводного процесса, подтверждается зарубежной правоприменительной практикой. Так, например, в Великобритании семейная медиация рассматривает все или почти все вопросы, связанные с расставанием и разводом, а также вопросы, затрагивающие место проживания детей, их контакты с родителями. Согласно британскому законодательству еще до подачи заявления о разводе в суд юристы обязаны направить своих клиентов в службу семейной медиации, чтобы стороны рассмотрели возможность медиации вместо состязательного судебного процесса. Когда же споры, в которые вовлечены дети, переносятся в суд, судья может направить родителей на консультацию к штатному примирителю [16, 42].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присоединиться к высказанному в науке мнению, что «учитывая высокий психологический момент, их «личностную» составляющую, а также отечественные традиции рассмотрения семейных споров, полагаем, что семейное и трудовое законодательство должно стать «пилотным» правовым полем для введения обязательной медиации в гражданском судопроизводстве России» [7, 32].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уже отмечалось, медиация является альтернативной процедурой по отношению к судебной форме разрешения спора при расторжении брака. Бесспорно, что медиативные процедуры позволят разгрузить суды и значительно повысить эффективность урегулирования споров по бракоразводным делам, сохранить семьи от разрушения или цивилизованным образом разрешить супружеский конфликт. Сущность процедуры медиации при расторжении брака как наиболее прогрессивного способа урегулирования супружеского конфликта для России состоит в том, что посредник оказывает сторонам содействие в ведении переговоров и способствует достижению взаимоприемлемого решения по бракоразводному делу. Посредничество как альтернативная процедура предусмотрена российским законодательством наряду с третейскими судами и претензионным порядком урегулирования споров. Преимущества посредничества при расторжении брака состоят в том, что это гибкая, неформальная, экономичная и быстрая процедура, позволяющая участникам семейного конфликта урегулировать разногласия, продолжая деловое сотрудничество и развивая партнерские отношения, возможно за рамками семейных супружеских отношений, что в итоге ведет к стабилизации и приданию определенности брачно-семейных, гражданских и иных правоотношений.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семейная медиация – это относительно новое явление в РФ, и многие члены семьи – участники семейного конфликта, даже не знают о наличии возможности мирно и вне суда урегулировать имеющийся спор. Наше общество, все же больше доверяет судам и традиционным государственным институтам, и поэтому людям нелегко перестроиться на новый вид разрешения споров, более цивилизованному способу решения супружеского конфликта. Кроме того, играет серьезную роль и отсутствие уверенности в эффективности процедуры, и неуверенность в том, что достигнутое решение будет устраивать обе стороны спора, возможность реализации достигнутого соглашения в реальную жизнь.</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Сейчас введение семейной медиации как социально-правового института находится под контролем судов. Вопрос о развитии института семейной медиации вынесен на обсуждение общественнности. На сегодняшний день появились и первые профессиональные медиаторы, которые уже прошли курс подготовки в различных вузах Российской Федерации. Представляется, что наше государство и члены семьи полностью готовы к развитию и применению процедуры семейной медиации, в особенности в бракоразводном процессе.</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3"/>
          <w:numId w:val="62"/>
        </w:numPr>
        <w:tabs>
          <w:tab w:val="left" w:pos="426"/>
          <w:tab w:val="left" w:pos="567"/>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Семейный кодекс Российской Федерации от 29.12.1995 № 223-ФЗ (ред. от 29.12.2017 </w:t>
      </w:r>
      <w:hyperlink r:id="rId159" w:history="1">
        <w:r w:rsidRPr="00DA76A7">
          <w:rPr>
            <w:rStyle w:val="af0"/>
            <w:rFonts w:ascii="Arial" w:hAnsi="Arial" w:cs="Arial"/>
            <w:color w:val="000000" w:themeColor="text1"/>
            <w:u w:val="none"/>
          </w:rPr>
          <w:t>№ 94-ФЗ</w:t>
        </w:r>
      </w:hyperlink>
      <w:r w:rsidRPr="00DA76A7">
        <w:rPr>
          <w:rFonts w:ascii="Arial" w:hAnsi="Arial" w:cs="Arial"/>
          <w:color w:val="000000" w:themeColor="text1"/>
        </w:rPr>
        <w:t>) // Собрание законодательства РФ. 1996. № 1. Ст. 16.</w:t>
      </w:r>
    </w:p>
    <w:p w:rsidR="00181BA7" w:rsidRPr="00DA76A7" w:rsidRDefault="00181BA7" w:rsidP="00D45D6B">
      <w:pPr>
        <w:pStyle w:val="a6"/>
        <w:widowControl w:val="0"/>
        <w:numPr>
          <w:ilvl w:val="3"/>
          <w:numId w:val="62"/>
        </w:numPr>
        <w:tabs>
          <w:tab w:val="left" w:pos="0"/>
          <w:tab w:val="left" w:pos="426"/>
          <w:tab w:val="left" w:pos="567"/>
          <w:tab w:val="left" w:pos="851"/>
        </w:tabs>
        <w:suppressAutoHyphen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Гражданский процессуальный кодекс Российской Федерации  от 14.11.2002 №138-ФЗ (в ред. от 28.12.2017 </w:t>
      </w:r>
      <w:hyperlink r:id="rId160" w:history="1">
        <w:r w:rsidRPr="00DA76A7">
          <w:rPr>
            <w:rFonts w:ascii="Arial" w:hAnsi="Arial" w:cs="Arial"/>
            <w:color w:val="000000" w:themeColor="text1"/>
          </w:rPr>
          <w:t>№ 421-ФЗ</w:t>
        </w:r>
      </w:hyperlink>
      <w:r w:rsidRPr="00DA76A7">
        <w:rPr>
          <w:rFonts w:ascii="Arial" w:hAnsi="Arial" w:cs="Arial"/>
          <w:color w:val="000000" w:themeColor="text1"/>
        </w:rPr>
        <w:t>) // Российская газета. 2002. 20 ноября.</w:t>
      </w:r>
    </w:p>
    <w:p w:rsidR="00181BA7" w:rsidRPr="00DA76A7" w:rsidRDefault="00181BA7" w:rsidP="00D45D6B">
      <w:pPr>
        <w:pStyle w:val="a6"/>
        <w:numPr>
          <w:ilvl w:val="3"/>
          <w:numId w:val="62"/>
        </w:numPr>
        <w:tabs>
          <w:tab w:val="left" w:pos="426"/>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Федеральный закон от 27.07.2010 N 193-ФЗ (ред. от 23.07.2013) «Об альтернативной процедуре урегулирования споров с участием посредника (процедуре медиации)» // СЗ РФ. 2010. №31. Ст.4162.</w:t>
      </w:r>
    </w:p>
    <w:p w:rsidR="00181BA7" w:rsidRPr="00DA76A7" w:rsidRDefault="00666D87" w:rsidP="00D45D6B">
      <w:pPr>
        <w:pStyle w:val="af2"/>
        <w:numPr>
          <w:ilvl w:val="3"/>
          <w:numId w:val="62"/>
        </w:numPr>
        <w:tabs>
          <w:tab w:val="left" w:pos="426"/>
          <w:tab w:val="left" w:pos="851"/>
        </w:tabs>
        <w:ind w:left="0" w:firstLine="567"/>
        <w:jc w:val="both"/>
        <w:rPr>
          <w:rFonts w:ascii="Arial" w:hAnsi="Arial" w:cs="Arial"/>
          <w:color w:val="000000" w:themeColor="text1"/>
          <w:sz w:val="22"/>
          <w:szCs w:val="22"/>
        </w:rPr>
      </w:pPr>
      <w:hyperlink r:id="rId161" w:history="1">
        <w:r w:rsidR="00181BA7" w:rsidRPr="00DA76A7">
          <w:rPr>
            <w:rFonts w:ascii="Arial" w:hAnsi="Arial" w:cs="Arial"/>
            <w:color w:val="000000" w:themeColor="text1"/>
            <w:sz w:val="22"/>
            <w:szCs w:val="22"/>
          </w:rPr>
          <w:t>Концепция</w:t>
        </w:r>
      </w:hyperlink>
      <w:r w:rsidR="00181BA7" w:rsidRPr="00DA76A7">
        <w:rPr>
          <w:rFonts w:ascii="Arial" w:hAnsi="Arial" w:cs="Arial"/>
          <w:color w:val="000000" w:themeColor="text1"/>
          <w:sz w:val="22"/>
          <w:szCs w:val="22"/>
        </w:rPr>
        <w:t xml:space="preserve"> совершенствования семейного законодательства Российской Федерации. Разработана Временной рабочей группой при Координационном совете при Президенте Российской Федерации по реализации Национальной стратегии действий в интересах детей на 2012 - 2017 годы по совершенствованию семейного законодательства Российской Федерации. М., 2014. 31 с.</w:t>
      </w:r>
    </w:p>
    <w:p w:rsidR="00181BA7" w:rsidRPr="00DA76A7" w:rsidRDefault="00666D87" w:rsidP="00D45D6B">
      <w:pPr>
        <w:pStyle w:val="a6"/>
        <w:numPr>
          <w:ilvl w:val="3"/>
          <w:numId w:val="62"/>
        </w:numPr>
        <w:tabs>
          <w:tab w:val="left" w:pos="426"/>
          <w:tab w:val="left" w:pos="851"/>
        </w:tabs>
        <w:autoSpaceDE w:val="0"/>
        <w:autoSpaceDN w:val="0"/>
        <w:adjustRightInd w:val="0"/>
        <w:spacing w:after="0" w:line="240" w:lineRule="auto"/>
        <w:ind w:left="0" w:firstLine="567"/>
        <w:jc w:val="both"/>
        <w:rPr>
          <w:rFonts w:ascii="Arial" w:hAnsi="Arial" w:cs="Arial"/>
          <w:color w:val="000000" w:themeColor="text1"/>
        </w:rPr>
      </w:pPr>
      <w:hyperlink r:id="rId162" w:history="1">
        <w:r w:rsidR="00181BA7" w:rsidRPr="00DA76A7">
          <w:rPr>
            <w:rFonts w:ascii="Arial" w:hAnsi="Arial" w:cs="Arial"/>
            <w:color w:val="000000" w:themeColor="text1"/>
          </w:rPr>
          <w:t>Постановление</w:t>
        </w:r>
      </w:hyperlink>
      <w:r w:rsidR="00181BA7" w:rsidRPr="00DA76A7">
        <w:rPr>
          <w:rFonts w:ascii="Arial" w:hAnsi="Arial" w:cs="Arial"/>
          <w:color w:val="000000" w:themeColor="text1"/>
        </w:rPr>
        <w:t xml:space="preserve"> Пленума ВС РФ от 21.01.2016 № 1 «О некоторых вопросах применения законодательства о возмещении издержек, связанных с рассмотрением дела» // Бюллетень Верховного Суда РФ. 2016. № 4.</w:t>
      </w:r>
    </w:p>
    <w:p w:rsidR="00181BA7" w:rsidRPr="00DA76A7" w:rsidRDefault="00181BA7" w:rsidP="00D45D6B">
      <w:pPr>
        <w:pStyle w:val="a6"/>
        <w:numPr>
          <w:ilvl w:val="3"/>
          <w:numId w:val="62"/>
        </w:numPr>
        <w:tabs>
          <w:tab w:val="left" w:pos="426"/>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Аболонин В.О. Судебная медиация: теория, практика, перспективы. - М.: Инфотропик Медиа, 2014. Кн. 6. - 408 с. </w:t>
      </w:r>
    </w:p>
    <w:p w:rsidR="00181BA7" w:rsidRPr="00DA76A7" w:rsidRDefault="00181BA7" w:rsidP="00D45D6B">
      <w:pPr>
        <w:pStyle w:val="a6"/>
        <w:numPr>
          <w:ilvl w:val="3"/>
          <w:numId w:val="62"/>
        </w:numPr>
        <w:tabs>
          <w:tab w:val="left" w:pos="426"/>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Бахарева О.А., Николайченко О.В. Урегулирование семейных споров посредством процедуры медиации // Арбитражный и гражданский процесс. - 2017. - N 7. - С. 32-36.</w:t>
      </w:r>
    </w:p>
    <w:p w:rsidR="00181BA7" w:rsidRPr="00DA76A7" w:rsidRDefault="00181BA7" w:rsidP="00D45D6B">
      <w:pPr>
        <w:pStyle w:val="af2"/>
        <w:numPr>
          <w:ilvl w:val="3"/>
          <w:numId w:val="62"/>
        </w:numPr>
        <w:tabs>
          <w:tab w:val="left" w:pos="426"/>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Веняляйнен М. </w:t>
      </w:r>
      <w:hyperlink r:id="rId163" w:history="1">
        <w:r w:rsidRPr="00DA76A7">
          <w:rPr>
            <w:rFonts w:ascii="Arial" w:hAnsi="Arial" w:cs="Arial"/>
            <w:color w:val="000000" w:themeColor="text1"/>
            <w:sz w:val="22"/>
            <w:szCs w:val="22"/>
          </w:rPr>
          <w:t>Медиация и юридическая помощь</w:t>
        </w:r>
      </w:hyperlink>
      <w:r w:rsidRPr="00DA76A7">
        <w:rPr>
          <w:rFonts w:ascii="Arial" w:hAnsi="Arial" w:cs="Arial"/>
          <w:color w:val="000000" w:themeColor="text1"/>
          <w:sz w:val="22"/>
          <w:szCs w:val="22"/>
        </w:rPr>
        <w:t xml:space="preserve"> в трансграничных семейных спорах // Семейное и жилищное право. - 2014. - N 1. - С. 34.</w:t>
      </w:r>
    </w:p>
    <w:p w:rsidR="00181BA7" w:rsidRPr="00DA76A7" w:rsidRDefault="00181BA7" w:rsidP="00D45D6B">
      <w:pPr>
        <w:pStyle w:val="af2"/>
        <w:numPr>
          <w:ilvl w:val="3"/>
          <w:numId w:val="62"/>
        </w:numPr>
        <w:tabs>
          <w:tab w:val="left" w:pos="426"/>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Величкова О.И. Медиация при разрешении семейных споров: некоторые теоретические проблемы. В сб.ст. «Развитие медиации в России: теория, практика, образование /Под ред. Е.И. Носыревой, Д.Г. Фильченко. - М., 2012. – 329 с.</w:t>
      </w:r>
    </w:p>
    <w:p w:rsidR="00181BA7" w:rsidRPr="00DA76A7" w:rsidRDefault="00181BA7" w:rsidP="00D45D6B">
      <w:pPr>
        <w:pStyle w:val="af2"/>
        <w:numPr>
          <w:ilvl w:val="3"/>
          <w:numId w:val="62"/>
        </w:numPr>
        <w:tabs>
          <w:tab w:val="left" w:pos="426"/>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Давыденко Д.Л. Как избежать судебного разбирательства. Посредничество в бизнес-конфликтах. - М., 2006. - 110 с.</w:t>
      </w:r>
    </w:p>
    <w:p w:rsidR="00181BA7" w:rsidRPr="00DA76A7" w:rsidRDefault="00181BA7" w:rsidP="00D45D6B">
      <w:pPr>
        <w:pStyle w:val="a6"/>
        <w:numPr>
          <w:ilvl w:val="3"/>
          <w:numId w:val="62"/>
        </w:numPr>
        <w:tabs>
          <w:tab w:val="left" w:pos="426"/>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Калашникова С.И. Медиация в сфере гражданской юрисдикции. Автореф. дис. ... канд. юрид. наук. - Екатеринбург, 2010. – 24 с.</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Лялякина Ю.Ю. Готово ли гражданское общество и государство разрешать споры путем применения пока еще новой для российского права процедуры медиации? // Администратор суда. - 2017. - N 3. - С. 8 - 11.</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Калашникова С.И. Медиация в сфере гражданской юрисдикции. - М., 2011. – 304 с.</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Носырева Е.И. Нотариат и альтернативные процедуры урегулирования споров // Нотариат, государственная власть и гражданское общество: современное состояние и перспективы: Материалы Всерос. науч.-практ. конф. - М., 2007. – 390 с.</w:t>
      </w:r>
    </w:p>
    <w:p w:rsidR="00181BA7" w:rsidRPr="00DA76A7" w:rsidRDefault="00181BA7" w:rsidP="00D45D6B">
      <w:pPr>
        <w:pStyle w:val="af2"/>
        <w:numPr>
          <w:ilvl w:val="3"/>
          <w:numId w:val="62"/>
        </w:numPr>
        <w:tabs>
          <w:tab w:val="left" w:pos="426"/>
          <w:tab w:val="left" w:pos="567"/>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Прокошкина Н.И. Процессуальные особенности возбуждения и подготовки дел о расторжении брака // Защита прав и законных интересов граждан и организаций. Материалы международно-практической конференции. Ч. 2 Сочи, 2002. – 372 с.</w:t>
      </w:r>
    </w:p>
    <w:p w:rsidR="00181BA7" w:rsidRPr="00DA76A7" w:rsidRDefault="00181BA7" w:rsidP="00D45D6B">
      <w:pPr>
        <w:pStyle w:val="af2"/>
        <w:numPr>
          <w:ilvl w:val="3"/>
          <w:numId w:val="62"/>
        </w:numPr>
        <w:tabs>
          <w:tab w:val="left" w:pos="426"/>
          <w:tab w:val="left" w:pos="567"/>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Паркинсон Л. Адекватное разрешение споров // Медиация и право. - 2010. - № 5. - С.42-46.</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Решетникова И.В. Право встречного движения. Посредничество и российский арбитражный процесс // Медиация и право. Посредничество и примирение. - 2007. - N 2. - С. 53.</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Сафронова С.С., Ситкова О.Ю. Право ребенка на общение с родителями: значение семейной медиации // // Развитие медиации в России: теория, практика, образование: Сб. статей / Под ред. Е.И. Носыревой, Д.Г. Фильченко. - М., 2012. – 329 с.</w:t>
      </w:r>
    </w:p>
    <w:p w:rsidR="00181BA7" w:rsidRPr="00DA76A7" w:rsidRDefault="00181BA7" w:rsidP="00D45D6B">
      <w:pPr>
        <w:pStyle w:val="af2"/>
        <w:numPr>
          <w:ilvl w:val="3"/>
          <w:numId w:val="62"/>
        </w:numPr>
        <w:tabs>
          <w:tab w:val="left" w:pos="426"/>
          <w:tab w:val="left" w:pos="567"/>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Стрельцова Е.Г. Соотношение частных и публичных начал по делам о расторжении брака, разделе совместно нажитого имущества, спорам о детях и в интересах детей // Законы России: опыт, анализ, практика. - 2008. - № 5. - С. 27-30.</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Улыбина Л.К. Механизм защиты интересов страхователей // Экономические науки. - 2013. - N 10 (107). – С. 85-89.</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Фильченко Д.Г. Проблемы доступности правосудия при подготовке дел в арбитражном процессе // Актуальные проблемы гражданского права, гражданского и арбитражного процесса: В 2 ч. Ч. 2: Гражданский и арбитражный процесс / Под ред. Е.И. Носыревой, Т.Н. Сафроновой. - Воронеж, 2002. – 329 с.</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Чуб А.В. Медиация как эффективный способ разрешении споров в страховании // Административное право. - 2007.-  N 1 (74). - С. 26-30.</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Что такое медиация // http://www.l-adviser.ru/stati/item/chto-takoe-mediaciya.</w:t>
      </w:r>
    </w:p>
    <w:p w:rsidR="00181BA7" w:rsidRPr="00DA76A7" w:rsidRDefault="00181BA7" w:rsidP="00D45D6B">
      <w:pPr>
        <w:pStyle w:val="a6"/>
        <w:numPr>
          <w:ilvl w:val="3"/>
          <w:numId w:val="62"/>
        </w:numPr>
        <w:tabs>
          <w:tab w:val="left" w:pos="426"/>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Яковлев В.Ф. Закон свободного применения // Медиация и право. Посредничество и примирение. - 2006. - N 1. - С. 13-16.</w:t>
      </w:r>
    </w:p>
    <w:p w:rsidR="00181BA7" w:rsidRPr="00DA76A7" w:rsidRDefault="00181BA7" w:rsidP="00181BA7">
      <w:pPr>
        <w:pStyle w:val="af2"/>
        <w:tabs>
          <w:tab w:val="left" w:pos="426"/>
          <w:tab w:val="left" w:pos="993"/>
        </w:tabs>
        <w:ind w:firstLine="567"/>
        <w:jc w:val="both"/>
        <w:rPr>
          <w:rFonts w:ascii="Arial" w:hAnsi="Arial" w:cs="Arial"/>
          <w:color w:val="000000" w:themeColor="text1"/>
          <w:sz w:val="22"/>
          <w:szCs w:val="22"/>
        </w:rPr>
      </w:pPr>
    </w:p>
    <w:p w:rsidR="00181BA7" w:rsidRPr="00DA76A7" w:rsidRDefault="00181BA7" w:rsidP="00181BA7">
      <w:pPr>
        <w:ind w:firstLine="567"/>
        <w:rPr>
          <w:rFonts w:ascii="Arial" w:hAnsi="Arial" w:cs="Arial"/>
          <w:color w:val="000000" w:themeColor="text1"/>
          <w:sz w:val="22"/>
          <w:szCs w:val="22"/>
        </w:rPr>
      </w:pPr>
    </w:p>
    <w:p w:rsidR="00EF1B7A" w:rsidRPr="00DA76A7" w:rsidRDefault="00EF1B7A" w:rsidP="00EF1B7A">
      <w:pPr>
        <w:jc w:val="center"/>
        <w:rPr>
          <w:rFonts w:ascii="Arial" w:hAnsi="Arial" w:cs="Arial"/>
          <w:b/>
          <w:color w:val="000000" w:themeColor="text1"/>
          <w:lang w:val="kk-KZ"/>
        </w:rPr>
      </w:pPr>
      <w:r w:rsidRPr="00DA76A7">
        <w:rPr>
          <w:rFonts w:ascii="Arial" w:hAnsi="Arial" w:cs="Arial"/>
          <w:b/>
          <w:color w:val="000000" w:themeColor="text1"/>
        </w:rPr>
        <w:t>ПРАВОВОЕ РЕГУЛИРОВАНИЕ ХРАНЕНИЯ ПО ЗАКОНОДАТЕЛЬСТВУ РЕСПУБЛИКИ КАЗАХСТАН</w:t>
      </w:r>
    </w:p>
    <w:p w:rsidR="00EF1B7A" w:rsidRPr="00DA76A7" w:rsidRDefault="00EF1B7A" w:rsidP="00EF1B7A">
      <w:pPr>
        <w:jc w:val="center"/>
        <w:rPr>
          <w:rFonts w:ascii="Arial" w:hAnsi="Arial" w:cs="Arial"/>
          <w:b/>
          <w:color w:val="000000" w:themeColor="text1"/>
          <w:lang w:val="kk-KZ"/>
        </w:rPr>
      </w:pPr>
    </w:p>
    <w:p w:rsidR="00EF1B7A" w:rsidRPr="00DA76A7" w:rsidRDefault="00EF1B7A" w:rsidP="00EF1B7A">
      <w:pPr>
        <w:jc w:val="center"/>
        <w:rPr>
          <w:rFonts w:ascii="Arial" w:hAnsi="Arial" w:cs="Arial"/>
          <w:b/>
          <w:color w:val="000000" w:themeColor="text1"/>
          <w:lang w:val="kk-KZ"/>
        </w:rPr>
      </w:pPr>
      <w:r w:rsidRPr="00DA76A7">
        <w:rPr>
          <w:rFonts w:ascii="Arial" w:hAnsi="Arial" w:cs="Arial"/>
          <w:b/>
          <w:color w:val="000000" w:themeColor="text1"/>
          <w:lang w:val="kk-KZ"/>
        </w:rPr>
        <w:t>Иминов Фарух Хамитович</w:t>
      </w:r>
    </w:p>
    <w:p w:rsidR="00EF1B7A" w:rsidRPr="00DA76A7" w:rsidRDefault="00EF1B7A" w:rsidP="00EF1B7A">
      <w:pPr>
        <w:jc w:val="center"/>
        <w:rPr>
          <w:rFonts w:ascii="Arial" w:hAnsi="Arial" w:cs="Arial"/>
          <w:color w:val="000000" w:themeColor="text1"/>
          <w:sz w:val="22"/>
          <w:szCs w:val="22"/>
          <w:lang w:val="kk-KZ"/>
        </w:rPr>
      </w:pPr>
      <w:r w:rsidRPr="00DA76A7">
        <w:rPr>
          <w:rFonts w:ascii="Arial" w:hAnsi="Arial" w:cs="Arial"/>
          <w:color w:val="000000" w:themeColor="text1"/>
          <w:sz w:val="22"/>
          <w:szCs w:val="22"/>
          <w:lang w:val="kk-KZ"/>
        </w:rPr>
        <w:t>студент 2-</w:t>
      </w:r>
      <w:r w:rsidRPr="00DA76A7">
        <w:rPr>
          <w:rFonts w:ascii="Arial" w:hAnsi="Arial" w:cs="Arial"/>
          <w:color w:val="000000" w:themeColor="text1"/>
          <w:sz w:val="22"/>
          <w:szCs w:val="22"/>
        </w:rPr>
        <w:t xml:space="preserve">го </w:t>
      </w:r>
      <w:r w:rsidRPr="00DA76A7">
        <w:rPr>
          <w:rFonts w:ascii="Arial" w:hAnsi="Arial" w:cs="Arial"/>
          <w:color w:val="000000" w:themeColor="text1"/>
          <w:sz w:val="22"/>
          <w:szCs w:val="22"/>
          <w:lang w:val="kk-KZ"/>
        </w:rPr>
        <w:t xml:space="preserve">курса очного отдения </w:t>
      </w:r>
    </w:p>
    <w:p w:rsidR="00EF1B7A" w:rsidRPr="00DA76A7" w:rsidRDefault="00EF1B7A" w:rsidP="00EF1B7A">
      <w:pPr>
        <w:jc w:val="center"/>
        <w:rPr>
          <w:rFonts w:ascii="Arial" w:hAnsi="Arial" w:cs="Arial"/>
          <w:color w:val="000000" w:themeColor="text1"/>
          <w:sz w:val="22"/>
          <w:szCs w:val="22"/>
          <w:shd w:val="clear" w:color="auto" w:fill="FFFFFF"/>
        </w:rPr>
      </w:pPr>
      <w:r w:rsidRPr="00DA76A7">
        <w:rPr>
          <w:rStyle w:val="af6"/>
          <w:rFonts w:ascii="Arial" w:hAnsi="Arial" w:cs="Arial"/>
          <w:bCs/>
          <w:i w:val="0"/>
          <w:iCs w:val="0"/>
          <w:color w:val="000000" w:themeColor="text1"/>
          <w:sz w:val="22"/>
          <w:szCs w:val="22"/>
          <w:shd w:val="clear" w:color="auto" w:fill="FFFFFF"/>
        </w:rPr>
        <w:t>Научно-исследовательский институт частного права Каспийского Университета</w:t>
      </w:r>
    </w:p>
    <w:p w:rsidR="00EF1B7A" w:rsidRPr="00DA76A7" w:rsidRDefault="00EF1B7A" w:rsidP="00EF1B7A">
      <w:pPr>
        <w:jc w:val="center"/>
        <w:rPr>
          <w:rFonts w:ascii="Arial" w:hAnsi="Arial" w:cs="Arial"/>
          <w:color w:val="000000" w:themeColor="text1"/>
          <w:sz w:val="22"/>
          <w:szCs w:val="22"/>
          <w:lang w:val="kk-KZ"/>
        </w:rPr>
      </w:pPr>
      <w:r w:rsidRPr="00DA76A7">
        <w:rPr>
          <w:rFonts w:ascii="Arial" w:hAnsi="Arial" w:cs="Arial"/>
          <w:color w:val="000000" w:themeColor="text1"/>
          <w:sz w:val="22"/>
          <w:szCs w:val="22"/>
          <w:lang w:val="kk-KZ"/>
        </w:rPr>
        <w:t xml:space="preserve">Республика Казахстан, </w:t>
      </w:r>
      <w:r w:rsidRPr="00DA76A7">
        <w:rPr>
          <w:rFonts w:ascii="Arial" w:hAnsi="Arial" w:cs="Arial"/>
          <w:bCs/>
          <w:color w:val="000000" w:themeColor="text1"/>
          <w:sz w:val="22"/>
          <w:szCs w:val="22"/>
          <w:shd w:val="clear" w:color="auto" w:fill="FFFFFF"/>
        </w:rPr>
        <w:t>г. Алматы, пр. Сейфуллина, 521</w:t>
      </w:r>
    </w:p>
    <w:p w:rsidR="00EF1B7A" w:rsidRPr="00542B0A" w:rsidRDefault="00EF1B7A" w:rsidP="00EF1B7A">
      <w:pPr>
        <w:jc w:val="center"/>
        <w:rPr>
          <w:rFonts w:ascii="Arial" w:hAnsi="Arial" w:cs="Arial"/>
          <w:bCs/>
          <w:color w:val="000000" w:themeColor="text1"/>
          <w:sz w:val="22"/>
          <w:szCs w:val="22"/>
          <w:shd w:val="clear" w:color="auto" w:fill="FFFFFF"/>
          <w:lang w:val="en-US"/>
        </w:rPr>
      </w:pPr>
      <w:r w:rsidRPr="00DA76A7">
        <w:rPr>
          <w:rFonts w:ascii="Arial" w:hAnsi="Arial" w:cs="Arial"/>
          <w:bCs/>
          <w:color w:val="000000" w:themeColor="text1"/>
          <w:sz w:val="22"/>
          <w:szCs w:val="22"/>
          <w:shd w:val="clear" w:color="auto" w:fill="FFFFFF"/>
        </w:rPr>
        <w:t>тел</w:t>
      </w:r>
      <w:r w:rsidRPr="00542B0A">
        <w:rPr>
          <w:rFonts w:ascii="Arial" w:hAnsi="Arial" w:cs="Arial"/>
          <w:bCs/>
          <w:color w:val="000000" w:themeColor="text1"/>
          <w:sz w:val="22"/>
          <w:szCs w:val="22"/>
          <w:shd w:val="clear" w:color="auto" w:fill="FFFFFF"/>
          <w:lang w:val="en-US"/>
        </w:rPr>
        <w:t xml:space="preserve">.: +7 (727) 279 62 78, </w:t>
      </w:r>
      <w:r w:rsidRPr="00DA76A7">
        <w:rPr>
          <w:rFonts w:ascii="Arial" w:hAnsi="Arial" w:cs="Arial"/>
          <w:bCs/>
          <w:color w:val="000000" w:themeColor="text1"/>
          <w:sz w:val="22"/>
          <w:szCs w:val="22"/>
          <w:shd w:val="clear" w:color="auto" w:fill="FFFFFF"/>
          <w:lang w:val="en-US"/>
        </w:rPr>
        <w:t>e</w:t>
      </w:r>
      <w:r w:rsidRPr="00542B0A">
        <w:rPr>
          <w:rFonts w:ascii="Arial" w:hAnsi="Arial" w:cs="Arial"/>
          <w:bCs/>
          <w:color w:val="000000" w:themeColor="text1"/>
          <w:sz w:val="22"/>
          <w:szCs w:val="22"/>
          <w:shd w:val="clear" w:color="auto" w:fill="FFFFFF"/>
          <w:lang w:val="en-US"/>
        </w:rPr>
        <w:t>-</w:t>
      </w:r>
      <w:r w:rsidRPr="00DA76A7">
        <w:rPr>
          <w:rFonts w:ascii="Arial" w:hAnsi="Arial" w:cs="Arial"/>
          <w:bCs/>
          <w:color w:val="000000" w:themeColor="text1"/>
          <w:sz w:val="22"/>
          <w:szCs w:val="22"/>
          <w:shd w:val="clear" w:color="auto" w:fill="FFFFFF"/>
          <w:lang w:val="en-US"/>
        </w:rPr>
        <w:t>mail</w:t>
      </w:r>
      <w:r w:rsidRPr="00542B0A">
        <w:rPr>
          <w:rFonts w:ascii="Arial" w:hAnsi="Arial" w:cs="Arial"/>
          <w:bCs/>
          <w:color w:val="000000" w:themeColor="text1"/>
          <w:sz w:val="22"/>
          <w:szCs w:val="22"/>
          <w:shd w:val="clear" w:color="auto" w:fill="FFFFFF"/>
          <w:lang w:val="en-US"/>
        </w:rPr>
        <w:t>: kou.kz@mail.ru</w:t>
      </w:r>
    </w:p>
    <w:p w:rsidR="00EF1B7A" w:rsidRPr="00542B0A" w:rsidRDefault="00EF1B7A" w:rsidP="00EF1B7A">
      <w:pPr>
        <w:jc w:val="center"/>
        <w:rPr>
          <w:rFonts w:ascii="Arial" w:hAnsi="Arial" w:cs="Arial"/>
          <w:color w:val="000000" w:themeColor="text1"/>
          <w:lang w:val="en-US"/>
        </w:rPr>
      </w:pPr>
    </w:p>
    <w:p w:rsidR="001713F3" w:rsidRPr="00542B0A" w:rsidRDefault="001713F3" w:rsidP="00EF1B7A">
      <w:pPr>
        <w:jc w:val="center"/>
        <w:rPr>
          <w:rFonts w:ascii="Arial" w:hAnsi="Arial" w:cs="Arial"/>
          <w:color w:val="000000" w:themeColor="text1"/>
          <w:lang w:val="en-US"/>
        </w:rPr>
      </w:pPr>
    </w:p>
    <w:p w:rsidR="001713F3" w:rsidRPr="00542B0A" w:rsidRDefault="001713F3" w:rsidP="00EF1B7A">
      <w:pPr>
        <w:jc w:val="center"/>
        <w:rPr>
          <w:rFonts w:ascii="Arial" w:hAnsi="Arial" w:cs="Arial"/>
          <w:color w:val="000000" w:themeColor="text1"/>
          <w:lang w:val="en-US"/>
        </w:rPr>
      </w:pPr>
    </w:p>
    <w:p w:rsidR="00EF1B7A" w:rsidRPr="00DA76A7" w:rsidRDefault="00EF1B7A" w:rsidP="00EF1B7A">
      <w:pPr>
        <w:jc w:val="center"/>
        <w:rPr>
          <w:rFonts w:ascii="Arial" w:hAnsi="Arial" w:cs="Arial"/>
          <w:b/>
          <w:color w:val="000000" w:themeColor="text1"/>
          <w:lang w:val="en-US"/>
        </w:rPr>
      </w:pPr>
      <w:r w:rsidRPr="00DA76A7">
        <w:rPr>
          <w:rFonts w:ascii="Arial" w:hAnsi="Arial" w:cs="Arial"/>
          <w:b/>
          <w:color w:val="000000" w:themeColor="text1"/>
          <w:lang w:val="en-US"/>
        </w:rPr>
        <w:t xml:space="preserve">LEGAL REGULATION OF STORAGE UNDER THE LEGISLATION OF REPUBLIC OF KAZAKHSTAN </w:t>
      </w:r>
    </w:p>
    <w:p w:rsidR="00EF1B7A" w:rsidRPr="00DA76A7" w:rsidRDefault="00EF1B7A" w:rsidP="00EF1B7A">
      <w:pPr>
        <w:jc w:val="center"/>
        <w:rPr>
          <w:rFonts w:ascii="Arial" w:hAnsi="Arial" w:cs="Arial"/>
          <w:color w:val="000000" w:themeColor="text1"/>
          <w:lang w:val="en-US"/>
        </w:rPr>
      </w:pPr>
    </w:p>
    <w:p w:rsidR="00EF1B7A" w:rsidRPr="00DA76A7" w:rsidRDefault="00EF1B7A" w:rsidP="00EF1B7A">
      <w:pPr>
        <w:pStyle w:val="HTML"/>
        <w:shd w:val="clear" w:color="auto" w:fill="FFFFFF"/>
        <w:jc w:val="center"/>
        <w:rPr>
          <w:rFonts w:ascii="Arial" w:hAnsi="Arial" w:cs="Arial"/>
          <w:b/>
          <w:color w:val="000000" w:themeColor="text1"/>
          <w:sz w:val="22"/>
          <w:szCs w:val="22"/>
          <w:lang w:val="en-US"/>
        </w:rPr>
      </w:pPr>
      <w:r w:rsidRPr="005D1C4B">
        <w:rPr>
          <w:rFonts w:ascii="Arial" w:hAnsi="Arial" w:cs="Arial"/>
          <w:b/>
          <w:color w:val="000000" w:themeColor="text1"/>
          <w:sz w:val="22"/>
          <w:szCs w:val="22"/>
          <w:lang w:val="en-US"/>
        </w:rPr>
        <w:t>Iminov Farukh Khamitovich</w:t>
      </w:r>
    </w:p>
    <w:p w:rsidR="00EF1B7A" w:rsidRPr="005D1C4B" w:rsidRDefault="00EF1B7A" w:rsidP="00EF1B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5D1C4B">
        <w:rPr>
          <w:rFonts w:ascii="Arial" w:hAnsi="Arial" w:cs="Arial"/>
          <w:color w:val="000000" w:themeColor="text1"/>
          <w:sz w:val="22"/>
          <w:szCs w:val="22"/>
          <w:lang w:val="en-US"/>
        </w:rPr>
        <w:t>2nd year full-time student</w:t>
      </w:r>
    </w:p>
    <w:p w:rsidR="00EF1B7A" w:rsidRPr="005D1C4B" w:rsidRDefault="00EF1B7A" w:rsidP="00EF1B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5D1C4B">
        <w:rPr>
          <w:rFonts w:ascii="Arial" w:hAnsi="Arial" w:cs="Arial"/>
          <w:color w:val="000000" w:themeColor="text1"/>
          <w:sz w:val="22"/>
          <w:szCs w:val="22"/>
          <w:lang w:val="en-US"/>
        </w:rPr>
        <w:t>Research Institute of Private Law of the Caspian University</w:t>
      </w:r>
    </w:p>
    <w:p w:rsidR="00EF1B7A" w:rsidRPr="005D1C4B" w:rsidRDefault="00EF1B7A" w:rsidP="00EF1B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5D1C4B">
        <w:rPr>
          <w:rFonts w:ascii="Arial" w:hAnsi="Arial" w:cs="Arial"/>
          <w:color w:val="000000" w:themeColor="text1"/>
          <w:sz w:val="22"/>
          <w:szCs w:val="22"/>
          <w:lang w:val="en-US"/>
        </w:rPr>
        <w:t>Republic of Kazakhstan, Almaty, Seifullin Avenue, 521</w:t>
      </w:r>
    </w:p>
    <w:p w:rsidR="00EF1B7A" w:rsidRPr="00DA76A7" w:rsidRDefault="00EF1B7A" w:rsidP="00EF1B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5D1C4B">
        <w:rPr>
          <w:rFonts w:ascii="Arial" w:hAnsi="Arial" w:cs="Arial"/>
          <w:color w:val="000000" w:themeColor="text1"/>
          <w:sz w:val="22"/>
          <w:szCs w:val="22"/>
          <w:lang w:val="en-US"/>
        </w:rPr>
        <w:t>tel .: +7 (727) 279 62 78, e-mail: kou.kz@mail.ru</w:t>
      </w:r>
    </w:p>
    <w:p w:rsidR="00EF1B7A" w:rsidRPr="00DA76A7" w:rsidRDefault="00EF1B7A" w:rsidP="00EF1B7A">
      <w:pPr>
        <w:ind w:firstLine="567"/>
        <w:jc w:val="right"/>
        <w:rPr>
          <w:rFonts w:ascii="Arial" w:hAnsi="Arial" w:cs="Arial"/>
          <w:color w:val="000000" w:themeColor="text1"/>
          <w:lang w:val="en-US"/>
        </w:rPr>
      </w:pPr>
    </w:p>
    <w:p w:rsidR="00EF1B7A" w:rsidRPr="00DA76A7" w:rsidRDefault="00EF1B7A" w:rsidP="00EF1B7A">
      <w:pPr>
        <w:ind w:firstLine="567"/>
        <w:jc w:val="right"/>
        <w:rPr>
          <w:rFonts w:ascii="Arial" w:hAnsi="Arial" w:cs="Arial"/>
          <w:b/>
          <w:color w:val="000000" w:themeColor="text1"/>
        </w:rPr>
      </w:pPr>
      <w:r w:rsidRPr="00DA76A7">
        <w:rPr>
          <w:rFonts w:ascii="Arial" w:hAnsi="Arial" w:cs="Arial"/>
          <w:color w:val="000000" w:themeColor="text1"/>
          <w:lang w:val="kk-KZ"/>
        </w:rPr>
        <w:t>Научный руководитель</w:t>
      </w:r>
      <w:r w:rsidRPr="00DA76A7">
        <w:rPr>
          <w:rFonts w:ascii="Arial" w:hAnsi="Arial" w:cs="Arial"/>
          <w:color w:val="000000" w:themeColor="text1"/>
        </w:rPr>
        <w:t xml:space="preserve">: </w:t>
      </w:r>
      <w:r w:rsidRPr="00DA76A7">
        <w:rPr>
          <w:rFonts w:ascii="Arial" w:hAnsi="Arial" w:cs="Arial"/>
          <w:color w:val="000000" w:themeColor="text1"/>
          <w:lang w:val="kk-KZ"/>
        </w:rPr>
        <w:t>к</w:t>
      </w:r>
      <w:r w:rsidRPr="00DA76A7">
        <w:rPr>
          <w:rFonts w:ascii="Arial" w:hAnsi="Arial" w:cs="Arial"/>
          <w:color w:val="000000" w:themeColor="text1"/>
        </w:rPr>
        <w:t>.ю.н. Нестерова Е.В.</w:t>
      </w:r>
    </w:p>
    <w:p w:rsidR="00EF1B7A" w:rsidRPr="00DA76A7" w:rsidRDefault="00EF1B7A" w:rsidP="00EF1B7A">
      <w:pPr>
        <w:ind w:firstLine="567"/>
        <w:jc w:val="both"/>
        <w:rPr>
          <w:rFonts w:ascii="Arial" w:hAnsi="Arial" w:cs="Arial"/>
          <w:b/>
          <w:i/>
          <w:color w:val="000000" w:themeColor="text1"/>
        </w:rPr>
      </w:pPr>
    </w:p>
    <w:p w:rsidR="00EF1B7A" w:rsidRPr="00DA76A7" w:rsidRDefault="00EF1B7A" w:rsidP="00EF1B7A">
      <w:pPr>
        <w:ind w:firstLine="567"/>
        <w:jc w:val="both"/>
        <w:rPr>
          <w:rFonts w:ascii="Arial" w:hAnsi="Arial" w:cs="Arial"/>
          <w:b/>
          <w:i/>
          <w:color w:val="000000" w:themeColor="text1"/>
        </w:rPr>
      </w:pPr>
      <w:r w:rsidRPr="00DA76A7">
        <w:rPr>
          <w:rFonts w:ascii="Arial" w:hAnsi="Arial" w:cs="Arial"/>
          <w:b/>
          <w:i/>
          <w:color w:val="000000" w:themeColor="text1"/>
        </w:rPr>
        <w:t xml:space="preserve">Аннотация: </w:t>
      </w:r>
      <w:r w:rsidRPr="00DA76A7">
        <w:rPr>
          <w:rFonts w:ascii="Arial" w:hAnsi="Arial" w:cs="Arial"/>
          <w:i/>
          <w:color w:val="000000" w:themeColor="text1"/>
        </w:rPr>
        <w:t>В данной статье рассматриваются особенности договора хранения по гражданскому законодательству Республики Казахстан, а также некоторые проблемы в этой сферы.</w:t>
      </w:r>
      <w:r w:rsidRPr="00DA76A7">
        <w:rPr>
          <w:rFonts w:ascii="Arial" w:hAnsi="Arial" w:cs="Arial"/>
          <w:b/>
          <w:i/>
          <w:color w:val="000000" w:themeColor="text1"/>
        </w:rPr>
        <w:t xml:space="preserve"> </w:t>
      </w:r>
    </w:p>
    <w:p w:rsidR="00EF1B7A" w:rsidRPr="00DA76A7" w:rsidRDefault="00EF1B7A" w:rsidP="00EF1B7A">
      <w:pPr>
        <w:ind w:firstLine="567"/>
        <w:jc w:val="both"/>
        <w:rPr>
          <w:rFonts w:ascii="Arial" w:hAnsi="Arial" w:cs="Arial"/>
          <w:b/>
          <w:i/>
          <w:color w:val="000000" w:themeColor="text1"/>
          <w:lang w:val="en-US"/>
        </w:rPr>
      </w:pPr>
      <w:r w:rsidRPr="00DA76A7">
        <w:rPr>
          <w:rFonts w:ascii="Arial" w:hAnsi="Arial" w:cs="Arial"/>
          <w:b/>
          <w:i/>
          <w:color w:val="000000" w:themeColor="text1"/>
          <w:lang w:val="en-US"/>
        </w:rPr>
        <w:t xml:space="preserve">Annotation: </w:t>
      </w:r>
      <w:r w:rsidRPr="00DA76A7">
        <w:rPr>
          <w:rFonts w:ascii="Arial" w:hAnsi="Arial" w:cs="Arial"/>
          <w:i/>
          <w:color w:val="000000" w:themeColor="text1"/>
          <w:lang w:val="en-US"/>
        </w:rPr>
        <w:t>In this article, the features of the storage contract under the civil legislation of the Republic of Kazakhstan, as well as some problems in this sphere.</w:t>
      </w:r>
    </w:p>
    <w:p w:rsidR="00EF1B7A" w:rsidRPr="00DA76A7" w:rsidRDefault="00EF1B7A" w:rsidP="00EF1B7A">
      <w:pPr>
        <w:ind w:firstLine="567"/>
        <w:jc w:val="both"/>
        <w:rPr>
          <w:rFonts w:ascii="Arial" w:hAnsi="Arial" w:cs="Arial"/>
          <w:b/>
          <w:i/>
          <w:color w:val="000000" w:themeColor="text1"/>
        </w:rPr>
      </w:pPr>
      <w:r w:rsidRPr="00DA76A7">
        <w:rPr>
          <w:rFonts w:ascii="Arial" w:hAnsi="Arial" w:cs="Arial"/>
          <w:b/>
          <w:i/>
          <w:color w:val="000000" w:themeColor="text1"/>
        </w:rPr>
        <w:t xml:space="preserve">Ключевые слова: </w:t>
      </w:r>
      <w:r w:rsidRPr="00DA76A7">
        <w:rPr>
          <w:rFonts w:ascii="Arial" w:hAnsi="Arial" w:cs="Arial"/>
          <w:i/>
          <w:color w:val="000000" w:themeColor="text1"/>
        </w:rPr>
        <w:t>гражданское право, договор хранения, Республика Казахстан, гражданский кодекс.</w:t>
      </w:r>
    </w:p>
    <w:p w:rsidR="00EF1B7A" w:rsidRPr="00DA76A7" w:rsidRDefault="00EF1B7A" w:rsidP="00EF1B7A">
      <w:pPr>
        <w:ind w:firstLine="567"/>
        <w:jc w:val="both"/>
        <w:rPr>
          <w:rFonts w:ascii="Arial" w:hAnsi="Arial" w:cs="Arial"/>
          <w:i/>
          <w:color w:val="000000" w:themeColor="text1"/>
          <w:lang w:val="en-US"/>
        </w:rPr>
      </w:pPr>
      <w:r w:rsidRPr="00DA76A7">
        <w:rPr>
          <w:rFonts w:ascii="Arial" w:hAnsi="Arial" w:cs="Arial"/>
          <w:b/>
          <w:i/>
          <w:color w:val="000000" w:themeColor="text1"/>
          <w:lang w:val="en-US"/>
        </w:rPr>
        <w:t xml:space="preserve">Key words: </w:t>
      </w:r>
      <w:r w:rsidRPr="00DA76A7">
        <w:rPr>
          <w:rFonts w:ascii="Arial" w:hAnsi="Arial" w:cs="Arial"/>
          <w:i/>
          <w:color w:val="000000" w:themeColor="text1"/>
          <w:lang w:val="en-US"/>
        </w:rPr>
        <w:t>civil law, storage contact, the Republic of Kazakhstan, civil code.</w:t>
      </w:r>
    </w:p>
    <w:p w:rsidR="00EF1B7A" w:rsidRPr="00DA76A7" w:rsidRDefault="00EF1B7A" w:rsidP="00EF1B7A">
      <w:pPr>
        <w:ind w:firstLine="567"/>
        <w:jc w:val="both"/>
        <w:rPr>
          <w:rFonts w:ascii="Arial" w:hAnsi="Arial" w:cs="Arial"/>
          <w:color w:val="000000" w:themeColor="text1"/>
          <w:lang w:val="kk-KZ"/>
        </w:rPr>
      </w:pPr>
    </w:p>
    <w:p w:rsidR="00EF1B7A" w:rsidRPr="00DA76A7" w:rsidRDefault="00EF1B7A" w:rsidP="00EF1B7A">
      <w:pPr>
        <w:ind w:firstLine="567"/>
        <w:jc w:val="both"/>
        <w:rPr>
          <w:rFonts w:ascii="Arial" w:hAnsi="Arial" w:cs="Arial"/>
          <w:color w:val="000000" w:themeColor="text1"/>
        </w:rPr>
      </w:pPr>
      <w:r w:rsidRPr="00DA76A7">
        <w:rPr>
          <w:rFonts w:ascii="Arial" w:hAnsi="Arial" w:cs="Arial"/>
          <w:color w:val="000000" w:themeColor="text1"/>
        </w:rPr>
        <w:t xml:space="preserve">Правовая регламентация общественных отношений, связанных с оказанием услуг по хранению имуществ, прежде чем появиться в законодательствах современных стран, прошла длительный путь и имеет давнюю историю, проистекающую из истоков античной юриспруденции. И очевиден тот факт, что к регулированию данных правоотношений следует отнестись с особой ответственностью и внимательностью, ввиду их распространенности. </w:t>
      </w:r>
    </w:p>
    <w:p w:rsidR="00EF1B7A" w:rsidRPr="00DA76A7" w:rsidRDefault="00EF1B7A" w:rsidP="00EF1B7A">
      <w:pPr>
        <w:ind w:firstLine="567"/>
        <w:jc w:val="both"/>
        <w:rPr>
          <w:rFonts w:ascii="Arial" w:hAnsi="Arial" w:cs="Arial"/>
          <w:color w:val="000000" w:themeColor="text1"/>
        </w:rPr>
      </w:pPr>
      <w:r w:rsidRPr="00DA76A7">
        <w:rPr>
          <w:rFonts w:ascii="Arial" w:hAnsi="Arial" w:cs="Arial"/>
          <w:color w:val="000000" w:themeColor="text1"/>
        </w:rPr>
        <w:t xml:space="preserve">Данная работа также будет актуальна и для такой страны СНГ, как Республика Таджикистан, потому что законодательства наших республик довольно схожи, можно наблюдать и аналогичные проблемы, связанные с регулированием договора хранения. </w:t>
      </w:r>
    </w:p>
    <w:p w:rsidR="00EF1B7A" w:rsidRPr="00DA76A7" w:rsidRDefault="00EF1B7A" w:rsidP="00EF1B7A">
      <w:pPr>
        <w:ind w:firstLine="567"/>
        <w:jc w:val="both"/>
        <w:rPr>
          <w:rFonts w:ascii="Arial" w:hAnsi="Arial" w:cs="Arial"/>
          <w:color w:val="000000" w:themeColor="text1"/>
        </w:rPr>
      </w:pPr>
      <w:r w:rsidRPr="00DA76A7">
        <w:rPr>
          <w:rFonts w:ascii="Arial" w:hAnsi="Arial" w:cs="Arial"/>
          <w:color w:val="000000" w:themeColor="text1"/>
        </w:rPr>
        <w:t>В подтверждение вышеизложенного, можно провести краткий анализ статей 768 и 769 Гражданского Кодекса Республики Казахстан (особенная часть) (далее ГК РК) и статей 972 и 973 Гражданского Кодекса Республики Таджикистан (часть II).</w:t>
      </w:r>
    </w:p>
    <w:p w:rsidR="00EF1B7A" w:rsidRPr="00DA76A7" w:rsidRDefault="00EF1B7A" w:rsidP="00EF1B7A">
      <w:pPr>
        <w:shd w:val="clear" w:color="auto" w:fill="FFFFFF"/>
        <w:ind w:firstLine="567"/>
        <w:jc w:val="both"/>
        <w:textAlignment w:val="baseline"/>
        <w:rPr>
          <w:rFonts w:ascii="Arial" w:hAnsi="Arial" w:cs="Arial"/>
          <w:color w:val="000000" w:themeColor="text1"/>
        </w:rPr>
      </w:pPr>
      <w:r w:rsidRPr="00DA76A7">
        <w:rPr>
          <w:rFonts w:ascii="Arial" w:hAnsi="Arial" w:cs="Arial"/>
          <w:color w:val="000000" w:themeColor="text1"/>
        </w:rPr>
        <w:t>В соответствии с </w:t>
      </w:r>
      <w:bookmarkStart w:id="25" w:name="SUB1000000424"/>
      <w:r w:rsidR="00666D87" w:rsidRPr="00DA76A7">
        <w:rPr>
          <w:rFonts w:ascii="Arial" w:hAnsi="Arial" w:cs="Arial"/>
          <w:color w:val="000000" w:themeColor="text1"/>
        </w:rPr>
        <w:fldChar w:fldCharType="begin"/>
      </w:r>
      <w:r w:rsidRPr="00DA76A7">
        <w:rPr>
          <w:rFonts w:ascii="Arial" w:hAnsi="Arial" w:cs="Arial"/>
          <w:color w:val="000000" w:themeColor="text1"/>
        </w:rPr>
        <w:instrText xml:space="preserve"> HYPERLINK "http://online.zakon.kz/Document/?doc_id=1013880" \l "sub_id=7680000"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hAnsi="Arial" w:cs="Arial"/>
          <w:color w:val="000000" w:themeColor="text1"/>
        </w:rPr>
        <w:fldChar w:fldCharType="separate"/>
      </w:r>
      <w:r w:rsidRPr="00DA76A7">
        <w:rPr>
          <w:rFonts w:ascii="Arial" w:hAnsi="Arial" w:cs="Arial"/>
          <w:color w:val="000000" w:themeColor="text1"/>
        </w:rPr>
        <w:t>п.п. 1, 2 ст. 768</w:t>
      </w:r>
      <w:r w:rsidR="00666D87" w:rsidRPr="00DA76A7">
        <w:rPr>
          <w:rFonts w:ascii="Arial" w:hAnsi="Arial" w:cs="Arial"/>
          <w:color w:val="000000" w:themeColor="text1"/>
        </w:rPr>
        <w:fldChar w:fldCharType="end"/>
      </w:r>
      <w:bookmarkEnd w:id="25"/>
      <w:r w:rsidRPr="00DA76A7">
        <w:rPr>
          <w:rFonts w:ascii="Arial" w:hAnsi="Arial" w:cs="Arial"/>
          <w:color w:val="000000" w:themeColor="text1"/>
        </w:rPr>
        <w:t> ГК РК, по договору хранения одна сторона (хранитель) обязуется хранить вещь, переданную ей другой стороной (поклажедателем), и возвратить эту вещь в сохранности. Договор хранения признается заключенным с момента передачи вещи на хранение.</w:t>
      </w:r>
    </w:p>
    <w:p w:rsidR="00EF1B7A" w:rsidRPr="00DA76A7" w:rsidRDefault="00EF1B7A" w:rsidP="00EF1B7A">
      <w:pPr>
        <w:shd w:val="clear" w:color="auto" w:fill="FFFFFF"/>
        <w:ind w:firstLine="567"/>
        <w:jc w:val="both"/>
        <w:textAlignment w:val="baseline"/>
        <w:rPr>
          <w:rFonts w:ascii="Arial" w:hAnsi="Arial" w:cs="Arial"/>
          <w:color w:val="000000" w:themeColor="text1"/>
        </w:rPr>
      </w:pPr>
      <w:r w:rsidRPr="00DA76A7">
        <w:rPr>
          <w:rFonts w:ascii="Arial" w:hAnsi="Arial" w:cs="Arial"/>
          <w:color w:val="000000" w:themeColor="text1"/>
        </w:rPr>
        <w:t>Из приведенного определения следует, что договор хранения является реальным договором. Это означает, что для возникновения прав и обязанностей по нему недостаточно лишь соглашения сторон, но необходимо также выполнение фактических действий по передаче имущества.</w:t>
      </w:r>
    </w:p>
    <w:p w:rsidR="00EF1B7A" w:rsidRPr="00DA76A7" w:rsidRDefault="00EF1B7A" w:rsidP="00EF1B7A">
      <w:pPr>
        <w:shd w:val="clear" w:color="auto" w:fill="FFFFFF"/>
        <w:ind w:firstLine="567"/>
        <w:jc w:val="both"/>
        <w:textAlignment w:val="baseline"/>
        <w:rPr>
          <w:rFonts w:ascii="Arial" w:hAnsi="Arial" w:cs="Arial"/>
          <w:color w:val="000000" w:themeColor="text1"/>
        </w:rPr>
      </w:pPr>
      <w:r w:rsidRPr="00DA76A7">
        <w:rPr>
          <w:rFonts w:ascii="Arial" w:hAnsi="Arial" w:cs="Arial"/>
          <w:color w:val="000000" w:themeColor="text1"/>
        </w:rPr>
        <w:t>Однако </w:t>
      </w:r>
      <w:bookmarkStart w:id="26" w:name="SUB1000015924"/>
      <w:r w:rsidR="00666D87" w:rsidRPr="00DA76A7">
        <w:rPr>
          <w:rFonts w:ascii="Arial" w:hAnsi="Arial" w:cs="Arial"/>
          <w:color w:val="000000" w:themeColor="text1"/>
        </w:rPr>
        <w:fldChar w:fldCharType="begin"/>
      </w:r>
      <w:r w:rsidRPr="00DA76A7">
        <w:rPr>
          <w:rFonts w:ascii="Arial" w:hAnsi="Arial" w:cs="Arial"/>
          <w:color w:val="000000" w:themeColor="text1"/>
        </w:rPr>
        <w:instrText xml:space="preserve"> HYPERLINK "http://online.zakon.kz/Document/?doc_id=1013880" \l "sub_id=7690000"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hAnsi="Arial" w:cs="Arial"/>
          <w:color w:val="000000" w:themeColor="text1"/>
        </w:rPr>
        <w:fldChar w:fldCharType="separate"/>
      </w:r>
      <w:r w:rsidRPr="00DA76A7">
        <w:rPr>
          <w:rFonts w:ascii="Arial" w:hAnsi="Arial" w:cs="Arial"/>
          <w:color w:val="000000" w:themeColor="text1"/>
        </w:rPr>
        <w:t>ст. 769</w:t>
      </w:r>
      <w:r w:rsidR="00666D87" w:rsidRPr="00DA76A7">
        <w:rPr>
          <w:rFonts w:ascii="Arial" w:hAnsi="Arial" w:cs="Arial"/>
          <w:color w:val="000000" w:themeColor="text1"/>
        </w:rPr>
        <w:fldChar w:fldCharType="end"/>
      </w:r>
      <w:bookmarkEnd w:id="26"/>
      <w:r w:rsidRPr="00DA76A7">
        <w:rPr>
          <w:rFonts w:ascii="Arial" w:hAnsi="Arial" w:cs="Arial"/>
          <w:color w:val="000000" w:themeColor="text1"/>
        </w:rPr>
        <w:t> Кодекса допускает возможность заключения между сторонами и консенсуального договора хранения: хранитель, осуществляющий хранение в качестве предпринимательской деятельности, может взять на себя обязательство принимать на хранение вещи поклажедателя. Законодатель необоснованно сделал норму статьи 768 императивной, что привело к коллизии двух близко находящихся статей кодекса.</w:t>
      </w:r>
    </w:p>
    <w:p w:rsidR="00EF1B7A" w:rsidRPr="00DA76A7" w:rsidRDefault="00EF1B7A" w:rsidP="00EF1B7A">
      <w:pPr>
        <w:pStyle w:val="j12"/>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Таким образом, ст. 769 ГК меняет привычный подход к характеристике договора хранения, но при этом формально вступает в противоречие с предыдущей статьей. Поэтому думаем, что ст. 768 Кодекса в соответствующих частях должна быть дополнена оговоркой «если иное не предусмотрено настоящим Кодексом или договором».</w:t>
      </w:r>
    </w:p>
    <w:p w:rsidR="00EF1B7A" w:rsidRPr="00DA76A7" w:rsidRDefault="00EF1B7A" w:rsidP="00EF1B7A">
      <w:pPr>
        <w:pStyle w:val="j12"/>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В гражданском кодексе Республики Таджикистан существуют абсолютно схожие противоречащие друг другу нормы, а именно п.п.1, 2 ст. 972  и   п.1 ст. 973.</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Нами выявлены отдельные недостатки правового регулирования хранения, которые создают излишние сложности в правоприменительной практике и обуславливают необходимость проведения работы, направленной на совершенствование действующего законодательства по следующим направлениям:</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1) дополнить </w:t>
      </w:r>
      <w:bookmarkStart w:id="27" w:name="SUB1000015923_5"/>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"sub_id=7680200"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 2 ст. 768</w:t>
      </w:r>
      <w:r w:rsidR="00666D87" w:rsidRPr="00DA76A7">
        <w:rPr>
          <w:rFonts w:ascii="Arial" w:eastAsiaTheme="minorHAnsi" w:hAnsi="Arial" w:cs="Arial"/>
          <w:color w:val="000000" w:themeColor="text1"/>
          <w:sz w:val="22"/>
          <w:szCs w:val="22"/>
          <w:lang w:eastAsia="en-US"/>
        </w:rPr>
        <w:fldChar w:fldCharType="end"/>
      </w:r>
      <w:bookmarkEnd w:id="27"/>
      <w:r w:rsidRPr="00DA76A7">
        <w:rPr>
          <w:rFonts w:ascii="Arial" w:eastAsiaTheme="minorHAnsi" w:hAnsi="Arial" w:cs="Arial"/>
          <w:color w:val="000000" w:themeColor="text1"/>
          <w:sz w:val="22"/>
          <w:szCs w:val="22"/>
          <w:lang w:eastAsia="en-US"/>
        </w:rPr>
        <w:t> ГК РК оговоркой «если иное не предусмотрено законодательными актами или соглашением сторон»;</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2) дополнить </w:t>
      </w:r>
      <w:bookmarkStart w:id="28" w:name="SUB1000000424_5"/>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"sub_id=7680000"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параграф 1 главы 39</w:t>
      </w:r>
      <w:r w:rsidR="00666D87" w:rsidRPr="00DA76A7">
        <w:rPr>
          <w:rFonts w:ascii="Arial" w:eastAsiaTheme="minorHAnsi" w:hAnsi="Arial" w:cs="Arial"/>
          <w:color w:val="000000" w:themeColor="text1"/>
          <w:sz w:val="22"/>
          <w:szCs w:val="22"/>
          <w:lang w:eastAsia="en-US"/>
        </w:rPr>
        <w:fldChar w:fldCharType="end"/>
      </w:r>
      <w:bookmarkEnd w:id="28"/>
      <w:r w:rsidRPr="00DA76A7">
        <w:rPr>
          <w:rFonts w:ascii="Arial" w:eastAsiaTheme="minorHAnsi" w:hAnsi="Arial" w:cs="Arial"/>
          <w:color w:val="000000" w:themeColor="text1"/>
          <w:sz w:val="22"/>
          <w:szCs w:val="22"/>
          <w:lang w:eastAsia="en-US"/>
        </w:rPr>
        <w:t> ГК РК отдельной статьей, предусматривающей правила определения и возмещения чрезвычайных расходов хранителя;</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3) расширить сферу действия </w:t>
      </w:r>
      <w:bookmarkStart w:id="29" w:name="SUB1000015921_4"/>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"sub_id=7680300"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 3 ст. 768</w:t>
      </w:r>
      <w:r w:rsidR="00666D87" w:rsidRPr="00DA76A7">
        <w:rPr>
          <w:rFonts w:ascii="Arial" w:eastAsiaTheme="minorHAnsi" w:hAnsi="Arial" w:cs="Arial"/>
          <w:color w:val="000000" w:themeColor="text1"/>
          <w:sz w:val="22"/>
          <w:szCs w:val="22"/>
          <w:lang w:eastAsia="en-US"/>
        </w:rPr>
        <w:fldChar w:fldCharType="end"/>
      </w:r>
      <w:bookmarkEnd w:id="29"/>
      <w:r w:rsidRPr="00DA76A7">
        <w:rPr>
          <w:rFonts w:ascii="Arial" w:eastAsiaTheme="minorHAnsi" w:hAnsi="Arial" w:cs="Arial"/>
          <w:color w:val="000000" w:themeColor="text1"/>
          <w:sz w:val="22"/>
          <w:szCs w:val="22"/>
          <w:lang w:eastAsia="en-US"/>
        </w:rPr>
        <w:t> ГК РК, предусмотрев в нем, что действие соответствующей главы не распространяется в целом на охранную деятельность, регулируемую специальным законом;</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4) в ст. 768 ГК необходимо установить, что договор хранения заключается только в отношении движимого имущества, если иное не предусмотрено ГК;</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5) по аналогии со </w:t>
      </w:r>
      <w:bookmarkStart w:id="30" w:name="SUB1000181938"/>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"sub_id=8940000"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ст. 894</w:t>
      </w:r>
      <w:r w:rsidR="00666D87" w:rsidRPr="00DA76A7">
        <w:rPr>
          <w:rFonts w:ascii="Arial" w:eastAsiaTheme="minorHAnsi" w:hAnsi="Arial" w:cs="Arial"/>
          <w:color w:val="000000" w:themeColor="text1"/>
          <w:sz w:val="22"/>
          <w:szCs w:val="22"/>
          <w:lang w:eastAsia="en-US"/>
        </w:rPr>
        <w:fldChar w:fldCharType="end"/>
      </w:r>
      <w:bookmarkEnd w:id="30"/>
      <w:r w:rsidRPr="00DA76A7">
        <w:rPr>
          <w:rFonts w:ascii="Arial" w:eastAsiaTheme="minorHAnsi" w:hAnsi="Arial" w:cs="Arial"/>
          <w:color w:val="000000" w:themeColor="text1"/>
          <w:sz w:val="22"/>
          <w:szCs w:val="22"/>
          <w:lang w:eastAsia="en-US"/>
        </w:rPr>
        <w:t> ГК РТ в Казахстане следует предусмотреть такую разновидность договора хранения, как хранение вещей с опасными свойствами;</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6) дополнить параграф 1 главы 39 ГК РК новой статьей 769-1 «Договор хранения в виде бытовой услуги»;</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7) расширить положение </w:t>
      </w:r>
      <w:bookmarkStart w:id="31" w:name="SUB1005416683"/>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"sub_id=7710100"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 1 ст. 771</w:t>
      </w:r>
      <w:r w:rsidR="00666D87" w:rsidRPr="00DA76A7">
        <w:rPr>
          <w:rFonts w:ascii="Arial" w:eastAsiaTheme="minorHAnsi" w:hAnsi="Arial" w:cs="Arial"/>
          <w:color w:val="000000" w:themeColor="text1"/>
          <w:sz w:val="22"/>
          <w:szCs w:val="22"/>
          <w:lang w:eastAsia="en-US"/>
        </w:rPr>
        <w:fldChar w:fldCharType="end"/>
      </w:r>
      <w:bookmarkEnd w:id="31"/>
      <w:r w:rsidRPr="00DA76A7">
        <w:rPr>
          <w:rFonts w:ascii="Arial" w:eastAsiaTheme="minorHAnsi" w:hAnsi="Arial" w:cs="Arial"/>
          <w:color w:val="000000" w:themeColor="text1"/>
          <w:sz w:val="22"/>
          <w:szCs w:val="22"/>
          <w:lang w:eastAsia="en-US"/>
        </w:rPr>
        <w:t> ГК РК, предусмотрев в нем, что при хранении вещей с обезличением принятые на хранение вещи могут смешиваться с вещами того же рода и качества других поклажедателей и (или) хранителя; </w:t>
      </w:r>
      <w:bookmarkStart w:id="32" w:name="SUB1000015928_2"/>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"sub_id=7710200"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 2 ст. 771</w:t>
      </w:r>
      <w:r w:rsidR="00666D87" w:rsidRPr="00DA76A7">
        <w:rPr>
          <w:rFonts w:ascii="Arial" w:eastAsiaTheme="minorHAnsi" w:hAnsi="Arial" w:cs="Arial"/>
          <w:color w:val="000000" w:themeColor="text1"/>
          <w:sz w:val="22"/>
          <w:szCs w:val="22"/>
          <w:lang w:eastAsia="en-US"/>
        </w:rPr>
        <w:fldChar w:fldCharType="end"/>
      </w:r>
      <w:bookmarkEnd w:id="32"/>
      <w:r w:rsidRPr="00DA76A7">
        <w:rPr>
          <w:rFonts w:ascii="Arial" w:eastAsiaTheme="minorHAnsi" w:hAnsi="Arial" w:cs="Arial"/>
          <w:color w:val="000000" w:themeColor="text1"/>
          <w:sz w:val="22"/>
          <w:szCs w:val="22"/>
          <w:lang w:eastAsia="en-US"/>
        </w:rPr>
        <w:t> ГК РК - исключить;</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8) применительно к чрезвычайному хранению оговорка в </w:t>
      </w:r>
      <w:bookmarkStart w:id="33" w:name="SUB1000015933_3"/>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"sub_id=7720500"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 5 ст. 772</w:t>
      </w:r>
      <w:r w:rsidR="00666D87" w:rsidRPr="00DA76A7">
        <w:rPr>
          <w:rFonts w:ascii="Arial" w:eastAsiaTheme="minorHAnsi" w:hAnsi="Arial" w:cs="Arial"/>
          <w:color w:val="000000" w:themeColor="text1"/>
          <w:sz w:val="22"/>
          <w:szCs w:val="22"/>
          <w:lang w:eastAsia="en-US"/>
        </w:rPr>
        <w:fldChar w:fldCharType="end"/>
      </w:r>
      <w:bookmarkEnd w:id="33"/>
      <w:r w:rsidRPr="00DA76A7">
        <w:rPr>
          <w:rFonts w:ascii="Arial" w:eastAsiaTheme="minorHAnsi" w:hAnsi="Arial" w:cs="Arial"/>
          <w:color w:val="000000" w:themeColor="text1"/>
          <w:sz w:val="22"/>
          <w:szCs w:val="22"/>
          <w:lang w:eastAsia="en-US"/>
        </w:rPr>
        <w:t> ГК «вне зависимости от стоимости сданной на хранение вещи» представляется излишней. В целях совершенствования правового регулирования хранения соответствующую оговорку следует исключить;</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9) в качестве форм вины, предполагающих ответственность хранителя, оказывающего соответствующую услугу безвозмездно, следует предусмотреть только умысел и грубую неосторожность;</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10) предлагается уточнить редакцию </w:t>
      </w:r>
      <w:bookmarkStart w:id="34" w:name="SUB1002443658_3"/>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"sub_id=7790100"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 1 ст. 779</w:t>
      </w:r>
      <w:r w:rsidR="00666D87" w:rsidRPr="00DA76A7">
        <w:rPr>
          <w:rFonts w:ascii="Arial" w:eastAsiaTheme="minorHAnsi" w:hAnsi="Arial" w:cs="Arial"/>
          <w:color w:val="000000" w:themeColor="text1"/>
          <w:sz w:val="22"/>
          <w:szCs w:val="22"/>
          <w:lang w:eastAsia="en-US"/>
        </w:rPr>
        <w:fldChar w:fldCharType="end"/>
      </w:r>
      <w:bookmarkEnd w:id="34"/>
      <w:r w:rsidRPr="00DA76A7">
        <w:rPr>
          <w:rFonts w:ascii="Arial" w:eastAsiaTheme="minorHAnsi" w:hAnsi="Arial" w:cs="Arial"/>
          <w:color w:val="000000" w:themeColor="text1"/>
          <w:sz w:val="22"/>
          <w:szCs w:val="22"/>
          <w:lang w:eastAsia="en-US"/>
        </w:rPr>
        <w:t> ГК, предусмотрев в нем, что лицо, осуществляющее хранение в силу своей предпринимательской деятельности, освобождается от ответственности за несохранность вещи лишь в случаях, когда утрата, недостача или повреждение вещи вызваны непреодолимой силой либо свойствами самой вещи, о которых хранитель не знал и не должен был знать, либо умыслом или грубой неосторожностью поклажедателя;</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11) в ГК РК следует предусмотреть возможность договорного ограничения ответственности хранителя по возмездному договору хранения суммой, не превышающей стоимость переданной на хранение вещи;</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12) в </w:t>
      </w:r>
      <w:bookmarkStart w:id="35" w:name="SUB1005416678_3"/>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"sub_id=7860500"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 5 ст. 786</w:t>
      </w:r>
      <w:r w:rsidR="00666D87" w:rsidRPr="00DA76A7">
        <w:rPr>
          <w:rFonts w:ascii="Arial" w:eastAsiaTheme="minorHAnsi" w:hAnsi="Arial" w:cs="Arial"/>
          <w:color w:val="000000" w:themeColor="text1"/>
          <w:sz w:val="22"/>
          <w:szCs w:val="22"/>
          <w:lang w:eastAsia="en-US"/>
        </w:rPr>
        <w:fldChar w:fldCharType="end"/>
      </w:r>
      <w:bookmarkEnd w:id="35"/>
      <w:r w:rsidRPr="00DA76A7">
        <w:rPr>
          <w:rFonts w:ascii="Arial" w:eastAsiaTheme="minorHAnsi" w:hAnsi="Arial" w:cs="Arial"/>
          <w:color w:val="000000" w:themeColor="text1"/>
          <w:sz w:val="22"/>
          <w:szCs w:val="22"/>
          <w:lang w:eastAsia="en-US"/>
        </w:rPr>
        <w:t> ГК РК следует предусмотреть, что к договору о предоставлении банковского сейфа в пользование другому лицу без ответственности банка за содержимое сейфа применяются правила Кодекса о договоре аренды;</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13) </w:t>
      </w:r>
      <w:bookmarkStart w:id="36" w:name="SUB1000015968_3"/>
      <w:r w:rsidR="00E6089C" w:rsidRPr="00DA76A7">
        <w:rPr>
          <w:rFonts w:ascii="Arial" w:eastAsiaTheme="minorHAnsi" w:hAnsi="Arial" w:cs="Arial"/>
          <w:color w:val="000000" w:themeColor="text1"/>
          <w:sz w:val="22"/>
          <w:szCs w:val="22"/>
          <w:lang w:eastAsia="en-US"/>
        </w:rPr>
        <w:t xml:space="preserve"> </w:t>
      </w:r>
      <w:hyperlink r:id="rId164" w:anchor="sub_id=7870000" w:tgtFrame="_parent" w:history="1">
        <w:r w:rsidRPr="00DA76A7">
          <w:rPr>
            <w:rFonts w:ascii="Arial" w:eastAsiaTheme="minorHAnsi" w:hAnsi="Arial" w:cs="Arial"/>
            <w:color w:val="000000" w:themeColor="text1"/>
            <w:sz w:val="22"/>
            <w:szCs w:val="22"/>
            <w:lang w:eastAsia="en-US"/>
          </w:rPr>
          <w:t>ст. 787</w:t>
        </w:r>
      </w:hyperlink>
      <w:bookmarkEnd w:id="36"/>
      <w:r w:rsidRPr="00DA76A7">
        <w:rPr>
          <w:rFonts w:ascii="Arial" w:eastAsiaTheme="minorHAnsi" w:hAnsi="Arial" w:cs="Arial"/>
          <w:color w:val="000000" w:themeColor="text1"/>
          <w:sz w:val="22"/>
          <w:szCs w:val="22"/>
          <w:lang w:eastAsia="en-US"/>
        </w:rPr>
        <w:t> ГК должна быть дополнена положением, предусматривающим нераспространение правил настоящей статьи на отношения по предоставлению автоматических камер хранения на условиях аренды;</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14) представляется необходимым уточнить редакцию в </w:t>
      </w:r>
      <w:bookmarkStart w:id="37" w:name="SUB1000015975_2"/>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"sub_id=7880400" \o "Гражданский кодекс Республики Казахстан от 1 июля 1999 года № 409-I (Особенная часть) (с изменениями и дополнениями по состоянию на 01.01.2018 г.)"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п. 4 ст. 788</w:t>
      </w:r>
      <w:r w:rsidR="00666D87" w:rsidRPr="00DA76A7">
        <w:rPr>
          <w:rFonts w:ascii="Arial" w:eastAsiaTheme="minorHAnsi" w:hAnsi="Arial" w:cs="Arial"/>
          <w:color w:val="000000" w:themeColor="text1"/>
          <w:sz w:val="22"/>
          <w:szCs w:val="22"/>
          <w:lang w:eastAsia="en-US"/>
        </w:rPr>
        <w:fldChar w:fldCharType="end"/>
      </w:r>
      <w:bookmarkEnd w:id="37"/>
      <w:r w:rsidRPr="00DA76A7">
        <w:rPr>
          <w:rFonts w:ascii="Arial" w:eastAsiaTheme="minorHAnsi" w:hAnsi="Arial" w:cs="Arial"/>
          <w:color w:val="000000" w:themeColor="text1"/>
          <w:sz w:val="22"/>
          <w:szCs w:val="22"/>
          <w:lang w:eastAsia="en-US"/>
        </w:rPr>
        <w:t> ГК РК, заменив слово «вправе» словом «обязан»;</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15) </w:t>
      </w:r>
      <w:bookmarkStart w:id="38" w:name="SUB1000015976_4"/>
      <w:r w:rsidR="00666D87" w:rsidRPr="00DA76A7">
        <w:rPr>
          <w:rFonts w:ascii="Arial" w:eastAsiaTheme="minorHAnsi" w:hAnsi="Arial" w:cs="Arial"/>
          <w:color w:val="000000" w:themeColor="text1"/>
          <w:sz w:val="22"/>
          <w:szCs w:val="22"/>
          <w:lang w:eastAsia="en-US"/>
        </w:rPr>
        <w:fldChar w:fldCharType="begin"/>
      </w:r>
      <w:r w:rsidRPr="00DA76A7">
        <w:rPr>
          <w:rFonts w:ascii="Arial" w:eastAsiaTheme="minorHAnsi" w:hAnsi="Arial" w:cs="Arial"/>
          <w:color w:val="000000" w:themeColor="text1"/>
          <w:sz w:val="22"/>
          <w:szCs w:val="22"/>
          <w:lang w:eastAsia="en-US"/>
        </w:rPr>
        <w:instrText xml:space="preserve"> HYPERLINK "http://online.zakon.kz/Document/?doc_id=1013880" \l "sub_id=7890000" \t "_parent" </w:instrText>
      </w:r>
      <w:r w:rsidR="00666D87" w:rsidRPr="00DA76A7">
        <w:rPr>
          <w:rFonts w:ascii="Arial" w:eastAsiaTheme="minorHAnsi" w:hAnsi="Arial" w:cs="Arial"/>
          <w:color w:val="000000" w:themeColor="text1"/>
          <w:sz w:val="22"/>
          <w:szCs w:val="22"/>
          <w:lang w:eastAsia="en-US"/>
        </w:rPr>
        <w:fldChar w:fldCharType="separate"/>
      </w:r>
      <w:r w:rsidRPr="00DA76A7">
        <w:rPr>
          <w:rFonts w:ascii="Arial" w:eastAsiaTheme="minorHAnsi" w:hAnsi="Arial" w:cs="Arial"/>
          <w:color w:val="000000" w:themeColor="text1"/>
          <w:sz w:val="22"/>
          <w:szCs w:val="22"/>
          <w:lang w:eastAsia="en-US"/>
        </w:rPr>
        <w:t>ст. 789</w:t>
      </w:r>
      <w:r w:rsidR="00666D87" w:rsidRPr="00DA76A7">
        <w:rPr>
          <w:rFonts w:ascii="Arial" w:eastAsiaTheme="minorHAnsi" w:hAnsi="Arial" w:cs="Arial"/>
          <w:color w:val="000000" w:themeColor="text1"/>
          <w:sz w:val="22"/>
          <w:szCs w:val="22"/>
          <w:lang w:eastAsia="en-US"/>
        </w:rPr>
        <w:fldChar w:fldCharType="end"/>
      </w:r>
      <w:bookmarkEnd w:id="38"/>
      <w:r w:rsidRPr="00DA76A7">
        <w:rPr>
          <w:rFonts w:ascii="Arial" w:eastAsiaTheme="minorHAnsi" w:hAnsi="Arial" w:cs="Arial"/>
          <w:color w:val="000000" w:themeColor="text1"/>
          <w:sz w:val="22"/>
          <w:szCs w:val="22"/>
          <w:lang w:eastAsia="en-US"/>
        </w:rPr>
        <w:t> ГК РК следует дополнить нормами об ответственности гостиницы за утрату (повреждение) ценностей, помещенных в индивидуальные сейфы, предоставленные гостиницей своим постояльцам.</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p>
    <w:p w:rsidR="00EF1B7A" w:rsidRPr="00DA76A7" w:rsidRDefault="00EF1B7A" w:rsidP="00EF1B7A">
      <w:pPr>
        <w:pStyle w:val="j15"/>
        <w:shd w:val="clear" w:color="auto" w:fill="FFFFFF"/>
        <w:spacing w:before="0" w:beforeAutospacing="0" w:after="0" w:afterAutospacing="0"/>
        <w:ind w:firstLine="567"/>
        <w:jc w:val="center"/>
        <w:textAlignment w:val="baseline"/>
        <w:rPr>
          <w:rFonts w:ascii="Arial" w:eastAsiaTheme="minorHAnsi" w:hAnsi="Arial" w:cs="Arial"/>
          <w:b/>
          <w:color w:val="000000" w:themeColor="text1"/>
          <w:sz w:val="22"/>
          <w:szCs w:val="22"/>
          <w:lang w:eastAsia="en-US"/>
        </w:rPr>
      </w:pPr>
      <w:r w:rsidRPr="00DA76A7">
        <w:rPr>
          <w:rFonts w:ascii="Arial" w:eastAsiaTheme="minorHAnsi" w:hAnsi="Arial" w:cs="Arial"/>
          <w:b/>
          <w:color w:val="000000" w:themeColor="text1"/>
          <w:sz w:val="22"/>
          <w:szCs w:val="22"/>
          <w:lang w:eastAsia="en-US"/>
        </w:rPr>
        <w:t>Список литературы:</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1. Гражданский Кодекс Республики Казахстан (особенная часть) от 1 июля 1999 года.</w:t>
      </w:r>
    </w:p>
    <w:p w:rsidR="00EF1B7A" w:rsidRPr="00DA76A7" w:rsidRDefault="00EF1B7A" w:rsidP="00EF1B7A">
      <w:pPr>
        <w:pStyle w:val="j15"/>
        <w:shd w:val="clear" w:color="auto" w:fill="FFFFFF"/>
        <w:spacing w:before="0" w:beforeAutospacing="0" w:after="0" w:afterAutospacing="0"/>
        <w:ind w:firstLine="567"/>
        <w:jc w:val="both"/>
        <w:textAlignment w:val="baseline"/>
        <w:rPr>
          <w:rFonts w:ascii="Arial" w:eastAsiaTheme="minorHAnsi" w:hAnsi="Arial" w:cs="Arial"/>
          <w:color w:val="000000" w:themeColor="text1"/>
          <w:sz w:val="22"/>
          <w:szCs w:val="22"/>
          <w:lang w:eastAsia="en-US"/>
        </w:rPr>
      </w:pPr>
      <w:r w:rsidRPr="00DA76A7">
        <w:rPr>
          <w:rFonts w:ascii="Arial" w:eastAsiaTheme="minorHAnsi" w:hAnsi="Arial" w:cs="Arial"/>
          <w:color w:val="000000" w:themeColor="text1"/>
          <w:sz w:val="22"/>
          <w:szCs w:val="22"/>
          <w:lang w:eastAsia="en-US"/>
        </w:rPr>
        <w:t>2. Гражданский Кодекс Республики Таджикистан (часть II)</w:t>
      </w:r>
      <w:r w:rsidRPr="00DA76A7">
        <w:rPr>
          <w:rFonts w:ascii="Arial" w:hAnsi="Arial" w:cs="Arial"/>
          <w:color w:val="000000" w:themeColor="text1"/>
          <w:sz w:val="22"/>
          <w:szCs w:val="22"/>
        </w:rPr>
        <w:t xml:space="preserve"> от 11 декабря 1999 года.</w:t>
      </w:r>
    </w:p>
    <w:p w:rsidR="00EF1B7A" w:rsidRPr="00DA76A7" w:rsidRDefault="00EF1B7A" w:rsidP="00181BA7">
      <w:pPr>
        <w:ind w:firstLine="567"/>
        <w:rPr>
          <w:rFonts w:ascii="Arial" w:hAnsi="Arial" w:cs="Arial"/>
          <w:color w:val="000000" w:themeColor="text1"/>
          <w:sz w:val="22"/>
          <w:szCs w:val="22"/>
        </w:rPr>
      </w:pPr>
    </w:p>
    <w:p w:rsidR="00EF1B7A" w:rsidRPr="00DA76A7" w:rsidRDefault="00EF1B7A" w:rsidP="00181BA7">
      <w:pPr>
        <w:ind w:firstLine="567"/>
        <w:rPr>
          <w:rFonts w:ascii="Arial" w:hAnsi="Arial" w:cs="Arial"/>
          <w:color w:val="000000" w:themeColor="text1"/>
          <w:sz w:val="22"/>
          <w:szCs w:val="22"/>
        </w:rPr>
      </w:pP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ОБ ОСОБЕННОСТЯХ ПРАВОВОЙ ХАРАКТЕРИСТИКИ ИНДИВИДУАЛЬНОГО ПРЕДПРИНИМАТЕЛЬСТВА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000000" w:themeColor="text1"/>
          <w:sz w:val="22"/>
          <w:szCs w:val="22"/>
        </w:rPr>
      </w:pP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Исмаилов Сарвар Шавкатович</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Cs/>
          <w:color w:val="000000" w:themeColor="text1"/>
          <w:sz w:val="22"/>
          <w:szCs w:val="22"/>
        </w:rPr>
      </w:pPr>
      <w:r w:rsidRPr="00DA76A7">
        <w:rPr>
          <w:rFonts w:ascii="Arial" w:hAnsi="Arial" w:cs="Arial"/>
          <w:bCs/>
          <w:color w:val="000000" w:themeColor="text1"/>
          <w:sz w:val="22"/>
          <w:szCs w:val="22"/>
        </w:rPr>
        <w:t xml:space="preserve">магистрант 1-го года обучения очного отделения юридического факультета </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Cs/>
          <w:color w:val="000000" w:themeColor="text1"/>
          <w:sz w:val="22"/>
          <w:szCs w:val="22"/>
        </w:rPr>
      </w:pPr>
      <w:r w:rsidRPr="00DA76A7">
        <w:rPr>
          <w:rFonts w:ascii="Arial" w:hAnsi="Arial" w:cs="Arial"/>
          <w:bCs/>
          <w:color w:val="000000" w:themeColor="text1"/>
          <w:sz w:val="22"/>
          <w:szCs w:val="22"/>
        </w:rPr>
        <w:t>Российско-Таджикский (Славянский) университет</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Cs/>
          <w:color w:val="000000" w:themeColor="text1"/>
          <w:sz w:val="22"/>
          <w:szCs w:val="22"/>
        </w:rPr>
      </w:pPr>
      <w:r w:rsidRPr="00DA76A7">
        <w:rPr>
          <w:rFonts w:ascii="Arial" w:hAnsi="Arial" w:cs="Arial"/>
          <w:bCs/>
          <w:color w:val="000000" w:themeColor="text1"/>
          <w:sz w:val="22"/>
          <w:szCs w:val="22"/>
        </w:rPr>
        <w:t>734001, Республика Таджикистан, Душанбе, ул. М. Турсунзаде, 30</w:t>
      </w:r>
    </w:p>
    <w:p w:rsidR="00181BA7" w:rsidRPr="00542B0A"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rPr>
        <w:t>тел</w:t>
      </w:r>
      <w:r w:rsidRPr="00542B0A">
        <w:rPr>
          <w:rFonts w:ascii="Arial" w:hAnsi="Arial" w:cs="Arial"/>
          <w:bCs/>
          <w:color w:val="000000" w:themeColor="text1"/>
          <w:sz w:val="22"/>
          <w:szCs w:val="22"/>
          <w:lang w:val="en-US"/>
        </w:rPr>
        <w:t xml:space="preserve">.: 918-98-00-10, </w:t>
      </w:r>
      <w:r w:rsidRPr="00DA76A7">
        <w:rPr>
          <w:rFonts w:ascii="Arial" w:hAnsi="Arial" w:cs="Arial"/>
          <w:bCs/>
          <w:color w:val="000000" w:themeColor="text1"/>
          <w:sz w:val="22"/>
          <w:szCs w:val="22"/>
          <w:lang w:val="en-US"/>
        </w:rPr>
        <w:t>email</w:t>
      </w:r>
      <w:r w:rsidRPr="00542B0A">
        <w:rPr>
          <w:rFonts w:ascii="Arial" w:hAnsi="Arial" w:cs="Arial"/>
          <w:bCs/>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ismailov</w:t>
      </w:r>
      <w:r w:rsidRPr="00542B0A">
        <w:rPr>
          <w:rFonts w:ascii="Arial" w:hAnsi="Arial" w:cs="Arial"/>
          <w:color w:val="000000" w:themeColor="text1"/>
          <w:sz w:val="22"/>
          <w:szCs w:val="22"/>
          <w:shd w:val="clear" w:color="auto" w:fill="FFFFFF"/>
          <w:lang w:val="en-US"/>
        </w:rPr>
        <w:t>_</w:t>
      </w:r>
      <w:r w:rsidRPr="00DA76A7">
        <w:rPr>
          <w:rFonts w:ascii="Arial" w:hAnsi="Arial" w:cs="Arial"/>
          <w:color w:val="000000" w:themeColor="text1"/>
          <w:sz w:val="22"/>
          <w:szCs w:val="22"/>
          <w:shd w:val="clear" w:color="auto" w:fill="FFFFFF"/>
          <w:lang w:val="en-US"/>
        </w:rPr>
        <w:t>sarvar</w:t>
      </w:r>
      <w:r w:rsidRPr="00542B0A">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mail</w:t>
      </w:r>
      <w:r w:rsidRPr="00542B0A">
        <w:rPr>
          <w:rFonts w:ascii="Arial" w:hAnsi="Arial" w:cs="Arial"/>
          <w:color w:val="000000" w:themeColor="text1"/>
          <w:sz w:val="22"/>
          <w:szCs w:val="22"/>
          <w:shd w:val="clear" w:color="auto" w:fill="FFFFFF"/>
          <w:lang w:val="en-US"/>
        </w:rPr>
        <w:t>.</w:t>
      </w:r>
      <w:r w:rsidRPr="00DA76A7">
        <w:rPr>
          <w:rFonts w:ascii="Arial" w:hAnsi="Arial" w:cs="Arial"/>
          <w:color w:val="000000" w:themeColor="text1"/>
          <w:sz w:val="22"/>
          <w:szCs w:val="22"/>
          <w:shd w:val="clear" w:color="auto" w:fill="FFFFFF"/>
          <w:lang w:val="en-US"/>
        </w:rPr>
        <w:t>ru</w:t>
      </w:r>
    </w:p>
    <w:p w:rsidR="00181BA7" w:rsidRPr="00542B0A"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Cs/>
          <w:color w:val="000000" w:themeColor="text1"/>
          <w:sz w:val="22"/>
          <w:szCs w:val="22"/>
          <w:lang w:val="en-US"/>
        </w:rPr>
      </w:pP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ABOUT FEATURES OF LEGAL DESCRIPTION OF INDIVIDUAL ENTERPRISE</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000000" w:themeColor="text1"/>
          <w:sz w:val="22"/>
          <w:szCs w:val="22"/>
          <w:lang w:val="en-US"/>
        </w:rPr>
      </w:pP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tg-Cyrl-TJ"/>
        </w:rPr>
        <w:t>Ismailov Sarvar Shavkatovich</w:t>
      </w:r>
    </w:p>
    <w:p w:rsidR="00181BA7" w:rsidRPr="00DA76A7" w:rsidRDefault="00181BA7" w:rsidP="00181BA7">
      <w:pPr>
        <w:pStyle w:val="a9"/>
        <w:tabs>
          <w:tab w:val="left" w:pos="4380"/>
        </w:tabs>
        <w:ind w:firstLine="0"/>
        <w:jc w:val="center"/>
        <w:rPr>
          <w:rFonts w:ascii="Arial" w:hAnsi="Arial" w:cs="Arial"/>
          <w:color w:val="000000" w:themeColor="text1"/>
        </w:rPr>
      </w:pPr>
      <w:r w:rsidRPr="00DA76A7">
        <w:rPr>
          <w:rFonts w:ascii="Arial" w:hAnsi="Arial" w:cs="Arial"/>
          <w:color w:val="000000" w:themeColor="text1"/>
        </w:rPr>
        <w:t>undergraduate 1st year student of full-time department of the law faculty</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 xml:space="preserve">734001, Republic of Tajikistan, Dushanbe, </w:t>
      </w:r>
      <w:r w:rsidRPr="00DA76A7">
        <w:rPr>
          <w:rFonts w:ascii="Arial" w:hAnsi="Arial" w:cs="Arial"/>
          <w:iCs/>
          <w:color w:val="000000" w:themeColor="text1"/>
          <w:sz w:val="22"/>
          <w:szCs w:val="22"/>
          <w:lang w:val="en-US"/>
        </w:rPr>
        <w:t>M. Tursunzade str.,</w:t>
      </w:r>
      <w:r w:rsidRPr="00DA76A7">
        <w:rPr>
          <w:rFonts w:ascii="Arial" w:hAnsi="Arial" w:cs="Arial"/>
          <w:color w:val="000000" w:themeColor="text1"/>
          <w:sz w:val="22"/>
          <w:szCs w:val="22"/>
          <w:lang w:val="en-US"/>
        </w:rPr>
        <w:t xml:space="preserve"> 30</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t xml:space="preserve">tel.: </w:t>
      </w:r>
      <w:r w:rsidRPr="00DA76A7">
        <w:rPr>
          <w:rFonts w:ascii="Arial" w:hAnsi="Arial" w:cs="Arial"/>
          <w:bCs/>
          <w:color w:val="000000" w:themeColor="text1"/>
          <w:sz w:val="22"/>
          <w:szCs w:val="22"/>
          <w:lang w:val="en-US"/>
        </w:rPr>
        <w:t xml:space="preserve">918-98-00-10, email: </w:t>
      </w:r>
      <w:r w:rsidRPr="00DA76A7">
        <w:rPr>
          <w:rFonts w:ascii="Arial" w:hAnsi="Arial" w:cs="Arial"/>
          <w:color w:val="000000" w:themeColor="text1"/>
          <w:sz w:val="22"/>
          <w:szCs w:val="22"/>
          <w:shd w:val="clear" w:color="auto" w:fill="FFFFFF"/>
          <w:lang w:val="en-US"/>
        </w:rPr>
        <w:t>ismailov_sarvar@mail.ru</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lang w:val="en-US"/>
        </w:rPr>
      </w:pP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rFonts w:ascii="Arial" w:hAnsi="Arial" w:cs="Arial"/>
          <w:bCs/>
          <w:color w:val="000000" w:themeColor="text1"/>
          <w:sz w:val="22"/>
          <w:szCs w:val="22"/>
        </w:rPr>
      </w:pPr>
      <w:r w:rsidRPr="00DA76A7">
        <w:rPr>
          <w:rFonts w:ascii="Arial" w:hAnsi="Arial" w:cs="Arial"/>
          <w:color w:val="000000" w:themeColor="text1"/>
          <w:sz w:val="22"/>
          <w:szCs w:val="22"/>
        </w:rPr>
        <w:t>Научный руководитель: д.ю.н., профессор Султонова Т.И.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
          <w:bCs/>
          <w:i/>
          <w:color w:val="000000" w:themeColor="text1"/>
          <w:sz w:val="22"/>
          <w:szCs w:val="22"/>
        </w:rPr>
      </w:pP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
          <w:bCs/>
          <w:color w:val="000000" w:themeColor="text1"/>
          <w:sz w:val="22"/>
          <w:szCs w:val="22"/>
        </w:rPr>
        <w:t>Аннотация.</w:t>
      </w:r>
      <w:r w:rsidRPr="00DA76A7">
        <w:rPr>
          <w:rFonts w:ascii="Arial" w:hAnsi="Arial" w:cs="Arial"/>
          <w:bCs/>
          <w:color w:val="000000" w:themeColor="text1"/>
          <w:sz w:val="22"/>
          <w:szCs w:val="22"/>
        </w:rPr>
        <w:t xml:space="preserve"> В статье рассматриваются отдельные вопросы понятия и признаков предпринимательской деятельности, с выделением индивидуальной предпринимательской деятельности, регулируемые нормами законодательства. Сравнение отдельных законодательных актов позволило определить положения, по-разному трактуемые отдельными законами. Изучение правовой характеристики различных форм индивидуального предпринимательства позволяет выявить его отдельные параметры, которые могли бы быть усовершенствованы.</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lang w:val="en-US"/>
        </w:rPr>
      </w:pPr>
      <w:r w:rsidRPr="00DA76A7">
        <w:rPr>
          <w:rFonts w:ascii="Arial" w:hAnsi="Arial" w:cs="Arial"/>
          <w:b/>
          <w:color w:val="000000" w:themeColor="text1"/>
          <w:sz w:val="22"/>
          <w:szCs w:val="22"/>
          <w:lang w:val="en-US"/>
        </w:rPr>
        <w:t>Annotation.</w:t>
      </w:r>
      <w:r w:rsidRPr="00DA76A7">
        <w:rPr>
          <w:rFonts w:ascii="Arial" w:hAnsi="Arial" w:cs="Arial"/>
          <w:color w:val="000000" w:themeColor="text1"/>
          <w:sz w:val="22"/>
          <w:szCs w:val="22"/>
          <w:lang w:val="en-US"/>
        </w:rPr>
        <w:t xml:space="preserve"> The separate questions of concept and signs of entrepreneurial activity are examined in the article, with the selection of individual entrepreneurial activity, managed by the norms of legislation. Comparison of separate legislative acts allowed to define the positions differently interpreting separate laws. The study of legal description of different forms of individual enterprise allows to educe separate parameters that would be improved.</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
          <w:bCs/>
          <w:color w:val="000000" w:themeColor="text1"/>
          <w:sz w:val="22"/>
          <w:szCs w:val="22"/>
        </w:rPr>
        <w:t>Ключевые слова</w:t>
      </w:r>
      <w:r w:rsidRPr="00DA76A7">
        <w:rPr>
          <w:rFonts w:ascii="Arial" w:hAnsi="Arial" w:cs="Arial"/>
          <w:bCs/>
          <w:color w:val="000000" w:themeColor="text1"/>
          <w:sz w:val="22"/>
          <w:szCs w:val="22"/>
        </w:rPr>
        <w:t>: предпринимательская деятельность, признаки предпринимательства, индивидуальное предпринимательство, патент, свидетельство</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lang w:val="en-US"/>
        </w:rPr>
      </w:pPr>
      <w:r w:rsidRPr="00DA76A7">
        <w:rPr>
          <w:rFonts w:ascii="Arial" w:hAnsi="Arial" w:cs="Arial"/>
          <w:b/>
          <w:color w:val="000000" w:themeColor="text1"/>
          <w:sz w:val="22"/>
          <w:szCs w:val="22"/>
          <w:lang w:val="en-US"/>
        </w:rPr>
        <w:t xml:space="preserve">Key words: </w:t>
      </w:r>
      <w:r w:rsidRPr="00DA76A7">
        <w:rPr>
          <w:rFonts w:ascii="Arial" w:hAnsi="Arial" w:cs="Arial"/>
          <w:color w:val="000000" w:themeColor="text1"/>
          <w:sz w:val="22"/>
          <w:szCs w:val="22"/>
          <w:lang w:val="en-US"/>
        </w:rPr>
        <w:t>entrepreneurial activity, signs of enterprise, individual enterprise, patent, certificate.</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lang w:val="en-US"/>
        </w:rPr>
      </w:pP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Для обеспечения своих потребностей в еде, одежде, а также других товарах, работах и услугах каждое физическое лицо должно иметь свои собственные постоянные источники финансирования их приобретения. Денежные средства для финансирования этих и иных потребностей физического лица поступают в его распоряжение различными способами, в том числе за счет осуществления им предпринимательской деятельности.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В настоящее время предприниматели являются действующими лицами рынка и стержнями любой экономической системы, построенной на конкурентных началах, ведь предприниматель содержит государство, оплачивая основную часть налогов.</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Вопросам правового регулирования предпринимательской деятельности посвящено огромное количество научных работ и нормативных правовых актов в области гражданского, предпринимательского права и гражданского процесса любой страны, в том числе в нашей стране, поскольку общепризнано, что предпринимательство и предпринимательская деятельность является основой экономики и экономической развития.</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В соответствие со ст.1 Гражданского кодекса Республики Таджикистан (далее – ГК РТ) </w:t>
      </w:r>
      <w:r w:rsidRPr="00DA76A7">
        <w:rPr>
          <w:rFonts w:ascii="Arial" w:hAnsi="Arial" w:cs="Arial"/>
          <w:color w:val="000000" w:themeColor="text1"/>
          <w:sz w:val="22"/>
          <w:szCs w:val="22"/>
        </w:rPr>
        <w:t>предпринимательской является самостоятельная, осуществляемая на свой риск деятельность, направленная на систематическое получение прибыли от использования имущества, продажи товаров, выполнения работ или оказания услуг лицами, зарегистрированными в этом качестве в установленном законом порядке [1]. Идентичное определение предпринимательской деятельности приведено в ст.2 Гражданского кодекса Российской Федерации (далее – ГК РФ) [3].</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Исходя из этого определения, определим основные признаками предпринимательской деятельности: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эта деятельность осуществляется физическими и юридическими лицами;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представляет собой самостоятельную деятельность, т.е. предпринимательской не может быть работа по найму, служба в вооруженных силах;</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эта деятельность осуществляется на свой риск, т.е. как выгода, так и убытки от нее принадлежат предпринимателю;</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целью предпринимательской деятельности является систематическое получение прибыли, т.е. разница между общим доходом и общими расходами, полученными и допущенными в процессе такой деятельности. Кроме того, если при осуществлении предпринимательской деятельности прибыли систематически нет, то такая деятельность не соответствует цели предпринимательской деятельности;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предпринимательская деятельность осуществляется посредством использования имущества, продажи товаров, выполнения работ или оказания услуг;</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предпринимательская деятельность легально осуществляется лишь лицами, которые зарегистрированы в качестве предпринимателей в установленном законе порядке.</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Приведенное в ст.10 Гражданского кодекса Республики Казахстан (далее – ГК РК) определение несколько отличается: «Предпринимательством является самостоятельная, инициативная деятельность граждан, оралманов и юридических лиц, направленная на получение чистого дохода путем использования имущества, производства, продажи товаров, выполнения работ, оказания услуг, основанная на праве частной собственности (частное предпринимательство) либо на праве хозяйственного ведения или оперативного управления государственного предприятия (государственное предпринимательство). Предпринимательская деятельность осуществляется от имени, за риск и под имущественную ответственность предпринимателя» </w:t>
      </w:r>
      <w:r w:rsidRPr="00DA76A7">
        <w:rPr>
          <w:rFonts w:ascii="Arial" w:hAnsi="Arial" w:cs="Arial"/>
          <w:color w:val="000000" w:themeColor="text1"/>
          <w:sz w:val="22"/>
          <w:szCs w:val="22"/>
        </w:rPr>
        <w:t>[2]</w:t>
      </w:r>
      <w:r w:rsidRPr="00DA76A7">
        <w:rPr>
          <w:rFonts w:ascii="Arial" w:hAnsi="Arial" w:cs="Arial"/>
          <w:bCs/>
          <w:color w:val="000000" w:themeColor="text1"/>
          <w:sz w:val="22"/>
          <w:szCs w:val="22"/>
        </w:rPr>
        <w:t xml:space="preserve">. </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В отличие от определения, приведенного в ГК РТ, в данном определении: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в качестве дополнительного признака самостоятельности предпринимательской деятельности отмечена ее инициативность, т.е. деятельность начинается в результате активного желания самих предпринимателей. Однако, возможно, признак самостоятельности как более широкий признак, охватывает и признак инициативности;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четко определены лица, которые могут осуществлять предпринимательскую деятельность (граждане, оралманы и юридические лица);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в качестве цели осуществления предпринимательской деятельности определено получение чистого дохода, а не прибыли;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установлено, что предпринимательская деятельность осуществляется на основе частной собственности или государственного имущества, что позволяет ввести понятия «частное предпринимательство» и «государственное предпринимательство»;</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определено, что предпринимательская деятельность осуществляется от имени, за риск и под имущественную ответственность предпринимателя, т.е. предприниматель не только несет риск и имущественную ответственность, но и выступает от своего имени, что вызывает различные вопросы правового плана;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обязательное требование государственной регистрации индивидуального предпринимателя заменено более мягким требованием постановки на учет.</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Национальным законодательством произведены различные классификации предпринимательства, в том числе:</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по организационно-правовой форме - с образованием юридического лица и без образования юридического лица в форме индивидуального предпринимателя (далее - ИП);</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по способу осуществления - с использованием наемного труда и без использования наемного труда;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по размеру предпринимательства – малое, среднее и крупное предпринимательства.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Особого внимания в каждой стране, в том числе в Таджикистане, заслуживает малое предпринимательство, которое осуществляет производство продукции, выполнение работ и оказание услуг, создание новых рабочих мест на основе самозанятости, сокращение безработицы, уменьшение социальной нестабильности, получение людьми возможности самостоятельного получения денежных средств для обеспечения своих потребностей посредством организации своего бизнеса.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В соответствие со ст. Закона Республики Таджикистана «О государственной защите и поддержке предпринимательства» к малому предпринимательству отнесены ИП и юридические лица, валовой доход которых за календарный год составляет до 500.000 сомони (за исключением производства подакцизных товаров, банковской и страховой деятельности, поставки алюминия, управления инвестиционными фондами и деятельности на рынке ценных бумаг) </w:t>
      </w:r>
      <w:r w:rsidRPr="00DA76A7">
        <w:rPr>
          <w:rFonts w:ascii="Arial" w:hAnsi="Arial" w:cs="Arial"/>
          <w:color w:val="000000" w:themeColor="text1"/>
          <w:sz w:val="22"/>
          <w:szCs w:val="22"/>
        </w:rPr>
        <w:t>[5]</w:t>
      </w:r>
      <w:r w:rsidRPr="00DA76A7">
        <w:rPr>
          <w:rFonts w:ascii="Arial" w:hAnsi="Arial" w:cs="Arial"/>
          <w:bCs/>
          <w:color w:val="000000" w:themeColor="text1"/>
          <w:sz w:val="22"/>
          <w:szCs w:val="22"/>
        </w:rPr>
        <w:t>.</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Согласно статистическим сведениям Налогового комитета при Правительстве Республики Таджикистан на 1 января </w:t>
      </w:r>
      <w:smartTag w:uri="urn:schemas-microsoft-com:office:smarttags" w:element="metricconverter">
        <w:smartTagPr>
          <w:attr w:name="ProductID" w:val="2017 г"/>
        </w:smartTagPr>
        <w:r w:rsidRPr="00DA76A7">
          <w:rPr>
            <w:rFonts w:ascii="Arial" w:hAnsi="Arial" w:cs="Arial"/>
            <w:bCs/>
            <w:color w:val="000000" w:themeColor="text1"/>
            <w:sz w:val="22"/>
            <w:szCs w:val="22"/>
          </w:rPr>
          <w:t>2017 г</w:t>
        </w:r>
      </w:smartTag>
      <w:r w:rsidRPr="00DA76A7">
        <w:rPr>
          <w:rFonts w:ascii="Arial" w:hAnsi="Arial" w:cs="Arial"/>
          <w:bCs/>
          <w:color w:val="000000" w:themeColor="text1"/>
          <w:sz w:val="22"/>
          <w:szCs w:val="22"/>
        </w:rPr>
        <w:t>. в Государственный реестр юридических лиц и индивидуальных предпринимателей внесено всего 288.683 субъектов, в том числе 31.567 юридических лиц (10,9% от общей численности), 90.800 ИП, функционирующих на основе патента (31,4% от общей численности) и 166.316 ИП, функционирующих на основе свидетельства (57,6% от общей численности). При этом 136.849 ИП функционирующих на основании свидетельства (82,3% от численности таких предпринимателей) составляют дехканские (фермерские) хозяйства, зарегистрированные без образования юридического лица (в советский период численность сельскохозяйственных предприятий не превышала 1000 единиц).</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Указанные сведения являются основанием для предположения, что:</w:t>
      </w:r>
    </w:p>
    <w:p w:rsidR="00181BA7" w:rsidRPr="00DA76A7" w:rsidRDefault="00181BA7" w:rsidP="00181BA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наиболее востребованной организационно-правовой формой предпринимательства является ИП, а не предпринимательство в форме юридического лица;</w:t>
      </w:r>
    </w:p>
    <w:p w:rsidR="00181BA7" w:rsidRPr="00DA76A7" w:rsidRDefault="00181BA7" w:rsidP="00181BA7">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из имеющихся форм ИП (на основе патента и на основе свидетельства) для предпринимателей более привлекательной является ИП на основе патента (возможно, если бы существовала такая форма предпринимательства для деятельности дехканских (фермерских) хозяйств, уровень указанной привлекательности был бы более значимым).</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Анализ действующего законодательства Республики Таджикистан (далее – РТ) позволяет не только охарактеризовать в установленное законом правовое положение обеих форм ИП, но и выявить имеющиеся нестыковки законодательных норм между собой, а также, по возможности, определить пути улучшения правовых характеристик ИП в целях общего развития этих форм предпринимательства в нашей стране. </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В ст.24 ГК РТ устанавливается:</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граждане могут заниматься предпринимательской деятельностью без образования юридического лица, с момента государственной регистрации в качестве индивидуальных предпринимателей, т.е. гражданин, осуществляющий индивидуальную предпринимательскую деятельность (предпринимательскую деятельность без образования юридического лица) получает легальный (законный) статус после государственной регистрации;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к предпринимательской деятельности граждан, осуществляемой без образования юридического лица, соответственно применяются правила ГК РТ, которые регулируют деятельность юридических лиц, являющихся коммерческими организациями, если иное не вытекает из законодательства или существа правоотношения, т.е. имущественные отношения индивидуальных предпринимателей регулируются по тем же правилам, как и для юридических лиц;</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граждане, осуществляющие предпринимательскую деятельность в составе дехканского хозяйства, освобождаются от государственной регистрации;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граждане, осуществляющие предпринимательскую деятельность без образования юридического лица без государственной регистрации, не вправе ссылаться в отношении заключенных ими сделок на то, что они не являются предпринимателями. Суд может применить к таким сделкам правила ГК РТ об обязательствах, связанных с осуществлением предпринимательской деятельности;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 порядок регистрации и налогообложения граждан, занимающихся предпринимательской деятельностью без образования юридического лица, регулируется законодательством РТ;</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Исходя из вышеуказанного, можно сделать вывод о том, что государственная регистрация и налогообложение ИП регулируется соответствующими законами, имущественные отношения и ответственность ИП – нормами ГК РТ, административным и уголовным законодательством. Однако ссылка на специальное законодательство об ИП отсутствует, поскольку до сих пор такое специальный закон об ИП не принят.</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Кроме того, если Законом РТ «О государственной защите и поддержке предпринимательства» для обеих форм ИП (на основе патента и на основе свидетельства) определен максимальный годовой доход 500.000 сомони, то ст.284 Налогового кодекса РТ  (далее НК РТ) ограничивает максимальный годовой доход для ИП, функционирующих на основе патента, суммой 100.000 сомони, а ст.289 НК РТ ограничивает максимальный годовой доход для ИП, функционирующих на основе свидетельства, суммой 1.000.000 сомони, что свидетельствует о взаимной несогласованности норм законодательства </w:t>
      </w:r>
      <w:r w:rsidRPr="00DA76A7">
        <w:rPr>
          <w:rFonts w:ascii="Arial" w:hAnsi="Arial" w:cs="Arial"/>
          <w:color w:val="000000" w:themeColor="text1"/>
          <w:sz w:val="22"/>
          <w:szCs w:val="22"/>
        </w:rPr>
        <w:t>[4, 598, 600]</w:t>
      </w:r>
      <w:r w:rsidRPr="00DA76A7">
        <w:rPr>
          <w:rFonts w:ascii="Arial" w:hAnsi="Arial" w:cs="Arial"/>
          <w:bCs/>
          <w:color w:val="000000" w:themeColor="text1"/>
          <w:sz w:val="22"/>
          <w:szCs w:val="22"/>
        </w:rPr>
        <w:t>. Более того, дехканские (фермерские) хозяйства в форме ИП могут применять специальный налоговый режим без ограничений; дехканское (фермерское) хозяйство лишь добровольно может перейти на общий налоговый режим.</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В дополнение к этому, ст.291 НК РТ расширяет перечень видов деятельности, которые не могут осуществляться субъектами малого бизнеса, в том числе ИП, в который включаются: </w:t>
      </w:r>
      <w:r w:rsidRPr="00DA76A7">
        <w:rPr>
          <w:rFonts w:ascii="Arial" w:hAnsi="Arial" w:cs="Arial"/>
          <w:color w:val="000000" w:themeColor="text1"/>
          <w:sz w:val="22"/>
          <w:szCs w:val="22"/>
        </w:rPr>
        <w:t>инвестиционные фонды, профессиональные участники рынка ценных бумаг, страховые и кредитные организации, микрофинансовые организации, ломбарды, недропользователи, поставщики алюминия первичного, производители подакцизной продукции, посреднические организацие (действующие на основании договоров комиссии, поручения и других посреднических договоров) [4, 602].</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Законом РТ «О государственной регистрации юридических лиц и индивидуальных предпринимателей» определены правила регистрации всех форм предпринимательства, в том числе регистрации дехканского (фермерского) хозяйства без образования юридического лица в форме ИП или юридического лица [6]. При этом в данном Законе не нашла свое отражение норма ст.24 ГК РТ в отношении освобождения от государственной регистрации граждан, осуществляющих предпринимательскую деятельность в составе дехканского хозяйства. Гражданин, самостоятельно, без участия других граждан, создающий такое дехканское хозяйство, обязан как предприниматель пройти государственную регистрацию, что подтверждается также Законом РТ «О дехканском (фермерском) хозяйстве». В случае, создания коллективного дехканского (фермерского) хозяйства без образования юридического лица, руководитель такого хозяйства должен быть зарегистрирован как ИП. В этом случае иные члены данного хозяйства выступают как его учредители, однако при этом могут возникнуть различные правовые проблемы (в первую очередь, имущественного характера между членами хозяйства).</w:t>
      </w:r>
    </w:p>
    <w:p w:rsidR="00181BA7" w:rsidRPr="00DA76A7" w:rsidRDefault="00181BA7" w:rsidP="00181BA7">
      <w:pPr>
        <w:pStyle w:val="ConsPlusNormal"/>
        <w:ind w:firstLine="567"/>
        <w:jc w:val="both"/>
        <w:rPr>
          <w:color w:val="000000" w:themeColor="text1"/>
          <w:sz w:val="22"/>
          <w:szCs w:val="22"/>
        </w:rPr>
      </w:pPr>
      <w:r w:rsidRPr="00DA76A7">
        <w:rPr>
          <w:color w:val="000000" w:themeColor="text1"/>
          <w:sz w:val="22"/>
          <w:szCs w:val="22"/>
        </w:rPr>
        <w:t>Для сравнения: в ст.23 ГК РФ определено: «Граждане вправе заниматься производственной или иной хозяйственной деятельностью в области сельского хозяйства без образования юридического лица на основе соглашения о создании крестьянского (фермерского) хозяйства, заключенного в соответствии с законом о крестьянском (фермерском) хозяйстве. Главой крестьянского (фермерского) хозяйства может быть гражданин, зарегистрированный в качестве индивидуального предпринимателя» [3]. В таджикском законодательстве такое требование определено Законом РТ «О дехканском (фермерском) хозяйстве», однако положения ст.24 ГК РТ в отношении дехканских хозяйств без образования юридического лица также нуждается в подобной модификации.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Согласно ст.19 ГК РК обязательной государственной регистрации подлежат ИП, которые отвечают одному из следующих условий </w:t>
      </w:r>
      <w:r w:rsidRPr="00DA76A7">
        <w:rPr>
          <w:rFonts w:ascii="Arial" w:hAnsi="Arial" w:cs="Arial"/>
          <w:color w:val="000000" w:themeColor="text1"/>
          <w:sz w:val="22"/>
          <w:szCs w:val="22"/>
        </w:rPr>
        <w:t>[2]</w:t>
      </w:r>
      <w:r w:rsidRPr="00DA76A7">
        <w:rPr>
          <w:rFonts w:ascii="Arial" w:hAnsi="Arial" w:cs="Arial"/>
          <w:bCs/>
          <w:color w:val="000000" w:themeColor="text1"/>
          <w:sz w:val="22"/>
          <w:szCs w:val="22"/>
        </w:rPr>
        <w:t>:</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1) используют труд наемных работников на постоянной основе;</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2) имеют от предпринимательской деятельности совокупный годовой доход, исчисленный в соответствии с налоговым законодательством, в размере, превышающем необлагаемый налогом размер совокупного годового дохода, установленный для физических лиц законодательными актами Республики Казахстан.</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Деятельность перечисленных индивидуальных предпринимателей без государственной регистрации запрещается.</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Физическое лицо, не использующее труд работников на постоянной основе, вправе не регистрироваться в качестве индивидуального предпринимателя при получении установленных налоговым законодательством Республики Казахстан следующих доходов:</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1) облагаемых у источника выплаты;</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2) имущественного дохода;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3) прочих доходов.</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Если ИП осуществляет деятельность, подлежащую лицензированию, он обязан иметь лицензию на право осуществления такой деятельности. Лицензия выдается в порядке, установленном законодательством Республики Казахстан о разрешениях и уведомлениях. Правительство Республики Казахстан вправе устанавливать упрощенный порядок выдачи лицензий ИП. Более того, деятельность ИП регулируется Законом РК «О частном предпринимательстве» </w:t>
      </w:r>
      <w:r w:rsidRPr="00DA76A7">
        <w:rPr>
          <w:rFonts w:ascii="Arial" w:hAnsi="Arial" w:cs="Arial"/>
          <w:color w:val="000000" w:themeColor="text1"/>
          <w:sz w:val="22"/>
          <w:szCs w:val="22"/>
        </w:rPr>
        <w:t>[9, 83]</w:t>
      </w:r>
      <w:r w:rsidRPr="00DA76A7">
        <w:rPr>
          <w:rFonts w:ascii="Arial" w:hAnsi="Arial" w:cs="Arial"/>
          <w:bCs/>
          <w:color w:val="000000" w:themeColor="text1"/>
          <w:sz w:val="22"/>
          <w:szCs w:val="22"/>
        </w:rPr>
        <w:t>.</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В Таджикистане, в отличие от этого, ИП должен быть зарегистрирован независимо от размера дохода, от формы найма наемных работников. Единственно, только для целей налогообложения в ст.8 НК РТ определены отдельные виды деятельности, осуществление которых не рассматривается в качестве предпринимательской деятельности. К ним отнесены: </w:t>
      </w:r>
      <w:r w:rsidRPr="00DA76A7">
        <w:rPr>
          <w:rFonts w:ascii="Arial" w:hAnsi="Arial" w:cs="Arial"/>
          <w:color w:val="000000" w:themeColor="text1"/>
          <w:sz w:val="22"/>
          <w:szCs w:val="22"/>
        </w:rPr>
        <w:t>размещение денежных средств в кредитных организациях;  передача в аренду движимого и (или) недвижимого имущества; передача имущества в доверительное управление; приобретение (продажа) или передача доли в уставном капитале юридического лица или его ценных бумаг; приобретение (продажа) или передача облигаций или любых других векселей другому лицу; приобретение (продажа) или передача пая в долевом инвестиционном фонде и (или) авторских прав и любых аналогичных прав, принадлежащих продавцу, другому лицу; работа по найму на основании договоров (контрактов) гражданско-правового характера или без договоров (контрактов) [4, 328-329].</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Правовой статус ИП в части его дееспособности и правоспособности определен ГК РТ, его наемных работников – Трудовым кодексом РТ, а правовой статус членов дехканского (фермерского) хозяйства и его руководителя определен Законом РТ «О дехканском (фермерском) хозяйстве» [7].</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На основе изложенного, может быть предложена следующая формулировка понятия «индивидуальный предприниматель»: ИП - это физическое лицо (гражданин РТ, иностранный гражданин, лицо без гражданство), занимающееся предпринимательской деятельностью без образования юридического лица, которое зарегистрировано в качестве ИП (на основе патента или на основе свидетельства), самостоятельно принимает хозяйственные решения и несет установленную законом ответственность. Валовой годовой доход ИП не может превышать установленный законом размер; в случае превышения указанного размера дохода данное физическое лицо должно прекратить свою индивидуальную предпринимательскую деятельность в форме ИП; оно может продолжить свою предпринимательскую деятельность, создав юридическое лицо (для ИП, функционирующего на основе патента, зарегистрироваться в качестве ИП, функционирующего на основе свидетельства).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Для сравнения приведем иное понятие ИП: «Индивидуальный предприниматель — это гражданин, физическое лицо, занимающееся предпринимательской (коммерческой) деятельностью без образования юридического лица, которое лично ведет дело от своего имени, самостоятельно принимает хозяйственные решения» </w:t>
      </w:r>
      <w:r w:rsidRPr="00DA76A7">
        <w:rPr>
          <w:rFonts w:ascii="Arial" w:hAnsi="Arial" w:cs="Arial"/>
          <w:color w:val="000000" w:themeColor="text1"/>
          <w:sz w:val="22"/>
          <w:szCs w:val="22"/>
        </w:rPr>
        <w:t>[8, 14]</w:t>
      </w:r>
      <w:r w:rsidRPr="00DA76A7">
        <w:rPr>
          <w:rFonts w:ascii="Arial" w:hAnsi="Arial" w:cs="Arial"/>
          <w:bCs/>
          <w:color w:val="000000" w:themeColor="text1"/>
          <w:sz w:val="22"/>
          <w:szCs w:val="22"/>
        </w:rPr>
        <w:t>. Здесь устанавливается требование личного ведения деятельности (в Таджикистане это требование может быть отнесено только ИП, функционирующего на основе патента), в понятии не приведено ограничение по максимальному доходу для ИП как субъекта малого предпринимательства (обычно высокий доход требует создания организационной структуры для осуществления предпринимательства), что может привести к пересечению с содержанием понятий «организация» и «юридическое лицо».</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НК РТ и иное законодательство РТ позволяет определить некоторые параметры правового регулирования ИП, стимулирующие и ограничивающие использование такой организационно-правовой формы предпринимательства. </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В частности, ст.284 НК РТ устанавливает для ИП, функционирующего на основе патента </w:t>
      </w:r>
      <w:r w:rsidRPr="00DA76A7">
        <w:rPr>
          <w:rFonts w:ascii="Arial" w:hAnsi="Arial" w:cs="Arial"/>
          <w:color w:val="000000" w:themeColor="text1"/>
          <w:sz w:val="22"/>
          <w:szCs w:val="22"/>
        </w:rPr>
        <w:t>[4, 598-599]</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документом, подтверждающим его государственную регистрацию в качестве индивидуального предпринимателя, является патент; сумма предусмотренных патентным режимом налогов должна быть уплачена предпринимателем предварительно (в авансовом порядке) за соответствующие полные налоговые периоды; деятельность осуществляется непосредственно самим физическим лицом с использованием имеющегося имущества, но без найма рабочей силы и без осуществления внешнеэкономической деятельности; виды осуществляемой ИП деятельности и фиксированный размер уплачиваемых налогоплательщиком суммы налогов определяются Правительством РТ; за календарный год валовой доход ИП, применяющего патентный режим, не может превышать 100 тысяч сомони.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Применение патентного режима освобождает ИП:</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от уплаты установленных налогов с доходов от его индивидуальной предпринимательской деятельности, за исключением подоходного налога и социального налога, включаемых непосредственно в стоимость (цену) патента;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от представления налоговой отчетности;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 от применения контрольно-кассовых машин (за исключением реализующих подакцизные товары).</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Таким образом, ИП, функционирующий на основе патента, уплачивая предварительно (в авансовом порядке) фиксированную сумму налогов, избавлен от необходимости ведения бухгалтерского учета и представления налоговых деклараций (отчетности), использования контрольно-кассовой машины.</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Более того, в целях недопущения недовольства ИП в связи с резким изменением ставок патента (обычно для учета размера инфляции, проведенных в 2004, 2008 и 2012 гг.), с </w:t>
      </w:r>
      <w:smartTag w:uri="urn:schemas-microsoft-com:office:smarttags" w:element="metricconverter">
        <w:smartTagPr>
          <w:attr w:name="ProductID" w:val="2013 г"/>
        </w:smartTagPr>
        <w:r w:rsidRPr="00DA76A7">
          <w:rPr>
            <w:rFonts w:ascii="Arial" w:hAnsi="Arial" w:cs="Arial"/>
            <w:bCs/>
            <w:color w:val="000000" w:themeColor="text1"/>
            <w:sz w:val="22"/>
            <w:szCs w:val="22"/>
          </w:rPr>
          <w:t>2013 г</w:t>
        </w:r>
      </w:smartTag>
      <w:r w:rsidRPr="00DA76A7">
        <w:rPr>
          <w:rFonts w:ascii="Arial" w:hAnsi="Arial" w:cs="Arial"/>
          <w:bCs/>
          <w:color w:val="000000" w:themeColor="text1"/>
          <w:sz w:val="22"/>
          <w:szCs w:val="22"/>
        </w:rPr>
        <w:t>. предусмотрена соответствующая инфляции индексация ставок патентной платы.</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В связи с тем, что фактический доход такого ИП в очень редких случаях контролируется (проверяется на соответствие максимально допустимому доходу), такие лица законодательно практически полностью выведены из государственного контроля и вмешательства государственных органов, что является крайне привлекательным для предпринимателей. Однако, государственные органы лишены достаточной информации о фактической прибыли таких ИП, объемах торгового оборота, оказанных услуг и выполненных работ.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Подобная ситуация с налогообложением сложилась и в отношении ИП – руководителей дехканских (фермерских) хозяйств. С </w:t>
      </w:r>
      <w:smartTag w:uri="urn:schemas-microsoft-com:office:smarttags" w:element="metricconverter">
        <w:smartTagPr>
          <w:attr w:name="ProductID" w:val="2005 г"/>
        </w:smartTagPr>
        <w:r w:rsidRPr="00DA76A7">
          <w:rPr>
            <w:rFonts w:ascii="Arial" w:hAnsi="Arial" w:cs="Arial"/>
            <w:bCs/>
            <w:color w:val="000000" w:themeColor="text1"/>
            <w:sz w:val="22"/>
            <w:szCs w:val="22"/>
          </w:rPr>
          <w:t>2005 г</w:t>
        </w:r>
      </w:smartTag>
      <w:r w:rsidRPr="00DA76A7">
        <w:rPr>
          <w:rFonts w:ascii="Arial" w:hAnsi="Arial" w:cs="Arial"/>
          <w:bCs/>
          <w:color w:val="000000" w:themeColor="text1"/>
          <w:sz w:val="22"/>
          <w:szCs w:val="22"/>
        </w:rPr>
        <w:t xml:space="preserve">. в НК РТ введен специальный налоговый режим для таких хозяйств. Согласно ст.298 НК РТ </w:t>
      </w:r>
      <w:r w:rsidRPr="00DA76A7">
        <w:rPr>
          <w:rFonts w:ascii="Arial" w:hAnsi="Arial" w:cs="Arial"/>
          <w:color w:val="000000" w:themeColor="text1"/>
          <w:sz w:val="22"/>
          <w:szCs w:val="22"/>
        </w:rPr>
        <w:t xml:space="preserve">плательщик единого налога – ИП </w:t>
      </w:r>
      <w:r w:rsidRPr="00DA76A7">
        <w:rPr>
          <w:rFonts w:ascii="Arial" w:hAnsi="Arial" w:cs="Arial"/>
          <w:color w:val="000000" w:themeColor="text1"/>
          <w:sz w:val="22"/>
          <w:szCs w:val="22"/>
          <w:lang w:val="tg-Cyrl-TJ"/>
        </w:rPr>
        <w:t xml:space="preserve">в части деятельности, облагаемой единым налогом, освобождается от уплаты </w:t>
      </w:r>
      <w:r w:rsidRPr="00DA76A7">
        <w:rPr>
          <w:rFonts w:ascii="Arial" w:hAnsi="Arial" w:cs="Arial"/>
          <w:color w:val="000000" w:themeColor="text1"/>
          <w:sz w:val="22"/>
          <w:szCs w:val="22"/>
        </w:rPr>
        <w:t>налог</w:t>
      </w:r>
      <w:r w:rsidRPr="00DA76A7">
        <w:rPr>
          <w:rFonts w:ascii="Arial" w:hAnsi="Arial" w:cs="Arial"/>
          <w:color w:val="000000" w:themeColor="text1"/>
          <w:sz w:val="22"/>
          <w:szCs w:val="22"/>
          <w:lang w:val="tg-Cyrl-TJ"/>
        </w:rPr>
        <w:t>а</w:t>
      </w:r>
      <w:r w:rsidRPr="00DA76A7">
        <w:rPr>
          <w:rFonts w:ascii="Arial" w:hAnsi="Arial" w:cs="Arial"/>
          <w:color w:val="000000" w:themeColor="text1"/>
          <w:sz w:val="22"/>
          <w:szCs w:val="22"/>
        </w:rPr>
        <w:t xml:space="preserve"> на прибыль (налог</w:t>
      </w:r>
      <w:r w:rsidRPr="00DA76A7">
        <w:rPr>
          <w:rFonts w:ascii="Arial" w:hAnsi="Arial" w:cs="Arial"/>
          <w:color w:val="000000" w:themeColor="text1"/>
          <w:sz w:val="22"/>
          <w:szCs w:val="22"/>
          <w:lang w:val="tg-Cyrl-TJ"/>
        </w:rPr>
        <w:t>а</w:t>
      </w:r>
      <w:r w:rsidRPr="00DA76A7">
        <w:rPr>
          <w:rFonts w:ascii="Arial" w:hAnsi="Arial" w:cs="Arial"/>
          <w:color w:val="000000" w:themeColor="text1"/>
          <w:sz w:val="22"/>
          <w:szCs w:val="22"/>
        </w:rPr>
        <w:t xml:space="preserve"> по упрощенному режиму для субъектов малого бизнеса); налог</w:t>
      </w:r>
      <w:r w:rsidRPr="00DA76A7">
        <w:rPr>
          <w:rFonts w:ascii="Arial" w:hAnsi="Arial" w:cs="Arial"/>
          <w:color w:val="000000" w:themeColor="text1"/>
          <w:sz w:val="22"/>
          <w:szCs w:val="22"/>
          <w:lang w:val="tg-Cyrl-TJ"/>
        </w:rPr>
        <w:t>а на</w:t>
      </w:r>
      <w:r w:rsidRPr="00DA76A7">
        <w:rPr>
          <w:rFonts w:ascii="Arial" w:hAnsi="Arial" w:cs="Arial"/>
          <w:color w:val="000000" w:themeColor="text1"/>
          <w:sz w:val="22"/>
          <w:szCs w:val="22"/>
        </w:rPr>
        <w:t xml:space="preserve"> добавленную стоимость; </w:t>
      </w:r>
      <w:r w:rsidRPr="00DA76A7">
        <w:rPr>
          <w:rFonts w:ascii="Arial" w:hAnsi="Arial" w:cs="Arial"/>
          <w:color w:val="000000" w:themeColor="text1"/>
          <w:sz w:val="22"/>
          <w:szCs w:val="22"/>
          <w:lang w:val="tg-Cyrl-TJ"/>
        </w:rPr>
        <w:t>н</w:t>
      </w:r>
      <w:r w:rsidRPr="00DA76A7">
        <w:rPr>
          <w:rFonts w:ascii="Arial" w:hAnsi="Arial" w:cs="Arial"/>
          <w:color w:val="000000" w:themeColor="text1"/>
          <w:sz w:val="22"/>
          <w:szCs w:val="22"/>
        </w:rPr>
        <w:t>алог</w:t>
      </w:r>
      <w:r w:rsidRPr="00DA76A7">
        <w:rPr>
          <w:rFonts w:ascii="Arial" w:hAnsi="Arial" w:cs="Arial"/>
          <w:color w:val="000000" w:themeColor="text1"/>
          <w:sz w:val="22"/>
          <w:szCs w:val="22"/>
          <w:lang w:val="tg-Cyrl-TJ"/>
        </w:rPr>
        <w:t>а</w:t>
      </w:r>
      <w:r w:rsidRPr="00DA76A7">
        <w:rPr>
          <w:rFonts w:ascii="Arial" w:hAnsi="Arial" w:cs="Arial"/>
          <w:color w:val="000000" w:themeColor="text1"/>
          <w:sz w:val="22"/>
          <w:szCs w:val="22"/>
        </w:rPr>
        <w:t xml:space="preserve"> с пользователей автомобильных дорог; </w:t>
      </w:r>
      <w:r w:rsidRPr="00DA76A7">
        <w:rPr>
          <w:rFonts w:ascii="Arial" w:hAnsi="Arial" w:cs="Arial"/>
          <w:color w:val="000000" w:themeColor="text1"/>
          <w:sz w:val="22"/>
          <w:szCs w:val="22"/>
          <w:lang w:val="tg-Cyrl-TJ"/>
        </w:rPr>
        <w:t>з</w:t>
      </w:r>
      <w:r w:rsidRPr="00DA76A7">
        <w:rPr>
          <w:rFonts w:ascii="Arial" w:hAnsi="Arial" w:cs="Arial"/>
          <w:color w:val="000000" w:themeColor="text1"/>
          <w:sz w:val="22"/>
          <w:szCs w:val="22"/>
        </w:rPr>
        <w:t>емельн</w:t>
      </w:r>
      <w:r w:rsidRPr="00DA76A7">
        <w:rPr>
          <w:rFonts w:ascii="Arial" w:hAnsi="Arial" w:cs="Arial"/>
          <w:color w:val="000000" w:themeColor="text1"/>
          <w:sz w:val="22"/>
          <w:szCs w:val="22"/>
          <w:lang w:val="tg-Cyrl-TJ"/>
        </w:rPr>
        <w:t>ого</w:t>
      </w:r>
      <w:r w:rsidRPr="00DA76A7">
        <w:rPr>
          <w:rFonts w:ascii="Arial" w:hAnsi="Arial" w:cs="Arial"/>
          <w:color w:val="000000" w:themeColor="text1"/>
          <w:sz w:val="22"/>
          <w:szCs w:val="22"/>
        </w:rPr>
        <w:t xml:space="preserve"> налог</w:t>
      </w:r>
      <w:r w:rsidRPr="00DA76A7">
        <w:rPr>
          <w:rFonts w:ascii="Arial" w:hAnsi="Arial" w:cs="Arial"/>
          <w:color w:val="000000" w:themeColor="text1"/>
          <w:sz w:val="22"/>
          <w:szCs w:val="22"/>
          <w:lang w:val="tg-Cyrl-TJ"/>
        </w:rPr>
        <w:t>а,  подоходного налога от доходов членов дехканского (фермерского) хозяйства</w:t>
      </w:r>
      <w:r w:rsidRPr="00DA76A7">
        <w:rPr>
          <w:rFonts w:ascii="Arial" w:hAnsi="Arial" w:cs="Arial"/>
          <w:color w:val="000000" w:themeColor="text1"/>
          <w:sz w:val="22"/>
          <w:szCs w:val="22"/>
        </w:rPr>
        <w:t xml:space="preserve"> [4, 608].</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Социальный налог в отношении работников такого ИП уплачивается в минимальном размере, установленном Правительством РТ (10 сомони в месяц) (независимо от фактически полученного дохода).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случае осуществления несельскохозяйственной деятельности, в отношении доходов от такой деятельности плательщики единого налога дополнительно становятся плательщиками других установленных налогов и ведут раздельный учет доходов и расходов по производству сельскохозяйственной и несельскохозяйственной продукции.</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Производители сельскохозяйственной продукции, удовлетворяющие условиям общего налогового режима, добровольно могут стать плательщиками земельного налога и иных налогов. ИП, реализующих сельскохозяйственную продукцию собственного производства на рынках и в других специально отведенных местах вне помещений, освобождаются от использования контрольно-кассовых машин.</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Для ИП, не являющегося сельскохозяйственным производителем и функционирующего на основе свидетельства, в ст.289 НК РТ определены следующие параметры </w:t>
      </w:r>
      <w:r w:rsidRPr="00DA76A7">
        <w:rPr>
          <w:rFonts w:ascii="Arial" w:hAnsi="Arial" w:cs="Arial"/>
          <w:color w:val="000000" w:themeColor="text1"/>
          <w:sz w:val="22"/>
          <w:szCs w:val="22"/>
        </w:rPr>
        <w:t>[4, 600-601]</w:t>
      </w:r>
      <w:r w:rsidRPr="00DA76A7">
        <w:rPr>
          <w:rFonts w:ascii="Arial" w:hAnsi="Arial" w:cs="Arial"/>
          <w:bCs/>
          <w:color w:val="000000" w:themeColor="text1"/>
          <w:sz w:val="22"/>
          <w:szCs w:val="22"/>
        </w:rPr>
        <w:t>:</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валовой годовой доход физических лиц–резидентов и нерезидентов, зарегистрированных в качестве ИП на основе свидетельства, от всех видов осуществляемой ими деятельности не может превышать 1.000.000 сомони;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ИП, функционирующие по свидетельству, в зависимости от вида деятельности и получаемого дохода, применяют в установленном порядке следующие специальные налоговые режимы: упрощенный режим налогообложения для субъектов малого предпринимательства; упрощенный режим налогообложения для сельскохозяйственных производителей; специальный режим налогообложения для субъектов игорного бизнеса;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ИП, функционирующие по свидетельству, не освобождаются от исполнения обязанностей налоговых агентов, предусмотренных НК РТ;</w:t>
      </w:r>
    </w:p>
    <w:p w:rsidR="00181BA7" w:rsidRPr="00DA76A7" w:rsidRDefault="00181BA7" w:rsidP="00181BA7">
      <w:pPr>
        <w:ind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 ИП, уплачивающие налог по упрощенному режиму, не являются плательщиками  налога на прибыль, налога с пользователей автомобильных дорог, подоходного налога непосредственно с доходов индивидуального предпринимателя, функционирующего по свидетельству, и налога на добавленную стоимость.</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 Такой ИП имеет право найма рабочей силы, на осуществление внешнеэкономической деятельности, обязан вести бухгалтерский учет в упрощенной форме и использовать контрольно-кассовую машину. ИП уплачивает налог по упрощенной системе ежеквартально по кассовому методу.</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Материальная ответственность любого ИП не ограничена, т.е. при наличии задолженности данное ИП возмещает их за счет всего имеющегося у него имущества.</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В Российской Федерации предусмотрены некоторые особенности легитимации и осуществления деятельности физического лица – ИП </w:t>
      </w:r>
      <w:r w:rsidRPr="00DA76A7">
        <w:rPr>
          <w:rFonts w:ascii="Arial" w:hAnsi="Arial" w:cs="Arial"/>
          <w:color w:val="000000" w:themeColor="text1"/>
          <w:sz w:val="22"/>
          <w:szCs w:val="22"/>
        </w:rPr>
        <w:t>[10, 161]</w:t>
      </w:r>
      <w:r w:rsidRPr="00DA76A7">
        <w:rPr>
          <w:rFonts w:ascii="Arial" w:hAnsi="Arial" w:cs="Arial"/>
          <w:bCs/>
          <w:color w:val="000000" w:themeColor="text1"/>
          <w:sz w:val="22"/>
          <w:szCs w:val="22"/>
        </w:rPr>
        <w:t>:</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для регистрации в качестве индивидуального предпринимателя не требуется стартовый капитал (в отличие от коммерческих организаций, формирующих уставный (складочный) капитал);</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меньшее количество документов представляется в регистрирующий орган (нет учредительных документов);</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предприниматель не обязан вести бухгалтерский учет. Он ведет только налоговый учет, отражая хозяйственные операции в книге учета доходов и расходов, зарегистрированной в налоговом органе;</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в отношении индивидуального предпринимателя применяется судебный порядок взыскания налогов, а с юридических лиц налоги могут быть взысканы во внесудебном порядке.</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В отличие от указанных видов ИП, юридические лица как организации несут сравнительно большие обязанности по ведению бухгалтерского учета, предоставлению налоговой, статистической и иной отчетности, т.е. их деятельность несколько более прозрачна и контролируема государственными органами. </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С точки зрения налогообложения коммерческие юридические лица (за исключением субъектов малого бизнеса) являются плательщиками налога на добавленную стоимость, что при ставке 18% в такой же размер предусматривает повышение цены реализуемых этими лицами товаров (работ, услуг). Более того, в связи с развитием налогового администрирования этот налог позволяет осуществлять контроль как за поставщиками, так и за покупателями товаров (работ, услуг) этих юридических лиц. Налоги уплачиваются с доходов, исчисленных по методу начислений (не с фактически полученного дохода, а с дохода, который должен был быть получен).</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В дополнение к этому дивиденды, уплачиваемые юридическими лицами его участникам (акционерам) при распределении чистой прибыли по итогам финансового года, облагаются дополнительными налогами (для ИП дополнительного обложения налогами прибыли после уплаты налогов законодательство не устанавливает).</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Однако, в отличие от ИП, коммерческие юридические лица еще в начале своей деятельности ограничивают размер своей ответственности, чему способствовало принятие Закона РТ «О государственной регистрации юридических лиц и индивидуальных предпринимателей», в соответствие с которым были резко снижены законодательно установленные суммы минимального размера уставного капитала коммерческих юридических лиц.</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Возможно, в условиях развивающегося рынка Таджикистана, недостаточного количества реальных товаропроизводителей и других причин, приведенные различия правовой характеристики ИП и юридических лиц обусловили большую привлекательность для субъектов предпринимательства такой организационно-правовой формы как ИП.</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Гражданский кодекс Республики Таджикистан (часть первая) от 30 июня 1999 года, №802 // Ахбори Маджлиси Оли Республики Таджикистан, 1999г., № 6, ст.153,154.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Гражданский кодекс Республики Казахстан (часть первая) от 27.12.1994, </w:t>
      </w:r>
      <w:r w:rsidRPr="00DA76A7">
        <w:rPr>
          <w:rFonts w:ascii="Arial" w:hAnsi="Arial" w:cs="Arial"/>
          <w:color w:val="000000" w:themeColor="text1"/>
          <w:sz w:val="22"/>
          <w:szCs w:val="22"/>
          <w:shd w:val="clear" w:color="auto" w:fill="FFFAFA"/>
        </w:rPr>
        <w:t xml:space="preserve">№ 269-XII // </w:t>
      </w:r>
      <w:r w:rsidRPr="00DA76A7">
        <w:rPr>
          <w:rFonts w:ascii="Arial" w:hAnsi="Arial" w:cs="Arial"/>
          <w:color w:val="000000" w:themeColor="text1"/>
          <w:sz w:val="22"/>
          <w:szCs w:val="22"/>
          <w:shd w:val="clear" w:color="auto" w:fill="FFFFFF"/>
        </w:rPr>
        <w:t>Ведомости Верховного Совета Республики Казахстан, 1994 г., N 23-24 (приложение).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Гражданский кодекс Российской Федерации (часть первая) от 30.11.1994 №51-ФЗ </w:t>
      </w:r>
      <w:r w:rsidRPr="00DA76A7">
        <w:rPr>
          <w:rFonts w:ascii="Arial" w:hAnsi="Arial" w:cs="Arial"/>
          <w:color w:val="000000" w:themeColor="text1"/>
          <w:sz w:val="22"/>
          <w:szCs w:val="22"/>
          <w:shd w:val="clear" w:color="auto" w:fill="FFFFFF"/>
        </w:rPr>
        <w:t> // Собрание законодательства РФ. – 1994. - № 32. - Ст. 3301.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Налоговый кодекс Республики Таджикистан (на таджикском и русском языке). – Душанбе: Издательство «Шарки Озод», 2017. – 672 с.</w:t>
      </w:r>
    </w:p>
    <w:p w:rsidR="00181BA7" w:rsidRPr="00DA76A7" w:rsidRDefault="00181BA7" w:rsidP="00181BA7">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5. Закон Республики Таджикистана «О государственной защите и поддержке предпринимательства» //</w:t>
      </w:r>
      <w:r w:rsidRPr="00DA76A7">
        <w:rPr>
          <w:rFonts w:ascii="Arial" w:hAnsi="Arial" w:cs="Arial"/>
          <w:color w:val="000000" w:themeColor="text1"/>
          <w:sz w:val="22"/>
          <w:szCs w:val="22"/>
        </w:rPr>
        <w:t>Ахбори Маджлиси Оли Республики Таджикистан, 2014 г., №7, ч.2, ст. 404.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Закон РТ «О государственной регистрации юридических лиц и индивидуальных предпринимателей» // Ахбори Маджлиси Оли Республики Таджикистан, 2009 г., №5, ст. 316.</w:t>
      </w:r>
    </w:p>
    <w:p w:rsidR="00181BA7" w:rsidRPr="00DA76A7" w:rsidRDefault="00181BA7" w:rsidP="00181BA7">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Закон РТ «О дехканском (фермерском) хозяйстве» // Ахбори Маджлиси Оли Республики Таджикистан, 2016г, №3 ст.142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Газарян Э.Э. Значение организационно-правовой формы субъектов малого бизнеса «индивидуальный предприниматель» и «общество с ограниченной ответственностью» (ИП и ООО) для развития рыночной экономики // Международный научный журнал «Молодой ученый». - №8.1 (112.1.). – 2016. – с.13-15.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9. Гражданское право. Общая часть. Курс лекций. Алматы: Нурпресс, 2006. – 722 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10. «Российское предпринимательское право: Учебник (отв. ред. И.В. Ершова, Г.Д. Отнюкова). – М.: Проспект, 2011. – 709 с.</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ПРАВОВАЯ ХАРАКТЕРИСТИКА ХОЗЯЙСТВЕННЫХ ТОВАРИЩЕСТВ И ОБЩЕСТВ</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Кабиров Сиёвуш Озодбахтович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(Cлавянский)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тел.: (+992) 2230460,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165" w:history="1">
        <w:r w:rsidRPr="00DA76A7">
          <w:rPr>
            <w:rStyle w:val="af0"/>
            <w:rFonts w:ascii="Arial" w:hAnsi="Arial" w:cs="Arial"/>
            <w:color w:val="000000" w:themeColor="text1"/>
            <w:sz w:val="22"/>
            <w:szCs w:val="22"/>
            <w:u w:val="none"/>
            <w:lang w:val="en-US"/>
          </w:rPr>
          <w:t>kabirov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s</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181BA7" w:rsidRPr="00DA76A7" w:rsidRDefault="00181BA7" w:rsidP="00181BA7">
      <w:pPr>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CHARACTERISTICS OF ECONOMIC PARTNERSHIPS AND SOCIETIES</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Kabirov Siyovush Ozodbahtovich</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3nd year student of full-time department of the law of faculty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2230460,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166" w:history="1">
        <w:r w:rsidRPr="00DA76A7">
          <w:rPr>
            <w:rStyle w:val="af0"/>
            <w:rFonts w:ascii="Arial" w:hAnsi="Arial" w:cs="Arial"/>
            <w:color w:val="000000" w:themeColor="text1"/>
            <w:sz w:val="22"/>
            <w:szCs w:val="22"/>
            <w:u w:val="none"/>
            <w:lang w:val="en-US"/>
          </w:rPr>
          <w:t>kabirov-s@mail.ru</w:t>
        </w:r>
      </w:hyperlink>
    </w:p>
    <w:p w:rsidR="00181BA7" w:rsidRPr="00DA76A7" w:rsidRDefault="00181BA7" w:rsidP="00181BA7">
      <w:pPr>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Султонова Т.И.</w:t>
      </w:r>
    </w:p>
    <w:p w:rsidR="00181BA7" w:rsidRPr="00DA76A7" w:rsidRDefault="00181BA7" w:rsidP="00181BA7">
      <w:pPr>
        <w:ind w:firstLine="567"/>
        <w:rPr>
          <w:rFonts w:ascii="Arial" w:hAnsi="Arial" w:cs="Arial"/>
          <w:b/>
          <w:color w:val="000000" w:themeColor="text1"/>
          <w:sz w:val="22"/>
          <w:szCs w:val="22"/>
        </w:rPr>
      </w:pP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рассматриваются общие и отличительные черты хозяйственных обществ и хозяйственные товариществ. Делается вывод, что несмотря на большое количество общих черт, хозяйственные общества и товарищества имеют ряд различий, которые предопределяют самобытность каждой из этих организационно-правовых форм юридических лиц. Гражданский кодекс Республики Таджикистан, отражая известную германскую традицию, характеризует хозяйственные товарищества как объединения лиц, а хозяйственные общества – как объединения капиталов.</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examines the general and distinctive features of economic societies and economic partnerships. It is concluded that despite a large number of common features, business associations and partnerships have a number of differences that predetermine the identity of each of these organizational and legal forms of legal entities. The Civil Code of the Republic of Tajikistan, reflecting the well-known German tradition, characterizes economic partnerships as associations of individuals, and economic companies - as a pool of capital.</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хозяйственные общества, хозяйственные товарищества, объединения лиц, объединение капиталов, коммерческие организации.</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economic companies, economic partnerships, associations of persons, association of capitals, commercial organizations.</w:t>
      </w:r>
    </w:p>
    <w:p w:rsidR="00181BA7" w:rsidRPr="00DA76A7" w:rsidRDefault="00181BA7" w:rsidP="00181BA7">
      <w:pPr>
        <w:ind w:firstLine="567"/>
        <w:jc w:val="center"/>
        <w:rPr>
          <w:rFonts w:ascii="Arial" w:hAnsi="Arial" w:cs="Arial"/>
          <w:b/>
          <w:color w:val="000000" w:themeColor="text1"/>
          <w:sz w:val="22"/>
          <w:szCs w:val="22"/>
          <w:lang w:val="en-US"/>
        </w:rPr>
      </w:pPr>
    </w:p>
    <w:p w:rsidR="00181BA7" w:rsidRPr="00DA76A7" w:rsidRDefault="00181BA7" w:rsidP="00181BA7">
      <w:pPr>
        <w:ind w:firstLine="567"/>
        <w:jc w:val="both"/>
        <w:rPr>
          <w:rFonts w:ascii="Arial" w:hAnsi="Arial" w:cs="Arial"/>
          <w:b/>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Современный хозяйственный оборот представлен разнообразными организационно-правовыми формами юридических лиц. Однако самыми распространенными формами ведения предпринимательской деятельности в Республике Таджикистан являются хозяйственные товарищества и общества.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Данные организационно-правовые формы юридических лиц имеют много общих признаков. Во-первых, и хозяйственное общество, и хозяйственное товарищество являются коммерческими организациями, потому что главным критерием отнесения юридического лица к категории хозяйственного товарищества и общества является наличие в качестве основной цели их деятельности извлечения прибыли.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Во-вторых, они создаются на добровольной основе на началах членства. И товарищества, и общества представляют собой договорные объединения, которые создаются двумя или более лицами для совместного ведения предпринимательской деятельности под именем юридического лица [4, 85].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В-третьих, они наделены законом общей (универсальной) правоспособностью. Это означает, что они приобретают право собственности на имущество, полученное в результате их деятельности, а конечную прибыль могут распределять между своими участниками. И хозяйственные общества, и хозяйственные товарищества становятся единственными собственниками имущества, которое формируется за счёт вкладов их учредителей (участников), а также имущества, которое производится и приобретается в процессе их хозяйственной деятельности. Это делает данные виды юридических лиц самостоятельными, полноценными участниками гражданского оборота. </w:t>
      </w:r>
    </w:p>
    <w:p w:rsidR="00181BA7" w:rsidRPr="00DA76A7" w:rsidRDefault="00181BA7" w:rsidP="00181BA7">
      <w:pPr>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Для правосубъектности важное юридическое значение имеет момент её возникновения. Как по этому поводу высказывается Ю.А. Тихомиров, «государственная регистрация как бы открывает дорогу юридическим и физическим лицам для экономической и иной деятельности» [5, 23-28]. В соответствии с п.3 ст. 49 Гражданского кодекса РТ, правоспособность юридического лица возникает в момент его создания  и прекращается в момент завершения его ликвидации.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В-четвёртых, и хозяйственные общества, и хозяйственные товарищества характеризуются наличием уставного (в обществах) или складочного (в товариществах) капитала, разделенного на доли (вклады) учредителей (участников). Под уставным (складочным) капиталом понимается суммарная стоимость вкладов, которые вносятся учредителями (участниками) в товарищество или общество. В процессе хозяйственной деятельности товарищества или общества стоимость этих вкладов может быть увеличена за счет прибылей, которые получает товарищество и общество, а также за счёт иных источников, не запрещённых законом. Уставный (складочный) капитал по сути дела определяет исходную материальную базу деятельности хозяйственных товариществ и обществ и минимальный размер имущества, гарантирующего интересы их кредиторов [2, 341].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уставной (складочный) капитал хозяйственных товариществ и обществ выполняет следующие функции: 1) он обеспечивает минимальную имущественную основу деятельности обществ и товариществ; 2) гарантирует имущественные интересы кредиторов товариществ и обществ; 3) выступает в качестве правовой конструкции, в рамках которой обеспечивается распределение и фиксация корпоративного контроля участников хозяйственных товариществ и обществ над юридическим лицом.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В-пятых, учредители (участники) товарищества и общества не являются собственниками  имущества, переданного в уставной (складочный) капитал. Всё, что приобретается от имени хозяйственных обществ и товариществ, принадлежит самому юридическому лицу, а не его участникам.</w:t>
      </w:r>
    </w:p>
    <w:p w:rsidR="00181BA7" w:rsidRPr="00DA76A7" w:rsidRDefault="00181BA7" w:rsidP="00181BA7">
      <w:pPr>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Итак, в Гражданском кодексе РТ хозяйственные товарищества и общества определяются как коммерческие организации с разделённым на доли (вклады) учредителей (участников) уставным (складочным) капиталом. Имущество, созданное за счёт вкладов учредителей (участников), а также произведенное и приобретенное хозяйственным товариществом и обществом в процессе его деятельности, принадлежит ему на праве собственности (п. 1 ст. 69 Гражданского кодекса РТ).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 товарищества и общества относятся к организациям корпоративного характера. Это сходство предопределяет их однотипную структуру корпоративного управления, где высшим органом управления признаётся общее собрание их участников (акционеров). Участники товариществ и обществ во многом имеют сходные права и обязанности, которые условно можно разделить на корпоративные и обязательственные. Они определены в ст. </w:t>
      </w:r>
      <w:bookmarkStart w:id="39" w:name="A000000075"/>
      <w:bookmarkEnd w:id="39"/>
      <w:r w:rsidRPr="00DA76A7">
        <w:rPr>
          <w:rFonts w:ascii="Arial" w:hAnsi="Arial" w:cs="Arial"/>
          <w:color w:val="000000" w:themeColor="text1"/>
          <w:sz w:val="22"/>
          <w:szCs w:val="22"/>
        </w:rPr>
        <w:t>70 Гражданского кодекса РТ. В частности, участники хозяйственного товарищества или общества вправе: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-участвовать в управлении делами товарищества или общества;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-получать информацию о деятельности товарищества или общества и знакомиться с его бухгалтерскими книгами и иной документацией в установленном учредительными документами порядке;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-принимать участие в распределении прибыли;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-получать, в случае ликвидации товарищества или общества, часть имущества, оставшегося после расчетов с кредиторами, или его стоимость.</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Все перечисленные права находят отражение в доле участника в уставном (складочном) капитале общества или товарищества.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качестве обязанностей участников хозяйственного товарищества или общества определены следующие действия (бездействие):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вносить вклады в порядке, размерах, способами и в срок, которые предусмотрены учредительными документами;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не разглашать конфиденциальную информацию о деятельности товарищества или общества.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Сходство хозяйственных товариществ и обществ делает возможным их реорганизацию в форме преобразования из товариществ и обществ одного вида в товарищества и общества другого вида. Такая возможность предусмотрена в п.1 ст. 71 Гражданского кодекса РТ.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такое большое количество общих черт, хозяйственные общества и товарищества имеют ряд различий, которые предопределяют самобытность каждой из этих организационно-правовых форм юридических лиц.</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Гражданский кодекс Республики Таджикистан, отражая известную германскую традицию, характеризует хозяйственные товарищества как объединения лиц, а хозяйственные общества – как объединения капиталов. Рассмотрим подробнее, что означают эти термины.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i/>
          <w:color w:val="000000" w:themeColor="text1"/>
          <w:sz w:val="22"/>
          <w:szCs w:val="22"/>
        </w:rPr>
        <w:t>Объединения лиц</w:t>
      </w:r>
      <w:r w:rsidRPr="00DA76A7">
        <w:rPr>
          <w:rFonts w:ascii="Arial" w:hAnsi="Arial" w:cs="Arial"/>
          <w:color w:val="000000" w:themeColor="text1"/>
          <w:sz w:val="22"/>
          <w:szCs w:val="22"/>
        </w:rPr>
        <w:t xml:space="preserve"> означает, что кроме имущественных вкладов необходимо личное участие участников товарищества в его делах. Участники обязаны сами вести дела товарищества, не привлекая к ним сторонних лиц, как это допустимо в хозяйственных обществах. Исходя из такой особенности товарищества, законодатель предъявляет особые требования к правовому статусу участника товарищества – согласно п.4 ст. 69 Гражданского кодекса РТ участниками полных товариществ и полными товарищами в товариществах на вере могут быть исключительно индивидуальные предприниматели и (или) коммерческие организации. Однако здесь следует отметить, что отдельный предприниматель или отдельная коммерческая организация могут быть участником лишь одного товарищества. Такое требование обусловлено не только с необходимостью личного участия в деятельности товарищества, но и с тем обстоятельством, что участники товариществ несут по обязательствам товариществ неограниченную ответственность личным имуществом в случае, если у товарищества имеется недостаток собственного имущества [3, 41]. То есть товарищи отвечают всем своим имуществом по возможным долгам образованного ими товарищества, а отвечать одним и тем же имуществом по возможным долгам нескольких самостоятельных субъектов является недопустимым.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Исключение составляет фигура вкладчика в товариществе на вере, который может быть вкладчиком одновременно в нескольких товариществах на вере. Это связано с тем, что фигура вкладчика по сути дела схожа по правовому статусу с фигурой участника хозяйственного общества.</w:t>
      </w:r>
    </w:p>
    <w:p w:rsidR="00181BA7" w:rsidRPr="00DA76A7" w:rsidRDefault="00181BA7" w:rsidP="00181BA7">
      <w:pPr>
        <w:ind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В отличие от этого хозяйственные общества характеризуются как объединения капиталов.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Cs/>
          <w:i/>
          <w:color w:val="000000" w:themeColor="text1"/>
          <w:sz w:val="22"/>
          <w:szCs w:val="22"/>
        </w:rPr>
        <w:t>Объединения капиталов</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 xml:space="preserve">не ставит во главу угла обязательное личное участие учредителей (участников) общества в его делах. Исходя из этого, участниками общества могут быть любые физические и юридические лица, а не только имеющие предпринимательский статус. Такая особенность обществ указывает на то, что таким юридическим лицам не характерны какие-либо доверительные отношения их участников. Ввиду этого в обществах имеются гораздо более широкие, чем в товариществах, возможности изменения состава их участников. Особенно это наглядно видно в акционерных обществах открытого типа. Изменение численного и содержательного состава участников общества не влияет на его существование.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отличие от этого в хозяйственных товариществах отношения между участниками, как правило, имеют лично-доверительный характер и исключается или серьезно ограничивается перемена товарищей или уступку ими своего членства другим лицам.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силу того, что участники товарищества действуют от его имени, они не нуждаются в специальных исполнительных органах юридического лица. В этой связи структура управления товариществом характеризуется простотой и не требует специального закрепления в уставных документах. Именно поэтому единственным учредительным документом товарищества является учредительный договор. Их зачастую называют договорными объединениями и их статус в большей части определяется диспозитивными нормами закона.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отличие от этого в хозяйственных обществах является необходимым создание специальных исполнительных органов юридического лица, которые подчиняются воле общего собрания его участников. Этим мы хотим сказать, что для хозяйственных обществ характерной является сложная (многозвенной) структуры управления компанией, которая требуют специального оформления в ее уставе. Именно поэтому устав является обязательным необходимым учредительным документом в хозяйственном обществе. В этой связи общества называют уставными объединениями и их статус в большей части определяется императивными нормами закона.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хозяйственных обществах в отличие от товариществ отсутствует личная ответственность их участников по долгам общества. В качестве исключения законодатель называет конструкцию общества с дополнительной ответственностью. Но именно по причине дополнительной ответственности в Республике Таджикистан со времён принятия Гражданского кодекса РТ не зарегистрировано ни одного общества с дополнительной ответственностью.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Ввиду нехарактерности для обществ личной ответственности участников, участником общества вполне может быть одно лицо. Общества могут создаваться одним лицом посредством объединения и обособления части их имущества для ведения предпринимательской деятельности. Так, в соответствии с п.5 ст. 109 Гражданского кодекса РТ, акционерное общество может быть создано одним лицом или состоять из одного лица в случае приобретения одним акционером всех акций общества. Данные об этом должны содержаться в уставе общества и Едином государственном реестре юридических лиц и индивидуальных предпринимателей и опубликованы для всеобщего ознакомления.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хозяйственных товариществах в отличие от обществ большое значение имеет личный элемент. Именно поэтому выход полного товарища из состава юридического лица по сути дела приводит к прекращению деятельности товарищества. Очевидным является также то обстоятельство, что товарищество не может быть создано одним лицом, потому что ему не с кем будет заключать учредительный договор.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Иными словами, в товариществе как минимум один участник является полным товарищем и несёт ответственность по обязательствам товарищества всем своим имуществом. Это создаёт дополнительные гарантии прав кредиторов товарищества. Хозяйственное товарищество являет собой договорное объединение лиц в целях осуществления предпринимательской деятельности, которые несут неограниченную ответственность своим имуществом по обязательствам товарищества. По этому поводу Г.Ф. Шершеневич высказывался, что такая неограниченная ответственность товарищей всем своим имуществом вполне отвечает интересам общества, потому что значительно укрепляет кредит товарищества. Однако это является весьма невыгодным для самих товарищей. Потому что угрожает имущественной опасностью каждому участнику. Именно поэтому конструкция товариществ, по общему правила, предусматривает небольшое число участников, которые хорошо знают друг друга и питают полное взаимное доверие друг к другу [6].</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свою очередь, гарантией прав кредиторов в хозяйственных обществах является его имущество, потому что только за счёт этого имущества, а не за счёт имущества участников общества могут удовлетворяться требования кредиторов.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Помимо этого, в хозяйственных обществах степень обособления имущества и имущественной ответственности юридического лица от имущества учредителей существенно выше, чем в товариществах.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говорить о конструкции хозяйственного товарищества, то в связи с названными особенностями данной организационно-правовой формы юридического лица, в юридической литературе высказывалось мнение, что в строгом смысле их нельзя отнести к юридическому лицу в том значении, какое юридическому лицу придаёт гражданское законодательство [1, 86]. Во-первых, основное назначение института юридического лица состоит в ограничении хозяйственного риска его участников. В этом смысле конструкция хозяйственного товарищества не способствует достижению этой цели, потому что не снижает предпринимательских риска своих участников.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Во-вторых, характерным признаком юридического лица является организационное единство. Данный признак находит выражение в определённой иерархии и соподчинённости органов управления юрического лица, которые составляют его структуру. В этом смысле в силу того, что в основе образования хозяйственного товарищества лежит договор, оно, как юридическое лицо, по сути, не имеет органы управления и исполнительные органы, с помощью которых оно могло бы формировать и изъявлять волю от имени юридического лица третьим лицам. В хозяйственном товариществе отсутствует организационная структура, потому что управление его деятельностью находится в руках самих товарищи без формирования каких-либо органов юридического лица.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Единственным учредительным документом хозяйственного товарищества является учредительный договор. Его участниками являются только товарищи. Что касается вкладчиков, то они не являются его участниками. При этом в учредительном договоре предусматриваются определенные обязанности самого товарищества, как юридического лица, и вкладчиков в коммандитном товариществе. То есть этим мы хотим сказать, что в учредительном договоре хозяйственного товарищества предусматриваются права и обязанности лиц, которые не участвуют в его заключении.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бы там ни было, какими бы точками зрения ни изобиловала гражданско-правовая доктрина, в Гражданском кодексе РТ хозяйственное товарищество имеет статус юридического лица со всеми вытекающими из этого статуса последствиями.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вышеизложенное в настоящем параграфе позволяет выявить следующие отличия хозяйственных товариществ и обществ: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 суть хозяйственных товариществ состоит в объединении лиц для совместной предпринимательской деятельности, а значение хозяйственных обществ заключается в объединении капиталов;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 в хозяйственных товариществах требуется личное участие его участников в деятельности товарищества, которые именуются полными товарищами. Поэтому одно лицо (полный товарищ) может находиться в составе только одного хозяйственного товарищества. В отличие от этого в хозяйственных обществах личное участие в делах общества не требуется, хотя и не исключается. Поэтому одно лицо может быть участником сразу нескольких хозяйственных обществ;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в силу того, что в хозяйственных товариществах полные участники обязаны принимать личное участие в его деятельности товариществ, большое значение имеют личные качества самих участников. Сами по себе вклады в складочный капитал не приобретают решающее значение в деятельности товариществ. В отличие от этого, в хозяйственных обществах главное значение имеет уставной капитал, который формируется участниками. Этим капиталом могут управлять только профессионально подготовленные лица, а не участники общества (акционеры). В этой связи личность участников обществ не имеет решающего значения.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 имеются отличия и в субъектном составе хозяйственных товариществ и обществ. В состав полного товарищества и полными товарищами в товариществах на вере могут быть исключительно индивидуальные предприниматели, а также коммерческие юридические лица. Что касается участников хозяйственных обществ, то таковыми могут быть любые физические и юридические лица, а не только индивидуальные предприниматели и коммерческие организации;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 имеются определённые отличия в части ответственности учредителей (участников) хозяйственных товариществ и обществ по обязательствам товариществ и обществ. По общему правилу, участники полного товарищества и полные товарищи в товариществе на вере солидарно несут субсидиарную ответственность своим имуществом по обязательствам товарищества. Что касается участников хозяйственных обществ, то они  не несу ответственность по обязательствам общества, а всего лишь рискуют понести убытки, возникшие в результате деятельности общества, в пределах стоимости внесённых ими вкладов (или принадлежащих им акций, если речь идёт об акционерных обществах);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 гражданское законодательство Республики Таджикистан предусматривает две формы хозяйственных товариществ: полные товарищества и товарищества на вере (коммандитные товарищества. Что касается хозяйственных обществ, то в Гражданском кодексе РТ предусмотрены три их формы: акционерные общества, общества с ограниченной ответственностью и общества с дополнительной ответственностью.</w:t>
      </w: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f2"/>
        <w:numPr>
          <w:ilvl w:val="0"/>
          <w:numId w:val="63"/>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Белов В.А. Гражданское право: Общая и Особенная части: Учебник. - М.: АО «Центр ЮрИнфоР», 2003. - 960 c.</w:t>
      </w:r>
    </w:p>
    <w:p w:rsidR="00181BA7" w:rsidRPr="00DA76A7" w:rsidRDefault="00181BA7" w:rsidP="00D45D6B">
      <w:pPr>
        <w:pStyle w:val="a6"/>
        <w:numPr>
          <w:ilvl w:val="0"/>
          <w:numId w:val="63"/>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Комментарий к Гражданскому кодексу Российской Федерации Комментарий к Гражданскому кодексу Российской Федерации, части первой: в 3 т. (постатейный) / Т.Е. Абова, З.С. Беляева, Е.Н. Гендзехадзе и др.; под ред. Т.Е. Абовой, А.Ю. Кабалкина. 3-е изд., перераб. и доп. - М.: Юрайт-Издат, 2007. Т. 1. – 1060 с. </w:t>
      </w:r>
    </w:p>
    <w:p w:rsidR="00181BA7" w:rsidRPr="00DA76A7" w:rsidRDefault="00181BA7" w:rsidP="00D45D6B">
      <w:pPr>
        <w:pStyle w:val="a6"/>
        <w:numPr>
          <w:ilvl w:val="0"/>
          <w:numId w:val="63"/>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Российское гражданское право: учебник: в 2 т. - М.: Статут, 2011. Т. 1.  –</w:t>
      </w:r>
      <w:r w:rsidRPr="00DA76A7">
        <w:rPr>
          <w:rFonts w:ascii="Arial" w:hAnsi="Arial" w:cs="Arial"/>
          <w:color w:val="000000" w:themeColor="text1"/>
          <w:lang w:val="en-US"/>
        </w:rPr>
        <w:t xml:space="preserve"> </w:t>
      </w:r>
      <w:r w:rsidRPr="00DA76A7">
        <w:rPr>
          <w:rFonts w:ascii="Arial" w:hAnsi="Arial" w:cs="Arial"/>
          <w:color w:val="000000" w:themeColor="text1"/>
        </w:rPr>
        <w:t xml:space="preserve">958 с. </w:t>
      </w:r>
    </w:p>
    <w:p w:rsidR="00181BA7" w:rsidRPr="00DA76A7" w:rsidRDefault="00181BA7" w:rsidP="00D45D6B">
      <w:pPr>
        <w:pStyle w:val="a6"/>
        <w:numPr>
          <w:ilvl w:val="0"/>
          <w:numId w:val="63"/>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Терновая О.А. Правосубъектность хозяйственных обществ и товариществ в России и во Франции // Журнал российского права. - 2012. - № 12. – С. 84 - 90. </w:t>
      </w:r>
    </w:p>
    <w:p w:rsidR="00181BA7" w:rsidRPr="00DA76A7" w:rsidRDefault="00181BA7" w:rsidP="00D45D6B">
      <w:pPr>
        <w:pStyle w:val="af2"/>
        <w:numPr>
          <w:ilvl w:val="0"/>
          <w:numId w:val="63"/>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Тихомиров М.Ю. Государственная регистрация статусов юридических и физических лиц, их юридических действий и актов // Право и экономика. - 2000. - № 1. - С. 23-28.</w:t>
      </w:r>
    </w:p>
    <w:p w:rsidR="00181BA7" w:rsidRPr="00DA76A7" w:rsidRDefault="00181BA7" w:rsidP="00D45D6B">
      <w:pPr>
        <w:pStyle w:val="af2"/>
        <w:numPr>
          <w:ilvl w:val="0"/>
          <w:numId w:val="63"/>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Шершеневич Г.Ф. Курс торгового права. [Электронный ресурс]. СПб., 1908. Т. I. Доступ из справ-правовой системы «Гарант».</w:t>
      </w:r>
    </w:p>
    <w:p w:rsidR="00181BA7" w:rsidRPr="00DA76A7" w:rsidRDefault="00181BA7" w:rsidP="00181BA7">
      <w:pPr>
        <w:tabs>
          <w:tab w:val="left" w:pos="851"/>
        </w:tabs>
        <w:ind w:firstLine="567"/>
        <w:jc w:val="both"/>
        <w:rPr>
          <w:rFonts w:ascii="Arial" w:hAnsi="Arial" w:cs="Arial"/>
          <w:color w:val="000000" w:themeColor="text1"/>
          <w:sz w:val="22"/>
          <w:szCs w:val="22"/>
        </w:rPr>
      </w:pPr>
    </w:p>
    <w:p w:rsidR="00181BA7" w:rsidRPr="00DA76A7" w:rsidRDefault="00181BA7" w:rsidP="00181BA7">
      <w:pPr>
        <w:tabs>
          <w:tab w:val="left" w:pos="3402"/>
        </w:tabs>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ПРАВОВОЙ РЕЖИМ ПОЛНЫХ ТОВАРИЩЕСТВ В ГРАЖДАНСКОМ ПРАВЕ РЕСПУБЛИКИ ТАДЖИКИСТАН</w:t>
      </w: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Кабиров Сиёвуш Озодбахтович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(Cлавянский)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тел.: (+992) 2230460,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167" w:history="1">
        <w:r w:rsidRPr="00DA76A7">
          <w:rPr>
            <w:rStyle w:val="af0"/>
            <w:rFonts w:ascii="Arial" w:hAnsi="Arial" w:cs="Arial"/>
            <w:color w:val="000000" w:themeColor="text1"/>
            <w:sz w:val="22"/>
            <w:szCs w:val="22"/>
            <w:u w:val="none"/>
            <w:lang w:val="en-US"/>
          </w:rPr>
          <w:t>kabirov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s</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REGULATION OF THE COMPLETE COMMUNITIES IN THE CIVIL RIGHTS OF THE REPUBLIC OF TAJIKISTAN</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Kabirov Siyovush Ozodbahtovich</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2230460,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168" w:history="1">
        <w:r w:rsidRPr="00DA76A7">
          <w:rPr>
            <w:rStyle w:val="af0"/>
            <w:rFonts w:ascii="Arial" w:hAnsi="Arial" w:cs="Arial"/>
            <w:color w:val="000000" w:themeColor="text1"/>
            <w:sz w:val="22"/>
            <w:szCs w:val="22"/>
            <w:u w:val="none"/>
            <w:lang w:val="en-US"/>
          </w:rPr>
          <w:t>kabirov-s@mail.ru</w:t>
        </w:r>
      </w:hyperlink>
    </w:p>
    <w:p w:rsidR="00181BA7" w:rsidRPr="00DA76A7" w:rsidRDefault="00181BA7" w:rsidP="00181BA7">
      <w:pPr>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Султонова Т.И.</w:t>
      </w:r>
    </w:p>
    <w:p w:rsidR="00181BA7" w:rsidRPr="00DA76A7" w:rsidRDefault="00181BA7" w:rsidP="00181BA7">
      <w:pPr>
        <w:ind w:firstLine="567"/>
        <w:rPr>
          <w:rFonts w:ascii="Arial" w:hAnsi="Arial" w:cs="Arial"/>
          <w:b/>
          <w:color w:val="000000" w:themeColor="text1"/>
          <w:sz w:val="22"/>
          <w:szCs w:val="22"/>
        </w:rPr>
      </w:pP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рассматриваются особенности правовой характеристики полного товарищества. Принципиальная особенность полного товарищества заключается в том, что не только само товарищество как коммерческая организация, но и его участники (полные товарищи) солидарно несут ответственность по обязательствам товарищества всем своим имуществом.</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the article features of a legal characteristic of a full partnership are considered. The fundamental feature of a full partnership is that not only the partnership itself as a commercial organization, but also its participants (full comrades) are jointly and severally liable for the obligations of the partnership with all their assets.</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хозяйственные товарищества, полные товарищи, субсидиарная ответственность, объединения лиц.</w:t>
      </w:r>
    </w:p>
    <w:p w:rsidR="00181BA7" w:rsidRPr="00DA76A7" w:rsidRDefault="00181BA7" w:rsidP="00181BA7">
      <w:pPr>
        <w:ind w:firstLine="567"/>
        <w:jc w:val="both"/>
        <w:rPr>
          <w:rFonts w:ascii="Arial" w:hAnsi="Arial" w:cs="Arial"/>
          <w:bCs/>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w:t>
      </w:r>
      <w:r w:rsidRPr="00DA76A7">
        <w:rPr>
          <w:rFonts w:ascii="Arial" w:hAnsi="Arial" w:cs="Arial"/>
          <w:bCs/>
          <w:i/>
          <w:color w:val="000000" w:themeColor="text1"/>
          <w:sz w:val="22"/>
          <w:szCs w:val="22"/>
          <w:lang w:val="en-US"/>
        </w:rPr>
        <w:t>economic partnerships, full comrades, subsidiary responsibility, associations of persons.</w:t>
      </w:r>
    </w:p>
    <w:p w:rsidR="00181BA7" w:rsidRPr="00DA76A7" w:rsidRDefault="00181BA7" w:rsidP="00181BA7">
      <w:pPr>
        <w:ind w:firstLine="567"/>
        <w:jc w:val="both"/>
        <w:rPr>
          <w:rFonts w:ascii="Arial" w:hAnsi="Arial" w:cs="Arial"/>
          <w:bCs/>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со ст. 72 Гражданского кодекса РТ, полным признается товарищество, участники которого (полные товарищи) в соответствии с заключенным между ними договором занимаются предпринимательской деятельностью от имени товарищества и солидарно друг с другом отвечают по его обязательствам всем принадлежащим им имуществом.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Данную организационно-правовую форму юридического лица называют формах мягкой интеграции, которая предусматривает сохранение хозяйственной самостоятельности и статуса юридических лиц, участвующих в интеграции организаций [2, 24].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самом деле, акционерная форма хозяйствования или форма общества с ограниченной ответственностью позволяет физическим и юридическим лицам объединить свои капиталы с целью удовлетворения своих имущественных интересов. Однако их участие в деятельности хозяйственного общества не требуется. Участник общества не обязан становиться работником общества, а наемный работник общества не долен становиться акционером. Хотя такая ситуация и не исключается, но остаётся на уровне права участника общества. Что касается полного товарищества, то здесь его участники обязательно должны объединяться для совместной предпринимательской деятельности с целью получения доходов. Участники полного товарищества должны выполнять определенные обязанности в деятельности товарищества, которые определены в учредительном договоре. Иными словами, предпринимательская деятельность участника полного товарищества признается деятельностью самого товарищества.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Принципиальная особенность полного товарищества заключается в том, что не только само товарищество как коммерческая организация, но и его участники (полные товарищи) солидарно несут ответственность по обязательствам товарищества всем своим имуществом. Хотя эта ответственность участников является субсидиарной. Это означает, что основным должником всё же является само товарищество. То есть в первую очередь на погашение долговых обязательств товарищества направляется имущество товарищества. Только при недостатке имущества полного товарищества для погашения его долгов кредиторы вправе требовать удовлетворения этих долгов из личного имущества полных товарищей (одного или всех вместе).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следует иметь в виду, что личную имущественную ответственность по долгам товарищества несут также те участники товарищества, которые вступили в товарищество после его создания. Кроме того, участники, выбывшие из товарищества, отвечают по обязательствам товарищества, возникшим до момента его выбытия, наравне с оставшимися участниками в течение трех лет со дня утверждения отчета о деятельности товарищества за год, в котором он выбыл из товарищества (ст. 78 Гражданского кодекса РТ).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Такая жёсткая ответственность полных товарищей по долгам товарищества своим личным имуществом обуславливает следующие два правовые последствия. Во-первых, такая ответственность  делает лишней предъявление каких-либо особых требований к размеру складочного капитала товарищества, потому что самой важной гарантией погашения возможных долгов становится личное имущество каждого из полных товарищей. Во-вторых, такая жёсткая ответственность объясняет значение обязательного указания в фирменном наименовании полного товарищества имен (или фирменных наименований) его участников.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Полное товарищество является довольно гибкой формой интеграции, потому что все его участники сохраняют свой статус юридических лиц или индивидуальных предпринимателей и в то же время ведут совместную предпринимательскую деятельность. Здесь имеет большое значение тот факт, что участниками полного товарищества на равных началах могут быть как крупные, так и мелкие субъекты предпринимательства.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хозяйственных товариществах в отличие от обществ большое значение имеет личный элемент. Не зря полные товарищества появились и развивались сначала как форма семейного предпринимательства. Именно поэтому выход полного товарища из состава юридического лица по сути дела приводит к прекращению деятельности товарищества. Очевидным является также то обстоятельство, что товарищество не может быть создано одним лицом, потому что ему не с кем будет заключать учредительный договор.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 74 Гражданского кодекса РТ, управление деятельностью полного товарищества осуществляется по общему согласию всех участников. Учредительным договором товарищества могут быть предусмотрены случаи, когда решение принимается большинством голосов участников. Каждый участник полного товарищества имеет один голос, если учредительным договором не предусмотрен иной порядок определения количества голосов его участников.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Каждый участник товарищества, независимо от того, уполномочен ли он вести общие дела, вправе лично знакомиться со всей документацией по ведению дел товарищества. Отказ от этого права или его ограничения, в том числе по соглашению участников товарищества, ничтожны.</w:t>
      </w:r>
    </w:p>
    <w:p w:rsidR="00181BA7" w:rsidRPr="00DA76A7" w:rsidRDefault="00181BA7" w:rsidP="00181BA7">
      <w:pPr>
        <w:ind w:firstLine="567"/>
        <w:jc w:val="both"/>
        <w:rPr>
          <w:rFonts w:ascii="Arial" w:hAnsi="Arial" w:cs="Arial"/>
          <w:color w:val="000000" w:themeColor="text1"/>
          <w:sz w:val="22"/>
          <w:szCs w:val="22"/>
        </w:rPr>
      </w:pPr>
      <w:bookmarkStart w:id="40" w:name="A000000080"/>
      <w:bookmarkEnd w:id="40"/>
      <w:r w:rsidRPr="00DA76A7">
        <w:rPr>
          <w:rFonts w:ascii="Arial" w:hAnsi="Arial" w:cs="Arial"/>
          <w:color w:val="000000" w:themeColor="text1"/>
          <w:sz w:val="22"/>
          <w:szCs w:val="22"/>
        </w:rPr>
        <w:t>Следует отметить, что в полном товариществе каждый участник полного товарищества вправе действовать от имени товарищества, если учредительным договором не установлено, что все его участники ведут дела совместно, либо ведение дел поручено отдельным участникам. При совместном ведении дел товарищества его участниками для совершения каждой сделки требуется согласие всех участников товарищества.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ведение дел товарищества поручается его участниками одному или некоторым из них, остальные участники для совершения сделок от имени товарищества должны иметь доверенность от участника (участников), на которое возложено ведение дел товарищества.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отношении с третьими лицами товарищество не вправе ссылаться на положения учредительного договора, ограничивающий полномочия участников товарищества, за исключением случаев, когда товарищество докажет, что третье лицо в момент совершения сделки знало или заведомо должно было знать об отсутствии у участника товарищества права действовать от имени товарищества.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Полномочия на ведение дел товарищества, предоставленные одному или нескольким участникам, могут быть прекращены судом по требованию одного или нескольких других участников товарищества при наличии к тому серьезных оснований, в частности вследствие грубого нарушения уполномоченным лицом (лицами) своих обязанностей или обнаружившейся неспособности его к разумному ведению дел. На основании судебного решения в учредительный договор товарищества вносятся необходимые изменения.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законодательном уровне определены обязанности участников полного товарищества. Так, в силу ст. 76 Гражданского кодекса РТ, участник полного товарищества обязан участвовать в его деятельности в соответствии с условиями учредительного договора. Также он обязан внести сто процентов своего вклада в складочный капитал товарищества в течение одного года со дня государственной регистрации товарищества.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участник полного товарищества не вправе без согласия остальных участников совершать от своего имени и в своих интересах или в интересах третьих лиц сделки, однородные с теми, которые составляют предмет деятельности товарищества.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нарушении этого правила товарищество вправе по своему выбору потребовать от такого участника либо возмещения причиненных товариществу убытков, либо передачи товариществу всей приобретенной по таким сделкам выгоды.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касается р</w:t>
      </w:r>
      <w:bookmarkStart w:id="41" w:name="A000000082"/>
      <w:bookmarkEnd w:id="41"/>
      <w:r w:rsidRPr="00DA76A7">
        <w:rPr>
          <w:rFonts w:ascii="Arial" w:hAnsi="Arial" w:cs="Arial"/>
          <w:color w:val="000000" w:themeColor="text1"/>
          <w:sz w:val="22"/>
          <w:szCs w:val="22"/>
        </w:rPr>
        <w:t>аспределения прибыли и убытков полного товарищества, то они распределяются между его участниками пропорционально их долям в складочном капитале, если иное не предусмотрено учредительным договором или иным соглашениям участников. Не допускается соглашение об устранении кого-либо из участников товарищества от участия в прибыли или в убытке. Если же вследствие понесенных товариществом убытков стоимость его чистых активов станет меньше размера его складочного капитала, полученная товариществом прибыль не распределяется между участниками до тех пор, пока стоимость чистых активов не превысит размер уставного фонда.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говорить о конструкции хозяйственного товарищества, то в связи с названными особенностями данной организационно-правовой формы юридического лица, в юридической литературе высказывалось мнение, что в строгом смысле их нельзя отнести к юридическому лицу в том значении, какое юридическому лицу придаёт гражданское законодательство [1, 86]. Во-первых, основное назначение института юридического лица состоит в ограничении хозяйственного риска его участников. В этом смысле конструкция хозяйственного товарищества не способствует достижению этой цели, потому что не снижает предпринимательских риска своих участников.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Во-вторых, характерным признаком юридического лица является организационное единство. Данный признак находит выражение в определённой иерархии и соподчинённости органов управления юрического лица, которые составляют его структуру. В этом смысле в силу того, что в основе образования хозяйственного товарищества лежит договор, оно, как юридическое лицо, по сути, не имеет органы управления и исполнительные органы, с помощью которых оно могло бы формировать и изъявлять волю от имени юридического лица третьим лицам. В хозяйственном товариществе отсутствует организационная структура, потому что управление его деятельностью находится в руках самих товарищи без формирования каких-либо органов юридического лица.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Единственным учредительным документом хозяйственного товарищества является учредительный договор. Его участниками являются только товарищи. Что касается вкладчиков, то они не являются его участниками. При этом в учредительном договоре предусматриваются определенные обязанности самого товарищества, как юридического лица, и вкладчиков в коммандитном товариществе. То есть этим мы хотим сказать, что в учредительном договоре хозяйственного товарищества предусматриваются права и обязанности лиц, которые не участвуют в его заключении.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бы там ни было, какими бы точками зрения ни изобиловала гражданско-правовая доктрина, в Гражданском кодексе РТ хозяйственное товарищество имеет статус юридического лица со всеми вытекающими из этого статуса последствиями.</w:t>
      </w:r>
    </w:p>
    <w:p w:rsidR="00181BA7" w:rsidRDefault="00181BA7" w:rsidP="00181BA7">
      <w:pPr>
        <w:ind w:firstLine="567"/>
        <w:jc w:val="both"/>
        <w:rPr>
          <w:rFonts w:ascii="Arial" w:hAnsi="Arial" w:cs="Arial"/>
          <w:color w:val="000000" w:themeColor="text1"/>
          <w:sz w:val="22"/>
          <w:szCs w:val="22"/>
        </w:rPr>
      </w:pPr>
    </w:p>
    <w:p w:rsidR="001713F3" w:rsidRDefault="001713F3" w:rsidP="00181BA7">
      <w:pPr>
        <w:ind w:firstLine="567"/>
        <w:jc w:val="both"/>
        <w:rPr>
          <w:rFonts w:ascii="Arial" w:hAnsi="Arial" w:cs="Arial"/>
          <w:color w:val="000000" w:themeColor="text1"/>
          <w:sz w:val="22"/>
          <w:szCs w:val="22"/>
        </w:rPr>
      </w:pPr>
    </w:p>
    <w:p w:rsidR="001713F3" w:rsidRPr="00DA76A7" w:rsidRDefault="001713F3"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f2"/>
        <w:numPr>
          <w:ilvl w:val="0"/>
          <w:numId w:val="64"/>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Белов В.А. Гражданское право: Общая и Особенная части: Учебник. - М.: АО «Центр ЮрИнфоР», 2003. - 960 c.</w:t>
      </w:r>
    </w:p>
    <w:p w:rsidR="00181BA7" w:rsidRPr="00DA76A7" w:rsidRDefault="00181BA7" w:rsidP="00D45D6B">
      <w:pPr>
        <w:pStyle w:val="a6"/>
        <w:numPr>
          <w:ilvl w:val="0"/>
          <w:numId w:val="64"/>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Киперман Г.Я. Полное товарищество: удобная форма интеграции // Право и экономика. – 2005. - № 5. – С. 24-26.</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К ВОПРОСУ О ПРАВОВОМ ПОЛОЖЕНИИ ЖЕНЩИН В СЕМЬЕ</w:t>
      </w:r>
    </w:p>
    <w:p w:rsidR="00181BA7" w:rsidRPr="00DA76A7" w:rsidRDefault="00181BA7" w:rsidP="00181BA7">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 xml:space="preserve"> </w:t>
      </w:r>
    </w:p>
    <w:p w:rsidR="00181BA7" w:rsidRPr="00DA76A7" w:rsidRDefault="00181BA7" w:rsidP="00181BA7">
      <w:pPr>
        <w:suppressAutoHyphens/>
        <w:jc w:val="center"/>
        <w:rPr>
          <w:rFonts w:ascii="Arial" w:hAnsi="Arial" w:cs="Arial"/>
          <w:b/>
          <w:color w:val="000000" w:themeColor="text1"/>
          <w:sz w:val="22"/>
          <w:szCs w:val="22"/>
          <w:lang w:eastAsia="ar-SA"/>
        </w:rPr>
      </w:pPr>
      <w:r w:rsidRPr="00DA76A7">
        <w:rPr>
          <w:rFonts w:ascii="Arial" w:hAnsi="Arial" w:cs="Arial"/>
          <w:b/>
          <w:color w:val="000000" w:themeColor="text1"/>
          <w:sz w:val="22"/>
          <w:szCs w:val="22"/>
          <w:lang w:eastAsia="ar-SA"/>
        </w:rPr>
        <w:t>Каримова Оиша Маъмурчоновна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 го года обучения заочного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372 2276740,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grajdan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Style w:val="shorttext"/>
          <w:rFonts w:ascii="Arial" w:hAnsi="Arial" w:cs="Arial"/>
          <w:b/>
          <w:color w:val="000000" w:themeColor="text1"/>
          <w:sz w:val="22"/>
          <w:szCs w:val="22"/>
          <w:lang w:val="en-US"/>
        </w:rPr>
      </w:pPr>
      <w:r w:rsidRPr="00DA76A7">
        <w:rPr>
          <w:rStyle w:val="shorttext"/>
          <w:rFonts w:ascii="Arial" w:hAnsi="Arial" w:cs="Arial"/>
          <w:b/>
          <w:color w:val="000000" w:themeColor="text1"/>
          <w:sz w:val="22"/>
          <w:szCs w:val="22"/>
          <w:lang w:val="en-US"/>
        </w:rPr>
        <w:t>TO THE QUESTION OF THE LEGAL POSITION OF WOMEN IN THE FAMILY</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Karimova Oisha Mamurchonovna</w:t>
      </w:r>
      <w:r w:rsidRPr="00DA76A7">
        <w:rPr>
          <w:rFonts w:ascii="Arial" w:hAnsi="Arial" w:cs="Arial"/>
          <w:b/>
          <w:color w:val="000000" w:themeColor="text1"/>
          <w:sz w:val="22"/>
          <w:szCs w:val="22"/>
          <w:lang w:val="en-US"/>
        </w:rPr>
        <w:br/>
      </w:r>
      <w:r w:rsidRPr="00DA76A7">
        <w:rPr>
          <w:rFonts w:ascii="Arial" w:hAnsi="Arial" w:cs="Arial"/>
          <w:color w:val="000000" w:themeColor="text1"/>
          <w:sz w:val="22"/>
          <w:szCs w:val="22"/>
          <w:lang w:val="en-US"/>
        </w:rPr>
        <w:t>graduate of the 1st year of the correspondence course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r w:rsidRPr="00DA76A7">
        <w:rPr>
          <w:rFonts w:ascii="Arial" w:hAnsi="Arial" w:cs="Arial"/>
          <w:color w:val="000000" w:themeColor="text1"/>
          <w:sz w:val="22"/>
          <w:szCs w:val="22"/>
          <w:lang w:val="en-US"/>
        </w:rPr>
        <w:br/>
        <w:t>734025, Republic of Tajikistan, Dushanbe, M. Tursunzade str.,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 372 2276740, e-mail: grajdan.pravo@mail.ru</w:t>
      </w:r>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bCs/>
          <w:i/>
          <w:color w:val="000000" w:themeColor="text1"/>
          <w:sz w:val="22"/>
          <w:szCs w:val="22"/>
        </w:rPr>
        <w:t xml:space="preserve">Аннотация. </w:t>
      </w:r>
      <w:r w:rsidRPr="00DA76A7">
        <w:rPr>
          <w:rFonts w:ascii="Arial" w:eastAsia="Calibri" w:hAnsi="Arial" w:cs="Arial"/>
          <w:i/>
          <w:color w:val="000000" w:themeColor="text1"/>
          <w:sz w:val="22"/>
          <w:szCs w:val="22"/>
        </w:rPr>
        <w:t>Предметом исследования настоящей статьи  послужили  вопросы</w:t>
      </w:r>
      <w:r w:rsidRPr="00DA76A7">
        <w:rPr>
          <w:rFonts w:ascii="Arial" w:hAnsi="Arial" w:cs="Arial"/>
          <w:i/>
          <w:color w:val="000000" w:themeColor="text1"/>
          <w:sz w:val="22"/>
          <w:szCs w:val="22"/>
        </w:rPr>
        <w:t xml:space="preserve"> в сфере гражданских и политических прав женщин</w:t>
      </w:r>
      <w:r w:rsidRPr="00DA76A7">
        <w:rPr>
          <w:rFonts w:ascii="Arial" w:eastAsia="Calibri" w:hAnsi="Arial" w:cs="Arial"/>
          <w:i/>
          <w:color w:val="000000" w:themeColor="text1"/>
          <w:sz w:val="22"/>
          <w:szCs w:val="22"/>
        </w:rPr>
        <w:t xml:space="preserve">.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eastAsia="Calibri" w:hAnsi="Arial" w:cs="Arial"/>
          <w:b/>
          <w:bCs/>
          <w:i/>
          <w:color w:val="000000" w:themeColor="text1"/>
          <w:sz w:val="22"/>
          <w:szCs w:val="22"/>
          <w:lang w:val="en-US"/>
        </w:rPr>
        <w:t xml:space="preserve">Annotation. </w:t>
      </w:r>
      <w:r w:rsidRPr="00DA76A7">
        <w:rPr>
          <w:rFonts w:ascii="Arial" w:eastAsia="Calibri" w:hAnsi="Arial" w:cs="Arial"/>
          <w:i/>
          <w:color w:val="000000" w:themeColor="text1"/>
          <w:sz w:val="22"/>
          <w:szCs w:val="22"/>
          <w:shd w:val="clear" w:color="auto" w:fill="FFFFFF"/>
          <w:lang w:val="en-US"/>
        </w:rPr>
        <w:t xml:space="preserve"> </w:t>
      </w:r>
      <w:r w:rsidRPr="00DA76A7">
        <w:rPr>
          <w:rFonts w:ascii="Arial" w:hAnsi="Arial" w:cs="Arial"/>
          <w:i/>
          <w:color w:val="000000" w:themeColor="text1"/>
          <w:sz w:val="22"/>
          <w:szCs w:val="22"/>
          <w:lang w:val="en-US"/>
        </w:rPr>
        <w:t>The subject of the study of this article was questions in the sphere of civil and political rights of women.</w:t>
      </w: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 xml:space="preserve">Ключевые слова: </w:t>
      </w:r>
      <w:r w:rsidRPr="00DA76A7">
        <w:rPr>
          <w:rFonts w:ascii="Arial" w:eastAsia="Calibri" w:hAnsi="Arial" w:cs="Arial"/>
          <w:i/>
          <w:color w:val="000000" w:themeColor="text1"/>
          <w:sz w:val="22"/>
          <w:szCs w:val="22"/>
        </w:rPr>
        <w:t>семейные правоотношения, женщина, мужчина, положение, социальные права, брак, развод.</w:t>
      </w:r>
    </w:p>
    <w:p w:rsidR="00181BA7" w:rsidRPr="009D2707" w:rsidRDefault="00181BA7" w:rsidP="00181BA7">
      <w:pPr>
        <w:shd w:val="clear" w:color="auto" w:fill="FFFFFF"/>
        <w:ind w:firstLine="567"/>
        <w:jc w:val="both"/>
        <w:rPr>
          <w:rFonts w:ascii="Arial" w:hAnsi="Arial" w:cs="Arial"/>
          <w:i/>
          <w:color w:val="000000" w:themeColor="text1"/>
          <w:sz w:val="22"/>
          <w:szCs w:val="22"/>
          <w:lang w:val="en-US"/>
        </w:rPr>
      </w:pPr>
      <w:r w:rsidRPr="009D2707">
        <w:rPr>
          <w:rFonts w:ascii="Arial" w:eastAsia="Calibri" w:hAnsi="Arial" w:cs="Arial"/>
          <w:b/>
          <w:i/>
          <w:color w:val="000000" w:themeColor="text1"/>
          <w:sz w:val="22"/>
          <w:szCs w:val="22"/>
          <w:lang w:val="en-US"/>
        </w:rPr>
        <w:t>Key words:</w:t>
      </w:r>
      <w:r w:rsidRPr="009D2707">
        <w:rPr>
          <w:rFonts w:ascii="Arial" w:eastAsia="Calibri" w:hAnsi="Arial" w:cs="Arial"/>
          <w:i/>
          <w:color w:val="000000" w:themeColor="text1"/>
          <w:sz w:val="22"/>
          <w:szCs w:val="22"/>
          <w:shd w:val="clear" w:color="auto" w:fill="FFFFFF"/>
          <w:lang w:val="en-US"/>
        </w:rPr>
        <w:t xml:space="preserve"> </w:t>
      </w:r>
      <w:r w:rsidRPr="009D2707">
        <w:rPr>
          <w:rFonts w:ascii="Arial" w:hAnsi="Arial" w:cs="Arial"/>
          <w:i/>
          <w:color w:val="000000" w:themeColor="text1"/>
          <w:sz w:val="22"/>
          <w:szCs w:val="22"/>
          <w:lang w:val="en-US"/>
        </w:rPr>
        <w:t>family legal relationship, woman, man, position, social rights, marriage, divorce.</w:t>
      </w:r>
    </w:p>
    <w:p w:rsidR="00181BA7" w:rsidRPr="009D2707" w:rsidRDefault="00181BA7" w:rsidP="00181BA7">
      <w:pPr>
        <w:shd w:val="clear" w:color="auto" w:fill="FFFFFF"/>
        <w:ind w:firstLine="567"/>
        <w:jc w:val="right"/>
        <w:rPr>
          <w:rFonts w:ascii="Arial" w:hAnsi="Arial" w:cs="Arial"/>
          <w:i/>
          <w:color w:val="000000" w:themeColor="text1"/>
          <w:sz w:val="22"/>
          <w:szCs w:val="22"/>
        </w:rPr>
      </w:pPr>
      <w:r w:rsidRPr="009D2707">
        <w:rPr>
          <w:rFonts w:ascii="Arial" w:hAnsi="Arial" w:cs="Arial"/>
          <w:color w:val="000000" w:themeColor="text1"/>
          <w:sz w:val="22"/>
          <w:szCs w:val="22"/>
        </w:rPr>
        <w:t>Научный руководитель: д.ю.н., профессор</w:t>
      </w:r>
      <w:r w:rsidR="009D2707" w:rsidRPr="009D2707">
        <w:rPr>
          <w:rFonts w:ascii="Arial" w:hAnsi="Arial" w:cs="Arial"/>
          <w:color w:val="000000" w:themeColor="text1"/>
          <w:sz w:val="22"/>
          <w:szCs w:val="22"/>
        </w:rPr>
        <w:t xml:space="preserve"> Носиров Х.Т.</w:t>
      </w:r>
    </w:p>
    <w:p w:rsidR="00181BA7" w:rsidRPr="00DA76A7" w:rsidRDefault="00181BA7" w:rsidP="00181BA7">
      <w:pPr>
        <w:ind w:firstLine="567"/>
        <w:jc w:val="both"/>
        <w:rPr>
          <w:rFonts w:ascii="Arial" w:hAnsi="Arial" w:cs="Arial"/>
          <w:color w:val="000000" w:themeColor="text1"/>
          <w:sz w:val="22"/>
          <w:szCs w:val="22"/>
        </w:rPr>
      </w:pPr>
      <w:r w:rsidRPr="009D2707">
        <w:rPr>
          <w:rFonts w:ascii="Arial" w:hAnsi="Arial" w:cs="Arial"/>
          <w:b/>
          <w:color w:val="000000" w:themeColor="text1"/>
          <w:sz w:val="22"/>
          <w:szCs w:val="22"/>
        </w:rPr>
        <w:br/>
      </w:r>
      <w:r w:rsidRPr="009D2707">
        <w:rPr>
          <w:rFonts w:ascii="Arial" w:hAnsi="Arial" w:cs="Arial"/>
          <w:color w:val="000000" w:themeColor="text1"/>
          <w:sz w:val="22"/>
          <w:szCs w:val="22"/>
        </w:rPr>
        <w:t xml:space="preserve">          Представительница слабого пола испокон времён была перед законом в неравном положении с мужчинами, но и это положение было натуральным в следствии  своего времени и эры и закон лишь подтверждал эти данные</w:t>
      </w:r>
      <w:r w:rsidRPr="00DA76A7">
        <w:rPr>
          <w:rFonts w:ascii="Arial" w:hAnsi="Arial" w:cs="Arial"/>
          <w:color w:val="000000" w:themeColor="text1"/>
          <w:sz w:val="22"/>
          <w:szCs w:val="22"/>
        </w:rPr>
        <w:t xml:space="preserve"> нормы и традиции. Другими словами государственная политика Российской Империи в области гражданских и политических прав женщин исполняла основы непризнания их в виде субъекта публичного восстановления и закрытости доступа к управлению на всех уровнях.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области фамильных взаимоотношений в течении всего XIX в. женщина считалась определенным объектом власти мужчины в семье, а также существом, полностью зависимым от родителей и прежде всего от мужа. Это обстоятельство ставило ее в унизительное и зависимое положение, целью которого было «защищать, извинять ее недостатки и облегчать ее немощи» </w:t>
      </w:r>
      <w:bookmarkStart w:id="42" w:name="_ftn37"/>
      <w:r w:rsidR="00666D87" w:rsidRPr="00DA76A7">
        <w:rPr>
          <w:rFonts w:ascii="Arial" w:hAnsi="Arial" w:cs="Arial"/>
          <w:color w:val="000000" w:themeColor="text1"/>
          <w:sz w:val="22"/>
          <w:szCs w:val="22"/>
        </w:rPr>
        <w:fldChar w:fldCharType="begin"/>
      </w:r>
      <w:r w:rsidRPr="00DA76A7">
        <w:rPr>
          <w:rFonts w:ascii="Arial" w:hAnsi="Arial" w:cs="Arial"/>
          <w:color w:val="000000" w:themeColor="text1"/>
          <w:sz w:val="22"/>
          <w:szCs w:val="22"/>
        </w:rPr>
        <w:instrText xml:space="preserve"> HYPERLINK "http://www.neuch.ru/referat/155526.html" \l "_ftnref37" \o "" </w:instrText>
      </w:r>
      <w:r w:rsidR="00666D87" w:rsidRPr="00DA76A7">
        <w:rPr>
          <w:rFonts w:ascii="Arial" w:hAnsi="Arial" w:cs="Arial"/>
          <w:color w:val="000000" w:themeColor="text1"/>
          <w:sz w:val="22"/>
          <w:szCs w:val="22"/>
        </w:rPr>
        <w:fldChar w:fldCharType="separate"/>
      </w:r>
      <w:r w:rsidRPr="00DA76A7">
        <w:rPr>
          <w:rFonts w:ascii="Arial" w:hAnsi="Arial" w:cs="Arial"/>
          <w:color w:val="000000" w:themeColor="text1"/>
          <w:sz w:val="22"/>
          <w:szCs w:val="22"/>
        </w:rPr>
        <w:t>[6,40]</w:t>
      </w:r>
      <w:r w:rsidR="00666D87" w:rsidRPr="00DA76A7">
        <w:rPr>
          <w:rFonts w:ascii="Arial" w:hAnsi="Arial" w:cs="Arial"/>
          <w:color w:val="000000" w:themeColor="text1"/>
          <w:sz w:val="22"/>
          <w:szCs w:val="22"/>
        </w:rPr>
        <w:fldChar w:fldCharType="end"/>
      </w:r>
      <w:bookmarkEnd w:id="42"/>
      <w:r w:rsidRPr="00DA76A7">
        <w:rPr>
          <w:rFonts w:ascii="Arial" w:hAnsi="Arial" w:cs="Arial"/>
          <w:color w:val="000000" w:themeColor="text1"/>
          <w:sz w:val="22"/>
          <w:szCs w:val="22"/>
        </w:rPr>
        <w:t>. В понимании общества середины XIX в. У жены были только обязанности, такие как «повиноваться мужу своему, как главе семейства, пребывать к нему в любви, почтении и в неограниченном послушании, оказывать ему всякое угождение и привязанность (с оговоркой) как хозяйка дома»</w:t>
      </w:r>
      <w:bookmarkStart w:id="43" w:name="_ftnref19"/>
      <w:r w:rsidR="00666D87" w:rsidRPr="00DA76A7">
        <w:rPr>
          <w:rFonts w:ascii="Arial" w:hAnsi="Arial" w:cs="Arial"/>
          <w:color w:val="000000" w:themeColor="text1"/>
          <w:sz w:val="22"/>
          <w:szCs w:val="22"/>
        </w:rPr>
        <w:fldChar w:fldCharType="begin"/>
      </w:r>
      <w:r w:rsidRPr="00DA76A7">
        <w:rPr>
          <w:rFonts w:ascii="Arial" w:hAnsi="Arial" w:cs="Arial"/>
          <w:color w:val="000000" w:themeColor="text1"/>
          <w:sz w:val="22"/>
          <w:szCs w:val="22"/>
        </w:rPr>
        <w:instrText xml:space="preserve"> HYPERLINK "http://www.neuch.ru/referat/155526.html" \l "_ftnref37" \o "" </w:instrText>
      </w:r>
      <w:r w:rsidR="00666D87" w:rsidRPr="00DA76A7">
        <w:rPr>
          <w:rFonts w:ascii="Arial" w:hAnsi="Arial" w:cs="Arial"/>
          <w:color w:val="000000" w:themeColor="text1"/>
          <w:sz w:val="22"/>
          <w:szCs w:val="22"/>
        </w:rPr>
        <w:fldChar w:fldCharType="separate"/>
      </w:r>
      <w:r w:rsidRPr="00DA76A7">
        <w:rPr>
          <w:rFonts w:ascii="Arial" w:hAnsi="Arial" w:cs="Arial"/>
          <w:color w:val="000000" w:themeColor="text1"/>
          <w:sz w:val="22"/>
          <w:szCs w:val="22"/>
        </w:rPr>
        <w:t>[6,31]</w:t>
      </w:r>
      <w:r w:rsidR="00666D87" w:rsidRPr="00DA76A7">
        <w:rPr>
          <w:rFonts w:ascii="Arial" w:hAnsi="Arial" w:cs="Arial"/>
          <w:color w:val="000000" w:themeColor="text1"/>
          <w:sz w:val="22"/>
          <w:szCs w:val="22"/>
        </w:rPr>
        <w:fldChar w:fldCharType="end"/>
      </w:r>
      <w:bookmarkEnd w:id="43"/>
      <w:r w:rsidRPr="00DA76A7">
        <w:rPr>
          <w:rFonts w:ascii="Arial" w:hAnsi="Arial" w:cs="Arial"/>
          <w:color w:val="000000" w:themeColor="text1"/>
          <w:sz w:val="22"/>
          <w:szCs w:val="22"/>
        </w:rPr>
        <w:t>. Что значит хозяйка дома? В том понимании как в XIX в., это было обычно, хозяйка означало то, что жена должна прислушиваться к мужу в плане хозяйства. Поскольку считалось, если жена отступит от этого ведения хозяйства она будет в немилости мужа. Бытовавшая в то время поговорка: «Бей жену к обеду, а к ужину опять без боя за стол не сядь»</w:t>
      </w:r>
      <w:hyperlink r:id="rId169" w:anchor="_ftnref37" w:history="1">
        <w:r w:rsidRPr="00DA76A7">
          <w:rPr>
            <w:rFonts w:ascii="Arial" w:hAnsi="Arial" w:cs="Arial"/>
            <w:color w:val="000000" w:themeColor="text1"/>
            <w:sz w:val="22"/>
            <w:szCs w:val="22"/>
          </w:rPr>
          <w:t>[6,31]</w:t>
        </w:r>
      </w:hyperlink>
      <w:r w:rsidRPr="00DA76A7">
        <w:rPr>
          <w:rFonts w:ascii="Arial" w:hAnsi="Arial" w:cs="Arial"/>
          <w:color w:val="000000" w:themeColor="text1"/>
          <w:sz w:val="22"/>
          <w:szCs w:val="22"/>
        </w:rPr>
        <w:t xml:space="preserve"> красноречиво и совсем ясно характеризовала положение жены в ведении этого хозяйства.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Относительно брака, в до революции реальным сознавался лишь религиозный брак. Согласно закону, развод это самовольное расторжение брака, были запрещены. Не взирая, собственно с юридической стороны, вступающие в брак, заключают друг от друга договор, по коему одна сторона должна доставлять пропитание, а иная присутствовать в повиновении. Когда благоверный выгонит супругу из  дома, она вправе обратиться с претензией в суд. Хотя практически решение суда окажется невозможным.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Поскольку суд к тому времени не имел законных средств заставить мужа жить с женой вместе в одной квартире. Закон мог только водворить жену при помощи полиции в дом, но проблема решена не будет, так как муж снова попросит жену удалиться и снова обратиться к властям за помощью. По закону супруги просто были обязаны жить вместе. При переселении, при поступлении на службу или при иной перемене постоянного жительства мужа жена должна следовать за ним </w:t>
      </w:r>
      <w:hyperlink r:id="rId170" w:anchor="_ftnref37" w:history="1">
        <w:r w:rsidRPr="00DA76A7">
          <w:rPr>
            <w:rFonts w:ascii="Arial" w:hAnsi="Arial" w:cs="Arial"/>
            <w:color w:val="000000" w:themeColor="text1"/>
            <w:sz w:val="22"/>
            <w:szCs w:val="22"/>
          </w:rPr>
          <w:t>[6,36]</w:t>
        </w:r>
      </w:hyperlink>
      <w:r w:rsidRPr="00DA76A7">
        <w:rPr>
          <w:rFonts w:ascii="Arial" w:hAnsi="Arial" w:cs="Arial"/>
          <w:color w:val="000000" w:themeColor="text1"/>
          <w:sz w:val="22"/>
          <w:szCs w:val="22"/>
        </w:rPr>
        <w:t>. Стоит заметить, что жена могла отлучаться из дома в буквальном смысле на несколько часов, вследствие особенностей паспортной системы, которая не выражала прав женщины. Поскольку муж определял её местоположение, и жена не имела право на отдельное жительство без его же соглашения. Выходит, что права супругов не равны, муж имеет право передвигаться с места на место по собственному желанию, а законность передвижения женщины приобретается только при одобрении её властелина</w:t>
      </w:r>
      <w:hyperlink r:id="rId171" w:anchor="_ftnref37" w:history="1">
        <w:r w:rsidRPr="00DA76A7">
          <w:rPr>
            <w:rFonts w:ascii="Arial" w:hAnsi="Arial" w:cs="Arial"/>
            <w:color w:val="000000" w:themeColor="text1"/>
            <w:sz w:val="22"/>
            <w:szCs w:val="22"/>
          </w:rPr>
          <w:t>[2,45]</w:t>
        </w:r>
      </w:hyperlink>
      <w:r w:rsidRPr="00DA76A7">
        <w:rPr>
          <w:rFonts w:ascii="Arial" w:hAnsi="Arial" w:cs="Arial"/>
          <w:color w:val="000000" w:themeColor="text1"/>
          <w:sz w:val="22"/>
          <w:szCs w:val="22"/>
        </w:rPr>
        <w:t>. Всё это подтверждает беспомощность законодательства в деле защиты женщины.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Предпочтительное  положение мужчин перед женщинами было установлено законом и в вопросе о праве наследования. Тут при общем наследовании сына и дочери ближайшее право наследования принадлежит сыновьям и их потомству; дочерям же выделяется из наследственного имущества лишь одна четырнадцатая часть из недвижимого имущества и одна восьмая из движимого, но супруги наследуют друг другу на одинаковых основаниях. А вдова и вдовец имеют одинаковое право на получение указанной части из имущества умершего супруга - одну восьмую часть из недвижимого и одну четвёртую из движимого имущества. Права состояния женщины, кроме общего порядка приобретения их по рождению, приобретаются также через брак и определяются следующим образом: жена следует состоянию мужа, а если жена по роду принадлежит низшему сословию, то после вступления в брак она получает все права и преимущества, сопряжённые с его состоянием. Сюда же и относилось приобретение чина и звания мужа. Причём эти права сохранялись за ней даже тогда, когда муж за преступление будет лишён прав своего состояния.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Относительно уголовного законодательства, то тут мужчины и женщины состояли в схожем положении, за исключением тех случаев, когда строгость карательного закона смягчалась для женщин, в виду её исключительного положения, вызываемого слабостью. Так женщины были отстранены от всех телесных наказаний и пользовались особенной снисходительностью во время беременности.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Сказанное говорит о том, что женщина в некоторых областях общественной и частной жизни достигла к концу XIX в. многих прав и  сравнивалась уже с мужчиной. Тем самым к уже предъявленным ей обязанностям жены и матери она еще присоединилась к широким имущественным правам.  Но сохранялись барьеры в области образования. На данном этапе истории, женщины ни под каким видом не могли допускаться к слушанию лекций в университетах, поскольку в планы правительства высшее женское образование никак не входило.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Ещё со второй половины XIX в. русская женщина стала   предъявлять требование на участие в общественной и государственной жизни общества. Таким образом она стремилась показать необходимость сломить те средневековые стереотипы  и доказать, что она тоже такой же человек и должна принимать участие в работе на пользу человечества наравне с мужчинами. Но интересы русской женщины так и  не были приняты во внимание. А фактор всему этому - старое воззрение на женщину, как на вещь, принадлежащую мужчине. Но почему в конце XIX в. это было недопустимо и становилось понятно, что эти утверждения должны быть изменены? Так что же побудило женщину искать таких новых форм бытовой, общественной, социально-экономической и, наконец, политической жизни? Потребность или случайность? Далекое наше прошлое или настоящее? Каковы причины возникновения женского вопроса в России в конце XIX - начале XX в.? Ответы на эти вопросы может дать анализ, как положения женщины на этом этапе, так и ценностных ориентаций, мотиваций женщин и сопоставление их с поведенческими характеристиками изучаемых персонажей. Положение женщины в прошлом делало её заложницей застоя и неподвижности: заключенная в узкую сферу семейной жизни, с её мелкими бытовыми заботами, она не видела перед собой других горизонтов, других интересов, кроме домашних устремлений.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же подвигло женщину на требование прав на развод, на образование, профессию, труд? На протяжении всего XIX в. происходят изменения в сфере экономических и политических отношений. Освобождение крестьян и эпоха реформ произвели громадный переворот в умах. Все эти изменения не могли пройти вне общества и социального развития. В условиях общественного подъема в стране стало развиваться так называемое женское движение. На начальном этапе своего развития, на этапе становления, женщины искали поддержку со стороны общества. И только выводили на первый план идеи о равноправии мужчин и женщин и выступали против дискриминации в вопросах образования, труда, самостоятельности в выборе целей и форм деятельности и активного сотрудничества с прогрессивно мыслящими мужчинами из числа интеллигенции, что отражало новые процессы в социально-экономическом развитии европейской цивилизации.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 результате социально-экономических преобразований стали формироваться новые нормы и ценности. Что и привело к развитию женского вопроса и послужило причиной создания женского движения в России, окончательно сформированного в конце XIX - начале XX в. Последствия реформы 1861 г. стали основной причиной привлечения женщин в общественное производство. На первых порах речь шла в основном о дворянстве, которое стремительно стало разоряться, и было вынуждено пойти зарабатывать себе на жизнь самостоятельным трудом. Именно эти благородные девицы и стали активными участницами женского движения и выступили первыми поборницами равноправия женщин. Так появились женщины нового типа или «новые женщины» - самостоятельные, образованные, ориентированные на деятельность в публичной сфере. Б.Н. Пиетров-Энкер совершенно справедливо называет этот слой бюргерско-гражданским</w:t>
      </w:r>
      <w:bookmarkStart w:id="44" w:name="_ftnref26"/>
      <w:r w:rsidRPr="00DA76A7">
        <w:rPr>
          <w:rFonts w:ascii="Arial" w:hAnsi="Arial" w:cs="Arial"/>
          <w:color w:val="000000" w:themeColor="text1"/>
          <w:sz w:val="22"/>
          <w:szCs w:val="22"/>
        </w:rPr>
        <w:t xml:space="preserve"> </w:t>
      </w:r>
      <w:hyperlink r:id="rId172" w:anchor="_ftnref37" w:history="1">
        <w:r w:rsidRPr="00DA76A7">
          <w:rPr>
            <w:rFonts w:ascii="Arial" w:hAnsi="Arial" w:cs="Arial"/>
            <w:color w:val="000000" w:themeColor="text1"/>
            <w:sz w:val="22"/>
            <w:szCs w:val="22"/>
          </w:rPr>
          <w:t>[5,23]</w:t>
        </w:r>
      </w:hyperlink>
      <w:bookmarkEnd w:id="44"/>
      <w:r w:rsidRPr="00DA76A7">
        <w:rPr>
          <w:rFonts w:ascii="Arial" w:hAnsi="Arial" w:cs="Arial"/>
          <w:color w:val="000000" w:themeColor="text1"/>
          <w:sz w:val="22"/>
          <w:szCs w:val="22"/>
        </w:rPr>
        <w:t>. По ее мнению, для того чтобы описать этот процесс необходимо рассмотреть и раскрыть особенности ментальных процессов, которые породили «нового человека» - продукт социально-культурной модернизации России в конце XIX начале XX в. Писатель берет эту формулировку из литературы того времени, где  использовались произведения И.С. Тургенева и Н.Г. Чернышевского, которые представили всеобъемлющую мысль эмансипации, дополнившую всеобъемлющую идею равенства полов концепциями ранних социалистов. Где стержнем являлось освобождение женского пола от классических ограничений. А собственно утверждение самостоятельного независимого решения вместо веры и религии в сформировавшегося уклада,  развитие в себе сознания своей индивидуальности и чувства собственного достоинства, избрание себе своей жизни и пути развития и, наконец, прогресса и развития. Создание и формирование своего «Я», образование, труд - всё это различало так называемую нигилистическую среду, в которой сочеталось стремление обеспечить критику старого порядка и несоответствия традиционных устоев со стремлениями общества. Но следует иметь в виду, что эта концепция стала частью культурной жизни прогрессивной интеллигенции и скорее всего интеллигенции из числа представителей революционно-демократического и либерального толка. Эти вопросы были в центре внимания в творчестве Н.А. Добролюбова, Д.И. Писарева, Н.А. Михайлова, Д.И. Ушинского и многих других.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Уже в конце 1870-х годов эти идеи равноправия начали пропагандировать и женщины. Среди них стоит отметить роль таких женщин, как М.К. Цебрикова, Е. И Конради, О.К. Трубникова, А.Н. Шабанова, Н.В. Стасова, А.П. Философова. В первую очередь причины обращения к «женскому вопросу» предстают по воспоминаниям этих женщин как усвоение и реализация популярных идей, или, выражаясь социологическим языком, генерализированных представлений своего времени </w:t>
      </w:r>
      <w:hyperlink r:id="rId173" w:anchor="_ftnref37" w:history="1">
        <w:r w:rsidRPr="00DA76A7">
          <w:rPr>
            <w:rFonts w:ascii="Arial" w:hAnsi="Arial" w:cs="Arial"/>
            <w:color w:val="000000" w:themeColor="text1"/>
            <w:sz w:val="22"/>
            <w:szCs w:val="22"/>
          </w:rPr>
          <w:t>[6,31]</w:t>
        </w:r>
      </w:hyperlink>
      <w:r w:rsidRPr="00DA76A7">
        <w:rPr>
          <w:rFonts w:ascii="Arial" w:hAnsi="Arial" w:cs="Arial"/>
          <w:color w:val="000000" w:themeColor="text1"/>
          <w:sz w:val="22"/>
          <w:szCs w:val="22"/>
        </w:rPr>
        <w:t>. «Это было в воздухе. Эмансипация женщин была на языке у всех передовых людей», - писала А.В. Тыркова в своем исследовании о жизни и деятельности А.П. Философовой</w:t>
      </w:r>
      <w:bookmarkStart w:id="45" w:name="_ftnref28"/>
      <w:r w:rsidRPr="00DA76A7">
        <w:rPr>
          <w:rFonts w:ascii="Arial" w:hAnsi="Arial" w:cs="Arial"/>
          <w:color w:val="000000" w:themeColor="text1"/>
          <w:sz w:val="22"/>
          <w:szCs w:val="22"/>
        </w:rPr>
        <w:t xml:space="preserve"> </w:t>
      </w:r>
      <w:hyperlink r:id="rId174" w:anchor="_ftnref37" w:history="1">
        <w:r w:rsidRPr="00DA76A7">
          <w:rPr>
            <w:rFonts w:ascii="Arial" w:hAnsi="Arial" w:cs="Arial"/>
            <w:color w:val="000000" w:themeColor="text1"/>
            <w:sz w:val="22"/>
            <w:szCs w:val="22"/>
          </w:rPr>
          <w:t>[8,29]</w:t>
        </w:r>
      </w:hyperlink>
      <w:bookmarkEnd w:id="45"/>
      <w:r w:rsidRPr="00DA76A7">
        <w:rPr>
          <w:rFonts w:ascii="Arial" w:hAnsi="Arial" w:cs="Arial"/>
          <w:color w:val="000000" w:themeColor="text1"/>
          <w:sz w:val="22"/>
          <w:szCs w:val="22"/>
        </w:rPr>
        <w:t>, построенном в значительной степени на личных беседах с последней. Известная общественная деятельница М.К. Цебрикова при подготовке статьи «Женское движение за 25 лет» опросила многих участниц женского движения о причинах «их прихода в женский вопрос», в том числе А.Н. Евреинову, А.П. Философову, А.В. Жаклар, Н.А. Белозерскую, С.В. Ковалевскую. Мнения респонденток совпали. «Жизнь учила, и всё носилось в воздухе»</w:t>
      </w:r>
      <w:bookmarkStart w:id="46" w:name="_ftnref29"/>
      <w:r w:rsidR="00666D87" w:rsidRPr="00DA76A7">
        <w:rPr>
          <w:rFonts w:ascii="Arial" w:hAnsi="Arial" w:cs="Arial"/>
          <w:color w:val="000000" w:themeColor="text1"/>
          <w:sz w:val="22"/>
          <w:szCs w:val="22"/>
        </w:rPr>
        <w:fldChar w:fldCharType="begin"/>
      </w:r>
      <w:r w:rsidRPr="00DA76A7">
        <w:rPr>
          <w:rFonts w:ascii="Arial" w:hAnsi="Arial" w:cs="Arial"/>
          <w:color w:val="000000" w:themeColor="text1"/>
          <w:sz w:val="22"/>
          <w:szCs w:val="22"/>
        </w:rPr>
        <w:instrText xml:space="preserve"> HYPERLINK "http://www.neuch.ru/referat/155526.html" \l "_ftnref37" \o "" </w:instrText>
      </w:r>
      <w:r w:rsidR="00666D87" w:rsidRPr="00DA76A7">
        <w:rPr>
          <w:rFonts w:ascii="Arial" w:hAnsi="Arial" w:cs="Arial"/>
          <w:color w:val="000000" w:themeColor="text1"/>
          <w:sz w:val="22"/>
          <w:szCs w:val="22"/>
        </w:rPr>
        <w:fldChar w:fldCharType="separate"/>
      </w:r>
      <w:r w:rsidRPr="00DA76A7">
        <w:rPr>
          <w:rFonts w:ascii="Arial" w:hAnsi="Arial" w:cs="Arial"/>
          <w:color w:val="000000" w:themeColor="text1"/>
          <w:sz w:val="22"/>
          <w:szCs w:val="22"/>
        </w:rPr>
        <w:t>[8,11]</w:t>
      </w:r>
      <w:r w:rsidR="00666D87" w:rsidRPr="00DA76A7">
        <w:rPr>
          <w:rFonts w:ascii="Arial" w:hAnsi="Arial" w:cs="Arial"/>
          <w:color w:val="000000" w:themeColor="text1"/>
          <w:sz w:val="22"/>
          <w:szCs w:val="22"/>
        </w:rPr>
        <w:fldChar w:fldCharType="end"/>
      </w:r>
      <w:bookmarkEnd w:id="46"/>
      <w:r w:rsidRPr="00DA76A7">
        <w:rPr>
          <w:rFonts w:ascii="Arial" w:hAnsi="Arial" w:cs="Arial"/>
          <w:color w:val="000000" w:themeColor="text1"/>
          <w:sz w:val="22"/>
          <w:szCs w:val="22"/>
        </w:rPr>
        <w:t xml:space="preserve"> - ответили они. Подъём духа был всеобщий, появилось восторженное состояние, охватившее не только молодых, но даже людей пожилых, выросших при иных тяжёлых условиях. Генерализированные представления об уважении к личности, о принципиальном равенстве людей, о долге образованных классов перед народом были широко распространены среди представителей образованных групп и являлись своего рода знаком передового мышления. Эти убеждения определяли соответствующие формы коллективных действий, такие как «устройство кружков для взаимной помощи … в складчинах для устройства библиотек, частных школ, курсов, чтений … в распространении образования и в низших классах… в устройстве всякого рода ремесленных заведений на общие средства …на началах ассоциации»</w:t>
      </w:r>
      <w:hyperlink r:id="rId175" w:anchor="_ftnref37" w:history="1">
        <w:r w:rsidRPr="00DA76A7">
          <w:rPr>
            <w:rFonts w:ascii="Arial" w:hAnsi="Arial" w:cs="Arial"/>
            <w:color w:val="000000" w:themeColor="text1"/>
            <w:sz w:val="22"/>
            <w:szCs w:val="22"/>
          </w:rPr>
          <w:t>[8,32]</w:t>
        </w:r>
      </w:hyperlink>
      <w:r w:rsidRPr="00DA76A7">
        <w:rPr>
          <w:rFonts w:ascii="Arial" w:hAnsi="Arial" w:cs="Arial"/>
          <w:color w:val="000000" w:themeColor="text1"/>
          <w:sz w:val="22"/>
          <w:szCs w:val="22"/>
        </w:rPr>
        <w:t>. Включаясь в общественную работу, будущие лидеры женского движения еще не выделяли сферой своей деятельности решение проблем именно женщин. Они функционировали в согласовании с распространенными и известными идеями о долге перед народом. Следовательно первоначальные организации, сформированные представительницами женского рода, были организации предоставляющие возможности  существования достойной жизни для «низших» слоев без разграничения пола. Таким образом в Санкт-Петербурге первой женской инициативой было создано «Общества доставления средств для беднейших жителей Петербурга», а в Москве - «Общество распространения полезного чтения». К женской проблеме лидеры движения подошли не сразу, а в ходе и процессе своей практической работы и деятельности, которая в скоре стала эмпирической основой их убеждений и взглядов.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тоже время с трудностями «низших» слоев эти женщины решали проблемы и задачи своей социальной категории, а именно, вопрос самореализации представительниц слабого пола образованных и интеллигентных классов в публичной сфере. Шел процесс поиска женского идеала, соответствующего мужскому идеалу и крепкому эталону эпохи - гражданина, трудящегося на пользу и выгоду общества. Перед «новыми женщинами» стояла проблема и задача нахождения собственной ниши в общественной работе, идеологического и организационного оформления женского участия и присутствия в созидательной работе «передовых новых людей». В результате они сыграли решающую роль в становлении женского движения.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Мотивом участия в движении явился также мотив личностной самореализации в публичной сфере. Участницы движения были, прежде всего личностями с сильной мотивацией к самореализации. Воспоминания о О.К. Трубниковой дает нам представление о её характере и личных качествах как одной из основательниц женского движения России: «Она была настоящая, прирожденная общественная деятельница, у которой светлый ум сочетался с упорной и сосредоточенной волей, которая умела и хотела привлекать людей к определенной задаче, сплачивать их, пробуждать в них желание работать и приносить пользу», а поскольку «…для натуры деятельной нет горше обиды, как вынужденная пассивность», то «…на борьбу за право проявляться, за право участвовать в созидании жизни отдала эта молодая, умная славная женщина всю свою энергию, всю свою душу»</w:t>
      </w:r>
      <w:bookmarkStart w:id="47" w:name="_ftnref32"/>
      <w:r w:rsidRPr="00DA76A7">
        <w:rPr>
          <w:rFonts w:ascii="Arial" w:hAnsi="Arial" w:cs="Arial"/>
          <w:color w:val="000000" w:themeColor="text1"/>
          <w:sz w:val="22"/>
          <w:szCs w:val="22"/>
        </w:rPr>
        <w:t xml:space="preserve"> </w:t>
      </w:r>
      <w:hyperlink r:id="rId176" w:anchor="_ftnref37" w:history="1">
        <w:r w:rsidRPr="00DA76A7">
          <w:rPr>
            <w:rFonts w:ascii="Arial" w:hAnsi="Arial" w:cs="Arial"/>
            <w:color w:val="000000" w:themeColor="text1"/>
            <w:sz w:val="22"/>
            <w:szCs w:val="22"/>
          </w:rPr>
          <w:t>[2,54]</w:t>
        </w:r>
      </w:hyperlink>
      <w:bookmarkEnd w:id="47"/>
      <w:r w:rsidRPr="00DA76A7">
        <w:rPr>
          <w:rFonts w:ascii="Arial" w:hAnsi="Arial" w:cs="Arial"/>
          <w:color w:val="000000" w:themeColor="text1"/>
          <w:sz w:val="22"/>
          <w:szCs w:val="22"/>
        </w:rPr>
        <w:t xml:space="preserve">. А мотив самореализации позже стал переплетаться с влиянием такого фактора, как неудовлетворенные ожидания личности со стороны женщины. Особенно в ситуации, когда перед глазами реализовывались возможности мужчин того же социального слоя. Это утверждение хорошо иллюстрирует цитата из воспоминаний о О.К. Трубниковой: «Сознание того, что менее способные, менее преданные идеям мужчины могут найти применение для своих сил, а она как женщина, осуждена на общественное бездействие, не может принести всей пользы, о которой мечтает, придавало особую страстность ее феминизму» </w:t>
      </w:r>
      <w:hyperlink r:id="rId177" w:anchor="_ftnref37" w:history="1">
        <w:r w:rsidRPr="00DA76A7">
          <w:rPr>
            <w:rFonts w:ascii="Arial" w:hAnsi="Arial" w:cs="Arial"/>
            <w:color w:val="000000" w:themeColor="text1"/>
            <w:sz w:val="22"/>
            <w:szCs w:val="22"/>
          </w:rPr>
          <w:t>[2,30]</w:t>
        </w:r>
      </w:hyperlink>
      <w:r w:rsidRPr="00DA76A7">
        <w:rPr>
          <w:rFonts w:ascii="Arial" w:hAnsi="Arial" w:cs="Arial"/>
          <w:color w:val="000000" w:themeColor="text1"/>
          <w:sz w:val="22"/>
          <w:szCs w:val="22"/>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самоутверждение шло через реализацию личных установок высоконравственного, идейного и даже политического характера, посредством мобилизации собственных ресурсов и ресурсов своего окружения. Присутствие личных, внутренних ресурсов и доступа к внешним ресурсам давали шанс реализации личных устремлений. За исключением вышесказанных: принадлежности к лучшим слоям общества, присутствия денежных средств, свободного времени и т.д. хотелось бы выделить значимость таких ресурсов как образование и солидарность. Непосредственно образование давало сформировать свои убеждения, оценить популярные представления своего периода времени, развить их применительно к собственной социальной группе - группе образованных женщин, зарабатывающих себе на жизнь. Формирование солидарности понимается как процесс осознания общности интересов и ценностей своей группы и сплочение вокруг них. Та же М.К. Цебрикова писала, что в предреформенную пору происходило «сплочение сил», что «девушки слышали друг о друге, вступали в переписку, разъясняли, что было темного в прочитанной книге или статье, поддерживали друг друга нравственно» </w:t>
      </w:r>
      <w:hyperlink r:id="rId178" w:anchor="_ftnref37" w:history="1">
        <w:r w:rsidRPr="00DA76A7">
          <w:rPr>
            <w:rFonts w:ascii="Arial" w:hAnsi="Arial" w:cs="Arial"/>
            <w:color w:val="000000" w:themeColor="text1"/>
            <w:sz w:val="22"/>
            <w:szCs w:val="22"/>
          </w:rPr>
          <w:t>[8,34]</w:t>
        </w:r>
      </w:hyperlink>
      <w:r w:rsidRPr="00DA76A7">
        <w:rPr>
          <w:rFonts w:ascii="Arial" w:hAnsi="Arial" w:cs="Arial"/>
          <w:color w:val="000000" w:themeColor="text1"/>
          <w:sz w:val="22"/>
          <w:szCs w:val="22"/>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Только  лишь в конце XIX века - начале XX в. Проблемы, задачи и вопросы в положении женщин в обществе занимали умы всё наибольшего количества учёных, писателей и государственных мужей. Которые стали освещать проблемы раскрепощения женщин, приравнённые их в правах с мужчинами, привлечение в социально-общественную жизнь и многие другие вопросы, проблемы и темы. Таким образом, всё настойчивее и упорнее стали звучать мысли о том, что женщина и признание за ней прав обусловлено интересами государства, общества и культуры.</w:t>
      </w:r>
    </w:p>
    <w:p w:rsidR="00181BA7" w:rsidRPr="00DA76A7" w:rsidRDefault="00181BA7" w:rsidP="00181BA7">
      <w:pPr>
        <w:ind w:firstLine="567"/>
        <w:jc w:val="both"/>
        <w:rPr>
          <w:rFonts w:ascii="Arial" w:hAnsi="Arial" w:cs="Arial"/>
          <w:b/>
          <w:color w:val="000000" w:themeColor="text1"/>
          <w:sz w:val="22"/>
          <w:szCs w:val="22"/>
        </w:rPr>
      </w:pPr>
      <w:r w:rsidRPr="00DA76A7">
        <w:rPr>
          <w:rFonts w:ascii="Arial" w:eastAsia="Calibri" w:hAnsi="Arial" w:cs="Arial"/>
          <w:b/>
          <w:color w:val="000000" w:themeColor="text1"/>
          <w:sz w:val="22"/>
          <w:szCs w:val="22"/>
        </w:rPr>
        <w:t xml:space="preserve"> </w:t>
      </w: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67"/>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Безобразов П.В. О правах женщины - Москва: «Литрес», 1895. - 178с. </w:t>
      </w:r>
    </w:p>
    <w:p w:rsidR="00181BA7" w:rsidRPr="00DA76A7" w:rsidRDefault="00181BA7" w:rsidP="00D45D6B">
      <w:pPr>
        <w:pStyle w:val="a6"/>
        <w:numPr>
          <w:ilvl w:val="0"/>
          <w:numId w:val="67"/>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Буланова - Трубникова О.К. Три поколения – Москва: «Литрес».,1928.  - 275с.</w:t>
      </w:r>
    </w:p>
    <w:p w:rsidR="00181BA7" w:rsidRPr="00DA76A7" w:rsidRDefault="00181BA7" w:rsidP="00D45D6B">
      <w:pPr>
        <w:pStyle w:val="a6"/>
        <w:numPr>
          <w:ilvl w:val="0"/>
          <w:numId w:val="67"/>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Глинский Б.Б. Очерки русского прогресса.- Москва: « СПб», 1900.  - 338с.</w:t>
      </w:r>
    </w:p>
    <w:p w:rsidR="00181BA7" w:rsidRPr="00DA76A7" w:rsidRDefault="00181BA7" w:rsidP="00D45D6B">
      <w:pPr>
        <w:pStyle w:val="a6"/>
        <w:numPr>
          <w:ilvl w:val="0"/>
          <w:numId w:val="67"/>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Кечерджи-Шаповалов М.В. К свободе: // Этюд по женскому вопросу.- Санкт-Петербург: «СПб»., 1905 - С. 8 -12.</w:t>
      </w:r>
    </w:p>
    <w:p w:rsidR="00181BA7" w:rsidRPr="00DA76A7" w:rsidRDefault="00181BA7" w:rsidP="00D45D6B">
      <w:pPr>
        <w:pStyle w:val="a6"/>
        <w:numPr>
          <w:ilvl w:val="0"/>
          <w:numId w:val="67"/>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Пиетров-Энкер Б.Н. «Новые люди» России: Развитие женского движения от истоков до Октябрьской революции – М.: «Мосгор», 2005. - 295с.</w:t>
      </w:r>
    </w:p>
    <w:p w:rsidR="00181BA7" w:rsidRPr="00DA76A7" w:rsidRDefault="00181BA7" w:rsidP="00D45D6B">
      <w:pPr>
        <w:pStyle w:val="a6"/>
        <w:numPr>
          <w:ilvl w:val="0"/>
          <w:numId w:val="67"/>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Стасова П.В. Памяти Н.В. Стасовой // Женское дело. - СПб., Кн. 3, 1900.- № 3. – С.30-42.</w:t>
      </w:r>
    </w:p>
    <w:p w:rsidR="00181BA7" w:rsidRPr="00DA76A7" w:rsidRDefault="00181BA7" w:rsidP="00D45D6B">
      <w:pPr>
        <w:pStyle w:val="a4"/>
        <w:numPr>
          <w:ilvl w:val="0"/>
          <w:numId w:val="67"/>
        </w:numPr>
        <w:tabs>
          <w:tab w:val="clear" w:pos="4677"/>
          <w:tab w:val="left" w:pos="284"/>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Стасов Д.В. Каракозовский процесс. Воспоминания. [Электронный ресурс] //  Былое. 1906.- № 4.- Режим доступа: </w:t>
      </w:r>
      <w:hyperlink r:id="rId179" w:history="1">
        <w:r w:rsidRPr="00DA76A7">
          <w:rPr>
            <w:rStyle w:val="af0"/>
            <w:rFonts w:ascii="Arial" w:hAnsi="Arial" w:cs="Arial"/>
            <w:color w:val="000000" w:themeColor="text1"/>
            <w:sz w:val="22"/>
            <w:szCs w:val="22"/>
            <w:u w:val="none"/>
          </w:rPr>
          <w:t>http://ekoncept.ru/2014/14815.htm</w:t>
        </w:r>
      </w:hyperlink>
      <w:r w:rsidRPr="00DA76A7">
        <w:rPr>
          <w:rFonts w:ascii="Arial" w:hAnsi="Arial" w:cs="Arial"/>
          <w:color w:val="000000" w:themeColor="text1"/>
          <w:sz w:val="22"/>
          <w:szCs w:val="22"/>
        </w:rPr>
        <w:t xml:space="preserve"> (дата обращения: 22.02. 2018).</w:t>
      </w:r>
    </w:p>
    <w:p w:rsidR="00181BA7" w:rsidRPr="00DA76A7" w:rsidRDefault="00181BA7" w:rsidP="00D45D6B">
      <w:pPr>
        <w:pStyle w:val="a6"/>
        <w:numPr>
          <w:ilvl w:val="0"/>
          <w:numId w:val="67"/>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Цебрикова М.К. Воспоминания. Двадцатипятилетние женского вопроса. 1861-1886 [Электронный ресурс] // Звезда. 1935. - № 6. - Режим доступа: http://ekoncept.ru/2014/14815.htm (дата обращения: 22.02. 2018).</w:t>
      </w:r>
    </w:p>
    <w:p w:rsidR="00181BA7" w:rsidRPr="00DA76A7" w:rsidRDefault="00181BA7" w:rsidP="00D45D6B">
      <w:pPr>
        <w:pStyle w:val="a6"/>
        <w:numPr>
          <w:ilvl w:val="0"/>
          <w:numId w:val="67"/>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Хасбулатова О.А, Мочалова Р.С., Шпырова О.В. / Женщина и Российское общество: научно-исторический аспект. Межвузовский сборник научных трудов.- Иваново, 1995. – С.56-59.</w:t>
      </w:r>
    </w:p>
    <w:p w:rsidR="00181BA7" w:rsidRDefault="00181BA7" w:rsidP="00181BA7">
      <w:pPr>
        <w:shd w:val="clear" w:color="auto" w:fill="FFFFFF"/>
        <w:ind w:firstLine="567"/>
        <w:jc w:val="both"/>
        <w:rPr>
          <w:rFonts w:ascii="Arial" w:hAnsi="Arial" w:cs="Arial"/>
          <w:color w:val="000000" w:themeColor="text1"/>
          <w:sz w:val="22"/>
          <w:szCs w:val="22"/>
        </w:rPr>
      </w:pPr>
    </w:p>
    <w:p w:rsidR="001713F3" w:rsidRDefault="001713F3" w:rsidP="00181BA7">
      <w:pPr>
        <w:shd w:val="clear" w:color="auto" w:fill="FFFFFF"/>
        <w:ind w:firstLine="567"/>
        <w:jc w:val="both"/>
        <w:rPr>
          <w:rFonts w:ascii="Arial" w:hAnsi="Arial" w:cs="Arial"/>
          <w:color w:val="000000" w:themeColor="text1"/>
          <w:sz w:val="22"/>
          <w:szCs w:val="22"/>
        </w:rPr>
      </w:pPr>
    </w:p>
    <w:p w:rsidR="001713F3" w:rsidRPr="00DA76A7" w:rsidRDefault="001713F3" w:rsidP="00181BA7">
      <w:pPr>
        <w:shd w:val="clear" w:color="auto" w:fill="FFFFFF"/>
        <w:ind w:firstLine="567"/>
        <w:jc w:val="both"/>
        <w:rPr>
          <w:rFonts w:ascii="Arial" w:hAnsi="Arial" w:cs="Arial"/>
          <w:color w:val="000000" w:themeColor="text1"/>
          <w:sz w:val="22"/>
          <w:szCs w:val="22"/>
        </w:rPr>
      </w:pPr>
    </w:p>
    <w:p w:rsidR="00ED3C2E" w:rsidRPr="00DA76A7" w:rsidRDefault="00ED3C2E" w:rsidP="00ED3C2E">
      <w:pPr>
        <w:jc w:val="center"/>
        <w:rPr>
          <w:rFonts w:ascii="Arial" w:hAnsi="Arial" w:cs="Arial"/>
          <w:b/>
          <w:color w:val="000000" w:themeColor="text1"/>
          <w:sz w:val="22"/>
          <w:szCs w:val="22"/>
        </w:rPr>
      </w:pPr>
      <w:r w:rsidRPr="00DA76A7">
        <w:rPr>
          <w:rFonts w:ascii="Arial" w:hAnsi="Arial" w:cs="Arial"/>
          <w:b/>
          <w:color w:val="000000" w:themeColor="text1"/>
          <w:sz w:val="22"/>
          <w:szCs w:val="22"/>
        </w:rPr>
        <w:t>ОРГАНИЗАЦИОННО-ПРАВОВЫЕ ФОРМЫ НЕКОММЕРЧЕСКИХ ОРГАНИЗАЦИЙ ПО ЗАКОНОДАТЕЛЬСВУ РЕСПУБЛИКИ ТАДЖИКИСТАН И РОССИЙСКОЙ ФЕДЕРАЦИИ</w:t>
      </w:r>
    </w:p>
    <w:p w:rsidR="00ED3C2E" w:rsidRDefault="00ED3C2E" w:rsidP="00ED3C2E">
      <w:pPr>
        <w:pStyle w:val="ac"/>
        <w:jc w:val="center"/>
        <w:rPr>
          <w:rFonts w:ascii="Arial" w:hAnsi="Arial" w:cs="Arial"/>
          <w:b/>
          <w:color w:val="000000" w:themeColor="text1"/>
        </w:rPr>
      </w:pPr>
    </w:p>
    <w:p w:rsidR="001713F3" w:rsidRPr="00DA76A7" w:rsidRDefault="001713F3" w:rsidP="00ED3C2E">
      <w:pPr>
        <w:pStyle w:val="ac"/>
        <w:jc w:val="center"/>
        <w:rPr>
          <w:rFonts w:ascii="Arial" w:hAnsi="Arial" w:cs="Arial"/>
          <w:b/>
          <w:color w:val="000000" w:themeColor="text1"/>
        </w:rPr>
      </w:pPr>
    </w:p>
    <w:p w:rsidR="00ED3C2E" w:rsidRPr="00DA76A7" w:rsidRDefault="00ED3C2E" w:rsidP="00ED3C2E">
      <w:pPr>
        <w:pStyle w:val="ac"/>
        <w:jc w:val="center"/>
        <w:rPr>
          <w:rFonts w:ascii="Arial" w:hAnsi="Arial" w:cs="Arial"/>
          <w:b/>
          <w:color w:val="000000" w:themeColor="text1"/>
        </w:rPr>
      </w:pPr>
      <w:r w:rsidRPr="00DA76A7">
        <w:rPr>
          <w:rFonts w:ascii="Arial" w:hAnsi="Arial" w:cs="Arial"/>
          <w:b/>
          <w:color w:val="000000" w:themeColor="text1"/>
        </w:rPr>
        <w:t>Каримова Тахмина Мирсултановна</w:t>
      </w:r>
    </w:p>
    <w:p w:rsidR="00ED3C2E" w:rsidRPr="00DA76A7" w:rsidRDefault="00ED3C2E" w:rsidP="00ED3C2E">
      <w:pPr>
        <w:pStyle w:val="ac"/>
        <w:jc w:val="center"/>
        <w:rPr>
          <w:rFonts w:ascii="Arial" w:hAnsi="Arial" w:cs="Arial"/>
          <w:color w:val="000000" w:themeColor="text1"/>
        </w:rPr>
      </w:pPr>
      <w:r w:rsidRPr="00DA76A7">
        <w:rPr>
          <w:rFonts w:ascii="Arial" w:hAnsi="Arial" w:cs="Arial"/>
          <w:color w:val="000000" w:themeColor="text1"/>
        </w:rPr>
        <w:t>магистрант 1-го года обучения заочного отделения юридического факультета</w:t>
      </w:r>
    </w:p>
    <w:p w:rsidR="00ED3C2E" w:rsidRPr="00DA76A7" w:rsidRDefault="00ED3C2E" w:rsidP="00ED3C2E">
      <w:pPr>
        <w:pStyle w:val="ac"/>
        <w:jc w:val="center"/>
        <w:rPr>
          <w:rFonts w:ascii="Arial" w:hAnsi="Arial" w:cs="Arial"/>
          <w:color w:val="000000" w:themeColor="text1"/>
        </w:rPr>
      </w:pPr>
      <w:r w:rsidRPr="00DA76A7">
        <w:rPr>
          <w:rFonts w:ascii="Arial" w:hAnsi="Arial" w:cs="Arial"/>
          <w:color w:val="000000" w:themeColor="text1"/>
        </w:rPr>
        <w:t>Российско-Таджиксткий (Славянский) университет</w:t>
      </w:r>
    </w:p>
    <w:p w:rsidR="00ED3C2E" w:rsidRPr="00DA76A7" w:rsidRDefault="00ED3C2E" w:rsidP="00ED3C2E">
      <w:pPr>
        <w:pStyle w:val="ac"/>
        <w:jc w:val="center"/>
        <w:rPr>
          <w:rFonts w:ascii="Arial" w:hAnsi="Arial" w:cs="Arial"/>
          <w:color w:val="000000" w:themeColor="text1"/>
        </w:rPr>
      </w:pPr>
      <w:r w:rsidRPr="00DA76A7">
        <w:rPr>
          <w:rFonts w:ascii="Arial" w:hAnsi="Arial" w:cs="Arial"/>
          <w:color w:val="000000" w:themeColor="text1"/>
        </w:rPr>
        <w:t xml:space="preserve">734025, Республика Таджикистан, г.Душанбе, ул. </w:t>
      </w:r>
      <w:r w:rsidRPr="00DA76A7">
        <w:rPr>
          <w:rFonts w:ascii="Arial" w:hAnsi="Arial" w:cs="Arial"/>
          <w:color w:val="000000" w:themeColor="text1"/>
          <w:lang w:val="en-US"/>
        </w:rPr>
        <w:t>M</w:t>
      </w:r>
      <w:r w:rsidRPr="00DA76A7">
        <w:rPr>
          <w:rFonts w:ascii="Arial" w:hAnsi="Arial" w:cs="Arial"/>
          <w:color w:val="000000" w:themeColor="text1"/>
        </w:rPr>
        <w:t>. Турсунзаде, 30</w:t>
      </w:r>
    </w:p>
    <w:p w:rsidR="00ED3C2E" w:rsidRPr="00DA76A7" w:rsidRDefault="00ED3C2E" w:rsidP="00ED3C2E">
      <w:pPr>
        <w:pStyle w:val="ac"/>
        <w:jc w:val="center"/>
        <w:rPr>
          <w:rFonts w:ascii="Arial" w:hAnsi="Arial" w:cs="Arial"/>
          <w:color w:val="000000" w:themeColor="text1"/>
        </w:rPr>
      </w:pPr>
      <w:r w:rsidRPr="00DA76A7">
        <w:rPr>
          <w:rFonts w:ascii="Arial" w:hAnsi="Arial" w:cs="Arial"/>
          <w:color w:val="000000" w:themeColor="text1"/>
        </w:rPr>
        <w:t xml:space="preserve">тел.: +992 98 553 23 00, </w:t>
      </w:r>
      <w:r w:rsidRPr="00DA76A7">
        <w:rPr>
          <w:rFonts w:ascii="Arial" w:hAnsi="Arial" w:cs="Arial"/>
          <w:color w:val="000000" w:themeColor="text1"/>
          <w:lang w:val="en-US"/>
        </w:rPr>
        <w:t>e</w:t>
      </w:r>
      <w:r w:rsidRPr="00DA76A7">
        <w:rPr>
          <w:rFonts w:ascii="Arial" w:hAnsi="Arial" w:cs="Arial"/>
          <w:color w:val="000000" w:themeColor="text1"/>
        </w:rPr>
        <w:t>-</w:t>
      </w:r>
      <w:r w:rsidRPr="00DA76A7">
        <w:rPr>
          <w:rFonts w:ascii="Arial" w:hAnsi="Arial" w:cs="Arial"/>
          <w:color w:val="000000" w:themeColor="text1"/>
          <w:lang w:val="en-US"/>
        </w:rPr>
        <w:t>mail</w:t>
      </w:r>
      <w:r w:rsidRPr="00DA76A7">
        <w:rPr>
          <w:rFonts w:ascii="Arial" w:hAnsi="Arial" w:cs="Arial"/>
          <w:color w:val="000000" w:themeColor="text1"/>
        </w:rPr>
        <w:t xml:space="preserve">: </w:t>
      </w:r>
      <w:hyperlink r:id="rId180" w:history="1">
        <w:r w:rsidRPr="00DA76A7">
          <w:rPr>
            <w:rStyle w:val="af0"/>
            <w:rFonts w:ascii="Arial" w:hAnsi="Arial" w:cs="Arial"/>
            <w:color w:val="000000" w:themeColor="text1"/>
            <w:u w:val="none"/>
            <w:lang w:val="en-US"/>
          </w:rPr>
          <w:t>takha</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karimova</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gmail</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com</w:t>
        </w:r>
      </w:hyperlink>
    </w:p>
    <w:p w:rsidR="00ED3C2E" w:rsidRDefault="00ED3C2E" w:rsidP="00ED3C2E">
      <w:pPr>
        <w:jc w:val="center"/>
        <w:rPr>
          <w:rFonts w:ascii="Arial" w:hAnsi="Arial" w:cs="Arial"/>
          <w:color w:val="000000" w:themeColor="text1"/>
          <w:sz w:val="22"/>
          <w:szCs w:val="22"/>
        </w:rPr>
      </w:pPr>
    </w:p>
    <w:p w:rsidR="001713F3" w:rsidRDefault="001713F3" w:rsidP="00ED3C2E">
      <w:pPr>
        <w:jc w:val="center"/>
        <w:rPr>
          <w:rFonts w:ascii="Arial" w:hAnsi="Arial" w:cs="Arial"/>
          <w:color w:val="000000" w:themeColor="text1"/>
          <w:sz w:val="22"/>
          <w:szCs w:val="22"/>
        </w:rPr>
      </w:pPr>
    </w:p>
    <w:p w:rsidR="001713F3" w:rsidRDefault="001713F3" w:rsidP="00ED3C2E">
      <w:pPr>
        <w:jc w:val="center"/>
        <w:rPr>
          <w:rFonts w:ascii="Arial" w:hAnsi="Arial" w:cs="Arial"/>
          <w:color w:val="000000" w:themeColor="text1"/>
          <w:sz w:val="22"/>
          <w:szCs w:val="22"/>
        </w:rPr>
      </w:pPr>
    </w:p>
    <w:p w:rsidR="001713F3" w:rsidRDefault="001713F3" w:rsidP="00ED3C2E">
      <w:pPr>
        <w:jc w:val="center"/>
        <w:rPr>
          <w:rFonts w:ascii="Arial" w:hAnsi="Arial" w:cs="Arial"/>
          <w:color w:val="000000" w:themeColor="text1"/>
          <w:sz w:val="22"/>
          <w:szCs w:val="22"/>
        </w:rPr>
      </w:pPr>
    </w:p>
    <w:p w:rsidR="001713F3" w:rsidRDefault="001713F3" w:rsidP="00ED3C2E">
      <w:pPr>
        <w:jc w:val="center"/>
        <w:rPr>
          <w:rFonts w:ascii="Arial" w:hAnsi="Arial" w:cs="Arial"/>
          <w:color w:val="000000" w:themeColor="text1"/>
          <w:sz w:val="22"/>
          <w:szCs w:val="22"/>
        </w:rPr>
      </w:pPr>
    </w:p>
    <w:p w:rsidR="001713F3" w:rsidRDefault="001713F3" w:rsidP="00ED3C2E">
      <w:pPr>
        <w:jc w:val="center"/>
        <w:rPr>
          <w:rFonts w:ascii="Arial" w:hAnsi="Arial" w:cs="Arial"/>
          <w:color w:val="000000" w:themeColor="text1"/>
          <w:sz w:val="22"/>
          <w:szCs w:val="22"/>
        </w:rPr>
      </w:pPr>
    </w:p>
    <w:p w:rsidR="001713F3" w:rsidRPr="00DA76A7" w:rsidRDefault="001713F3" w:rsidP="00ED3C2E">
      <w:pPr>
        <w:jc w:val="center"/>
        <w:rPr>
          <w:rFonts w:ascii="Arial" w:hAnsi="Arial" w:cs="Arial"/>
          <w:color w:val="000000" w:themeColor="text1"/>
          <w:sz w:val="22"/>
          <w:szCs w:val="22"/>
        </w:rPr>
      </w:pPr>
    </w:p>
    <w:p w:rsidR="00ED3C2E" w:rsidRPr="00DA76A7" w:rsidRDefault="00ED3C2E" w:rsidP="00ED3C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ORGANIZATIONAL AND LEGAL FORMS OF NON-PROFIT ORGANIZATIONS ON LEGISLATION OF THE REPUBLIC OF TAJIKISTAN AND THE RUSSIAN FEDERATION</w:t>
      </w:r>
    </w:p>
    <w:p w:rsidR="00ED3C2E" w:rsidRPr="00DA76A7" w:rsidRDefault="00ED3C2E" w:rsidP="00ED3C2E">
      <w:pPr>
        <w:jc w:val="center"/>
        <w:rPr>
          <w:rFonts w:ascii="Arial" w:hAnsi="Arial" w:cs="Arial"/>
          <w:b/>
          <w:color w:val="000000" w:themeColor="text1"/>
          <w:sz w:val="22"/>
          <w:szCs w:val="22"/>
          <w:lang w:val="en-US"/>
        </w:rPr>
      </w:pPr>
    </w:p>
    <w:p w:rsidR="00ED3C2E" w:rsidRPr="00DA76A7" w:rsidRDefault="00ED3C2E" w:rsidP="00ED3C2E">
      <w:pPr>
        <w:pStyle w:val="ac"/>
        <w:jc w:val="center"/>
        <w:rPr>
          <w:rFonts w:ascii="Arial" w:hAnsi="Arial" w:cs="Arial"/>
          <w:b/>
          <w:color w:val="000000" w:themeColor="text1"/>
          <w:lang w:val="en-US"/>
        </w:rPr>
      </w:pPr>
      <w:r w:rsidRPr="00DA76A7">
        <w:rPr>
          <w:rFonts w:ascii="Arial" w:hAnsi="Arial" w:cs="Arial"/>
          <w:b/>
          <w:color w:val="000000" w:themeColor="text1"/>
          <w:lang w:val="en-US"/>
        </w:rPr>
        <w:t>Karimova Takhmina Mirsultanovna</w:t>
      </w:r>
    </w:p>
    <w:p w:rsidR="00ED3C2E" w:rsidRPr="00DA76A7" w:rsidRDefault="00ED3C2E" w:rsidP="00ED3C2E">
      <w:pPr>
        <w:pStyle w:val="ac"/>
        <w:jc w:val="center"/>
        <w:rPr>
          <w:rFonts w:ascii="Arial" w:hAnsi="Arial" w:cs="Arial"/>
          <w:color w:val="000000" w:themeColor="text1"/>
          <w:lang w:val="en-US"/>
        </w:rPr>
      </w:pPr>
      <w:r w:rsidRPr="00DA76A7">
        <w:rPr>
          <w:rFonts w:ascii="Arial" w:hAnsi="Arial" w:cs="Arial"/>
          <w:color w:val="000000" w:themeColor="text1"/>
          <w:lang w:val="en-US"/>
        </w:rPr>
        <w:t>graduate student of the 1</w:t>
      </w:r>
      <w:r w:rsidRPr="00DA76A7">
        <w:rPr>
          <w:rFonts w:ascii="Arial" w:hAnsi="Arial" w:cs="Arial"/>
          <w:color w:val="000000" w:themeColor="text1"/>
          <w:vertAlign w:val="superscript"/>
          <w:lang w:val="en-US"/>
        </w:rPr>
        <w:t>st</w:t>
      </w:r>
      <w:r w:rsidRPr="00DA76A7">
        <w:rPr>
          <w:rFonts w:ascii="Arial" w:hAnsi="Arial" w:cs="Arial"/>
          <w:color w:val="000000" w:themeColor="text1"/>
          <w:lang w:val="en-US"/>
        </w:rPr>
        <w:t xml:space="preserve"> year students of the correspondence department of the law faculty</w:t>
      </w:r>
    </w:p>
    <w:p w:rsidR="00ED3C2E" w:rsidRPr="00DA76A7" w:rsidRDefault="00ED3C2E" w:rsidP="00ED3C2E">
      <w:pPr>
        <w:pStyle w:val="ac"/>
        <w:jc w:val="center"/>
        <w:rPr>
          <w:rFonts w:ascii="Arial" w:hAnsi="Arial" w:cs="Arial"/>
          <w:color w:val="000000" w:themeColor="text1"/>
          <w:lang w:val="en-US"/>
        </w:rPr>
      </w:pPr>
      <w:r w:rsidRPr="00DA76A7">
        <w:rPr>
          <w:rFonts w:ascii="Arial" w:hAnsi="Arial" w:cs="Arial"/>
          <w:color w:val="000000" w:themeColor="text1"/>
          <w:lang w:val="en-US"/>
        </w:rPr>
        <w:t>Russian-Tajik (Slavonic) university</w:t>
      </w:r>
    </w:p>
    <w:p w:rsidR="00ED3C2E" w:rsidRPr="00DA76A7" w:rsidRDefault="00ED3C2E" w:rsidP="00ED3C2E">
      <w:pPr>
        <w:pStyle w:val="ac"/>
        <w:jc w:val="center"/>
        <w:rPr>
          <w:rFonts w:ascii="Arial" w:hAnsi="Arial" w:cs="Arial"/>
          <w:color w:val="000000" w:themeColor="text1"/>
          <w:lang w:val="en-US"/>
        </w:rPr>
      </w:pPr>
      <w:r w:rsidRPr="00DA76A7">
        <w:rPr>
          <w:rFonts w:ascii="Arial" w:hAnsi="Arial" w:cs="Arial"/>
          <w:color w:val="000000" w:themeColor="text1"/>
          <w:lang w:val="en-US"/>
        </w:rPr>
        <w:t>734025, Republic of Tajikistan, Dushanbe, M. Tursunzade str., 30</w:t>
      </w:r>
    </w:p>
    <w:p w:rsidR="00ED3C2E" w:rsidRPr="00DA76A7" w:rsidRDefault="00ED3C2E" w:rsidP="00ED3C2E">
      <w:pPr>
        <w:pStyle w:val="ac"/>
        <w:jc w:val="center"/>
        <w:rPr>
          <w:rFonts w:ascii="Arial" w:hAnsi="Arial" w:cs="Arial"/>
          <w:color w:val="000000" w:themeColor="text1"/>
          <w:lang w:val="en-US"/>
        </w:rPr>
      </w:pPr>
      <w:r w:rsidRPr="00DA76A7">
        <w:rPr>
          <w:rFonts w:ascii="Arial" w:hAnsi="Arial" w:cs="Arial"/>
          <w:color w:val="000000" w:themeColor="text1"/>
          <w:lang w:val="en-US"/>
        </w:rPr>
        <w:t>tel.: +992 98 553 23 00, e-mail: takha.karimova@gmail.com</w:t>
      </w:r>
    </w:p>
    <w:p w:rsidR="00ED3C2E" w:rsidRPr="00DA76A7" w:rsidRDefault="00ED3C2E" w:rsidP="00ED3C2E">
      <w:pPr>
        <w:ind w:firstLine="567"/>
        <w:jc w:val="right"/>
        <w:rPr>
          <w:rFonts w:ascii="Arial" w:hAnsi="Arial" w:cs="Arial"/>
          <w:b/>
          <w:color w:val="000000" w:themeColor="text1"/>
          <w:sz w:val="22"/>
          <w:szCs w:val="22"/>
          <w:lang w:val="en-US"/>
        </w:rPr>
      </w:pPr>
    </w:p>
    <w:p w:rsidR="00ED3C2E" w:rsidRPr="00DA76A7" w:rsidRDefault="00ED3C2E" w:rsidP="00ED3C2E">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Курбонов К.Ш.</w:t>
      </w:r>
    </w:p>
    <w:p w:rsidR="00ED3C2E" w:rsidRPr="00DA76A7" w:rsidRDefault="00ED3C2E" w:rsidP="00ED3C2E">
      <w:pPr>
        <w:pStyle w:val="ac"/>
        <w:ind w:firstLine="567"/>
        <w:rPr>
          <w:rFonts w:ascii="Arial" w:hAnsi="Arial" w:cs="Arial"/>
          <w:b/>
          <w:color w:val="000000" w:themeColor="text1"/>
        </w:rPr>
      </w:pPr>
      <w:r w:rsidRPr="00DA76A7">
        <w:rPr>
          <w:rFonts w:ascii="Arial" w:hAnsi="Arial" w:cs="Arial"/>
          <w:color w:val="000000" w:themeColor="text1"/>
        </w:rPr>
        <w:t xml:space="preserve">         </w:t>
      </w:r>
      <w:r w:rsidRPr="00DA76A7">
        <w:rPr>
          <w:rFonts w:ascii="Arial" w:hAnsi="Arial" w:cs="Arial"/>
          <w:b/>
          <w:color w:val="000000" w:themeColor="text1"/>
        </w:rPr>
        <w:t xml:space="preserve">   </w:t>
      </w:r>
    </w:p>
    <w:p w:rsidR="00ED3C2E" w:rsidRPr="00DA76A7" w:rsidRDefault="00ED3C2E" w:rsidP="00ED3C2E">
      <w:pPr>
        <w:pStyle w:val="ac"/>
        <w:ind w:firstLine="567"/>
        <w:jc w:val="both"/>
        <w:rPr>
          <w:rFonts w:ascii="Arial" w:hAnsi="Arial" w:cs="Arial"/>
          <w:i/>
          <w:color w:val="000000" w:themeColor="text1"/>
        </w:rPr>
      </w:pPr>
      <w:r w:rsidRPr="00DA76A7">
        <w:rPr>
          <w:rFonts w:ascii="Arial" w:hAnsi="Arial" w:cs="Arial"/>
          <w:b/>
          <w:color w:val="000000" w:themeColor="text1"/>
        </w:rPr>
        <w:t xml:space="preserve"> </w:t>
      </w:r>
      <w:r w:rsidRPr="00DA76A7">
        <w:rPr>
          <w:rFonts w:ascii="Arial" w:hAnsi="Arial" w:cs="Arial"/>
          <w:b/>
          <w:i/>
          <w:color w:val="000000" w:themeColor="text1"/>
        </w:rPr>
        <w:t>Аннотация.</w:t>
      </w:r>
      <w:r w:rsidRPr="00DA76A7">
        <w:rPr>
          <w:rFonts w:ascii="Arial" w:hAnsi="Arial" w:cs="Arial"/>
          <w:i/>
          <w:color w:val="000000" w:themeColor="text1"/>
        </w:rPr>
        <w:t xml:space="preserve"> В данной статье рассматриваются общие понятия некоммерческих организаций, их организационно-правовые формы, а также их роль и место в соответствии с законодательством Республики Таджикистан и Российской Федерации.</w:t>
      </w:r>
    </w:p>
    <w:p w:rsidR="00ED3C2E" w:rsidRPr="00DA76A7" w:rsidRDefault="00ED3C2E" w:rsidP="00ED3C2E">
      <w:pPr>
        <w:pStyle w:val="ac"/>
        <w:ind w:firstLine="567"/>
        <w:jc w:val="both"/>
        <w:rPr>
          <w:rFonts w:ascii="Arial" w:hAnsi="Arial" w:cs="Arial"/>
          <w:i/>
          <w:color w:val="000000" w:themeColor="text1"/>
          <w:shd w:val="clear" w:color="auto" w:fill="FFFFFF"/>
          <w:lang w:val="en-US"/>
        </w:rPr>
      </w:pPr>
      <w:r w:rsidRPr="00DA76A7">
        <w:rPr>
          <w:rFonts w:ascii="Arial" w:hAnsi="Arial" w:cs="Arial"/>
          <w:b/>
          <w:i/>
          <w:color w:val="000000" w:themeColor="text1"/>
          <w:shd w:val="clear" w:color="auto" w:fill="FFFFFF"/>
          <w:lang w:val="en-US"/>
        </w:rPr>
        <w:t>Annotation.</w:t>
      </w:r>
      <w:r w:rsidRPr="00DA76A7">
        <w:rPr>
          <w:rFonts w:ascii="Arial" w:hAnsi="Arial" w:cs="Arial"/>
          <w:i/>
          <w:color w:val="000000" w:themeColor="text1"/>
          <w:shd w:val="clear" w:color="auto" w:fill="FFFFFF"/>
          <w:lang w:val="en-US"/>
        </w:rPr>
        <w:t xml:space="preserve"> In this article, the general concepts of non-commercial organizations, their organizational and legal forms, as well as their role and place in accordance with the legislation of the Republic of Tajikistan and the Russian Federation are considered.</w:t>
      </w:r>
    </w:p>
    <w:p w:rsidR="00ED3C2E" w:rsidRPr="00DA76A7" w:rsidRDefault="00ED3C2E" w:rsidP="00ED3C2E">
      <w:pPr>
        <w:pStyle w:val="ac"/>
        <w:ind w:firstLine="567"/>
        <w:jc w:val="both"/>
        <w:rPr>
          <w:rFonts w:ascii="Arial" w:hAnsi="Arial" w:cs="Arial"/>
          <w:b/>
          <w:i/>
          <w:color w:val="000000" w:themeColor="text1"/>
          <w:shd w:val="clear" w:color="auto" w:fill="FFFFFF"/>
        </w:rPr>
      </w:pPr>
      <w:r w:rsidRPr="00DA76A7">
        <w:rPr>
          <w:rFonts w:ascii="Arial" w:hAnsi="Arial" w:cs="Arial"/>
          <w:b/>
          <w:i/>
          <w:color w:val="000000" w:themeColor="text1"/>
          <w:shd w:val="clear" w:color="auto" w:fill="FFFFFF"/>
        </w:rPr>
        <w:t>Ключевые слова:</w:t>
      </w:r>
      <w:r w:rsidRPr="00DA76A7">
        <w:rPr>
          <w:rFonts w:ascii="Arial" w:hAnsi="Arial" w:cs="Arial"/>
          <w:i/>
          <w:color w:val="000000" w:themeColor="text1"/>
          <w:shd w:val="clear" w:color="auto" w:fill="FFFFFF"/>
        </w:rPr>
        <w:t xml:space="preserve"> Некоммерческие организации, Учредительные документы, Устав, Объединения граждан, Объединения юридических лиц, Потребительский кооператив, </w:t>
      </w:r>
      <w:r w:rsidRPr="00DA76A7">
        <w:rPr>
          <w:rFonts w:ascii="Arial" w:hAnsi="Arial" w:cs="Arial"/>
          <w:i/>
          <w:color w:val="000000" w:themeColor="text1"/>
        </w:rPr>
        <w:t xml:space="preserve">Общественные и религиозные организации (объединения), </w:t>
      </w:r>
      <w:r w:rsidRPr="00DA76A7">
        <w:rPr>
          <w:rFonts w:ascii="Arial" w:hAnsi="Arial" w:cs="Arial"/>
          <w:i/>
          <w:color w:val="000000" w:themeColor="text1"/>
          <w:shd w:val="clear" w:color="auto" w:fill="FFFFFF"/>
        </w:rPr>
        <w:t xml:space="preserve">Фонды, Учреждения, </w:t>
      </w:r>
      <w:r w:rsidRPr="00DA76A7">
        <w:rPr>
          <w:rFonts w:ascii="Arial" w:hAnsi="Arial" w:cs="Arial"/>
          <w:i/>
          <w:color w:val="000000" w:themeColor="text1"/>
        </w:rPr>
        <w:t xml:space="preserve">Объединения </w:t>
      </w:r>
      <w:r w:rsidRPr="00DA76A7">
        <w:rPr>
          <w:rFonts w:ascii="Arial" w:hAnsi="Arial" w:cs="Arial"/>
          <w:i/>
          <w:color w:val="000000" w:themeColor="text1"/>
          <w:shd w:val="clear" w:color="auto" w:fill="FFFFFF"/>
        </w:rPr>
        <w:t>юридических лиц (ассоциации и союзы).</w:t>
      </w:r>
    </w:p>
    <w:p w:rsidR="00ED3C2E" w:rsidRPr="00DA76A7" w:rsidRDefault="00ED3C2E" w:rsidP="00ED3C2E">
      <w:pPr>
        <w:pStyle w:val="ac"/>
        <w:ind w:firstLine="567"/>
        <w:jc w:val="both"/>
        <w:rPr>
          <w:rFonts w:ascii="Arial" w:hAnsi="Arial" w:cs="Arial"/>
          <w:i/>
          <w:color w:val="000000" w:themeColor="text1"/>
          <w:shd w:val="clear" w:color="auto" w:fill="FFFFFF"/>
          <w:lang w:val="en-US"/>
        </w:rPr>
      </w:pPr>
      <w:r w:rsidRPr="00DA76A7">
        <w:rPr>
          <w:rFonts w:ascii="Arial" w:hAnsi="Arial" w:cs="Arial"/>
          <w:b/>
          <w:i/>
          <w:color w:val="000000" w:themeColor="text1"/>
          <w:shd w:val="clear" w:color="auto" w:fill="FFFFFF"/>
          <w:lang w:val="en-US"/>
        </w:rPr>
        <w:t>Key words:</w:t>
      </w:r>
      <w:r w:rsidRPr="00DA76A7">
        <w:rPr>
          <w:rFonts w:ascii="Arial" w:hAnsi="Arial" w:cs="Arial"/>
          <w:i/>
          <w:color w:val="000000" w:themeColor="text1"/>
          <w:shd w:val="clear" w:color="auto" w:fill="FFFFFF"/>
          <w:lang w:val="en-US"/>
        </w:rPr>
        <w:t xml:space="preserve"> Non-commercial organizations, Founding documents, Charter, Associations of citizens, Associations of legal entities, Consumer cooperative, Public and religious organizations (associations), Foundations, Institutions, Associations of legal persons (associations and unions).</w:t>
      </w:r>
    </w:p>
    <w:p w:rsidR="00ED3C2E" w:rsidRPr="00DA76A7" w:rsidRDefault="00ED3C2E" w:rsidP="00ED3C2E">
      <w:pPr>
        <w:ind w:firstLine="567"/>
        <w:jc w:val="both"/>
        <w:rPr>
          <w:rFonts w:ascii="Arial" w:hAnsi="Arial" w:cs="Arial"/>
          <w:color w:val="000000" w:themeColor="text1"/>
          <w:sz w:val="22"/>
          <w:szCs w:val="22"/>
          <w:lang w:val="en-US"/>
        </w:rPr>
      </w:pP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Республике Таджикистан и в Российской Федерации особое место в системе субъектов гражданского права занимают некоммерческие организации. Особенность данного вида юридических лиц, основывается на том, что их основной целью является не извлечение прибыли, распределяющейся между её участниками, а их участие в гражданских правоотношениях, цели которых определены и закреплены в документах регламентирующих их деятельность, в таких как уставные документы или организационные положения.</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большинстве случаев основными целями некоммерческих организаций являются благотворительная, культурная, социальная, образовательная, научная деятельности, которые направлены на охрану здоровья граждан, развития спорта и физ.культуры, достижение духовных и других нематериальных потребностей граждан, защиты законных прав и интересов граждан и организаций и иные цели, направленные на достижение общественных благ. </w:t>
      </w:r>
    </w:p>
    <w:p w:rsidR="00ED3C2E" w:rsidRPr="00DA76A7" w:rsidRDefault="00ED3C2E" w:rsidP="00ED3C2E">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На законодательной основе некоммерческие организации вправе заниматься предпринимательской деятельностью, если доходы от нее направляются на достижение уставных целей. Такая деятельность для многих некоммерческих организаций является вынужденной и ведется для поддержания существования. </w:t>
      </w:r>
      <w:r w:rsidRPr="00DA76A7">
        <w:rPr>
          <w:rFonts w:ascii="Arial" w:hAnsi="Arial" w:cs="Arial"/>
          <w:color w:val="000000" w:themeColor="text1"/>
          <w:sz w:val="22"/>
          <w:szCs w:val="22"/>
          <w:shd w:val="clear" w:color="auto" w:fill="FFFFFF"/>
        </w:rPr>
        <w:t>Но нужно учитывать, что так как за основу деятельности некоммерческих организаций взята деятельность направленная не на прибыль, это вовсе не означает, что услуги данного вида организации должны представляться потребителям бесплатно или по льготным ценам. В настоящее время многие некоммерческие организации, особенно в сфере здравоохранения, образования, культуры, предоставляют потребителям по рыночным ценам продукцию, которая является результатом их основной деятельности.</w:t>
      </w:r>
    </w:p>
    <w:p w:rsidR="00ED3C2E" w:rsidRPr="00DA76A7" w:rsidRDefault="00ED3C2E" w:rsidP="00ED3C2E">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К.Ю. Тотьев, дал следующее определение организационно-правовой формы некоммерческой организации: совокупность указанных в законе элементов и признаков, характеризующих форму собственности, на основе которой создано предприятие (организация), порядок формирования имущественной базы хозяйствующего субъекта (в том числе минимальный размер уставного фонда), конструкцию взаимодействия участников и учредителей, принципы ответственности самого предприятия (организации) и его участников по долгам предприятия (организации), а также порядок и особенности управления предприятием (организацией).[13,63]</w:t>
      </w:r>
    </w:p>
    <w:p w:rsidR="00ED3C2E" w:rsidRPr="00DA76A7" w:rsidRDefault="00ED3C2E" w:rsidP="00ED3C2E">
      <w:pPr>
        <w:shd w:val="clear" w:color="auto" w:fill="FFFFFF" w:themeFill="background1"/>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Общеизвестно, что с момента госрегистрации, некоммерческая организация считается созданной и может осуществлять и распространять свою деятельность в пределах своих полномочий. Учредительными документами являются Устав и Уставной договор. Согласно мнению ученного Рахимова М.З., одним из главных отличий некоммерческих юридических лиц от коммерческих заключается в том, что их правоспособность является специально определенной, т.е. некоммерческие организации вправе осуществлять только те виды деятельности, которые прямо предусмотрены их учредительными документами и законом.[12,50] Согласно Гражданскому Кодексу Республики Таджикистана (глава 1 статья 53 пункт 2) и Российской Федерации (глава 1 статья 52 пункт 4) мы делаем вывод, что устав и другие учредительные документы неккомерческой организации должны содержать в себе определенное наименование юридического лица, его место расположения, порядок управления и деятельность организации, а также определять другие сведения, предусмотренные Законом Республики Таджикистан «О государственной регистрации юридических лиц» и Федеральному Закону Российской Федерации соответственно, а также должны быть определены предмет и цели деятельности юридического лица.</w:t>
      </w:r>
    </w:p>
    <w:p w:rsidR="00ED3C2E" w:rsidRPr="00DA76A7" w:rsidRDefault="00ED3C2E" w:rsidP="00ED3C2E">
      <w:pPr>
        <w:shd w:val="clear" w:color="auto" w:fill="FFFFFF" w:themeFill="background1"/>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ходе изучения и сравнения определенного вида юридического лица- некоммерческой организации, мы можем сделать вывод, что законодательство Республики Таджикистан по количеству форм некоммерческих организаций отличается от Законодательства Российской Федерации, но основные идеи их реализации практически идентичны. Многие ученые убеждены, что столь широкий перечень форм не оправдан, поскольку некоторые из них имеют одинаковую правовую природу, по сути, дублируют друг друга.[10, 41]</w:t>
      </w:r>
    </w:p>
    <w:p w:rsidR="00ED3C2E" w:rsidRPr="00DA76A7" w:rsidRDefault="00ED3C2E" w:rsidP="00ED3C2E">
      <w:pPr>
        <w:shd w:val="clear" w:color="auto" w:fill="FFFFFF" w:themeFill="background1"/>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Перечень видов некоммерческих организаций в Российской Федерации значительно превышает перечень Республики Таджикистан. Но общие виды все же имеются. Кратко мы рассмотрим общие виды некоммерческих организаций:</w:t>
      </w:r>
    </w:p>
    <w:p w:rsidR="00ED3C2E" w:rsidRPr="00DA76A7" w:rsidRDefault="00ED3C2E" w:rsidP="00ED3C2E">
      <w:pPr>
        <w:pStyle w:val="a6"/>
        <w:numPr>
          <w:ilvl w:val="0"/>
          <w:numId w:val="6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Потребительский кооператив</w:t>
      </w:r>
    </w:p>
    <w:p w:rsidR="00ED3C2E" w:rsidRPr="00DA76A7" w:rsidRDefault="00ED3C2E" w:rsidP="00ED3C2E">
      <w:pPr>
        <w:pStyle w:val="a6"/>
        <w:numPr>
          <w:ilvl w:val="0"/>
          <w:numId w:val="6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Общественные и религиозные организации (объединения)</w:t>
      </w:r>
    </w:p>
    <w:p w:rsidR="00ED3C2E" w:rsidRPr="00DA76A7" w:rsidRDefault="00ED3C2E" w:rsidP="00ED3C2E">
      <w:pPr>
        <w:pStyle w:val="a6"/>
        <w:numPr>
          <w:ilvl w:val="0"/>
          <w:numId w:val="6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Фонды</w:t>
      </w:r>
    </w:p>
    <w:p w:rsidR="00ED3C2E" w:rsidRPr="00DA76A7" w:rsidRDefault="00ED3C2E" w:rsidP="00ED3C2E">
      <w:pPr>
        <w:pStyle w:val="a6"/>
        <w:numPr>
          <w:ilvl w:val="0"/>
          <w:numId w:val="6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Учреждения</w:t>
      </w:r>
    </w:p>
    <w:p w:rsidR="00ED3C2E" w:rsidRPr="00DA76A7" w:rsidRDefault="00ED3C2E" w:rsidP="00ED3C2E">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Объединения юридических лиц (ассоциации и союзы)           </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Потребительский кооператив. Данный вид организации представляет собой добровольное объединение граждан на основе членства  с целью достижения и удовлетворения имущественных потребностей участников, путём объединения </w:t>
      </w:r>
      <w:r w:rsidRPr="00DA76A7">
        <w:rPr>
          <w:rFonts w:ascii="Arial" w:hAnsi="Arial" w:cs="Arial"/>
          <w:color w:val="000000" w:themeColor="text1"/>
          <w:sz w:val="22"/>
          <w:szCs w:val="22"/>
          <w:shd w:val="clear" w:color="auto" w:fill="FFFFFF" w:themeFill="background1"/>
        </w:rPr>
        <w:t>денежных взносов его членов</w:t>
      </w:r>
      <w:r w:rsidRPr="00DA76A7">
        <w:rPr>
          <w:rFonts w:ascii="Arial" w:hAnsi="Arial" w:cs="Arial"/>
          <w:color w:val="000000" w:themeColor="text1"/>
          <w:sz w:val="22"/>
          <w:szCs w:val="22"/>
          <w:bdr w:val="none" w:sz="0" w:space="0" w:color="auto" w:frame="1"/>
          <w:shd w:val="clear" w:color="auto" w:fill="FFFFFF" w:themeFill="background1"/>
        </w:rPr>
        <w:t>. На наш взгляд потребительский кооператив является доступным вспомогательным звеном в жизни и развитии граждан. Учредителями могут быть</w:t>
      </w:r>
      <w:r w:rsidRPr="00DA76A7">
        <w:rPr>
          <w:rFonts w:ascii="Arial" w:hAnsi="Arial" w:cs="Arial"/>
          <w:color w:val="000000" w:themeColor="text1"/>
          <w:sz w:val="22"/>
          <w:szCs w:val="22"/>
          <w:shd w:val="clear" w:color="auto" w:fill="FFFFFF" w:themeFill="background1"/>
        </w:rPr>
        <w:t xml:space="preserve"> граждане от 16 лет и/или юридические лица, а в учредительном составе должно</w:t>
      </w:r>
      <w:r w:rsidRPr="00DA76A7">
        <w:rPr>
          <w:rFonts w:ascii="Arial" w:hAnsi="Arial" w:cs="Arial"/>
          <w:color w:val="000000" w:themeColor="text1"/>
          <w:sz w:val="22"/>
          <w:szCs w:val="22"/>
        </w:rPr>
        <w:t xml:space="preserve"> быть не менее 5 граждан и/или 3 организаций. Как правило, для членов потребительского кооператива участие в его деятельности ограничивается внесением паевого взноса, так как в законодательстве отсутствует для него требование обязательного личного трудового вклада в общее дело.[11, 82].</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Объединения потребительской кооперации призваны решать следующие задачи: </w:t>
      </w:r>
    </w:p>
    <w:p w:rsidR="00ED3C2E" w:rsidRPr="00DA76A7" w:rsidRDefault="00ED3C2E" w:rsidP="00ED3C2E">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создавать торговые организации для того, чтобы обеспечивать материальные потребности членов общества; </w:t>
      </w:r>
    </w:p>
    <w:p w:rsidR="00ED3C2E" w:rsidRPr="00DA76A7" w:rsidRDefault="00ED3C2E" w:rsidP="00ED3C2E">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осуществлять производственную, заготовительную, торговую и иную деятельность для достижения целей общества, обозначенных в уставе;  </w:t>
      </w:r>
    </w:p>
    <w:p w:rsidR="00ED3C2E" w:rsidRPr="00DA76A7" w:rsidRDefault="00ED3C2E" w:rsidP="00ED3C2E">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производить закупку продукции, сырья и изделий у граждан и юридических лиц, чтобы впоследствии их перерабатывать и реализовывать через розничную торговлю; </w:t>
      </w:r>
    </w:p>
    <w:p w:rsidR="00ED3C2E" w:rsidRPr="00DA76A7" w:rsidRDefault="00ED3C2E" w:rsidP="00ED3C2E">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оказывать производственные и бытовые услуги членам потребительских обществ.</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как потребительский кооператив является некоммерческой организацией, в целом его деятельность  финансируется не за счет полученной прибыли (хотя и этот источник не исключается, если получение прибыли- дополнительная цель деятельности кооператива), а главным образом из вступительных, текущих и дополнительных поевых взносов членов кооператива.[11,83]</w:t>
      </w:r>
    </w:p>
    <w:p w:rsidR="00ED3C2E" w:rsidRPr="00DA76A7" w:rsidRDefault="00ED3C2E" w:rsidP="00ED3C2E">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Общественными и религиозными организациями (объединениями) признаются добровольные объединения граждан, в установленном законом порядке объединившихся на основе их общих интересов для духовного или иного нематериального удовлетворения своих потребностей. </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Общественные объединения могут создаваться в одной из следующих организационно-правовых форм:</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общественная организация;</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общественное движение;</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общественный фонд;</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общественное учреждение;</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орган общественной самодеятельности;</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политическая партия.</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Независимо от организационно-правовых форм, все общественные объединения должны соблюдать закон и в равной степени несут ответственность перед законом. Основными принципами деятельности общественных организаций, как правило, являются законность, добровольность, равноправие и самоуправление. Они вправе сами определять свою внутреннюю структуру, цели и методы ведения и управления своей деятельности. Их деятельность должна быть гласной, а информация об их учредительных и программных документах – общедоступной.</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Участники (члены) общественных и религиозных организаций не сохраняют прав на переданное ими этим организациям в собственность имущество, в том числе на членские взносы, то есть отдав определенное имущество, участник общественной и религиозной организации не сможет истребовать ни само имущество, ни свои взносы. Также участники не отвечают по обязательствам общественных и религиозных организаций, в которых участвуют в качестве их членов, а указанные организации не отвечают по обязательствам своих членов.</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Фонды – это не имеющая членства некоммерческая организация, учрежденная гражданами и (или) юридическими лицами на основе добровольных имущественных взносов. Основные цели фондов это социальные, культурные, благотворительные, образовательные, а также иные полезные для общества цели. Отсюда же вытекают виды фондов. Это одна из наиболее распространенных организационно-правовых форм некоммерческих организаций. </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сравнении с другими с другими формами некоммерческих организаций, </w:t>
      </w:r>
      <w:hyperlink r:id="rId181" w:history="1">
        <w:r w:rsidRPr="00DA76A7">
          <w:rPr>
            <w:rStyle w:val="af0"/>
            <w:rFonts w:ascii="Arial" w:hAnsi="Arial" w:cs="Arial"/>
            <w:color w:val="000000" w:themeColor="text1"/>
            <w:sz w:val="22"/>
            <w:szCs w:val="22"/>
            <w:u w:val="none"/>
          </w:rPr>
          <w:t>фонд</w:t>
        </w:r>
      </w:hyperlink>
      <w:r w:rsidRPr="00DA76A7">
        <w:rPr>
          <w:rFonts w:ascii="Arial" w:hAnsi="Arial" w:cs="Arial"/>
          <w:color w:val="000000" w:themeColor="text1"/>
          <w:sz w:val="22"/>
          <w:szCs w:val="22"/>
        </w:rPr>
        <w:t> имеет ряд существенных особенностей и льгот. Прежде всего, он не основан на членстве, поэтому его участники не обязаны принимать участие в деятельности фонда и лишены права участвовать в управлении его делами. Кроме того, фонд является полноправным собственником своего имущества, а его учредители (участники) не несут ответственности по его долгам. В случае ликвидации фонда имущество, оставшееся после погашения долгов, распределению между учредителями и участниками не подлежит.</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Правоспособность фонда ограничена: он вправе осуществлять только ту предпринимательскую деятельность, которая соответствует целям его создания, прописанным в уставе. </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Имущественная деятельность фонда должна осуществляться публично, и для надзора за соответствием деятельности фонда прописанным в его уставе положениям, создается попечительский совет и контрольно-ревизионный орган (ревизионная комиссия).</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Попечительский совет фонда осуществляет надзор за деятельностью фонда, принятием другими органами фонда решений и обеспечением их исполнения, использованием средств фонда, соблюдением фондом законодательства. </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Члены попечительского совета фонда исполняют свои обязанности в этом органе на общественных началах (в добровольном порядке) и не получают за эту деятельность вознаграждение. Порядок формирования и деятельности попечительского совета определяется уставом, утвержденным его учредителями.</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Внесение изменений в устав фонда, как и его ликвидация, возможно только в судебном порядке.</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Учреждением является некоммерческая организация, созданная собственником для осуществления управленческих, социально-культурных и других услуг некоммерческого характера и финансируемая им полностью или частично. В качестве собственника могут выступать юридические и физические лица, муниципальные образования и само государство. Учреждение может быть создано совместно несколькими собственниками.          По цели назначения учреждения разделяются на: управленческие организации; учреждения просвещения; учреждения культуры (музеи, картинные галереи); медицинские учреждения; научные учреждения; правоохранительные органы (суды, прокуратуры, арбитражные суды); учреждения в системе внутренних дел и т.п.</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Учредительным документом учреждения является устав, который утверждается собственником. Как и у других некоммерческих организаций, имущество учреждения находится у него на праве оперативного управления, т.е. учреждение может пользоваться и распоряжаться им только в той мере, в которой это дозволено собственником.</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Учреждение отвечает по своим обязательствам находящимися в его распоряжении денежными средствами, а при их недостаточности долг взыскивается с собственника учреждения.</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то, что учреждение является организационно-правовой формой некоммерческих организаций, собственник может наделить учреждение правом заниматься предпринимательской деятельностью, приносящей доходы, предусмотрев этот пункт в уставе. Такие доходы (и приобретенное за счет них имущество) учитываются на самостоятельном балансе и поступают в хозяйственное ведение учреждения.</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Самостоятельным видом некоммерческой организации является объединение юридических лиц  в форме ассоциаций или союзов.</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состав </w:t>
      </w:r>
      <w:hyperlink r:id="rId182" w:tooltip="Объединение" w:history="1">
        <w:r w:rsidRPr="00DA76A7">
          <w:rPr>
            <w:rStyle w:val="af0"/>
            <w:rFonts w:ascii="Arial" w:hAnsi="Arial" w:cs="Arial"/>
            <w:color w:val="000000" w:themeColor="text1"/>
            <w:sz w:val="22"/>
            <w:szCs w:val="22"/>
            <w:u w:val="none"/>
          </w:rPr>
          <w:t>объединения</w:t>
        </w:r>
      </w:hyperlink>
      <w:r w:rsidRPr="00DA76A7">
        <w:rPr>
          <w:rFonts w:ascii="Arial" w:hAnsi="Arial" w:cs="Arial"/>
          <w:color w:val="000000" w:themeColor="text1"/>
          <w:sz w:val="22"/>
          <w:szCs w:val="22"/>
        </w:rPr>
        <w:t> могут входить как коммерческие, так и </w:t>
      </w:r>
      <w:hyperlink r:id="rId183" w:tooltip="Некоммерческая организация" w:history="1">
        <w:r w:rsidRPr="00DA76A7">
          <w:rPr>
            <w:rStyle w:val="af0"/>
            <w:rFonts w:ascii="Arial" w:hAnsi="Arial" w:cs="Arial"/>
            <w:color w:val="000000" w:themeColor="text1"/>
            <w:sz w:val="22"/>
            <w:szCs w:val="22"/>
            <w:u w:val="none"/>
          </w:rPr>
          <w:t>некоммерческие организации</w:t>
        </w:r>
      </w:hyperlink>
      <w:r w:rsidRPr="00DA76A7">
        <w:rPr>
          <w:rFonts w:ascii="Arial" w:hAnsi="Arial" w:cs="Arial"/>
          <w:color w:val="000000" w:themeColor="text1"/>
          <w:sz w:val="22"/>
          <w:szCs w:val="22"/>
        </w:rPr>
        <w:t xml:space="preserve">, хотя при всём этом сами </w:t>
      </w:r>
      <w:hyperlink r:id="rId184" w:tooltip="Объединение" w:history="1">
        <w:r w:rsidRPr="00DA76A7">
          <w:rPr>
            <w:rStyle w:val="af0"/>
            <w:rFonts w:ascii="Arial" w:hAnsi="Arial" w:cs="Arial"/>
            <w:color w:val="000000" w:themeColor="text1"/>
            <w:sz w:val="22"/>
            <w:szCs w:val="22"/>
            <w:u w:val="none"/>
          </w:rPr>
          <w:t>объединения</w:t>
        </w:r>
      </w:hyperlink>
      <w:r w:rsidRPr="00DA76A7">
        <w:rPr>
          <w:rFonts w:ascii="Arial" w:hAnsi="Arial" w:cs="Arial"/>
          <w:color w:val="000000" w:themeColor="text1"/>
          <w:sz w:val="22"/>
          <w:szCs w:val="22"/>
        </w:rPr>
        <w:t xml:space="preserve"> являются некоммерческими </w:t>
      </w:r>
      <w:hyperlink r:id="rId185" w:tooltip="Организация" w:history="1">
        <w:r w:rsidRPr="00DA76A7">
          <w:rPr>
            <w:rStyle w:val="af0"/>
            <w:rFonts w:ascii="Arial" w:hAnsi="Arial" w:cs="Arial"/>
            <w:color w:val="000000" w:themeColor="text1"/>
            <w:sz w:val="22"/>
            <w:szCs w:val="22"/>
            <w:u w:val="none"/>
          </w:rPr>
          <w:t>организациями</w:t>
        </w:r>
      </w:hyperlink>
      <w:r w:rsidRPr="00DA76A7">
        <w:rPr>
          <w:rFonts w:ascii="Arial" w:hAnsi="Arial" w:cs="Arial"/>
          <w:color w:val="000000" w:themeColor="text1"/>
          <w:sz w:val="22"/>
          <w:szCs w:val="22"/>
        </w:rPr>
        <w:t>. Естественно, цели у коммерческих и </w:t>
      </w:r>
      <w:hyperlink r:id="rId186" w:tooltip="Некоммерческая организация" w:history="1">
        <w:r w:rsidRPr="00DA76A7">
          <w:rPr>
            <w:rStyle w:val="af0"/>
            <w:rFonts w:ascii="Arial" w:hAnsi="Arial" w:cs="Arial"/>
            <w:color w:val="000000" w:themeColor="text1"/>
            <w:sz w:val="22"/>
            <w:szCs w:val="22"/>
            <w:u w:val="none"/>
          </w:rPr>
          <w:t>некоммерческих организаций</w:t>
        </w:r>
      </w:hyperlink>
      <w:r w:rsidRPr="00DA76A7">
        <w:rPr>
          <w:rFonts w:ascii="Arial" w:hAnsi="Arial" w:cs="Arial"/>
          <w:color w:val="000000" w:themeColor="text1"/>
          <w:sz w:val="22"/>
          <w:szCs w:val="22"/>
        </w:rPr>
        <w:t xml:space="preserve"> при создании </w:t>
      </w:r>
      <w:hyperlink r:id="rId187" w:tooltip="Объединение" w:history="1">
        <w:r w:rsidRPr="00DA76A7">
          <w:rPr>
            <w:rStyle w:val="af0"/>
            <w:rFonts w:ascii="Arial" w:hAnsi="Arial" w:cs="Arial"/>
            <w:color w:val="000000" w:themeColor="text1"/>
            <w:sz w:val="22"/>
            <w:szCs w:val="22"/>
            <w:u w:val="none"/>
          </w:rPr>
          <w:t>объединения</w:t>
        </w:r>
      </w:hyperlink>
      <w:r w:rsidRPr="00DA76A7">
        <w:rPr>
          <w:rFonts w:ascii="Arial" w:hAnsi="Arial" w:cs="Arial"/>
          <w:color w:val="000000" w:themeColor="text1"/>
          <w:sz w:val="22"/>
          <w:szCs w:val="22"/>
        </w:rPr>
        <w:t xml:space="preserve"> разные. Так, </w:t>
      </w:r>
      <w:hyperlink r:id="rId188" w:tooltip="Коммерческие организации" w:history="1">
        <w:r w:rsidRPr="00DA76A7">
          <w:rPr>
            <w:rStyle w:val="af0"/>
            <w:rFonts w:ascii="Arial" w:hAnsi="Arial" w:cs="Arial"/>
            <w:color w:val="000000" w:themeColor="text1"/>
            <w:sz w:val="22"/>
            <w:szCs w:val="22"/>
            <w:u w:val="none"/>
          </w:rPr>
          <w:t>коммерческие организации</w:t>
        </w:r>
      </w:hyperlink>
      <w:r w:rsidRPr="00DA76A7">
        <w:rPr>
          <w:rFonts w:ascii="Arial" w:hAnsi="Arial" w:cs="Arial"/>
          <w:color w:val="000000" w:themeColor="text1"/>
          <w:sz w:val="22"/>
          <w:szCs w:val="22"/>
        </w:rPr>
        <w:t xml:space="preserve"> преследуют цели </w:t>
      </w:r>
      <w:hyperlink r:id="rId189" w:tooltip="Координация" w:history="1">
        <w:r w:rsidRPr="00DA76A7">
          <w:rPr>
            <w:rStyle w:val="af0"/>
            <w:rFonts w:ascii="Arial" w:hAnsi="Arial" w:cs="Arial"/>
            <w:color w:val="000000" w:themeColor="text1"/>
            <w:sz w:val="22"/>
            <w:szCs w:val="22"/>
            <w:u w:val="none"/>
          </w:rPr>
          <w:t>координации</w:t>
        </w:r>
      </w:hyperlink>
      <w:r w:rsidRPr="00DA76A7">
        <w:rPr>
          <w:rFonts w:ascii="Arial" w:hAnsi="Arial" w:cs="Arial"/>
          <w:color w:val="000000" w:themeColor="text1"/>
          <w:sz w:val="22"/>
          <w:szCs w:val="22"/>
        </w:rPr>
        <w:t xml:space="preserve"> их предпринимательской деятельности, а также представления и защиты общих имущественных </w:t>
      </w:r>
      <w:hyperlink r:id="rId190" w:tooltip="Интересы" w:history="1">
        <w:r w:rsidRPr="00DA76A7">
          <w:rPr>
            <w:rStyle w:val="af0"/>
            <w:rFonts w:ascii="Arial" w:hAnsi="Arial" w:cs="Arial"/>
            <w:color w:val="000000" w:themeColor="text1"/>
            <w:sz w:val="22"/>
            <w:szCs w:val="22"/>
            <w:u w:val="none"/>
          </w:rPr>
          <w:t>интересов</w:t>
        </w:r>
      </w:hyperlink>
      <w:r w:rsidRPr="00DA76A7">
        <w:rPr>
          <w:rFonts w:ascii="Arial" w:hAnsi="Arial" w:cs="Arial"/>
          <w:color w:val="000000" w:themeColor="text1"/>
          <w:sz w:val="22"/>
          <w:szCs w:val="22"/>
        </w:rPr>
        <w:t>. Цель </w:t>
      </w:r>
      <w:hyperlink r:id="rId191" w:tooltip="Некоммерческая организация" w:history="1">
        <w:r w:rsidRPr="00DA76A7">
          <w:rPr>
            <w:rStyle w:val="af0"/>
            <w:rFonts w:ascii="Arial" w:hAnsi="Arial" w:cs="Arial"/>
            <w:color w:val="000000" w:themeColor="text1"/>
            <w:sz w:val="22"/>
            <w:szCs w:val="22"/>
            <w:u w:val="none"/>
          </w:rPr>
          <w:t>некоммерческих организаций</w:t>
        </w:r>
      </w:hyperlink>
      <w:r w:rsidRPr="00DA76A7">
        <w:rPr>
          <w:rFonts w:ascii="Arial" w:hAnsi="Arial" w:cs="Arial"/>
          <w:color w:val="000000" w:themeColor="text1"/>
          <w:sz w:val="22"/>
          <w:szCs w:val="22"/>
        </w:rPr>
        <w:t> заключается, как правило, в представлении и защите их общих </w:t>
      </w:r>
      <w:hyperlink r:id="rId192" w:tooltip="Интересы" w:history="1">
        <w:r w:rsidRPr="00DA76A7">
          <w:rPr>
            <w:rStyle w:val="af0"/>
            <w:rFonts w:ascii="Arial" w:hAnsi="Arial" w:cs="Arial"/>
            <w:color w:val="000000" w:themeColor="text1"/>
            <w:sz w:val="22"/>
            <w:szCs w:val="22"/>
            <w:u w:val="none"/>
          </w:rPr>
          <w:t>интересов</w:t>
        </w:r>
      </w:hyperlink>
      <w:r w:rsidRPr="00DA76A7">
        <w:rPr>
          <w:rFonts w:ascii="Arial" w:hAnsi="Arial" w:cs="Arial"/>
          <w:color w:val="000000" w:themeColor="text1"/>
          <w:sz w:val="22"/>
          <w:szCs w:val="22"/>
        </w:rPr>
        <w:t xml:space="preserve">, обусловленных специальной </w:t>
      </w:r>
      <w:hyperlink r:id="rId193" w:tooltip="Правоспособность" w:history="1">
        <w:r w:rsidRPr="00DA76A7">
          <w:rPr>
            <w:rStyle w:val="af0"/>
            <w:rFonts w:ascii="Arial" w:hAnsi="Arial" w:cs="Arial"/>
            <w:color w:val="000000" w:themeColor="text1"/>
            <w:sz w:val="22"/>
            <w:szCs w:val="22"/>
            <w:u w:val="none"/>
          </w:rPr>
          <w:t>правоспособностью</w:t>
        </w:r>
      </w:hyperlink>
      <w:r w:rsidRPr="00DA76A7">
        <w:rPr>
          <w:rFonts w:ascii="Arial" w:hAnsi="Arial" w:cs="Arial"/>
          <w:color w:val="000000" w:themeColor="text1"/>
          <w:sz w:val="22"/>
          <w:szCs w:val="22"/>
        </w:rPr>
        <w:t> </w:t>
      </w:r>
      <w:hyperlink r:id="rId194" w:tooltip="Некоммерческая организация" w:history="1">
        <w:r w:rsidRPr="00DA76A7">
          <w:rPr>
            <w:rStyle w:val="af0"/>
            <w:rFonts w:ascii="Arial" w:hAnsi="Arial" w:cs="Arial"/>
            <w:color w:val="000000" w:themeColor="text1"/>
            <w:sz w:val="22"/>
            <w:szCs w:val="22"/>
            <w:u w:val="none"/>
          </w:rPr>
          <w:t>некоммерческих организаций</w:t>
        </w:r>
      </w:hyperlink>
      <w:r w:rsidRPr="00DA76A7">
        <w:rPr>
          <w:rFonts w:ascii="Arial" w:hAnsi="Arial" w:cs="Arial"/>
          <w:color w:val="000000" w:themeColor="text1"/>
          <w:sz w:val="22"/>
          <w:szCs w:val="22"/>
        </w:rPr>
        <w:t>.</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Ассоциации и союзы создаются исключительно на добровольной основе и не вправе осуществлять какие-либо управленческие функции в отношении участников. Члены ассоциации или союза полностью сохраняют свою самостоятельность и права юридических лиц. </w:t>
      </w:r>
      <w:hyperlink r:id="rId195" w:tooltip="Юридическое лицо" w:history="1">
        <w:r w:rsidRPr="00DA76A7">
          <w:rPr>
            <w:rStyle w:val="af0"/>
            <w:rFonts w:ascii="Arial" w:hAnsi="Arial" w:cs="Arial"/>
            <w:color w:val="000000" w:themeColor="text1"/>
            <w:sz w:val="22"/>
            <w:szCs w:val="22"/>
            <w:u w:val="none"/>
          </w:rPr>
          <w:t>Юридическое лицо</w:t>
        </w:r>
      </w:hyperlink>
      <w:r w:rsidRPr="00DA76A7">
        <w:rPr>
          <w:rFonts w:ascii="Arial" w:hAnsi="Arial" w:cs="Arial"/>
          <w:color w:val="000000" w:themeColor="text1"/>
          <w:sz w:val="22"/>
          <w:szCs w:val="22"/>
        </w:rPr>
        <w:t>, оставаясь полностью самостоятельным, может одновременно являться членом нескольких ассоциаций и союзов, в т.ч. однородных по характеру деятельности. Основанием для создания </w:t>
      </w:r>
      <w:hyperlink r:id="rId196" w:tooltip="Объединение" w:history="1">
        <w:r w:rsidRPr="00DA76A7">
          <w:rPr>
            <w:rStyle w:val="af0"/>
            <w:rFonts w:ascii="Arial" w:hAnsi="Arial" w:cs="Arial"/>
            <w:color w:val="000000" w:themeColor="text1"/>
            <w:sz w:val="22"/>
            <w:szCs w:val="22"/>
            <w:u w:val="none"/>
          </w:rPr>
          <w:t>объединения</w:t>
        </w:r>
      </w:hyperlink>
      <w:r w:rsidRPr="00DA76A7">
        <w:rPr>
          <w:rFonts w:ascii="Arial" w:hAnsi="Arial" w:cs="Arial"/>
          <w:color w:val="000000" w:themeColor="text1"/>
          <w:sz w:val="22"/>
          <w:szCs w:val="22"/>
        </w:rPr>
        <w:t> является договор между его участниками, т.к. в создании </w:t>
      </w:r>
      <w:hyperlink r:id="rId197" w:tooltip="Объединение" w:history="1">
        <w:r w:rsidRPr="00DA76A7">
          <w:rPr>
            <w:rStyle w:val="af0"/>
            <w:rFonts w:ascii="Arial" w:hAnsi="Arial" w:cs="Arial"/>
            <w:color w:val="000000" w:themeColor="text1"/>
            <w:sz w:val="22"/>
            <w:szCs w:val="22"/>
            <w:u w:val="none"/>
          </w:rPr>
          <w:t>объединения</w:t>
        </w:r>
      </w:hyperlink>
      <w:r w:rsidRPr="00DA76A7">
        <w:rPr>
          <w:rFonts w:ascii="Arial" w:hAnsi="Arial" w:cs="Arial"/>
          <w:color w:val="000000" w:themeColor="text1"/>
          <w:sz w:val="22"/>
          <w:szCs w:val="22"/>
        </w:rPr>
        <w:t> обычно принимают участие два или более </w:t>
      </w:r>
      <w:hyperlink r:id="rId198" w:tooltip="Юридическое лицо" w:history="1">
        <w:r w:rsidRPr="00DA76A7">
          <w:rPr>
            <w:rStyle w:val="af0"/>
            <w:rFonts w:ascii="Arial" w:hAnsi="Arial" w:cs="Arial"/>
            <w:color w:val="000000" w:themeColor="text1"/>
            <w:sz w:val="22"/>
            <w:szCs w:val="22"/>
            <w:u w:val="none"/>
          </w:rPr>
          <w:t>юридических лица</w:t>
        </w:r>
      </w:hyperlink>
      <w:r w:rsidRPr="00DA76A7">
        <w:rPr>
          <w:rFonts w:ascii="Arial" w:hAnsi="Arial" w:cs="Arial"/>
          <w:color w:val="000000" w:themeColor="text1"/>
          <w:sz w:val="22"/>
          <w:szCs w:val="22"/>
        </w:rPr>
        <w:t>.</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Помимо сведений, общих для всех юридических лиц, учредительные документы </w:t>
      </w:r>
      <w:hyperlink r:id="rId199" w:tooltip="Объединение" w:history="1">
        <w:r w:rsidRPr="00DA76A7">
          <w:rPr>
            <w:rStyle w:val="af0"/>
            <w:rFonts w:ascii="Arial" w:hAnsi="Arial" w:cs="Arial"/>
            <w:color w:val="000000" w:themeColor="text1"/>
            <w:sz w:val="22"/>
            <w:szCs w:val="22"/>
            <w:u w:val="none"/>
          </w:rPr>
          <w:t>объединения</w:t>
        </w:r>
      </w:hyperlink>
      <w:r w:rsidRPr="00DA76A7">
        <w:rPr>
          <w:rFonts w:ascii="Arial" w:hAnsi="Arial" w:cs="Arial"/>
          <w:color w:val="000000" w:themeColor="text1"/>
          <w:sz w:val="22"/>
          <w:szCs w:val="22"/>
        </w:rPr>
        <w:t> должны содержать условия о задачах и целях его деятельности, о составе и </w:t>
      </w:r>
      <w:hyperlink r:id="rId200" w:tooltip="Компетенция" w:history="1">
        <w:r w:rsidRPr="00DA76A7">
          <w:rPr>
            <w:rStyle w:val="af0"/>
            <w:rFonts w:ascii="Arial" w:hAnsi="Arial" w:cs="Arial"/>
            <w:color w:val="000000" w:themeColor="text1"/>
            <w:sz w:val="22"/>
            <w:szCs w:val="22"/>
            <w:u w:val="none"/>
          </w:rPr>
          <w:t>компетенции</w:t>
        </w:r>
      </w:hyperlink>
      <w:hyperlink r:id="rId201" w:tooltip="Органы управления" w:history="1">
        <w:r w:rsidRPr="00DA76A7">
          <w:rPr>
            <w:rStyle w:val="af0"/>
            <w:rFonts w:ascii="Arial" w:hAnsi="Arial" w:cs="Arial"/>
            <w:color w:val="000000" w:themeColor="text1"/>
            <w:sz w:val="22"/>
            <w:szCs w:val="22"/>
            <w:u w:val="none"/>
          </w:rPr>
          <w:t>органов управления</w:t>
        </w:r>
      </w:hyperlink>
      <w:r w:rsidRPr="00DA76A7">
        <w:rPr>
          <w:rFonts w:ascii="Arial" w:hAnsi="Arial" w:cs="Arial"/>
          <w:color w:val="000000" w:themeColor="text1"/>
          <w:sz w:val="22"/>
          <w:szCs w:val="22"/>
        </w:rPr>
        <w:t> и порядке принятия ими решений, а также о порядке </w:t>
      </w:r>
      <w:hyperlink r:id="rId202" w:tooltip="Распределение" w:history="1">
        <w:r w:rsidRPr="00DA76A7">
          <w:rPr>
            <w:rStyle w:val="af0"/>
            <w:rFonts w:ascii="Arial" w:hAnsi="Arial" w:cs="Arial"/>
            <w:color w:val="000000" w:themeColor="text1"/>
            <w:sz w:val="22"/>
            <w:szCs w:val="22"/>
            <w:u w:val="none"/>
          </w:rPr>
          <w:t>распределения</w:t>
        </w:r>
      </w:hyperlink>
      <w:r w:rsidRPr="00DA76A7">
        <w:rPr>
          <w:rFonts w:ascii="Arial" w:hAnsi="Arial" w:cs="Arial"/>
          <w:color w:val="000000" w:themeColor="text1"/>
          <w:sz w:val="22"/>
          <w:szCs w:val="22"/>
        </w:rPr>
        <w:t> </w:t>
      </w:r>
      <w:hyperlink r:id="rId203" w:tooltip="Имущество" w:history="1">
        <w:r w:rsidRPr="00DA76A7">
          <w:rPr>
            <w:rStyle w:val="af0"/>
            <w:rFonts w:ascii="Arial" w:hAnsi="Arial" w:cs="Arial"/>
            <w:color w:val="000000" w:themeColor="text1"/>
            <w:sz w:val="22"/>
            <w:szCs w:val="22"/>
            <w:u w:val="none"/>
          </w:rPr>
          <w:t>имущества</w:t>
        </w:r>
      </w:hyperlink>
      <w:r w:rsidRPr="00DA76A7">
        <w:rPr>
          <w:rFonts w:ascii="Arial" w:hAnsi="Arial" w:cs="Arial"/>
          <w:color w:val="000000" w:themeColor="text1"/>
          <w:sz w:val="22"/>
          <w:szCs w:val="22"/>
        </w:rPr>
        <w:t>, остающегося после </w:t>
      </w:r>
      <w:hyperlink r:id="rId204" w:tooltip="Ликвидация" w:history="1">
        <w:r w:rsidRPr="00DA76A7">
          <w:rPr>
            <w:rStyle w:val="af0"/>
            <w:rFonts w:ascii="Arial" w:hAnsi="Arial" w:cs="Arial"/>
            <w:color w:val="000000" w:themeColor="text1"/>
            <w:sz w:val="22"/>
            <w:szCs w:val="22"/>
            <w:u w:val="none"/>
          </w:rPr>
          <w:t>ликвидации</w:t>
        </w:r>
      </w:hyperlink>
      <w:r w:rsidRPr="00DA76A7">
        <w:rPr>
          <w:rFonts w:ascii="Arial" w:hAnsi="Arial" w:cs="Arial"/>
          <w:color w:val="000000" w:themeColor="text1"/>
          <w:sz w:val="22"/>
          <w:szCs w:val="22"/>
        </w:rPr>
        <w:t> ассоциации (союза).</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сегодняшний день, данные формы некоммерческих организаций наиболее развиты в Российской Федерации, и набирают всё большее распространение и функционирование в Республике Таджикистан. Перечень форм НКО в Российской Федерации на этом не ограничивается, но основными из них являются вышеназванные формы.</w:t>
      </w:r>
    </w:p>
    <w:p w:rsidR="00ED3C2E" w:rsidRPr="00DA76A7" w:rsidRDefault="00ED3C2E" w:rsidP="00ED3C2E">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ED3C2E" w:rsidRPr="00DA76A7" w:rsidRDefault="00ED3C2E" w:rsidP="00ED3C2E">
      <w:pPr>
        <w:pStyle w:val="a6"/>
        <w:numPr>
          <w:ilvl w:val="0"/>
          <w:numId w:val="66"/>
        </w:numPr>
        <w:shd w:val="clear" w:color="auto" w:fill="FFFFFF" w:themeFill="background1"/>
        <w:tabs>
          <w:tab w:val="left" w:pos="851"/>
        </w:tabs>
        <w:spacing w:after="0" w:line="240" w:lineRule="auto"/>
        <w:ind w:left="0" w:firstLine="567"/>
        <w:jc w:val="both"/>
        <w:outlineLvl w:val="0"/>
        <w:rPr>
          <w:rFonts w:ascii="Arial" w:hAnsi="Arial" w:cs="Arial"/>
          <w:color w:val="000000" w:themeColor="text1"/>
        </w:rPr>
      </w:pPr>
      <w:r w:rsidRPr="00DA76A7">
        <w:rPr>
          <w:rFonts w:ascii="Arial" w:hAnsi="Arial" w:cs="Arial"/>
          <w:color w:val="000000" w:themeColor="text1"/>
        </w:rPr>
        <w:t>Гражданский кодекс Республики Таджикистан (часть первая) о30.06.1999 г (в ред. от 23.07.2016)</w:t>
      </w:r>
    </w:p>
    <w:p w:rsidR="00ED3C2E" w:rsidRPr="00DA76A7" w:rsidRDefault="00ED3C2E" w:rsidP="00ED3C2E">
      <w:pPr>
        <w:pStyle w:val="a6"/>
        <w:numPr>
          <w:ilvl w:val="0"/>
          <w:numId w:val="66"/>
        </w:numPr>
        <w:shd w:val="clear" w:color="auto" w:fill="FFFFFF" w:themeFill="background1"/>
        <w:tabs>
          <w:tab w:val="left" w:pos="851"/>
        </w:tabs>
        <w:spacing w:after="0" w:line="240" w:lineRule="auto"/>
        <w:ind w:left="0" w:firstLine="567"/>
        <w:jc w:val="both"/>
        <w:outlineLvl w:val="0"/>
        <w:rPr>
          <w:rStyle w:val="ab"/>
          <w:rFonts w:ascii="Arial" w:hAnsi="Arial" w:cs="Arial"/>
          <w:b w:val="0"/>
          <w:bCs w:val="0"/>
          <w:color w:val="000000" w:themeColor="text1"/>
        </w:rPr>
      </w:pPr>
      <w:r w:rsidRPr="00DA76A7">
        <w:rPr>
          <w:rFonts w:ascii="Arial" w:hAnsi="Arial" w:cs="Arial"/>
          <w:color w:val="000000" w:themeColor="text1"/>
          <w:kern w:val="36"/>
        </w:rPr>
        <w:t xml:space="preserve">Гражданский кодекс Российской Федерации (часть первая) от 30.11.1994 г. № 51-ФЗ (с изм. от 29.12.2017) </w:t>
      </w:r>
    </w:p>
    <w:p w:rsidR="00ED3C2E" w:rsidRPr="00DA76A7" w:rsidRDefault="00ED3C2E" w:rsidP="00ED3C2E">
      <w:pPr>
        <w:pStyle w:val="a6"/>
        <w:numPr>
          <w:ilvl w:val="0"/>
          <w:numId w:val="66"/>
        </w:numPr>
        <w:shd w:val="clear" w:color="auto" w:fill="FFFFFF" w:themeFill="background1"/>
        <w:tabs>
          <w:tab w:val="left" w:pos="851"/>
        </w:tabs>
        <w:spacing w:after="0" w:line="240" w:lineRule="auto"/>
        <w:ind w:left="0" w:firstLine="567"/>
        <w:jc w:val="both"/>
        <w:outlineLvl w:val="0"/>
        <w:rPr>
          <w:rFonts w:ascii="Arial" w:hAnsi="Arial" w:cs="Arial"/>
          <w:color w:val="000000" w:themeColor="text1"/>
        </w:rPr>
      </w:pPr>
      <w:r w:rsidRPr="00DA76A7">
        <w:rPr>
          <w:rStyle w:val="ab"/>
          <w:rFonts w:ascii="Arial" w:hAnsi="Arial" w:cs="Arial"/>
          <w:b w:val="0"/>
          <w:color w:val="000000" w:themeColor="text1"/>
        </w:rPr>
        <w:t xml:space="preserve">Закон Республики Таджикистан «Об общественных объединениях» № 258 </w:t>
      </w:r>
      <w:r w:rsidRPr="00DA76A7">
        <w:rPr>
          <w:rFonts w:ascii="Arial" w:hAnsi="Arial" w:cs="Arial"/>
          <w:color w:val="000000" w:themeColor="text1"/>
          <w:shd w:val="clear" w:color="auto" w:fill="FFFFFF"/>
        </w:rPr>
        <w:t>12.05.2007 (в ред 23.11.2015)</w:t>
      </w:r>
    </w:p>
    <w:p w:rsidR="00ED3C2E" w:rsidRPr="00DA76A7" w:rsidRDefault="00ED3C2E" w:rsidP="00ED3C2E">
      <w:pPr>
        <w:pStyle w:val="a6"/>
        <w:numPr>
          <w:ilvl w:val="0"/>
          <w:numId w:val="66"/>
        </w:numPr>
        <w:shd w:val="clear" w:color="auto" w:fill="FFFFFF" w:themeFill="background1"/>
        <w:tabs>
          <w:tab w:val="left" w:pos="851"/>
        </w:tabs>
        <w:spacing w:after="0" w:line="240" w:lineRule="auto"/>
        <w:ind w:left="0" w:firstLine="567"/>
        <w:jc w:val="both"/>
        <w:outlineLvl w:val="0"/>
        <w:rPr>
          <w:rStyle w:val="ab"/>
          <w:rFonts w:ascii="Arial" w:hAnsi="Arial" w:cs="Arial"/>
          <w:b w:val="0"/>
          <w:bCs w:val="0"/>
          <w:color w:val="000000" w:themeColor="text1"/>
          <w:kern w:val="36"/>
        </w:rPr>
      </w:pPr>
      <w:r w:rsidRPr="00DA76A7">
        <w:rPr>
          <w:rStyle w:val="ab"/>
          <w:rFonts w:ascii="Arial" w:hAnsi="Arial" w:cs="Arial"/>
          <w:b w:val="0"/>
          <w:color w:val="000000" w:themeColor="text1"/>
        </w:rPr>
        <w:t>Закон Республики Таджикистан «О государственной регистрации юридических лиц и индивидуальных предпринимателей»  №509  19.05.2009 (в ред. от 14.05.2016)</w:t>
      </w:r>
    </w:p>
    <w:p w:rsidR="00ED3C2E" w:rsidRPr="00DA76A7" w:rsidRDefault="00ED3C2E" w:rsidP="00ED3C2E">
      <w:pPr>
        <w:pStyle w:val="a6"/>
        <w:numPr>
          <w:ilvl w:val="0"/>
          <w:numId w:val="66"/>
        </w:numPr>
        <w:shd w:val="clear" w:color="auto" w:fill="FFFFFF" w:themeFill="background1"/>
        <w:tabs>
          <w:tab w:val="left" w:pos="851"/>
        </w:tabs>
        <w:spacing w:after="0" w:line="240" w:lineRule="auto"/>
        <w:ind w:left="0" w:firstLine="567"/>
        <w:jc w:val="both"/>
        <w:outlineLvl w:val="0"/>
        <w:rPr>
          <w:rStyle w:val="ab"/>
          <w:rFonts w:ascii="Arial" w:hAnsi="Arial" w:cs="Arial"/>
          <w:b w:val="0"/>
          <w:bCs w:val="0"/>
          <w:color w:val="000000" w:themeColor="text1"/>
          <w:kern w:val="36"/>
        </w:rPr>
      </w:pPr>
      <w:r w:rsidRPr="00DA76A7">
        <w:rPr>
          <w:rStyle w:val="ab"/>
          <w:rFonts w:ascii="Arial" w:hAnsi="Arial" w:cs="Arial"/>
          <w:b w:val="0"/>
          <w:color w:val="000000" w:themeColor="text1"/>
        </w:rPr>
        <w:t>Закон Республики Таджикистан «О потребительской кооперации в Республике Таджикистан» №583 13.03.1992 (в ред. от 2008г)</w:t>
      </w:r>
    </w:p>
    <w:p w:rsidR="00ED3C2E" w:rsidRPr="00DA76A7" w:rsidRDefault="00ED3C2E" w:rsidP="00ED3C2E">
      <w:pPr>
        <w:pStyle w:val="a6"/>
        <w:numPr>
          <w:ilvl w:val="0"/>
          <w:numId w:val="66"/>
        </w:numPr>
        <w:shd w:val="clear" w:color="auto" w:fill="FFFFFF" w:themeFill="background1"/>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Закон РФ «О потребительской кооперации в Российской Федерации» от 19 июня1992г (в ред. от 02.07.2013)</w:t>
      </w:r>
    </w:p>
    <w:p w:rsidR="00ED3C2E" w:rsidRPr="00DA76A7" w:rsidRDefault="00ED3C2E" w:rsidP="00ED3C2E">
      <w:pPr>
        <w:pStyle w:val="a6"/>
        <w:numPr>
          <w:ilvl w:val="0"/>
          <w:numId w:val="66"/>
        </w:numPr>
        <w:shd w:val="clear" w:color="auto" w:fill="FFFFFF" w:themeFill="background1"/>
        <w:tabs>
          <w:tab w:val="left" w:pos="851"/>
        </w:tabs>
        <w:spacing w:after="0" w:line="240" w:lineRule="auto"/>
        <w:ind w:left="0" w:firstLine="567"/>
        <w:jc w:val="both"/>
        <w:outlineLvl w:val="0"/>
        <w:rPr>
          <w:rFonts w:ascii="Arial" w:hAnsi="Arial" w:cs="Arial"/>
          <w:color w:val="000000" w:themeColor="text1"/>
          <w:kern w:val="36"/>
        </w:rPr>
      </w:pPr>
      <w:r w:rsidRPr="00DA76A7">
        <w:rPr>
          <w:rFonts w:ascii="Arial" w:hAnsi="Arial" w:cs="Arial"/>
          <w:color w:val="000000" w:themeColor="text1"/>
        </w:rPr>
        <w:t>Федеральный закон от 08.08.2001 г. № 129-ФЗ «О государственной регистрации юридических лиц и индивидуальных предпринимателей (в ред. от 31.12.2017)</w:t>
      </w:r>
    </w:p>
    <w:p w:rsidR="00ED3C2E" w:rsidRPr="00DA76A7" w:rsidRDefault="00666D87" w:rsidP="00ED3C2E">
      <w:pPr>
        <w:pStyle w:val="a6"/>
        <w:numPr>
          <w:ilvl w:val="0"/>
          <w:numId w:val="66"/>
        </w:numPr>
        <w:shd w:val="clear" w:color="auto" w:fill="FFFFFF" w:themeFill="background1"/>
        <w:tabs>
          <w:tab w:val="left" w:pos="851"/>
        </w:tabs>
        <w:spacing w:after="0" w:line="240" w:lineRule="auto"/>
        <w:ind w:left="0" w:firstLine="567"/>
        <w:jc w:val="both"/>
        <w:rPr>
          <w:rFonts w:ascii="Arial" w:hAnsi="Arial" w:cs="Arial"/>
          <w:color w:val="000000" w:themeColor="text1"/>
        </w:rPr>
      </w:pPr>
      <w:hyperlink r:id="rId205" w:history="1">
        <w:r w:rsidR="00ED3C2E" w:rsidRPr="00DA76A7">
          <w:rPr>
            <w:rStyle w:val="af0"/>
            <w:rFonts w:ascii="Arial" w:hAnsi="Arial" w:cs="Arial"/>
            <w:bCs/>
            <w:color w:val="000000" w:themeColor="text1"/>
            <w:u w:val="none"/>
            <w:shd w:val="clear" w:color="auto" w:fill="FFFFFF"/>
          </w:rPr>
          <w:t>Федеральный закон от 12.01.1996 N 7-ФЗ (ред. от 31.12.2017) «О некоммерческих организациях»</w:t>
        </w:r>
      </w:hyperlink>
      <w:bookmarkStart w:id="48" w:name="dst100245"/>
      <w:bookmarkEnd w:id="48"/>
    </w:p>
    <w:bookmarkStart w:id="49" w:name="dst100324"/>
    <w:bookmarkEnd w:id="49"/>
    <w:p w:rsidR="00ED3C2E" w:rsidRPr="00DA76A7" w:rsidRDefault="00666D87" w:rsidP="00ED3C2E">
      <w:pPr>
        <w:pStyle w:val="a6"/>
        <w:numPr>
          <w:ilvl w:val="0"/>
          <w:numId w:val="66"/>
        </w:numPr>
        <w:shd w:val="clear" w:color="auto" w:fill="FFFFFF" w:themeFill="background1"/>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fldChar w:fldCharType="begin"/>
      </w:r>
      <w:r w:rsidR="00ED3C2E" w:rsidRPr="00DA76A7">
        <w:rPr>
          <w:rFonts w:ascii="Arial" w:hAnsi="Arial" w:cs="Arial"/>
          <w:color w:val="000000" w:themeColor="text1"/>
        </w:rPr>
        <w:instrText xml:space="preserve"> HYPERLINK "http://www.consultant.ru/document/cons_doc_LAW_6693/" </w:instrText>
      </w:r>
      <w:r w:rsidRPr="00DA76A7">
        <w:rPr>
          <w:rFonts w:ascii="Arial" w:hAnsi="Arial" w:cs="Arial"/>
          <w:color w:val="000000" w:themeColor="text1"/>
        </w:rPr>
        <w:fldChar w:fldCharType="separate"/>
      </w:r>
      <w:r w:rsidR="00ED3C2E" w:rsidRPr="00DA76A7">
        <w:rPr>
          <w:rStyle w:val="af0"/>
          <w:rFonts w:ascii="Arial" w:hAnsi="Arial" w:cs="Arial"/>
          <w:bCs/>
          <w:color w:val="000000" w:themeColor="text1"/>
          <w:u w:val="none"/>
          <w:shd w:val="clear" w:color="auto" w:fill="FFFFFF"/>
        </w:rPr>
        <w:t>Федеральный закон от 19.05.1995 N 82-ФЗ (ред. от 20.12.2017) «Об общественных объединениях»</w:t>
      </w:r>
      <w:r w:rsidRPr="00DA76A7">
        <w:rPr>
          <w:rFonts w:ascii="Arial" w:hAnsi="Arial" w:cs="Arial"/>
          <w:color w:val="000000" w:themeColor="text1"/>
        </w:rPr>
        <w:fldChar w:fldCharType="end"/>
      </w:r>
    </w:p>
    <w:p w:rsidR="00ED3C2E" w:rsidRPr="00DA76A7" w:rsidRDefault="00ED3C2E" w:rsidP="00ED3C2E">
      <w:pPr>
        <w:pStyle w:val="a6"/>
        <w:numPr>
          <w:ilvl w:val="0"/>
          <w:numId w:val="66"/>
        </w:numPr>
        <w:shd w:val="clear" w:color="auto" w:fill="FFFFFF" w:themeFill="background1"/>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Алексеева С.С. О делении юридических лиц на коммерческие и некоммерческие в гражданском законодательстве // Актуальные проблемы гражданского права. - 2000. - №15. - С. 41-45.</w:t>
      </w:r>
    </w:p>
    <w:p w:rsidR="00ED3C2E" w:rsidRPr="00DA76A7" w:rsidRDefault="00ED3C2E" w:rsidP="00ED3C2E">
      <w:pPr>
        <w:pStyle w:val="a6"/>
        <w:numPr>
          <w:ilvl w:val="0"/>
          <w:numId w:val="66"/>
        </w:numPr>
        <w:shd w:val="clear" w:color="auto" w:fill="FFFFFF" w:themeFill="background1"/>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Насиров Х.Т. Правовое регулирование деятельности некоммерческих организаций: учебное пособие. - Душанбе,  2014. – 167 с.</w:t>
      </w:r>
    </w:p>
    <w:p w:rsidR="00ED3C2E" w:rsidRPr="00DA76A7" w:rsidRDefault="00ED3C2E" w:rsidP="00ED3C2E">
      <w:pPr>
        <w:pStyle w:val="a6"/>
        <w:numPr>
          <w:ilvl w:val="0"/>
          <w:numId w:val="66"/>
        </w:numPr>
        <w:shd w:val="clear" w:color="auto" w:fill="FFFFFF" w:themeFill="background1"/>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Рахимов М.З. Позитивные экономическо-правовые стимулы достижения конечного результата предпринимательской деятельности // Государство и право. - 1997. - № 2-3. – С.49-51</w:t>
      </w:r>
    </w:p>
    <w:p w:rsidR="00ED3C2E" w:rsidRPr="00DA76A7" w:rsidRDefault="00ED3C2E" w:rsidP="00ED3C2E">
      <w:pPr>
        <w:pStyle w:val="a6"/>
        <w:numPr>
          <w:ilvl w:val="0"/>
          <w:numId w:val="66"/>
        </w:numPr>
        <w:shd w:val="clear" w:color="auto" w:fill="FFFFFF" w:themeFill="background1"/>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shd w:val="clear" w:color="auto" w:fill="FFFFFF"/>
        </w:rPr>
        <w:t>Тотьев К.Ю. Предприятие и его организационно-правовая форма // Государство и право. - 1994.-  № 10. - С. 62-65</w:t>
      </w:r>
    </w:p>
    <w:p w:rsidR="00ED3C2E" w:rsidRPr="00DA76A7" w:rsidRDefault="00ED3C2E" w:rsidP="00ED3C2E">
      <w:pPr>
        <w:pStyle w:val="a6"/>
        <w:shd w:val="clear" w:color="auto" w:fill="FFFFFF" w:themeFill="background1"/>
        <w:tabs>
          <w:tab w:val="left" w:pos="851"/>
        </w:tabs>
        <w:spacing w:after="0" w:line="240" w:lineRule="auto"/>
        <w:ind w:left="0" w:firstLine="567"/>
        <w:jc w:val="both"/>
        <w:rPr>
          <w:rFonts w:ascii="Arial" w:hAnsi="Arial" w:cs="Arial"/>
          <w:color w:val="000000" w:themeColor="text1"/>
        </w:rPr>
      </w:pPr>
    </w:p>
    <w:p w:rsidR="00ED3C2E" w:rsidRPr="00DA76A7" w:rsidRDefault="00ED3C2E" w:rsidP="00181BA7">
      <w:pPr>
        <w:pStyle w:val="ConsPlusNormal"/>
        <w:widowControl/>
        <w:ind w:firstLine="0"/>
        <w:jc w:val="center"/>
        <w:rPr>
          <w:b/>
          <w:color w:val="000000" w:themeColor="text1"/>
          <w:sz w:val="22"/>
          <w:szCs w:val="22"/>
        </w:rPr>
      </w:pPr>
    </w:p>
    <w:p w:rsidR="00181BA7" w:rsidRPr="00DA76A7" w:rsidRDefault="00181BA7" w:rsidP="00181BA7">
      <w:pPr>
        <w:pStyle w:val="ConsPlusNormal"/>
        <w:widowControl/>
        <w:ind w:firstLine="0"/>
        <w:jc w:val="center"/>
        <w:rPr>
          <w:b/>
          <w:color w:val="000000" w:themeColor="text1"/>
          <w:sz w:val="22"/>
          <w:szCs w:val="22"/>
        </w:rPr>
      </w:pPr>
      <w:r w:rsidRPr="00DA76A7">
        <w:rPr>
          <w:b/>
          <w:color w:val="000000" w:themeColor="text1"/>
          <w:sz w:val="22"/>
          <w:szCs w:val="22"/>
        </w:rPr>
        <w:t>ГРАЖДАНСКО-ПРАВОВАЯ ОТВЕТСТВЕННОСТЬ ПО СОЛИДАРНОМУ ОБЯЗАТЕЛЬСТВУ</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color w:val="000000" w:themeColor="text1"/>
          <w:sz w:val="22"/>
          <w:szCs w:val="22"/>
        </w:rPr>
      </w:pPr>
      <w:r w:rsidRPr="00DA76A7">
        <w:rPr>
          <w:rFonts w:ascii="Arial" w:hAnsi="Arial" w:cs="Arial"/>
          <w:b/>
          <w:color w:val="000000" w:themeColor="text1"/>
          <w:sz w:val="22"/>
          <w:szCs w:val="22"/>
        </w:rPr>
        <w:t>Кароматуллои Рахматулло</w:t>
      </w:r>
      <w:r w:rsidRPr="00DA76A7">
        <w:rPr>
          <w:rFonts w:ascii="Arial" w:hAnsi="Arial" w:cs="Arial"/>
          <w:b/>
          <w:color w:val="000000" w:themeColor="text1"/>
          <w:sz w:val="22"/>
          <w:szCs w:val="22"/>
        </w:rPr>
        <w:br/>
      </w: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pStyle w:val="ConsPlusNormal"/>
        <w:widowControl/>
        <w:ind w:firstLine="0"/>
        <w:jc w:val="center"/>
        <w:rPr>
          <w:color w:val="000000" w:themeColor="text1"/>
          <w:sz w:val="22"/>
          <w:szCs w:val="22"/>
        </w:rPr>
      </w:pPr>
      <w:r w:rsidRPr="00DA76A7">
        <w:rPr>
          <w:color w:val="000000" w:themeColor="text1"/>
          <w:sz w:val="22"/>
          <w:szCs w:val="22"/>
        </w:rPr>
        <w:t xml:space="preserve">тел.: 988889349, </w:t>
      </w:r>
      <w:r w:rsidRPr="00DA76A7">
        <w:rPr>
          <w:color w:val="000000" w:themeColor="text1"/>
          <w:sz w:val="22"/>
          <w:szCs w:val="22"/>
          <w:lang w:val="en-US"/>
        </w:rPr>
        <w:t>e</w:t>
      </w:r>
      <w:r w:rsidRPr="00DA76A7">
        <w:rPr>
          <w:color w:val="000000" w:themeColor="text1"/>
          <w:sz w:val="22"/>
          <w:szCs w:val="22"/>
        </w:rPr>
        <w:t>-</w:t>
      </w:r>
      <w:r w:rsidRPr="00DA76A7">
        <w:rPr>
          <w:color w:val="000000" w:themeColor="text1"/>
          <w:sz w:val="22"/>
          <w:szCs w:val="22"/>
          <w:lang w:val="en-US"/>
        </w:rPr>
        <w:t>mail</w:t>
      </w:r>
      <w:r w:rsidRPr="00DA76A7">
        <w:rPr>
          <w:color w:val="000000" w:themeColor="text1"/>
          <w:sz w:val="22"/>
          <w:szCs w:val="22"/>
        </w:rPr>
        <w:t xml:space="preserve">: </w:t>
      </w:r>
      <w:r w:rsidRPr="00DA76A7">
        <w:rPr>
          <w:color w:val="000000" w:themeColor="text1"/>
          <w:sz w:val="22"/>
          <w:szCs w:val="22"/>
          <w:lang w:val="en-US"/>
        </w:rPr>
        <w:t>Tj</w:t>
      </w:r>
      <w:r w:rsidRPr="00DA76A7">
        <w:rPr>
          <w:color w:val="000000" w:themeColor="text1"/>
          <w:sz w:val="22"/>
          <w:szCs w:val="22"/>
        </w:rPr>
        <w:t>-</w:t>
      </w:r>
      <w:r w:rsidRPr="00DA76A7">
        <w:rPr>
          <w:color w:val="000000" w:themeColor="text1"/>
          <w:sz w:val="22"/>
          <w:szCs w:val="22"/>
          <w:lang w:val="en-US"/>
        </w:rPr>
        <w:t>boy</w:t>
      </w:r>
      <w:r w:rsidRPr="00DA76A7">
        <w:rPr>
          <w:color w:val="000000" w:themeColor="text1"/>
          <w:sz w:val="22"/>
          <w:szCs w:val="22"/>
        </w:rPr>
        <w:t>-7007@</w:t>
      </w:r>
      <w:r w:rsidRPr="00DA76A7">
        <w:rPr>
          <w:color w:val="000000" w:themeColor="text1"/>
          <w:sz w:val="22"/>
          <w:szCs w:val="22"/>
          <w:lang w:val="en-US"/>
        </w:rPr>
        <w:t>mail</w:t>
      </w:r>
      <w:r w:rsidRPr="00DA76A7">
        <w:rPr>
          <w:color w:val="000000" w:themeColor="text1"/>
          <w:sz w:val="22"/>
          <w:szCs w:val="22"/>
        </w:rPr>
        <w:t>.</w:t>
      </w:r>
      <w:r w:rsidRPr="00DA76A7">
        <w:rPr>
          <w:color w:val="000000" w:themeColor="text1"/>
          <w:sz w:val="22"/>
          <w:szCs w:val="22"/>
          <w:lang w:val="en-US"/>
        </w:rPr>
        <w:t>ru</w:t>
      </w:r>
      <w:r w:rsidRPr="00DA76A7">
        <w:rPr>
          <w:color w:val="000000" w:themeColor="text1"/>
          <w:sz w:val="22"/>
          <w:szCs w:val="22"/>
        </w:rPr>
        <w:t xml:space="preserve"> </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CIVIL-LEGAL LIABILITY ON SOLIDARY OBLIGATIONS</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Karomatulloi Rahmatullo </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30</w:t>
      </w:r>
    </w:p>
    <w:p w:rsidR="00181BA7" w:rsidRPr="00DA76A7" w:rsidRDefault="00181BA7" w:rsidP="00181BA7">
      <w:pPr>
        <w:pStyle w:val="ConsPlusNormal"/>
        <w:widowControl/>
        <w:ind w:firstLine="0"/>
        <w:jc w:val="center"/>
        <w:rPr>
          <w:color w:val="000000" w:themeColor="text1"/>
          <w:sz w:val="22"/>
          <w:szCs w:val="22"/>
          <w:lang w:val="en-US"/>
        </w:rPr>
      </w:pPr>
      <w:r w:rsidRPr="00DA76A7">
        <w:rPr>
          <w:color w:val="000000" w:themeColor="text1"/>
          <w:sz w:val="22"/>
          <w:szCs w:val="22"/>
          <w:lang w:val="en-US"/>
        </w:rPr>
        <w:t>tel.: 988889349,  e-mail: Tj-boy-7007@mail.ru</w:t>
      </w:r>
    </w:p>
    <w:p w:rsidR="00181BA7" w:rsidRPr="00DA76A7" w:rsidRDefault="00181BA7" w:rsidP="00181BA7">
      <w:pPr>
        <w:ind w:firstLine="567"/>
        <w:jc w:val="both"/>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понятие, сущность и особенности гражданско-правовой ответственности по солидарному обязательству как в Республике Таджикистан так и в зарубежных странах.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deals with the concept, essence and characteristics of civil liability under a joint obligation both in the Republic of Tajikistan and in foreign countries.</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ответственность, гражданское право, солидарное обязательство, кодекс,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responsibility, civil law, joint liability, code</w:t>
      </w:r>
    </w:p>
    <w:p w:rsidR="00181BA7" w:rsidRPr="00DA76A7" w:rsidRDefault="00181BA7" w:rsidP="00181BA7">
      <w:pPr>
        <w:pStyle w:val="ConsPlusNormal"/>
        <w:widowControl/>
        <w:ind w:firstLine="567"/>
        <w:jc w:val="both"/>
        <w:rPr>
          <w:color w:val="000000" w:themeColor="text1"/>
          <w:sz w:val="22"/>
          <w:szCs w:val="22"/>
          <w:lang w:val="en-US"/>
        </w:rPr>
      </w:pPr>
    </w:p>
    <w:p w:rsidR="00181BA7" w:rsidRPr="00DA76A7" w:rsidRDefault="00181BA7" w:rsidP="00181BA7">
      <w:pPr>
        <w:pStyle w:val="ConsPlusNormal"/>
        <w:widowControl/>
        <w:ind w:firstLine="567"/>
        <w:jc w:val="right"/>
        <w:rPr>
          <w:color w:val="000000" w:themeColor="text1"/>
          <w:sz w:val="22"/>
          <w:szCs w:val="22"/>
        </w:rPr>
      </w:pPr>
      <w:r w:rsidRPr="00DA76A7">
        <w:rPr>
          <w:color w:val="000000" w:themeColor="text1"/>
          <w:sz w:val="22"/>
          <w:szCs w:val="22"/>
        </w:rPr>
        <w:t xml:space="preserve">Научный руководитель: к.ю.н., доцент Курбонов К.Ш. </w:t>
      </w:r>
    </w:p>
    <w:p w:rsidR="00181BA7" w:rsidRPr="00DA76A7" w:rsidRDefault="00181BA7" w:rsidP="00181BA7">
      <w:pPr>
        <w:pStyle w:val="ConsPlusNormal"/>
        <w:widowControl/>
        <w:ind w:firstLine="567"/>
        <w:jc w:val="right"/>
        <w:rPr>
          <w:color w:val="000000" w:themeColor="text1"/>
          <w:sz w:val="22"/>
          <w:szCs w:val="22"/>
        </w:rPr>
      </w:pP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Развитый гражданский оборот располагает существование таких обязательств, в которых с одной и (или) с другой стороны участвует одновременно несколько лиц (несколько кредиторов и (или) должников). Данное обстоятельство с неизбежностью вызывает надобность особенного регламентирования отношений в обязательстве со множественностью лиц, в частности и отношений по исполнению указанных обязательств. Следует, однако, отметить, что в юридической литературе не всегда считают рациональным выделять особенности исполнения обязательств со множественностью лиц в отдельную группу [6, </w:t>
      </w:r>
      <w:r w:rsidRPr="00DA76A7">
        <w:rPr>
          <w:color w:val="000000" w:themeColor="text1"/>
          <w:sz w:val="22"/>
          <w:szCs w:val="22"/>
          <w:lang w:val="en-US"/>
        </w:rPr>
        <w:t>c</w:t>
      </w:r>
      <w:r w:rsidRPr="00DA76A7">
        <w:rPr>
          <w:color w:val="000000" w:themeColor="text1"/>
          <w:sz w:val="22"/>
          <w:szCs w:val="22"/>
        </w:rPr>
        <w:t xml:space="preserve">. 22].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В обязательстве всегда должно быть, как минимум две стороны: кредитор и должник. Но понятие стороны в обязательстве не совпадает с понятием субъекта обязательства. Сторон в обязательстве может быть две, а субъектов больше. К примеру, если два сособственника дома совместно продают его покупателю, то в обязательстве по уплате покупной цены за дом две стороны: кредитор (продавец) и должник (покупатель),- но три субъекта, ибо на стороне продавца выступают два сособственника.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Солидарная множественность может сформироваться как на стороне кредиторов, так и на стороне должников. В наиболее общем виде солидарность (от лат. solidus - полный, целый) на стороне кредиторов означает управомоченность каждого в отношении всего предмета обязательства в целом, а на стороне должников - обязанность каждого в отношении исполнения обязательства в целом (неделимость требования и неделимость долга). Более того, конечно, не может происходить умножения самого предмета обязательства, в том смысле, чтобы каждый кредитор получил исполнение в целом и каждый должник произвел исполнение в целом [3, </w:t>
      </w:r>
      <w:r w:rsidRPr="00DA76A7">
        <w:rPr>
          <w:color w:val="000000" w:themeColor="text1"/>
          <w:sz w:val="22"/>
          <w:szCs w:val="22"/>
          <w:lang w:val="en-US"/>
        </w:rPr>
        <w:t>c</w:t>
      </w:r>
      <w:r w:rsidRPr="00DA76A7">
        <w:rPr>
          <w:color w:val="000000" w:themeColor="text1"/>
          <w:sz w:val="22"/>
          <w:szCs w:val="22"/>
        </w:rPr>
        <w:t>. 59].</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Солидарные обязательства возникают лишь в исключительных случаях, прямо установленных договором или законом. Следует, однако, отметить, что помимо общего указания на солидарность в обязательствах со множественностью лиц, которые связанные с предпринимательской деятельностью. Солидарность устанавливается не только в гражданском законодательстве, но и в законах, регулирующих публично-правовые отношения. Так, Таможенного кодекса Республики Таджикистан предусматривает, что лицо, перемещающее товары через таможенную границу и не являющееся декларантом, несет солидарную ответственность с декларантом за уплату таможенных платежей. В судебной практике подобные споры разрешаются с применением в том числе и норм ГК РТ о солидарной ответственности, в частности, нормы о регрессном требовании декларанта, с которого таможенным органом были списаны соответствующие суммы недоимки. [5, 101]</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И так, ст. 345 ГК РТ, что прямо следует из ее текста, распространяется как на солидарное обязательство, так и на солидарную ответственность. Вместе с тем из закона все же не следует с очевидностью, что неисполнение или ненадлежащее исполнение солидарного обязательства может повлечь именно солидарную ответственность. Тем более, что взыскание убытков или неустойки обычно происходит в деньгах, последнее устраняет имевшуюся неделимость предмета обязательства и создает видимость устранения основания солидарности в обязательствах с неделимым предметом. Пункт 1 ст. 345 ГК РТ может быть истолкован таким образом, что для установления солидарной ответственности за неисполнение солидарной обязанности также необходимо указание об этом в законе или в сделке. Например, если два лица приняли на себя обязательство солидарно передать в собственность неделимую индивидуально-определенную вещь и не исполнили это обязательство или исполнили, но с просрочкой либо с другими нарушениями, можно ли привлечь их именно к солидарной ответственности, учитывая, что в обязательстве имеется указание на солидарность обязанности, но ничего не сказано о солидарности ответственности. [4, 77]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По нашему мнению, солидарность, как правило, выговаривается в пользу кредитора. В пользу кредитора солидарность установлена и законом. Замена солидарной ответственности за неисполнение или ненадлежащее исполнение солидарного обязательства на долевую ответственность вступила бы в противоречие с назначением данного правового регулирования и могла бы в чем-то даже стимулировать должников к нарушению обязательства, ибо их ответственность за правонарушение оказывалась бы более легкой, чем надлежащее исполнение. Поэтому мы полагаем, что коль скоро солидарность установлена договором или законом, то неисполнение соответствующего обязательства ipso jure влечет и солидарность ответственности, даже если на это нет прямого указания.</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В подтверждение изложенного мы можем привести пример из истории такого государства как Российской Федерации, что  ст. 1711 проекта Гражданского уложения Российской Империи, согласно которому за неисполнение, за просрочку в исполнении и вообще за ненадлежащее исполнение совокупного обязательства по вине одного или некоторых из должников отвечают и все остальные должники. При этом в объяснениях указывалось, что только при условии ответственности всех содолжников за вину одного может быть достигнута практическая цель солидарности.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Но у К.П. Победоносцева можно обнаружат несколько другой подход в той части, где речь идет относительно последствиях гибели предмета исполнения. Он говорит, что, если по вине одного из обязанных лиц имущество, которое составляет предмет исполнения по обязательству, ответственность в этом имуществе простирается на всех одинаково: только за убытки отвечает один виновный.  По всей вероятности, ученый имел в виду, что в части стоимости умершего предмета исполнения все должники обязаны солидарно, тогда как за потери, возникшие у кредитора, помимо самого непредоставления предмета исполнения (например, упущенная выгода), отвечает только виновная сторона т.е.  должник. Не может быть выставлена против всех должников вина одного из них и согласно немецкому праву.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Довольно четко разделение ответственности по принципу вины сформулировано в ГК Квебека. Если невозможность исполнения какого-либо обязательства в натуре возникла по вине одного или нескольких солидарных должников или из-за просрочки с его или их стороны, остальные содолжники не освобождаются от обязанности возместить в денежном эквиваленте причиненный кредитору вред, но они не отвечают за дополнительные убытки, которые могли бы быть причинены кредитору. Кредитор не может заявить требование о возмещении дополнительных ущербов, кроме как к тем должникам, по вине которых появилась невозможность исполнения обязательства, и к тем, которые допустили просрочку (ст. 1527).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Из изложенным выше соображениям мы не готовы присоединиться к этим подходам. Представляется более аргументированным в интересах защиты прав кредитора возложить ответственность за неисполнение или ненадлежащее исполнение обязательства на всех должников, независимо от того, чьи именно действия послужили причиной возникновения ущербов у кредитора и какова характеристика этих ущербов. Наиболее четкий уязвимость кредитора в этом аспекте замечается в случае банкротства должника, по вине которого обязательство оказалось неисполненным. В этой ситуации, несмотря на солидарность обязанности, кредитор не получит полного возмещения ущербов.</w:t>
      </w:r>
    </w:p>
    <w:p w:rsidR="00181BA7" w:rsidRPr="00DA76A7" w:rsidRDefault="00181BA7" w:rsidP="00181BA7">
      <w:pPr>
        <w:pStyle w:val="ConsPlusNormal"/>
        <w:widowControl/>
        <w:ind w:firstLine="567"/>
        <w:jc w:val="both"/>
        <w:rPr>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68"/>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Гражданский кодекс Республики Таджикистан. Ч. 1 от 30 июня 1999года // Ахбори Маджлиси Оли Республики Таджикистан, 1999 г., №6, ст. 153; ст. 154; 2001 г., №7, ст. 508; 2002 г., №4, ч. 1, ст. 170; 2005 г., №3, ст. 125; 2006 г., №4, ст. 193; 2007 г., №5, ст. 356; 2010 г., №3, ст. 156; №12, ч. 1, ст. 802; 2012 г., №7, ст. 700; №12, ч. 1, ст. 1021; 2013 г., №7, ст. 504; 2015 г., №3, ст. 200.</w:t>
      </w:r>
    </w:p>
    <w:p w:rsidR="00181BA7" w:rsidRPr="00DA76A7" w:rsidRDefault="00181BA7" w:rsidP="00D45D6B">
      <w:pPr>
        <w:pStyle w:val="a6"/>
        <w:numPr>
          <w:ilvl w:val="0"/>
          <w:numId w:val="68"/>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Гражданский кодекс Республики Таджикистан. Ч. 2 от 11 декабря 1999 года // Ахбори Маджлиси Оли Республики Таджикистан. – 1999. – № 12.– Ст. 323; 2002. – № 4. ч.1. – Ст. 170; 2006. – № 4. – Ст. 193; – 2009. – № 12. –Ст. 821; 2010. – № 7. – Ст. 540; 2012. – № 7. – Ст. 699; 2013. – № 7. – Ст. 505.</w:t>
      </w:r>
    </w:p>
    <w:p w:rsidR="00181BA7" w:rsidRPr="00DA76A7" w:rsidRDefault="00181BA7" w:rsidP="00D45D6B">
      <w:pPr>
        <w:pStyle w:val="a6"/>
        <w:numPr>
          <w:ilvl w:val="0"/>
          <w:numId w:val="68"/>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Иоффе О. С. Избранные труды. В 4 т. Т. 2. / О. С. Иоффе. – СПб: Издательство «Юридический центр Пресс», 2004.– 511 с.</w:t>
      </w:r>
    </w:p>
    <w:p w:rsidR="00181BA7" w:rsidRPr="00DA76A7" w:rsidRDefault="00181BA7" w:rsidP="00D45D6B">
      <w:pPr>
        <w:pStyle w:val="a6"/>
        <w:numPr>
          <w:ilvl w:val="0"/>
          <w:numId w:val="68"/>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Сарбаш С. В. Обязательства с множественностью лиц и особенно-сти их исполнения / Сарбаш С. В. – М.: Статут, 2004. – 112 с.</w:t>
      </w:r>
    </w:p>
    <w:p w:rsidR="00181BA7" w:rsidRPr="00DA76A7" w:rsidRDefault="00181BA7" w:rsidP="00D45D6B">
      <w:pPr>
        <w:pStyle w:val="a6"/>
        <w:numPr>
          <w:ilvl w:val="0"/>
          <w:numId w:val="68"/>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Гражданское право:  учебник в 3-х т. Т. 1 / В. В. Безбах [и др.]; отв. ред. В. П. Мозолин. - 2-е изд., перераб. и доп. - М.: Проспект, 2014. - 964 с</w:t>
      </w:r>
    </w:p>
    <w:p w:rsidR="00181BA7" w:rsidRPr="00DA76A7" w:rsidRDefault="00181BA7" w:rsidP="00D45D6B">
      <w:pPr>
        <w:pStyle w:val="a6"/>
        <w:numPr>
          <w:ilvl w:val="0"/>
          <w:numId w:val="68"/>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Гражданское право: учебник в 3-х т. Т. 2 / Н. Н. Агафонова [и др.];  отв. ред. В. П. Мозолин. - 2-е изд., перераб, и доп. - М.: Проспект, 2014. - 816 с.</w:t>
      </w:r>
    </w:p>
    <w:p w:rsidR="00181BA7" w:rsidRPr="00DA76A7" w:rsidRDefault="00181BA7" w:rsidP="00181BA7">
      <w:pPr>
        <w:shd w:val="clear" w:color="auto" w:fill="FFFFFF"/>
        <w:tabs>
          <w:tab w:val="left" w:pos="851"/>
        </w:tabs>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К ВОПРОСУ О ВИДАХ ОБЯЗАТЕЛЬСТВ С МНОЖЕСТВЕННОСТЬЮ ЛИЦ</w:t>
      </w: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jc w:val="center"/>
        <w:rPr>
          <w:rFonts w:ascii="Arial" w:hAnsi="Arial" w:cs="Arial"/>
          <w:color w:val="000000" w:themeColor="text1"/>
          <w:sz w:val="22"/>
          <w:szCs w:val="22"/>
        </w:rPr>
      </w:pPr>
      <w:r w:rsidRPr="00DA76A7">
        <w:rPr>
          <w:rFonts w:ascii="Arial" w:hAnsi="Arial" w:cs="Arial"/>
          <w:b/>
          <w:color w:val="000000" w:themeColor="text1"/>
          <w:sz w:val="22"/>
          <w:szCs w:val="22"/>
        </w:rPr>
        <w:t>Кароматуллои Рахматулло</w:t>
      </w:r>
      <w:r w:rsidRPr="00DA76A7">
        <w:rPr>
          <w:rFonts w:ascii="Arial" w:hAnsi="Arial" w:cs="Arial"/>
          <w:b/>
          <w:color w:val="000000" w:themeColor="text1"/>
          <w:sz w:val="22"/>
          <w:szCs w:val="22"/>
        </w:rPr>
        <w:br/>
      </w: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pStyle w:val="ConsPlusNormal"/>
        <w:widowControl/>
        <w:ind w:firstLine="0"/>
        <w:jc w:val="center"/>
        <w:rPr>
          <w:color w:val="000000" w:themeColor="text1"/>
          <w:sz w:val="22"/>
          <w:szCs w:val="22"/>
        </w:rPr>
      </w:pPr>
      <w:r w:rsidRPr="00DA76A7">
        <w:rPr>
          <w:color w:val="000000" w:themeColor="text1"/>
          <w:sz w:val="22"/>
          <w:szCs w:val="22"/>
        </w:rPr>
        <w:t xml:space="preserve">тел.: 988889349, </w:t>
      </w:r>
      <w:r w:rsidRPr="00DA76A7">
        <w:rPr>
          <w:color w:val="000000" w:themeColor="text1"/>
          <w:sz w:val="22"/>
          <w:szCs w:val="22"/>
          <w:lang w:val="en-US"/>
        </w:rPr>
        <w:t>e</w:t>
      </w:r>
      <w:r w:rsidRPr="00DA76A7">
        <w:rPr>
          <w:color w:val="000000" w:themeColor="text1"/>
          <w:sz w:val="22"/>
          <w:szCs w:val="22"/>
        </w:rPr>
        <w:t>-</w:t>
      </w:r>
      <w:r w:rsidRPr="00DA76A7">
        <w:rPr>
          <w:color w:val="000000" w:themeColor="text1"/>
          <w:sz w:val="22"/>
          <w:szCs w:val="22"/>
          <w:lang w:val="en-US"/>
        </w:rPr>
        <w:t>mail</w:t>
      </w:r>
      <w:r w:rsidRPr="00DA76A7">
        <w:rPr>
          <w:color w:val="000000" w:themeColor="text1"/>
          <w:sz w:val="22"/>
          <w:szCs w:val="22"/>
        </w:rPr>
        <w:t xml:space="preserve">: </w:t>
      </w:r>
      <w:r w:rsidRPr="00DA76A7">
        <w:rPr>
          <w:color w:val="000000" w:themeColor="text1"/>
          <w:sz w:val="22"/>
          <w:szCs w:val="22"/>
          <w:lang w:val="en-US"/>
        </w:rPr>
        <w:t>Tj</w:t>
      </w:r>
      <w:r w:rsidRPr="00DA76A7">
        <w:rPr>
          <w:color w:val="000000" w:themeColor="text1"/>
          <w:sz w:val="22"/>
          <w:szCs w:val="22"/>
        </w:rPr>
        <w:t>-</w:t>
      </w:r>
      <w:r w:rsidRPr="00DA76A7">
        <w:rPr>
          <w:color w:val="000000" w:themeColor="text1"/>
          <w:sz w:val="22"/>
          <w:szCs w:val="22"/>
          <w:lang w:val="en-US"/>
        </w:rPr>
        <w:t>boy</w:t>
      </w:r>
      <w:r w:rsidRPr="00DA76A7">
        <w:rPr>
          <w:color w:val="000000" w:themeColor="text1"/>
          <w:sz w:val="22"/>
          <w:szCs w:val="22"/>
        </w:rPr>
        <w:t>-7007@</w:t>
      </w:r>
      <w:r w:rsidRPr="00DA76A7">
        <w:rPr>
          <w:color w:val="000000" w:themeColor="text1"/>
          <w:sz w:val="22"/>
          <w:szCs w:val="22"/>
          <w:lang w:val="en-US"/>
        </w:rPr>
        <w:t>mail</w:t>
      </w:r>
      <w:r w:rsidRPr="00DA76A7">
        <w:rPr>
          <w:color w:val="000000" w:themeColor="text1"/>
          <w:sz w:val="22"/>
          <w:szCs w:val="22"/>
        </w:rPr>
        <w:t>.</w:t>
      </w:r>
      <w:r w:rsidRPr="00DA76A7">
        <w:rPr>
          <w:color w:val="000000" w:themeColor="text1"/>
          <w:sz w:val="22"/>
          <w:szCs w:val="22"/>
          <w:lang w:val="en-US"/>
        </w:rPr>
        <w:t>ru</w:t>
      </w:r>
      <w:r w:rsidRPr="00DA76A7">
        <w:rPr>
          <w:color w:val="000000" w:themeColor="text1"/>
          <w:sz w:val="22"/>
          <w:szCs w:val="22"/>
        </w:rPr>
        <w:t xml:space="preserve"> </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TO THE QUESTION OF TYPES OF OBLIGATIONS WITH MULTIPLE PERSONS</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Karomatulloi Rahmatullo </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30</w:t>
      </w:r>
    </w:p>
    <w:p w:rsidR="00181BA7" w:rsidRPr="00DA76A7" w:rsidRDefault="00181BA7" w:rsidP="00181BA7">
      <w:pPr>
        <w:pStyle w:val="ConsPlusNormal"/>
        <w:widowControl/>
        <w:ind w:firstLine="0"/>
        <w:jc w:val="center"/>
        <w:rPr>
          <w:color w:val="000000" w:themeColor="text1"/>
          <w:sz w:val="22"/>
          <w:szCs w:val="22"/>
          <w:lang w:val="en-US"/>
        </w:rPr>
      </w:pPr>
      <w:r w:rsidRPr="00DA76A7">
        <w:rPr>
          <w:color w:val="000000" w:themeColor="text1"/>
          <w:sz w:val="22"/>
          <w:szCs w:val="22"/>
          <w:lang w:val="en-US"/>
        </w:rPr>
        <w:t>tel.: 988889349,  e-mail: Tj-boy-7007@mail.ru</w:t>
      </w:r>
    </w:p>
    <w:p w:rsidR="00181BA7" w:rsidRPr="00DA76A7" w:rsidRDefault="00181BA7" w:rsidP="00181BA7">
      <w:pPr>
        <w:ind w:firstLine="567"/>
        <w:jc w:val="both"/>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
      </w:r>
    </w:p>
    <w:p w:rsidR="00181BA7" w:rsidRPr="00DA76A7" w:rsidRDefault="00181BA7" w:rsidP="00181BA7">
      <w:pPr>
        <w:pStyle w:val="ConsPlusNormal"/>
        <w:widowControl/>
        <w:ind w:firstLine="567"/>
        <w:jc w:val="right"/>
        <w:rPr>
          <w:color w:val="000000" w:themeColor="text1"/>
          <w:sz w:val="22"/>
          <w:szCs w:val="22"/>
        </w:rPr>
      </w:pPr>
      <w:r w:rsidRPr="00DA76A7">
        <w:rPr>
          <w:color w:val="000000" w:themeColor="text1"/>
          <w:sz w:val="22"/>
          <w:szCs w:val="22"/>
        </w:rPr>
        <w:t xml:space="preserve">Научный руководитель: к.ю.н., доцент Курбонов К.Ш. </w:t>
      </w:r>
    </w:p>
    <w:p w:rsidR="00181BA7" w:rsidRPr="00DA76A7" w:rsidRDefault="00181BA7" w:rsidP="00181BA7">
      <w:pPr>
        <w:ind w:firstLine="567"/>
        <w:jc w:val="both"/>
        <w:rPr>
          <w:rFonts w:ascii="Arial" w:hAnsi="Arial" w:cs="Arial"/>
          <w:b/>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общие положения об обязательствах, и особенно внимания уделяется обязательств с множественностью лиц в гражданском праве Республике Таджикистан.</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reviews the general provisions on obligations, and particular attention is paid to obligations with a plurality of persons in civil law to the Republic of Tajikistan</w:t>
      </w:r>
    </w:p>
    <w:p w:rsidR="00181BA7" w:rsidRPr="00DA76A7" w:rsidRDefault="00181BA7" w:rsidP="00181BA7">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гражданское право, обязательство, правоотношения. гражданский кодекс.</w:t>
      </w:r>
      <w:r w:rsidRPr="00DA76A7">
        <w:rPr>
          <w:rFonts w:ascii="Arial" w:hAnsi="Arial" w:cs="Arial"/>
          <w:b/>
          <w:i/>
          <w:color w:val="000000" w:themeColor="text1"/>
          <w:sz w:val="22"/>
          <w:szCs w:val="22"/>
        </w:rPr>
        <w:t xml:space="preserve">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civil law, commitment, legal relationship, сivil code.</w:t>
      </w:r>
    </w:p>
    <w:p w:rsidR="00181BA7" w:rsidRPr="00DA76A7" w:rsidRDefault="00181BA7" w:rsidP="00181BA7">
      <w:pPr>
        <w:ind w:firstLine="567"/>
        <w:jc w:val="both"/>
        <w:rPr>
          <w:rFonts w:ascii="Arial" w:hAnsi="Arial" w:cs="Arial"/>
          <w:b/>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 секрет что в каждом обязательстве участвуют должник и кредитор. Но это не дает основания, что число участников всякого обязательства исчерпывается этими лицами. Во-первых, количество кредиторов и должников в определенном обязательстве не ограничивается, что ведет к возникновению обязательств с множественностью лиц. Во-вторых, в некоторых обязательственных отношениях помимо должника и кредитора участвуют иные субъекты – третьи лица. В таких ситуациях речь идет об обязательствах с участием третьих лиц. Наконец, в-третьих, в большинстве случаев имеется возможность замены участвующих в конкретных обязательствах должников и кредиторов другими субъектами, т.е. перемены лиц в обязательствах. Таким образом, обязательства могут различаться и по своему субъектному составу.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обязательстве в качестве каждой из его сторон- кредитора или должника - могут участвовать одно или одновременно несколько лиц (п. 1 ст. 329 ГК РТ).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Если, например, три сестры – наследницы владельца дома продают перешедший к ним по завещанию дом супругам-приобретателям, то в обязательстве купли-продажи данного дома имеет место множественность лиц как на стороне продавца, так и на стороне покупателя [3,67].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как роль должника в обязательстве относиться к исполнению им своей обязанности, он проявляется в виде пассивной стороны, а множественность должников в определенном обязательстве называется пассивной. Кредитор в обязательстве спрашивает его исполнения, будучи активной стороной, а множественность кредиторов называется поэтому активной. Если же в обязательстве одновременно участвуют и множество должников, и множество кредиторов, следует говорить о смешанной множественности лиц. Такие обязательства могут быть:</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долевыми;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солидарными;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субсидиарными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Обязательства с множественностью лиц в основном считаются долевыми. В этих обязательствах каждый из кредиторов вправе сращивать исполнения, а каждый из должников обязуется исполнить обязательство в равной доле с иными, если только другое распределение долей прямо не предусмотрен в законе, другого нормативного правового акта или условий определенного обязательства (ст. 344 ГК РТ). К примеру можно отметить, что  обязательства участников простого или полного товарищества, возникшие на основании заключенных ими договоров о совместной деятельности или учредительных. Долевые обязательства могут быть как активными или пассивными, так и смешанными.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Иную, более сложную разновидность обязательств с множественностью лиц составляют солидарные обязательства. Солидарные обязательства рассматриваться неделимостью долга, права требований.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наличии нередко наблюдающейся солидарной обязанности множество должников перед кредитором последний вправе требовать ее исполнения как от всех должников вместе, так и от всякого из них в отдельности, причем как в целом, так и в части долга (п. 1 ст. 346 ГК РТ). Практически это обозначает, что, например, денежный долг множество солидарных должников в целом или в основной части может быть истребован кредитором только с одного из них (как правило, наиболее состоятельного) даже в случае, если его участие в образовании долга было минимальным. Более того следует отметить, что кредитор, который получил полного удовлетворения от одного из должников (солидарных), вправе в таком же порядке требовать недополученное от остальных должников, которые остаются обязанными перед ним до тех пор, пока обязательство не будет исполнено полностью (п. 2 ст. 346 ГК РТ).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Кредитор, получившие исполнение от одного или у других должников, которые обеспечены, кредитор предоставляет им возможность далее рассчитываться с остальными содолжниками. Механизм же этих рас- четов таков, что не гарантирует исполнившему обязательство должнику даже частичное возвращение долга остальными содолжниками [4, 88].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при полном исполнении солидарного обязательства одним из должником оно считается прекратившимся, и остальные должники освобождаются от исполнения кредитору. Вместо этого между ними и исполнившим обязательство должником возникает долевое обязательство, в котором последний занимает место кредитора. Он получает право требовать исполнения с бывших должников, за вычетом доли, падающей на него самого. Однако при этом неуплаченное одним из должников должнику, исполнившему солидарную обязанность, падает в равной доле на него и на остальных должников (п. 2 ст. 348 ГК). Иначе говоря, исполнивший солидарное обязательство должник, по существу, несет еще и риск неисполнения обязательства иными должниками. Понятно, что такие обязательства крайне выгодны кредиторам, постольку, поскольку значительно повышают их возможности полного удовлетворения своих требований. Все же следует, отметить, что также значительно ухудшают положение должников, любой из которых независимо от оснований и реального размера своего участия в солидарном обязательстве может быть обязан к его полному исполнению. Связи с этим, солидарные обязательства зарождаются лишь в исключительных случаях, прямо установленных договором или законом (п. 1 ст. 345 ГК). Так, солидарными считаются обязанности множество должников, как и права нескольких кредиторов в обязательстве, связанном с осуществлением предпринимательской деятельности (п. 2 ст. 345 ГК). В силу указаний закона солидарные обязательства возникают при неделимости предмета обязательства; в отношениях поручительства; у участников полного товарищества по обязательствам этого товарищества, а у участников простого товарищества – по общим обязательствам, возникшим не из товарищеского договора; при совместном страховании одного объекта по одному договору несколькими страховщиками; у лиц, совместно причинивших имущественный вред, и в некоторых других ситуациях.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некоторых случаев в пассивных солидарных обязательствах, по содержанию, возникает гражданско-правовая ответственность. Не случайно п. 1 ст. 345 ГК РТ прямо отождествляет солидарную обязанность и солидарную ответственность.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солидарности требований любой из сокредиторов вправе предъявить к должнику требование в полном объеме, а до момента предъявления такого требования должник вправе исполнить обязательство полностью любому из сокредиторов, имея, таким образом, право выбора.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Другими словами, в этом случае появляется долевое обязательство получившего исполнение кредитора перед другими сокредиторами. Если некоторые участники солидарных обязательств, связаны друг с другом дополнительными отношениями, в которых не участвуют иные субъекты этих обязательств, такие отношения связывают только этих участников. [5, 90].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Другую самостоятельную разновидность обязательств с множественностью лиц составляет субсидиарные. Законом, другими правовыми актами или договором может быть установлено, что при неудовлетворении требования кредитора основным должником оно может быть предъявлено в неисполненной части иному должнику- субсидиарные обязательства. Например, у основного общества возникает субсидиарная обязанность по оплате долгов его дочерней компании в случае банкротства последней по вине основного общества.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Связи с этим, субсидиарные обязательства занимают место при множественности лиц на стороне должника, т.е. могут быть либо пассивными, либо смешанными.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также, отметить, что субсидиарная обязанность вовсе не возникает при присутствии возможности у кредитора удовлетворить свое требование посредством зачета встречного одинокого требования к основному должнику или же взыскания с него средств в бесспорном порядке.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Субсидиарное обязательство, подобно пассивному солидарному обязательству, также можно считать разновидностью гражданско-правовой ответственности: или же за действия основного должника, т.е. за чужую вину, или же за собственные упущения. </w:t>
      </w:r>
    </w:p>
    <w:p w:rsidR="00181BA7" w:rsidRPr="00DA76A7" w:rsidRDefault="00181BA7" w:rsidP="00181BA7">
      <w:pPr>
        <w:ind w:firstLine="567"/>
        <w:jc w:val="center"/>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110"/>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Гражданский кодекс Республики Таджикистан. Ч. 1 от 30 июня 1999года // Ахбори Маджлиси Оли Республики Таджикистан, 1999 г., №6, ст. 153; ст. 154; 2001 г., №7, ст. 508; 2002 г., №4, ч. 1, ст. 170; 2005 г., №3, ст. 125; 2006 г., №4, ст. 193; 2007 г., №5, ст. 356; 2010 г., №3, ст. 156; №12, ч. 1, ст. 802; 2012 г., №7, ст. 700; №12, ч. 1, ст. 1021; 2013 г., №7, ст. 504; 2015 г., №3, ст. 200.</w:t>
      </w:r>
    </w:p>
    <w:p w:rsidR="00181BA7" w:rsidRPr="00DA76A7" w:rsidRDefault="00181BA7" w:rsidP="00D45D6B">
      <w:pPr>
        <w:pStyle w:val="a6"/>
        <w:numPr>
          <w:ilvl w:val="0"/>
          <w:numId w:val="110"/>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Гражданский кодекс Республики Таджикистан. Ч. 2 от 11 декабря 1999 года // Ахбори Маджлиси Оли Республики Таджикистан. – 1999. – № 12.– Ст. 323; 2002. – № 4. ч.1. – Ст. 170; 2006. – № 4. – Ст. 193; – 2009. – № 12. –Ст. 821; 2010. – № 7. – Ст. 540; 2012. – № 7. – Ст. 699; 2013. – № 7. – Ст. 505.</w:t>
      </w:r>
    </w:p>
    <w:p w:rsidR="00181BA7" w:rsidRPr="00DA76A7" w:rsidRDefault="00181BA7" w:rsidP="00D45D6B">
      <w:pPr>
        <w:pStyle w:val="a6"/>
        <w:numPr>
          <w:ilvl w:val="0"/>
          <w:numId w:val="110"/>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Белов В.А. Юридические факты в гражданском праве: учеб.пособие для бакалавра и магистратуры /Белов В.А. МГУ им. М. В. Ломоносова. - М.:Юрайт, 2017. - 450 с.</w:t>
      </w:r>
    </w:p>
    <w:p w:rsidR="00181BA7" w:rsidRPr="00DA76A7" w:rsidRDefault="00181BA7" w:rsidP="00D45D6B">
      <w:pPr>
        <w:pStyle w:val="a6"/>
        <w:numPr>
          <w:ilvl w:val="0"/>
          <w:numId w:val="110"/>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Гражданское право:  учебник в 3-х т. Т. 1 / В. В. Безбах [и др.]; отв. ред. В. П. Мозолин. - 2-е изд., перераб. и доп. - М.: Проспект, 2014. - 964 с</w:t>
      </w:r>
    </w:p>
    <w:p w:rsidR="00181BA7" w:rsidRPr="00DA76A7" w:rsidRDefault="00181BA7" w:rsidP="00D45D6B">
      <w:pPr>
        <w:pStyle w:val="a6"/>
        <w:numPr>
          <w:ilvl w:val="0"/>
          <w:numId w:val="110"/>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Гражданское право: учебник в 3-х т. Т. 2 / Н. Н. Агафонова [и др.];  отв. ред. В. П. Мозолин. - 2-е изд., перераб, и доп. - М.: Проспект, 2014. - 816 с.</w:t>
      </w:r>
    </w:p>
    <w:p w:rsidR="00ED3C2E" w:rsidRPr="00DA76A7" w:rsidRDefault="00ED3C2E" w:rsidP="00181BA7">
      <w:pPr>
        <w:ind w:firstLine="567"/>
        <w:jc w:val="center"/>
        <w:rPr>
          <w:rFonts w:ascii="Arial" w:hAnsi="Arial" w:cs="Arial"/>
          <w:b/>
          <w:color w:val="000000" w:themeColor="text1"/>
          <w:sz w:val="22"/>
          <w:szCs w:val="22"/>
        </w:rPr>
      </w:pPr>
    </w:p>
    <w:p w:rsidR="00ED3C2E" w:rsidRPr="00DA76A7" w:rsidRDefault="00ED3C2E"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К ВОПРОСУ ОБ ОСНОВАНИИ ГРАЖДАНСКО-ПРАВОВОЙ ОТВЕТСТВЕННОСТИ ПРЕДПРИНИМАТЕЛЕЙ</w:t>
      </w:r>
    </w:p>
    <w:p w:rsidR="00181BA7" w:rsidRPr="00DA76A7" w:rsidRDefault="00181BA7" w:rsidP="00181BA7">
      <w:pPr>
        <w:tabs>
          <w:tab w:val="left" w:pos="2670"/>
        </w:tabs>
        <w:ind w:firstLine="567"/>
        <w:rPr>
          <w:rFonts w:ascii="Arial" w:hAnsi="Arial" w:cs="Arial"/>
          <w:b/>
          <w:color w:val="000000" w:themeColor="text1"/>
          <w:sz w:val="22"/>
          <w:szCs w:val="22"/>
        </w:rPr>
      </w:pPr>
      <w:r w:rsidRPr="00DA76A7">
        <w:rPr>
          <w:rFonts w:ascii="Arial" w:hAnsi="Arial" w:cs="Arial"/>
          <w:b/>
          <w:color w:val="000000" w:themeColor="text1"/>
          <w:sz w:val="22"/>
          <w:szCs w:val="22"/>
        </w:rPr>
        <w:tab/>
      </w: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Киёмов Фируз Мусоевич</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Российско-Таджикского (Славянского) университета</w:t>
      </w:r>
    </w:p>
    <w:p w:rsidR="00181BA7" w:rsidRPr="00DA76A7" w:rsidRDefault="00181BA7" w:rsidP="00181BA7">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734025, Республика Таджикистан, г. Душанбе, ул. М. Турсунзаде, 30</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w:t>
      </w:r>
      <w:r w:rsidRPr="00DA76A7">
        <w:rPr>
          <w:rFonts w:ascii="Arial" w:hAnsi="Arial" w:cs="Arial"/>
          <w:color w:val="000000" w:themeColor="text1"/>
          <w:sz w:val="22"/>
          <w:szCs w:val="22"/>
          <w:shd w:val="clear" w:color="auto" w:fill="FFFFFF"/>
        </w:rPr>
        <w:t>918696460</w:t>
      </w:r>
      <w:r w:rsidRPr="00DA76A7">
        <w:rPr>
          <w:rFonts w:ascii="Arial" w:hAnsi="Arial" w:cs="Arial"/>
          <w:color w:val="000000" w:themeColor="text1"/>
          <w:sz w:val="22"/>
          <w:szCs w:val="22"/>
        </w:rPr>
        <w:t>,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lang w:val="en-US"/>
        </w:rPr>
        <w:t>kfiruz</w:t>
      </w:r>
      <w:r w:rsidRPr="00DA76A7">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mail</w:t>
      </w:r>
      <w:r w:rsidRPr="00DA76A7">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ru</w:t>
      </w:r>
    </w:p>
    <w:p w:rsidR="00181B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1713F3" w:rsidRDefault="001713F3" w:rsidP="00181BA7">
      <w:pPr>
        <w:ind w:firstLine="567"/>
        <w:jc w:val="center"/>
        <w:rPr>
          <w:rFonts w:ascii="Arial" w:hAnsi="Arial" w:cs="Arial"/>
          <w:color w:val="000000" w:themeColor="text1"/>
          <w:sz w:val="22"/>
          <w:szCs w:val="22"/>
        </w:rPr>
      </w:pPr>
    </w:p>
    <w:p w:rsidR="001713F3" w:rsidRDefault="001713F3" w:rsidP="00181BA7">
      <w:pPr>
        <w:ind w:firstLine="567"/>
        <w:jc w:val="center"/>
        <w:rPr>
          <w:rFonts w:ascii="Arial" w:hAnsi="Arial" w:cs="Arial"/>
          <w:color w:val="000000" w:themeColor="text1"/>
          <w:sz w:val="22"/>
          <w:szCs w:val="22"/>
        </w:rPr>
      </w:pPr>
    </w:p>
    <w:p w:rsidR="001713F3" w:rsidRDefault="001713F3" w:rsidP="00181BA7">
      <w:pPr>
        <w:ind w:firstLine="567"/>
        <w:jc w:val="center"/>
        <w:rPr>
          <w:rFonts w:ascii="Arial" w:hAnsi="Arial" w:cs="Arial"/>
          <w:color w:val="000000" w:themeColor="text1"/>
          <w:sz w:val="22"/>
          <w:szCs w:val="22"/>
        </w:rPr>
      </w:pPr>
    </w:p>
    <w:p w:rsidR="001713F3" w:rsidRDefault="001713F3" w:rsidP="00181BA7">
      <w:pPr>
        <w:ind w:firstLine="567"/>
        <w:jc w:val="center"/>
        <w:rPr>
          <w:rFonts w:ascii="Arial" w:hAnsi="Arial" w:cs="Arial"/>
          <w:color w:val="000000" w:themeColor="text1"/>
          <w:sz w:val="22"/>
          <w:szCs w:val="22"/>
        </w:rPr>
      </w:pPr>
    </w:p>
    <w:p w:rsidR="001713F3" w:rsidRPr="00DA76A7" w:rsidRDefault="001713F3" w:rsidP="00181BA7">
      <w:pPr>
        <w:ind w:firstLine="567"/>
        <w:jc w:val="center"/>
        <w:rPr>
          <w:rFonts w:ascii="Arial" w:hAnsi="Arial" w:cs="Arial"/>
          <w:color w:val="000000" w:themeColor="text1"/>
          <w:sz w:val="22"/>
          <w:szCs w:val="22"/>
        </w:rPr>
      </w:pPr>
    </w:p>
    <w:p w:rsidR="00181BA7" w:rsidRPr="00DA76A7" w:rsidRDefault="00181BA7" w:rsidP="00181BA7">
      <w:pPr>
        <w:pStyle w:val="HTML"/>
        <w:shd w:val="clear" w:color="auto" w:fill="FFFFFF"/>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TO THE QUESTION ON THE BASIS OF CIVIL LEGAL LIABILITY OF ENTREPRENEURS</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Kiyomov Firuz Musoevich</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full-time department of the faculty of law</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w:t>
      </w:r>
      <w:r w:rsidRPr="00DA76A7">
        <w:rPr>
          <w:rFonts w:ascii="Arial" w:hAnsi="Arial" w:cs="Arial"/>
          <w:color w:val="000000" w:themeColor="text1"/>
          <w:sz w:val="22"/>
          <w:szCs w:val="22"/>
          <w:shd w:val="clear" w:color="auto" w:fill="FFFFFF"/>
          <w:lang w:val="en-US"/>
        </w:rPr>
        <w:t>918696460</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r w:rsidRPr="00DA76A7">
        <w:rPr>
          <w:rFonts w:ascii="Arial" w:hAnsi="Arial" w:cs="Arial"/>
          <w:color w:val="000000" w:themeColor="text1"/>
          <w:sz w:val="22"/>
          <w:szCs w:val="22"/>
          <w:shd w:val="clear" w:color="auto" w:fill="FFFFFF"/>
          <w:lang w:val="en-US"/>
        </w:rPr>
        <w:t>kfiruz@mail.ru</w:t>
      </w:r>
    </w:p>
    <w:p w:rsidR="00181BA7" w:rsidRPr="00DA76A7" w:rsidRDefault="00181BA7" w:rsidP="00181BA7">
      <w:pPr>
        <w:ind w:firstLine="567"/>
        <w:jc w:val="right"/>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Меликов У.С.</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tabs>
          <w:tab w:val="left" w:pos="4170"/>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анализируются действующие в науке гражданского права некоторые проблемы определения оснований возникновения гражданско-правовой ответственности, а также обосновывается позиция автора о неприменимости категории «состав гражданского правонарушения» в цивилистике.</w:t>
      </w:r>
    </w:p>
    <w:p w:rsidR="00181BA7" w:rsidRPr="00DA76A7" w:rsidRDefault="00181BA7" w:rsidP="00181BA7">
      <w:pPr>
        <w:tabs>
          <w:tab w:val="left" w:pos="4170"/>
        </w:tabs>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Annotation.</w:t>
      </w:r>
      <w:r w:rsidRPr="00DA76A7">
        <w:rPr>
          <w:rFonts w:ascii="Arial" w:hAnsi="Arial" w:cs="Arial"/>
          <w:i/>
          <w:color w:val="000000" w:themeColor="text1"/>
          <w:sz w:val="22"/>
          <w:szCs w:val="22"/>
          <w:shd w:val="clear" w:color="auto" w:fill="FFFFFF"/>
          <w:lang w:val="en-US"/>
        </w:rPr>
        <w:t xml:space="preserve"> The article analyzes some problems of determining the grounds for civil liability arising in the science of civil law, as well as the author's position on the inapplicability of the category «the composition of a civil offense» in civilization. </w:t>
      </w:r>
    </w:p>
    <w:p w:rsidR="00181BA7" w:rsidRPr="00DA76A7" w:rsidRDefault="00181BA7" w:rsidP="00181BA7">
      <w:pPr>
        <w:tabs>
          <w:tab w:val="left" w:pos="4170"/>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основания гражданско-правовой ответственности, состав гражданского правонарушения, состав преступления, гражданское правонарушение.</w:t>
      </w:r>
    </w:p>
    <w:p w:rsidR="00181BA7" w:rsidRPr="00DA76A7" w:rsidRDefault="00181BA7" w:rsidP="00181BA7">
      <w:pPr>
        <w:tabs>
          <w:tab w:val="left" w:pos="4170"/>
        </w:tabs>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shd w:val="clear" w:color="auto" w:fill="FFFFFF"/>
          <w:lang w:val="en-US"/>
        </w:rPr>
        <w:t>Key words</w:t>
      </w:r>
      <w:r w:rsidRPr="00DA76A7">
        <w:rPr>
          <w:rFonts w:ascii="Arial" w:hAnsi="Arial" w:cs="Arial"/>
          <w:i/>
          <w:color w:val="000000" w:themeColor="text1"/>
          <w:sz w:val="22"/>
          <w:szCs w:val="22"/>
          <w:shd w:val="clear" w:color="auto" w:fill="FFFFFF"/>
          <w:lang w:val="en-US"/>
        </w:rPr>
        <w:t>: the basis of civil liability, the composition of a civil offense, the offense, a civil offense.</w:t>
      </w:r>
    </w:p>
    <w:p w:rsidR="00181BA7" w:rsidRPr="00DA76A7" w:rsidRDefault="00181BA7" w:rsidP="00181BA7">
      <w:pPr>
        <w:tabs>
          <w:tab w:val="left" w:pos="4170"/>
        </w:tabs>
        <w:ind w:firstLine="567"/>
        <w:rPr>
          <w:rFonts w:ascii="Arial" w:hAnsi="Arial" w:cs="Arial"/>
          <w:b/>
          <w:color w:val="000000" w:themeColor="text1"/>
          <w:sz w:val="22"/>
          <w:szCs w:val="22"/>
          <w:lang w:val="en-US"/>
        </w:rPr>
      </w:pPr>
    </w:p>
    <w:p w:rsidR="00181BA7" w:rsidRPr="00DA76A7" w:rsidRDefault="00181BA7" w:rsidP="00181BA7">
      <w:pPr>
        <w:tabs>
          <w:tab w:val="left" w:pos="4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цивилистической науки нет единого подхода к решению вопроса об основаниях возникновения гражданско-правовой ответственности. Например, Г.Ф. Шершеневич в качестве основания гражданской ответственности называл правонарушение и выделял условия привлечения лица к ответственности: недозволенное действие, причинение имущественного вреда, нарушение субъективного права и вина правонарушителя [11, 392-393].</w:t>
      </w:r>
    </w:p>
    <w:p w:rsidR="00181BA7" w:rsidRPr="00DA76A7" w:rsidRDefault="00181BA7" w:rsidP="00181BA7">
      <w:pPr>
        <w:tabs>
          <w:tab w:val="left" w:pos="4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И.А. Покровский писал о том, что гражданское право имеет своей задачей устранить вредные последствия, причиненные правонарушением, и для него важно одно - установить, есть ли на лицо то, что называется правонарушением, и что дает основание возложить ответственность на его виновника [7, 276]. То есть, здесь автор также рассматривает правонарушение как основание гражданско-правовой ответственности. </w:t>
      </w:r>
    </w:p>
    <w:p w:rsidR="00181BA7" w:rsidRPr="00DA76A7" w:rsidRDefault="00181BA7" w:rsidP="00181BA7">
      <w:pPr>
        <w:tabs>
          <w:tab w:val="left" w:pos="4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качестве основания гражданско-правовой ответственности в литературе не редко рассматривается состав гражданского правонарушения. Такая позиция не популярна, но все же встречается и в среде современных цивилистов. Например, Г.К. Матвеев предлагает считать основанием гражданско-правовой ответственности состав правонарушения, включающий в себя совокупность объективных и субъективных элементов. К объективным элементам относятся: противоправное поведение, его результат и причинная связь между ними, субъективным элементом является вина правонарушителя. Автор далее подчеркивает, что при отсутствии одного из указанных элементов ответственность не может наступить [4, 56-57].</w:t>
      </w:r>
    </w:p>
    <w:p w:rsidR="00181BA7" w:rsidRPr="00DA76A7" w:rsidRDefault="00181BA7" w:rsidP="00181BA7">
      <w:pPr>
        <w:tabs>
          <w:tab w:val="left" w:pos="4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Положение о том, что основанием гражданско-правовой ответственности является состав гражданского правонарушения, в литературе признается не всеми авторами. Например, В. В. Витрянский и С. А. Параскевова полагают, что этому понятию нет места в науке гражданского права [1, 710; 6, 80]. В частности, С.А. Параскевова отмечает, что «термин (состав гражданского правонарушения) привнесенный в частное право из публичного права – отраслей диаметрально противоположных по своей сущности, целям и функциям, да еще и не имеющий в цивилистике практического значения, – является чуждым гражданско-правовой науке» [6, 80]. </w:t>
      </w:r>
    </w:p>
    <w:p w:rsidR="00181BA7" w:rsidRPr="00DA76A7" w:rsidRDefault="00181BA7" w:rsidP="00181BA7">
      <w:pPr>
        <w:tabs>
          <w:tab w:val="left" w:pos="4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Чиндяскин, поддерживая С.А. Параскевову, замечает, что понятие «состава преступления» в уголовном праве занимает одну из ключевых ролей, которое используется в комплексном соотношении категорий «признак состава преступления» и «элемент состава преступления». Автор подчеркивает, что только совместное использование всех этих категорий позволяет выстраивать логически правильные умозаключения, при этом по отдельности каждая из них теряет внушительную часть своего содержания [10, 78].</w:t>
      </w:r>
    </w:p>
    <w:p w:rsidR="00181BA7" w:rsidRPr="00DA76A7" w:rsidRDefault="00181BA7" w:rsidP="00181BA7">
      <w:pPr>
        <w:tabs>
          <w:tab w:val="left" w:pos="4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этого, получается, что большинство цивилистов оперируют понятием «состав гражданского правонарушения» либо без использования понятий «элемент состава» и «признак состава» вообще, либо используют какое-то одно из этих понятий, тем самым нарушая логику, выстроенную наукой уголовного права [2, 598]. Между тем только в совокупности эти три категории ценны, как единая правовая конструкция. Поэтому найти место в доктрине гражданского права таким понятиям как «элемент гражданского правонарушения» и «признак гражданского правонарушения» не представляется возможным, значит, следует отказаться от связанной с ними категории «состав гражданского правонарушения».</w:t>
      </w:r>
    </w:p>
    <w:p w:rsidR="00181BA7" w:rsidRPr="00DA76A7" w:rsidRDefault="00181BA7" w:rsidP="00181BA7">
      <w:pPr>
        <w:tabs>
          <w:tab w:val="left" w:pos="4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учетом того, что гражданское право регулирует отношения рыночные, эквивалентно-возмездные, строящиеся на равенстве участников, а гражданско-правовая ответственность, прежде всего, решает задачу не наказать правонарушителя, а возместить имущественные потери потерпевшей стороны, полагаем, что конструкция, при которой гражданско-правовая ответственность возникает, но не применяется, противоречит природе гражданского права. Наличие убытков (вреда), причинная связь между нарушением субъективных гражданских прав и убытками, вина нарушителя являются юридическими фактами, которые в определенных случаях вместе с другим юридическим фактом – нарушением субъективного гражданского права лица, – порождает правоотношение по возмещению имущественных потерь потерпевшего или гражданско-правовую ответственность правонарушителя [10, 78].</w:t>
      </w:r>
    </w:p>
    <w:p w:rsidR="00181BA7" w:rsidRPr="00DA76A7" w:rsidRDefault="00181BA7" w:rsidP="00181BA7">
      <w:pPr>
        <w:tabs>
          <w:tab w:val="left" w:pos="4170"/>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основанием применения гражданско-правовой ответственности является правонарушение, но при определенных условиях. Иными словами, в ответственность, по общему правилу, трансформируется обязательственная правоспособность любого субъекта предпринимательской деятельности при нарушении им чужого субъективного права (равно как и при нарушении его прав), однако, применить эту ответственность к конкретному лицу можно лишь при наличии определенных обстоятельств. В теории их называют общими условиями гражданско-правовой ответственности и относят к ним, в частности: противоправность, наступление вреда (наличие убытков у потерпевшего лица), необходимую причинную связь (детерминированность вреда противоправным поведением нарушителя) и вину правонарушителя.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Теперь же остановимся на характеристике понятия гражданского правонарушения как основания гражданско-правовой ответственности.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доктрине признается, что понятие «правонарушение» образовано посредством абстрагирования. Так, по мнению А.Ф. Черданцева понятие «правонарушение» возникло в результате абстракции, то есть путем создания общего понятия и выделения существенных признаков изучаемого явления. Для исследуемого понятия, по мнению автора, такими признаками служат противоправность, виновность, вредоносность [9, 14].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С.А. Коновалов под правонарушением понимает сложный юридический факт, состоящий их определенных элементов состава правонарушения, включающего противоправное поведение, вред, причинную связь между противоправным поведением и вредом, вину [3, 8].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Самощенко И.С. определяет правонарушение как «виновное противоправное деяние участников общественных отношений» [5, 183].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Вместе с тем, независимо от существующих в цивилистике концепций правонарушения, Груздев В.В. полагает, что правонарушение является публично-правовым понятием, а для частного права характерно иное, не совпадающее с ним понятие нарушения субъективного права (охраняемого законом интереса). Таким образом, делается попытка обосновать отсутствие гражданского правонарушения как частноправового явления. Вместо него предлагается употреблять понятие нарушения субъективного права (охраняемого законом интереса) как составного юридического факта включающего «следующие элементы: явления (деяния нарушителя, неблагоприятные для управомоченного или заинтересованного лица последствия) и процесс (причинную связь между этими деянием и последствиями)», а в некоторых случаях также «явление в виде вины».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Проблема определения понятия гражданского правонарушения обусловлена не только отсутствием его нормативного закрепления, но и наличием ряда специфических черт правонарушения в гражданском праве, в том числе указанием в Гражданском кодексе  на возможность привлечения к ответственности независимо от вины [8, 88].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этого, на наш взгляд проблему определения понятия гражданского правонарушения можно решить, путем легального закрепления его определения в нормах права, под которым в науке гражданского права следует понимать противоправное виновное деяние участника гражданского правоотношения, за которое установлена гражданско-правовая ответственность.</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Брагинский М. И., Витрянский В. В. Договорное право: книга первая: общее положения. – М.: Статут, 2011. – 847 с. </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Гражданское право: учебник: в 4 т. / под ред. Е. А. Суханова. – М.: Волтерс Клувер, 2006. – Т.1. – 720 с.</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Коновалов С.А. Основание гражданско-правовой ответственности: Автореф. дис. … канд. юрид. наук. - М., 2006. - 28 с. </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Матвеев Г.К. Вина в советском гражданском праве. – Киев: </w:t>
      </w:r>
      <w:r w:rsidRPr="00DA76A7">
        <w:rPr>
          <w:rFonts w:ascii="Arial" w:hAnsi="Arial" w:cs="Arial"/>
          <w:color w:val="000000" w:themeColor="text1"/>
          <w:sz w:val="22"/>
          <w:szCs w:val="22"/>
          <w:shd w:val="clear" w:color="auto" w:fill="FFFFFF"/>
        </w:rPr>
        <w:t>Изд-во </w:t>
      </w:r>
      <w:r w:rsidRPr="00DA76A7">
        <w:rPr>
          <w:rStyle w:val="af6"/>
          <w:rFonts w:ascii="Arial" w:hAnsi="Arial" w:cs="Arial"/>
          <w:bCs/>
          <w:iCs w:val="0"/>
          <w:color w:val="000000" w:themeColor="text1"/>
          <w:sz w:val="22"/>
          <w:szCs w:val="22"/>
          <w:shd w:val="clear" w:color="auto" w:fill="FFFFFF"/>
        </w:rPr>
        <w:t>Киев</w:t>
      </w:r>
      <w:r w:rsidRPr="00DA76A7">
        <w:rPr>
          <w:rFonts w:ascii="Arial" w:hAnsi="Arial" w:cs="Arial"/>
          <w:color w:val="000000" w:themeColor="text1"/>
          <w:sz w:val="22"/>
          <w:szCs w:val="22"/>
          <w:shd w:val="clear" w:color="auto" w:fill="FFFFFF"/>
        </w:rPr>
        <w:t>. ун-та, </w:t>
      </w:r>
      <w:r w:rsidRPr="00DA76A7">
        <w:rPr>
          <w:rStyle w:val="af6"/>
          <w:rFonts w:ascii="Arial" w:hAnsi="Arial" w:cs="Arial"/>
          <w:bCs/>
          <w:iCs w:val="0"/>
          <w:color w:val="000000" w:themeColor="text1"/>
          <w:sz w:val="22"/>
          <w:szCs w:val="22"/>
          <w:shd w:val="clear" w:color="auto" w:fill="FFFFFF"/>
        </w:rPr>
        <w:t>1955</w:t>
      </w:r>
      <w:r w:rsidRPr="00DA76A7">
        <w:rPr>
          <w:rFonts w:ascii="Arial" w:hAnsi="Arial" w:cs="Arial"/>
          <w:color w:val="000000" w:themeColor="text1"/>
          <w:sz w:val="22"/>
          <w:szCs w:val="22"/>
          <w:shd w:val="clear" w:color="auto" w:fill="FFFFFF"/>
        </w:rPr>
        <w:t>. - 307 c.</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Ойгензихт В.А. </w:t>
      </w:r>
      <w:r w:rsidRPr="00DA76A7">
        <w:rPr>
          <w:rStyle w:val="af6"/>
          <w:rFonts w:ascii="Arial" w:hAnsi="Arial" w:cs="Arial"/>
          <w:bCs/>
          <w:iCs w:val="0"/>
          <w:color w:val="000000" w:themeColor="text1"/>
          <w:sz w:val="22"/>
          <w:szCs w:val="22"/>
          <w:shd w:val="clear" w:color="auto" w:fill="FFFFFF"/>
        </w:rPr>
        <w:t>Проблема риска</w:t>
      </w:r>
      <w:r w:rsidRPr="00DA76A7">
        <w:rPr>
          <w:rFonts w:ascii="Arial" w:hAnsi="Arial" w:cs="Arial"/>
          <w:color w:val="000000" w:themeColor="text1"/>
          <w:sz w:val="22"/>
          <w:szCs w:val="22"/>
          <w:shd w:val="clear" w:color="auto" w:fill="FFFFFF"/>
        </w:rPr>
        <w:t> в </w:t>
      </w:r>
      <w:r w:rsidRPr="00DA76A7">
        <w:rPr>
          <w:rStyle w:val="af6"/>
          <w:rFonts w:ascii="Arial" w:hAnsi="Arial" w:cs="Arial"/>
          <w:bCs/>
          <w:iCs w:val="0"/>
          <w:color w:val="000000" w:themeColor="text1"/>
          <w:sz w:val="22"/>
          <w:szCs w:val="22"/>
          <w:shd w:val="clear" w:color="auto" w:fill="FFFFFF"/>
        </w:rPr>
        <w:t>гражданском праве</w:t>
      </w:r>
      <w:r w:rsidRPr="00DA76A7">
        <w:rPr>
          <w:rFonts w:ascii="Arial" w:hAnsi="Arial" w:cs="Arial"/>
          <w:color w:val="000000" w:themeColor="text1"/>
          <w:sz w:val="22"/>
          <w:szCs w:val="22"/>
          <w:shd w:val="clear" w:color="auto" w:fill="FFFFFF"/>
        </w:rPr>
        <w:t> (</w:t>
      </w:r>
      <w:r w:rsidRPr="00DA76A7">
        <w:rPr>
          <w:rStyle w:val="af6"/>
          <w:rFonts w:ascii="Arial" w:hAnsi="Arial" w:cs="Arial"/>
          <w:bCs/>
          <w:iCs w:val="0"/>
          <w:color w:val="000000" w:themeColor="text1"/>
          <w:sz w:val="22"/>
          <w:szCs w:val="22"/>
          <w:shd w:val="clear" w:color="auto" w:fill="FFFFFF"/>
        </w:rPr>
        <w:t>часть общая</w:t>
      </w:r>
      <w:r w:rsidRPr="00DA76A7">
        <w:rPr>
          <w:rFonts w:ascii="Arial" w:hAnsi="Arial" w:cs="Arial"/>
          <w:color w:val="000000" w:themeColor="text1"/>
          <w:sz w:val="22"/>
          <w:szCs w:val="22"/>
          <w:shd w:val="clear" w:color="auto" w:fill="FFFFFF"/>
        </w:rPr>
        <w:t>): монография. - Душанбе: Ирфон, 1972. – 225 c.</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Параскевова С. А. Понятие и социальная сущность гражданского право- нарушения (теоретические проблемы): дис. … докт. юрид. наук. – М., 2002. – 367 с.</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Покровский И.А. Основные проблемы гражданского права. - М.: Статут, 2013. – 351 с.</w:t>
      </w:r>
    </w:p>
    <w:p w:rsidR="00181BA7" w:rsidRPr="00DA76A7" w:rsidRDefault="00181BA7" w:rsidP="00D45D6B">
      <w:pPr>
        <w:pStyle w:val="a6"/>
        <w:numPr>
          <w:ilvl w:val="0"/>
          <w:numId w:val="102"/>
        </w:numPr>
        <w:tabs>
          <w:tab w:val="left" w:pos="851"/>
          <w:tab w:val="left" w:pos="1080"/>
          <w:tab w:val="left" w:pos="1134"/>
        </w:tabs>
        <w:spacing w:after="0" w:line="240" w:lineRule="auto"/>
        <w:ind w:left="0" w:firstLine="567"/>
        <w:jc w:val="both"/>
        <w:rPr>
          <w:rStyle w:val="noncited4"/>
          <w:rFonts w:ascii="Arial" w:hAnsi="Arial" w:cs="Arial"/>
          <w:color w:val="000000" w:themeColor="text1"/>
        </w:rPr>
      </w:pPr>
      <w:r w:rsidRPr="00DA76A7">
        <w:rPr>
          <w:rStyle w:val="noncited4"/>
          <w:rFonts w:ascii="Arial" w:hAnsi="Arial" w:cs="Arial"/>
          <w:color w:val="000000" w:themeColor="text1"/>
        </w:rPr>
        <w:t>Фоноберов Л.В. Вина как субъективное условие деликтной</w:t>
      </w:r>
      <w:r w:rsidRPr="00DA76A7">
        <w:rPr>
          <w:rFonts w:ascii="Arial" w:hAnsi="Arial" w:cs="Arial"/>
          <w:color w:val="000000" w:themeColor="text1"/>
        </w:rPr>
        <w:br/>
      </w:r>
      <w:r w:rsidRPr="00DA76A7">
        <w:rPr>
          <w:rStyle w:val="noncited4"/>
          <w:rFonts w:ascii="Arial" w:hAnsi="Arial" w:cs="Arial"/>
          <w:color w:val="000000" w:themeColor="text1"/>
        </w:rPr>
        <w:t>ответственности // Пробелы в российском законодательстве. - 2012.  -№ 3.  -С. 88 - 91.</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Черданцев  А.Ф. Юридические конструкции, их роль в науке и практике //Правоведение. -1972. - № 3. - С. 12 - 19.</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Чиндяскин Н.А. О месте понятия «состав гражданского правонарушения» в теории гражданского права // Пробелы в российском законодательстве. – 2012. - №4. – С. 76-79. </w:t>
      </w:r>
    </w:p>
    <w:p w:rsidR="00181BA7" w:rsidRPr="00DA76A7" w:rsidRDefault="00181BA7" w:rsidP="00D45D6B">
      <w:pPr>
        <w:pStyle w:val="af2"/>
        <w:numPr>
          <w:ilvl w:val="0"/>
          <w:numId w:val="102"/>
        </w:numPr>
        <w:tabs>
          <w:tab w:val="left" w:pos="851"/>
          <w:tab w:val="left" w:pos="1134"/>
        </w:tabs>
        <w:ind w:left="0" w:firstLine="567"/>
        <w:jc w:val="both"/>
        <w:rPr>
          <w:rFonts w:ascii="Arial" w:hAnsi="Arial" w:cs="Arial"/>
          <w:color w:val="000000" w:themeColor="text1"/>
          <w:sz w:val="22"/>
          <w:szCs w:val="22"/>
          <w:shd w:val="clear" w:color="auto" w:fill="FFFEFA"/>
        </w:rPr>
      </w:pPr>
      <w:r w:rsidRPr="00DA76A7">
        <w:rPr>
          <w:rFonts w:ascii="Arial" w:hAnsi="Arial" w:cs="Arial"/>
          <w:color w:val="000000" w:themeColor="text1"/>
          <w:sz w:val="22"/>
          <w:szCs w:val="22"/>
        </w:rPr>
        <w:t xml:space="preserve">Шершеневич Г.Ф. Учебник русского гражданского права. - М.: </w:t>
      </w:r>
      <w:r w:rsidRPr="00DA76A7">
        <w:rPr>
          <w:rFonts w:ascii="Arial" w:hAnsi="Arial" w:cs="Arial"/>
          <w:color w:val="000000" w:themeColor="text1"/>
          <w:sz w:val="22"/>
          <w:szCs w:val="22"/>
          <w:shd w:val="clear" w:color="auto" w:fill="FFFEFA"/>
        </w:rPr>
        <w:t>Изд. Бр. Башмаковых, 1912. - 948 c.</w:t>
      </w:r>
    </w:p>
    <w:p w:rsidR="00181BA7" w:rsidRPr="00DA76A7" w:rsidRDefault="00181BA7" w:rsidP="00181BA7">
      <w:pPr>
        <w:ind w:firstLine="567"/>
        <w:rPr>
          <w:rFonts w:ascii="Arial" w:hAnsi="Arial" w:cs="Arial"/>
          <w:color w:val="000000" w:themeColor="text1"/>
          <w:sz w:val="22"/>
          <w:szCs w:val="22"/>
        </w:rPr>
      </w:pPr>
    </w:p>
    <w:p w:rsidR="00181BA7" w:rsidRDefault="00181BA7" w:rsidP="00181BA7">
      <w:pPr>
        <w:shd w:val="clear" w:color="auto" w:fill="FFFFFF"/>
        <w:ind w:firstLine="567"/>
        <w:jc w:val="both"/>
        <w:rPr>
          <w:rFonts w:ascii="Arial" w:hAnsi="Arial" w:cs="Arial"/>
          <w:color w:val="000000" w:themeColor="text1"/>
          <w:sz w:val="22"/>
          <w:szCs w:val="22"/>
        </w:rPr>
      </w:pPr>
    </w:p>
    <w:p w:rsidR="001713F3" w:rsidRPr="00DA76A7" w:rsidRDefault="001713F3"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ПРОБЛЕМЫ ГРАЖДАНСКО-ПРАВОВОЙ ЗАЩИТЫ ИМУЩЕСТВЕННЫХ ИНТЕРЕСОВ ЛИЧНОСТИ </w:t>
      </w:r>
    </w:p>
    <w:p w:rsidR="00181BA7" w:rsidRDefault="00181BA7" w:rsidP="00181BA7">
      <w:pPr>
        <w:jc w:val="center"/>
        <w:rPr>
          <w:rFonts w:ascii="Arial" w:hAnsi="Arial" w:cs="Arial"/>
          <w:b/>
          <w:color w:val="000000" w:themeColor="text1"/>
          <w:sz w:val="22"/>
          <w:szCs w:val="22"/>
        </w:rPr>
      </w:pPr>
    </w:p>
    <w:p w:rsidR="001713F3" w:rsidRPr="00DA76A7" w:rsidRDefault="001713F3"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Козиенков Виктор Иванович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 го года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904 22 2662,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06" w:history="1">
        <w:r w:rsidRPr="00DA76A7">
          <w:rPr>
            <w:rStyle w:val="af0"/>
            <w:rFonts w:ascii="Arial" w:hAnsi="Arial" w:cs="Arial"/>
            <w:color w:val="000000" w:themeColor="text1"/>
            <w:sz w:val="22"/>
            <w:szCs w:val="22"/>
            <w:u w:val="none"/>
            <w:lang w:val="en-US"/>
          </w:rPr>
          <w:t>kozienkov</w:t>
        </w:r>
        <w:r w:rsidRPr="00DA76A7">
          <w:rPr>
            <w:rStyle w:val="af0"/>
            <w:rFonts w:ascii="Arial" w:hAnsi="Arial" w:cs="Arial"/>
            <w:color w:val="000000" w:themeColor="text1"/>
            <w:sz w:val="22"/>
            <w:szCs w:val="22"/>
            <w:u w:val="none"/>
          </w:rPr>
          <w:t>430@</w:t>
        </w:r>
        <w:r w:rsidRPr="00DA76A7">
          <w:rPr>
            <w:rStyle w:val="af0"/>
            <w:rFonts w:ascii="Arial" w:hAnsi="Arial" w:cs="Arial"/>
            <w:color w:val="000000" w:themeColor="text1"/>
            <w:sz w:val="22"/>
            <w:szCs w:val="22"/>
            <w:u w:val="none"/>
            <w:lang w:val="en-US"/>
          </w:rPr>
          <w:t>gmail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com</w:t>
        </w:r>
      </w:hyperlink>
    </w:p>
    <w:p w:rsidR="00181BA7" w:rsidRDefault="00181BA7" w:rsidP="00181BA7">
      <w:pPr>
        <w:jc w:val="center"/>
        <w:rPr>
          <w:rFonts w:ascii="Arial" w:hAnsi="Arial" w:cs="Arial"/>
          <w:color w:val="000000" w:themeColor="text1"/>
          <w:sz w:val="22"/>
          <w:szCs w:val="22"/>
        </w:rPr>
      </w:pPr>
    </w:p>
    <w:p w:rsidR="001713F3" w:rsidRDefault="001713F3" w:rsidP="00181BA7">
      <w:pPr>
        <w:jc w:val="center"/>
        <w:rPr>
          <w:rFonts w:ascii="Arial" w:hAnsi="Arial" w:cs="Arial"/>
          <w:color w:val="000000" w:themeColor="text1"/>
          <w:sz w:val="22"/>
          <w:szCs w:val="22"/>
        </w:rPr>
      </w:pPr>
    </w:p>
    <w:p w:rsidR="001713F3" w:rsidRDefault="001713F3" w:rsidP="00181BA7">
      <w:pPr>
        <w:jc w:val="center"/>
        <w:rPr>
          <w:rFonts w:ascii="Arial" w:hAnsi="Arial" w:cs="Arial"/>
          <w:color w:val="000000" w:themeColor="text1"/>
          <w:sz w:val="22"/>
          <w:szCs w:val="22"/>
        </w:rPr>
      </w:pPr>
    </w:p>
    <w:p w:rsidR="001713F3" w:rsidRDefault="001713F3" w:rsidP="00181BA7">
      <w:pPr>
        <w:jc w:val="center"/>
        <w:rPr>
          <w:rFonts w:ascii="Arial" w:hAnsi="Arial" w:cs="Arial"/>
          <w:color w:val="000000" w:themeColor="text1"/>
          <w:sz w:val="22"/>
          <w:szCs w:val="22"/>
        </w:rPr>
      </w:pPr>
    </w:p>
    <w:p w:rsidR="001713F3" w:rsidRDefault="001713F3" w:rsidP="00181BA7">
      <w:pPr>
        <w:jc w:val="center"/>
        <w:rPr>
          <w:rFonts w:ascii="Arial" w:hAnsi="Arial" w:cs="Arial"/>
          <w:color w:val="000000" w:themeColor="text1"/>
          <w:sz w:val="22"/>
          <w:szCs w:val="22"/>
        </w:rPr>
      </w:pPr>
    </w:p>
    <w:p w:rsidR="001713F3" w:rsidRDefault="001713F3" w:rsidP="00181BA7">
      <w:pPr>
        <w:jc w:val="center"/>
        <w:rPr>
          <w:rFonts w:ascii="Arial" w:hAnsi="Arial" w:cs="Arial"/>
          <w:color w:val="000000" w:themeColor="text1"/>
          <w:sz w:val="22"/>
          <w:szCs w:val="22"/>
        </w:rPr>
      </w:pPr>
    </w:p>
    <w:p w:rsidR="001713F3" w:rsidRDefault="001713F3" w:rsidP="00181BA7">
      <w:pPr>
        <w:jc w:val="center"/>
        <w:rPr>
          <w:rFonts w:ascii="Arial" w:hAnsi="Arial" w:cs="Arial"/>
          <w:color w:val="000000" w:themeColor="text1"/>
          <w:sz w:val="22"/>
          <w:szCs w:val="22"/>
        </w:rPr>
      </w:pPr>
    </w:p>
    <w:p w:rsidR="001713F3" w:rsidRDefault="001713F3" w:rsidP="00181BA7">
      <w:pPr>
        <w:jc w:val="center"/>
        <w:rPr>
          <w:rFonts w:ascii="Arial" w:hAnsi="Arial" w:cs="Arial"/>
          <w:color w:val="000000" w:themeColor="text1"/>
          <w:sz w:val="22"/>
          <w:szCs w:val="22"/>
        </w:rPr>
      </w:pPr>
    </w:p>
    <w:p w:rsidR="001713F3" w:rsidRPr="00DA76A7" w:rsidRDefault="001713F3"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PROBLEMS OF CIVIL LEGAL PROTECTION OF PROPERTY INTERESTS OF THE PERSON</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Kozienkov Victor Ivanovich</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1 nd year full-time education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904 22 2662, e-mail: </w:t>
      </w:r>
      <w:hyperlink r:id="rId207" w:history="1">
        <w:r w:rsidRPr="00DA76A7">
          <w:rPr>
            <w:rStyle w:val="af0"/>
            <w:rFonts w:ascii="Arial" w:hAnsi="Arial" w:cs="Arial"/>
            <w:color w:val="000000" w:themeColor="text1"/>
            <w:sz w:val="22"/>
            <w:szCs w:val="22"/>
            <w:u w:val="none"/>
            <w:lang w:val="en-US"/>
          </w:rPr>
          <w:t>kozienkov430@gmail.com</w:t>
        </w:r>
      </w:hyperlink>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Курбонов К.Ш.</w:t>
      </w:r>
    </w:p>
    <w:p w:rsidR="00181BA7" w:rsidRPr="00DA76A7" w:rsidRDefault="00181BA7" w:rsidP="00181BA7">
      <w:pPr>
        <w:tabs>
          <w:tab w:val="left" w:pos="567"/>
        </w:tabs>
        <w:ind w:firstLine="567"/>
        <w:jc w:val="both"/>
        <w:rPr>
          <w:rFonts w:ascii="Arial" w:hAnsi="Arial" w:cs="Arial"/>
          <w:b/>
          <w:i/>
          <w:color w:val="000000" w:themeColor="text1"/>
          <w:sz w:val="22"/>
          <w:szCs w:val="22"/>
          <w:shd w:val="clear" w:color="auto" w:fill="FFFFFF"/>
        </w:rPr>
      </w:pPr>
      <w:r w:rsidRPr="00DA76A7">
        <w:rPr>
          <w:rFonts w:ascii="Arial" w:hAnsi="Arial" w:cs="Arial"/>
          <w:color w:val="000000" w:themeColor="text1"/>
          <w:sz w:val="22"/>
          <w:szCs w:val="22"/>
        </w:rPr>
        <w:br/>
      </w:r>
      <w:r w:rsidRPr="00DA76A7">
        <w:rPr>
          <w:rFonts w:ascii="Arial" w:hAnsi="Arial" w:cs="Arial"/>
          <w:b/>
          <w:i/>
          <w:color w:val="000000" w:themeColor="text1"/>
          <w:sz w:val="22"/>
          <w:szCs w:val="22"/>
          <w:shd w:val="clear" w:color="auto" w:fill="FFFFFF"/>
        </w:rPr>
        <w:t xml:space="preserve">         Аннотация. </w:t>
      </w:r>
      <w:r w:rsidRPr="00DA76A7">
        <w:rPr>
          <w:rFonts w:ascii="Arial" w:hAnsi="Arial" w:cs="Arial"/>
          <w:i/>
          <w:color w:val="000000" w:themeColor="text1"/>
          <w:sz w:val="22"/>
          <w:szCs w:val="22"/>
          <w:shd w:val="clear" w:color="auto" w:fill="FFFFFF"/>
        </w:rPr>
        <w:t>В данной статье рассмотрены проблемы гражданско-правовой защиты имущественных интересов личности. Проанализированы новые юридические концепции и различные методы по защите имущественных интересов, так же проведен анализ на основе действующих нормативно- правовых актов. Гражданско-правовая наука и судебная практика чётко даёт понять, что проблемы мало изучены и требуют дальнейших исследований.</w:t>
      </w:r>
    </w:p>
    <w:p w:rsidR="00181BA7" w:rsidRPr="00DA76A7" w:rsidRDefault="00181BA7" w:rsidP="00181BA7">
      <w:pPr>
        <w:pStyle w:val="ParaAttribute1"/>
        <w:tabs>
          <w:tab w:val="left" w:pos="567"/>
        </w:tabs>
        <w:ind w:firstLine="567"/>
        <w:rPr>
          <w:rFonts w:ascii="Arial" w:eastAsia="Times New Roman" w:hAnsi="Arial" w:cs="Arial"/>
          <w:i/>
          <w:color w:val="000000" w:themeColor="text1"/>
          <w:sz w:val="22"/>
          <w:szCs w:val="22"/>
          <w:lang w:val="en-US"/>
        </w:rPr>
      </w:pPr>
      <w:r w:rsidRPr="00DA76A7">
        <w:rPr>
          <w:rStyle w:val="CharAttribute2"/>
          <w:rFonts w:ascii="Arial" w:eastAsia="Batang" w:hAnsi="Arial" w:cs="Arial"/>
          <w:b/>
          <w:i/>
          <w:color w:val="000000" w:themeColor="text1"/>
          <w:sz w:val="22"/>
          <w:szCs w:val="22"/>
          <w:lang w:val="en-US"/>
        </w:rPr>
        <w:t>Annotation.</w:t>
      </w:r>
      <w:r w:rsidRPr="00DA76A7">
        <w:rPr>
          <w:rStyle w:val="CharAttribute2"/>
          <w:rFonts w:ascii="Arial" w:eastAsia="Batang" w:hAnsi="Arial" w:cs="Arial"/>
          <w:i/>
          <w:color w:val="000000" w:themeColor="text1"/>
          <w:sz w:val="22"/>
          <w:szCs w:val="22"/>
          <w:lang w:val="en-US"/>
        </w:rPr>
        <w:t xml:space="preserve"> In this article, problems of civil and legal protection of property interests of an individual are considered. New legal concepts and various methods for protecting property interests have been analyzed, as well as an analysis based on the current regulatory and legal acts. Civil-law science and jurisprudence makes it clear that problems have been little studied and require further research.</w:t>
      </w:r>
    </w:p>
    <w:p w:rsidR="00181BA7" w:rsidRPr="00DA76A7" w:rsidRDefault="00181BA7" w:rsidP="00181BA7">
      <w:pPr>
        <w:tabs>
          <w:tab w:val="left" w:pos="567"/>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shd w:val="clear" w:color="auto" w:fill="FFFFFF"/>
        </w:rPr>
        <w:t xml:space="preserve">Ключевые слова: </w:t>
      </w:r>
      <w:r w:rsidRPr="00DA76A7">
        <w:rPr>
          <w:rFonts w:ascii="Arial" w:hAnsi="Arial" w:cs="Arial"/>
          <w:i/>
          <w:color w:val="000000" w:themeColor="text1"/>
          <w:sz w:val="22"/>
          <w:szCs w:val="22"/>
        </w:rPr>
        <w:t>право собственности, понятие собственности, юридические лица, физические лица, защита прав.</w:t>
      </w:r>
    </w:p>
    <w:p w:rsidR="00181BA7" w:rsidRPr="00DA76A7" w:rsidRDefault="00181BA7" w:rsidP="00181BA7">
      <w:pPr>
        <w:tabs>
          <w:tab w:val="left" w:pos="567"/>
        </w:tabs>
        <w:ind w:firstLine="567"/>
        <w:jc w:val="both"/>
        <w:rPr>
          <w:rFonts w:ascii="Arial" w:hAnsi="Arial" w:cs="Arial"/>
          <w:b/>
          <w:i/>
          <w:color w:val="000000" w:themeColor="text1"/>
          <w:sz w:val="22"/>
          <w:szCs w:val="22"/>
          <w:shd w:val="clear" w:color="auto" w:fill="FFFFFF"/>
          <w:lang w:val="en-US"/>
        </w:rPr>
      </w:pPr>
      <w:r w:rsidRPr="00DA76A7">
        <w:rPr>
          <w:rStyle w:val="CharAttribute2"/>
          <w:rFonts w:ascii="Arial" w:eastAsiaTheme="minorHAnsi" w:hAnsi="Arial" w:cs="Arial"/>
          <w:b/>
          <w:i/>
          <w:color w:val="000000" w:themeColor="text1"/>
          <w:sz w:val="22"/>
          <w:szCs w:val="22"/>
          <w:lang w:val="en-US"/>
        </w:rPr>
        <w:t>Key words:</w:t>
      </w:r>
      <w:r w:rsidRPr="00DA76A7">
        <w:rPr>
          <w:rStyle w:val="CharAttribute2"/>
          <w:rFonts w:ascii="Arial" w:eastAsiaTheme="minorHAnsi" w:hAnsi="Arial" w:cs="Arial"/>
          <w:i/>
          <w:color w:val="000000" w:themeColor="text1"/>
          <w:sz w:val="22"/>
          <w:szCs w:val="22"/>
          <w:lang w:val="en-US"/>
        </w:rPr>
        <w:t xml:space="preserve"> property right, property concept, legal entities, individuals, protection of rights.</w:t>
      </w:r>
    </w:p>
    <w:p w:rsidR="00181BA7" w:rsidRPr="00DA76A7" w:rsidRDefault="00181BA7" w:rsidP="00181BA7">
      <w:pPr>
        <w:tabs>
          <w:tab w:val="left" w:pos="567"/>
        </w:tabs>
        <w:ind w:firstLine="567"/>
        <w:jc w:val="both"/>
        <w:rPr>
          <w:rFonts w:ascii="Arial" w:hAnsi="Arial" w:cs="Arial"/>
          <w:color w:val="000000" w:themeColor="text1"/>
          <w:sz w:val="22"/>
          <w:szCs w:val="22"/>
          <w:lang w:val="en-US"/>
        </w:rPr>
      </w:pP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Переход России от коммунистического режима к рыночной экономике привел к коренным изменениям в отношении того, как понятия собственности понимаются в рамках различных экономических систем и того, как они выражаются в законодательстве. С этой целью законодательная формулировка права владение претерпело значительные изменения в результате принятия законов, которые в настоящее время регулируют эти типы правовых отношений. Эту эволюцию можно проследить с помощью ряда законодательных актов. Закон о владении СССР был первым законом, формулирующим новые подходы к праву собственности. Впоследствии федеральный закон о собственности значительно расширил и разработал подходы предыдущих законов [3]. Далее была реализация раздела основ гражданского законодательства Закона СССР и союзных республик, который применяется на территории Российской Федерации в той мере, в какой она не противоречит новым российским законам. Наконец, раздел второй был добавлен в новый Гражданский кодекс Российской Федерации 1994 года.</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течение периода развития, политические декларации и заявления, которые были, характерны для старого подхода к законотворчеству и отказались от иных норм права. Вместо этого новые юридические концепции и структуры активно внедряли, а также обсуждали о новом законодательстве. Эта новая структура также установила многообразие прав собственности, которые не ограничивались правом собственности. В федеральном законе о собственности 1990 года законодатель впервые отказался от экономических категорий форм собственности, стал более явным в правилах, принятых в качестве основополагающих принципов и права собственности, стал неотъемлемой частью более широкой концепции прав. Таким образом, современное гражданское право, концепция реальных прав и право собственности является самым важным правом, установленным в законе. По сути, эта концепция отражает четкое различие между экономическим и юридическим пониманием отношений, к которым приводит право собственности [4, 816].</w:t>
      </w:r>
    </w:p>
    <w:p w:rsidR="00181BA7" w:rsidRPr="00DA76A7" w:rsidRDefault="00181BA7" w:rsidP="00181BA7">
      <w:pPr>
        <w:tabs>
          <w:tab w:val="left" w:pos="567"/>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Собственность понимается как экономическая или фактическая взаимосвязь, подлежащая юридической формализации. В первую очередь, собственность подразумевает человеческое отношение к конкретным вещам. Такое имущество присваивается одним человеком, владельцем, за исключением всех остальных. Во-вторых, понятие собственности также включает отношение владельца к присвоенному имуществу, поскольку люди относятся к своей собственности по-разному от имущества, принадлежащего другим. Поэтому закон должен учитывать эти два важнейших аспекта собственности: отношения владельцев собственности с третьими лицами и власть владельца собственности.</w:t>
      </w:r>
    </w:p>
    <w:p w:rsidR="00181BA7" w:rsidRPr="00DA76A7" w:rsidRDefault="00181BA7" w:rsidP="00181BA7">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В то же время важно признать, что объектами собственности являются товары, которые на свободном рынке могут включать не только вещи, но и плоды работы и услуг. Такие объекты включают товары нематериальной ценности и нематериальные продукты творческой деятельности, а также </w:t>
      </w:r>
      <w:r w:rsidRPr="00DA76A7">
        <w:rPr>
          <w:rFonts w:ascii="Arial" w:hAnsi="Arial" w:cs="Arial"/>
          <w:color w:val="000000" w:themeColor="text1"/>
          <w:sz w:val="22"/>
          <w:szCs w:val="22"/>
        </w:rPr>
        <w:t>как и другие права.</w:t>
      </w:r>
    </w:p>
    <w:p w:rsidR="00181BA7" w:rsidRPr="00DA76A7" w:rsidRDefault="00181BA7" w:rsidP="00181BA7">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Гражданско-правовые отношения в этих вопросах могут включать не только реальные права, но и личные права, то есть обязательств и исключительных прав, а также патентов и товарных знаков. Другими словами, товар в экономическом смысле не всегда является объектом права собственности в законодательстве. Только индивидуально определенные вещи образуют объекты владения. Экономические отношения, возникающие в результате присвоения, происходят в различных формах в зависимости от того, субъект, который присваивает вещь, физическое лицо, группа или коллектив, государство или общество в целом. Таким образом, существуют индивидуальные, групповые, общественные и смешанные формы присвоения. Эти экономические формы присвоения традиционно называются формами собственности. Частная форма собственности, в соответствии с Конституцией Российской Федерации, представляет собой концепцию присвоения любыми частными негосударственными и непубличными лицами, отличающимися в этом смысле от государственных или коммунальных ассигнований (государственная и муниципальная или государственная собственность) [6, 704].</w:t>
      </w:r>
    </w:p>
    <w:p w:rsidR="00181BA7" w:rsidRPr="00DA76A7" w:rsidRDefault="00181BA7" w:rsidP="00181BA7">
      <w:pPr>
        <w:tabs>
          <w:tab w:val="left" w:pos="567"/>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Передача имущества в условиях рыночной экономики требует определенный подход, а в отношении товара владельцы имеют равные права отчуждения и приобретения, в отношении права собственности. Однако для обеспечения равенства всех форм собственности в юридическом смысле невозможно. Например, любое имущество, в том числе то, что выведено из коммерции, может быть в государственной собственности. Государство может приобретать такое имущество способами, которых, недоступно естественным лицам и юридическим лицам, например, посредством налогов, пошлин, конфискации, конфискации и национализации. С другой стороны, юридические лица и публичные юридические лица несут ответственность за свои долги со всеми их правами, в то время как физические лица получают определенные льготы, установленные законом [7,    784].</w:t>
      </w:r>
    </w:p>
    <w:p w:rsidR="00181BA7" w:rsidRPr="00DA76A7" w:rsidRDefault="00181BA7" w:rsidP="00181BA7">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 разделе 212 Гражданского кодекса упоминается только признание различных форм собственности равную защиту прав всех владельцев, но не равенство всех форм собственности как предусмотренных в Законе о владении СССР. Равенство частных и государственных собственников проявляется путем признания равной правоспособности. Это равенство дополнительно демонстрируется способностью частных лиц, как физических, так и юридических лиц, владеть любым имуществом, за исключением имущества, отозванного, от торговли или ограничено в торговле по закону. Такое свойство не ограничено ни количеством, ни если эти ограничения не установлены законом для общественной пользы. Кроме того, преимущества и защита, предоставляемая государственным владельцам в соответствии с прежним правовым режимом, отсутствует в новом Гражданском кодексе [8, 777].</w:t>
      </w:r>
    </w:p>
    <w:p w:rsidR="00181BA7" w:rsidRPr="00DA76A7" w:rsidRDefault="00181BA7" w:rsidP="00181BA7">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 собственности является наиболее полным правом, предоставляющим самую широкую правовую власть над имуществом. Однако право собственности - это не единственное право; существуют и другие более ограниченные реальные права. Во-первых, все реальные права формализуют отношения между человеком и вещью, предоставляя человеку возможность использовать вещь в своих интересах без участия других лиц. Во-вторых, реальные права могут быть использованы для защиты других типов прав. Например, при установлении договорных обязательств лицо, требующее права на исполнение может удовлетворить его интерес посредством какого-либо требования к недвижимости. Реальные права защищены конкретными функциями, которые они демонстрируют. Наконец, только индивидуально определенные вещи могут быть объектом реальных прав. Если конкретная вещь уничтожена или потеряна, все связанные с ней реальные права автоматически завершаются. Это отличается от закона обязательств, когда объектом является контроль над поведением должника. В случае смерти дебитора обязательство не погашается, и оно может быть передано на других лиц через механизм правопреемства.</w:t>
      </w:r>
    </w:p>
    <w:p w:rsidR="00181BA7" w:rsidRPr="00DA76A7" w:rsidRDefault="00181BA7" w:rsidP="00181BA7">
      <w:pPr>
        <w:tabs>
          <w:tab w:val="left" w:pos="3664"/>
        </w:tabs>
        <w:ind w:firstLine="567"/>
        <w:jc w:val="both"/>
        <w:rPr>
          <w:rFonts w:ascii="Arial" w:hAnsi="Arial" w:cs="Arial"/>
          <w:b/>
          <w:color w:val="000000" w:themeColor="text1"/>
          <w:sz w:val="22"/>
          <w:szCs w:val="22"/>
        </w:rPr>
      </w:pPr>
      <w:r w:rsidRPr="00DA76A7">
        <w:rPr>
          <w:rFonts w:ascii="Arial" w:hAnsi="Arial" w:cs="Arial"/>
          <w:b/>
          <w:color w:val="000000" w:themeColor="text1"/>
          <w:sz w:val="22"/>
          <w:szCs w:val="22"/>
        </w:rPr>
        <w:tab/>
      </w: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Конституция Российской Федерации. от 25.1.1993. (ред. от 21.08.2014) [Электронный ресурс]. – Режим доступа: http://www.</w:t>
      </w:r>
      <w:r w:rsidRPr="00DA76A7">
        <w:rPr>
          <w:rFonts w:ascii="Arial" w:hAnsi="Arial" w:cs="Arial"/>
          <w:color w:val="000000" w:themeColor="text1"/>
          <w:sz w:val="22"/>
          <w:szCs w:val="22"/>
          <w:lang w:val="en-US"/>
        </w:rPr>
        <w:t>constitution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 xml:space="preserve"> (дата обращения: 04.03.2018)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Гражданский кодекс Российской Федерации (часть первая) от 21.10.1994 г. № 51 ст. (ред. от 05.12.2017) [Электронный ресурс]. – Режим доступа: </w:t>
      </w:r>
      <w:r w:rsidRPr="00DA76A7">
        <w:rPr>
          <w:rFonts w:ascii="Arial" w:hAnsi="Arial" w:cs="Arial"/>
          <w:color w:val="000000" w:themeColor="text1"/>
          <w:sz w:val="22"/>
          <w:szCs w:val="22"/>
          <w:lang w:val="en-US"/>
        </w:rPr>
        <w:t>http</w:t>
      </w:r>
      <w:r w:rsidRPr="00DA76A7">
        <w:rPr>
          <w:rFonts w:ascii="Arial" w:hAnsi="Arial" w:cs="Arial"/>
          <w:color w:val="000000" w:themeColor="text1"/>
          <w:sz w:val="22"/>
          <w:szCs w:val="22"/>
        </w:rPr>
        <w:t xml:space="preserve">:// </w:t>
      </w:r>
      <w:hyperlink r:id="rId208" w:history="1">
        <w:r w:rsidRPr="00DA76A7">
          <w:rPr>
            <w:rStyle w:val="af0"/>
            <w:rFonts w:ascii="Arial" w:hAnsi="Arial" w:cs="Arial"/>
            <w:color w:val="000000" w:themeColor="text1"/>
            <w:sz w:val="22"/>
            <w:szCs w:val="22"/>
            <w:u w:val="none"/>
          </w:rPr>
          <w:t>www.consultant.</w:t>
        </w:r>
        <w:r w:rsidRPr="00DA76A7">
          <w:rPr>
            <w:rStyle w:val="af0"/>
            <w:rFonts w:ascii="Arial" w:hAnsi="Arial" w:cs="Arial"/>
            <w:color w:val="000000" w:themeColor="text1"/>
            <w:sz w:val="22"/>
            <w:szCs w:val="22"/>
            <w:u w:val="none"/>
            <w:lang w:val="en-US"/>
          </w:rPr>
          <w:t>ru</w:t>
        </w:r>
      </w:hyperlink>
      <w:r w:rsidRPr="00DA76A7">
        <w:rPr>
          <w:rFonts w:ascii="Arial" w:hAnsi="Arial" w:cs="Arial"/>
          <w:color w:val="000000" w:themeColor="text1"/>
          <w:sz w:val="22"/>
          <w:szCs w:val="22"/>
        </w:rPr>
        <w:t xml:space="preserve"> ( дата обращения:  02.03.2018)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Закон СССР «О собственности СССР» от 25.12.1990 (ред. от 25. 12.1990) [Электронный ресурс]. –  Режим доступа: </w:t>
      </w:r>
      <w:hyperlink w:history="1">
        <w:r w:rsidRPr="00DA76A7">
          <w:rPr>
            <w:rStyle w:val="af0"/>
            <w:rFonts w:ascii="Arial" w:hAnsi="Arial" w:cs="Arial"/>
            <w:color w:val="000000" w:themeColor="text1"/>
            <w:sz w:val="22"/>
            <w:szCs w:val="22"/>
            <w:u w:val="none"/>
            <w:lang w:val="en-US"/>
          </w:rPr>
          <w:t>http</w:t>
        </w:r>
        <w:r w:rsidRPr="00DA76A7">
          <w:rPr>
            <w:rStyle w:val="af0"/>
            <w:rFonts w:ascii="Arial" w:hAnsi="Arial" w:cs="Arial"/>
            <w:color w:val="000000" w:themeColor="text1"/>
            <w:sz w:val="22"/>
            <w:szCs w:val="22"/>
            <w:u w:val="none"/>
          </w:rPr>
          <w:t xml:space="preserve">:// </w:t>
        </w:r>
        <w:r w:rsidRPr="00DA76A7">
          <w:rPr>
            <w:rStyle w:val="af0"/>
            <w:rFonts w:ascii="Arial" w:hAnsi="Arial" w:cs="Arial"/>
            <w:color w:val="000000" w:themeColor="text1"/>
            <w:sz w:val="22"/>
            <w:szCs w:val="22"/>
            <w:u w:val="none"/>
            <w:lang w:val="en-US"/>
          </w:rPr>
          <w:t>www</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garant</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r w:rsidRPr="00DA76A7">
          <w:rPr>
            <w:rStyle w:val="af0"/>
            <w:rFonts w:ascii="Arial" w:hAnsi="Arial" w:cs="Arial"/>
            <w:color w:val="000000" w:themeColor="text1"/>
            <w:sz w:val="22"/>
            <w:szCs w:val="22"/>
            <w:u w:val="none"/>
          </w:rPr>
          <w:t xml:space="preserve"> (дата</w:t>
        </w:r>
      </w:hyperlink>
      <w:r w:rsidRPr="00DA76A7">
        <w:rPr>
          <w:rFonts w:ascii="Arial" w:hAnsi="Arial" w:cs="Arial"/>
          <w:color w:val="000000" w:themeColor="text1"/>
          <w:sz w:val="22"/>
          <w:szCs w:val="22"/>
        </w:rPr>
        <w:t xml:space="preserve"> обращения: 07.03.2018)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Гамбаров Ю.С. Гражданское право: учебное пособие: общая часть. - М.: Зерцало,  2001. -  816 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Гражданское право: учебник: в 2 ч. / под ред. А.Г. Калпина, А.И. Масляева. -  М.: Юристъ, 1997. -  Ч. 1. -  472 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Гражданское право: учебник: в 2 Т. / отв. ред. Е.А. Суханов. -  М.: Бек,  2000.-  Т. 2. 704 с.</w:t>
      </w:r>
      <w:r w:rsidRPr="00DA76A7">
        <w:rPr>
          <w:rFonts w:ascii="Arial" w:hAnsi="Arial" w:cs="Arial"/>
          <w:color w:val="000000" w:themeColor="text1"/>
          <w:sz w:val="22"/>
          <w:szCs w:val="22"/>
        </w:rPr>
        <w:tab/>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Гражданское право: учебник. в 3 ч. / под ред. А.П. Сергеева, Ю.К. Толстого. -  М.: Проспект, 2000. - Ч. 1. - 784 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Гражданское право: учебник: в 4 т. /отв. ред. Е.А. Суханов. -  М.: Волтерс Клувер,    2006. - Т.4. -  777 с.</w:t>
      </w:r>
    </w:p>
    <w:p w:rsidR="00181BA7" w:rsidRPr="00DA76A7" w:rsidRDefault="00181BA7"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pStyle w:val="a4"/>
        <w:ind w:firstLine="567"/>
        <w:jc w:val="center"/>
        <w:rPr>
          <w:rFonts w:ascii="Arial" w:hAnsi="Arial" w:cs="Arial"/>
          <w:b/>
          <w:color w:val="000000" w:themeColor="text1"/>
          <w:sz w:val="22"/>
          <w:szCs w:val="22"/>
        </w:rPr>
      </w:pPr>
    </w:p>
    <w:p w:rsidR="00181BA7" w:rsidRPr="00DA76A7" w:rsidRDefault="00181BA7" w:rsidP="00181BA7">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К ВОПРОСУ О ПРИНАДЛЕЖНОСТИ ДЕНЕЖНОЙ СУММЫ, ПЕРЕДАННОЙ В КАЧЕСТВЕ ОБЕСПЕЧИТЕЛЬНОГО ПЛАТЕЖА</w:t>
      </w:r>
    </w:p>
    <w:p w:rsidR="00181BA7" w:rsidRPr="00DA76A7" w:rsidRDefault="00181BA7" w:rsidP="00181BA7">
      <w:pPr>
        <w:pStyle w:val="a4"/>
        <w:rPr>
          <w:rFonts w:ascii="Arial" w:hAnsi="Arial" w:cs="Arial"/>
          <w:b/>
          <w:color w:val="000000" w:themeColor="text1"/>
          <w:sz w:val="22"/>
          <w:szCs w:val="22"/>
        </w:rPr>
      </w:pPr>
    </w:p>
    <w:p w:rsidR="00181BA7" w:rsidRPr="00DA76A7" w:rsidRDefault="00181BA7" w:rsidP="00181BA7">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Королькова Алина Александровна</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Пермский государственный национальный исследовательский университет</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614016, Пермский край, г. Пермь, ул. Краснофлотская, 11</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тел.: 982-494-67-89,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alina</w:t>
      </w:r>
      <w:r w:rsidRPr="00DA76A7">
        <w:rPr>
          <w:rFonts w:ascii="Arial" w:hAnsi="Arial" w:cs="Arial"/>
          <w:color w:val="000000" w:themeColor="text1"/>
          <w:sz w:val="22"/>
          <w:szCs w:val="22"/>
        </w:rPr>
        <w:t>_</w:t>
      </w:r>
      <w:r w:rsidRPr="00DA76A7">
        <w:rPr>
          <w:rFonts w:ascii="Arial" w:hAnsi="Arial" w:cs="Arial"/>
          <w:color w:val="000000" w:themeColor="text1"/>
          <w:sz w:val="22"/>
          <w:szCs w:val="22"/>
          <w:lang w:val="en-US"/>
        </w:rPr>
        <w:t>aleksandrovna</w:t>
      </w:r>
      <w:r w:rsidRPr="00DA76A7">
        <w:rPr>
          <w:rFonts w:ascii="Arial" w:hAnsi="Arial" w:cs="Arial"/>
          <w:color w:val="000000" w:themeColor="text1"/>
          <w:sz w:val="22"/>
          <w:szCs w:val="22"/>
        </w:rPr>
        <w:t>94@</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pStyle w:val="a4"/>
        <w:jc w:val="center"/>
        <w:rPr>
          <w:rFonts w:ascii="Arial" w:hAnsi="Arial" w:cs="Arial"/>
          <w:b/>
          <w:color w:val="000000" w:themeColor="text1"/>
          <w:sz w:val="22"/>
          <w:szCs w:val="22"/>
        </w:rPr>
      </w:pPr>
    </w:p>
    <w:p w:rsidR="00181BA7" w:rsidRPr="00DA76A7" w:rsidRDefault="00181BA7" w:rsidP="00181BA7">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ON THE QUESTION OF THE ACCESS TO THE MONETARY AMOUNT THAT IS A SECURITY DEPOSIT</w:t>
      </w:r>
    </w:p>
    <w:p w:rsidR="00181BA7" w:rsidRPr="00DA76A7" w:rsidRDefault="00181BA7" w:rsidP="00181BA7">
      <w:pPr>
        <w:pStyle w:val="a4"/>
        <w:jc w:val="center"/>
        <w:rPr>
          <w:rFonts w:ascii="Arial" w:hAnsi="Arial" w:cs="Arial"/>
          <w:b/>
          <w:color w:val="000000" w:themeColor="text1"/>
          <w:sz w:val="22"/>
          <w:szCs w:val="22"/>
          <w:lang w:val="en-US"/>
        </w:rPr>
      </w:pPr>
    </w:p>
    <w:p w:rsidR="00181BA7" w:rsidRPr="00DA76A7" w:rsidRDefault="00181BA7" w:rsidP="00181BA7">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Korolkova Alina Aleksandrovna</w:t>
      </w:r>
    </w:p>
    <w:p w:rsidR="00181BA7" w:rsidRPr="00DA76A7" w:rsidRDefault="00181BA7" w:rsidP="00181BA7">
      <w:pPr>
        <w:pStyle w:val="a9"/>
        <w:tabs>
          <w:tab w:val="left" w:pos="4380"/>
        </w:tabs>
        <w:ind w:firstLine="0"/>
        <w:jc w:val="center"/>
        <w:rPr>
          <w:rFonts w:ascii="Arial" w:hAnsi="Arial" w:cs="Arial"/>
          <w:color w:val="000000" w:themeColor="text1"/>
        </w:rPr>
      </w:pPr>
      <w:r w:rsidRPr="00DA76A7">
        <w:rPr>
          <w:rFonts w:ascii="Arial" w:hAnsi="Arial" w:cs="Arial"/>
          <w:color w:val="000000" w:themeColor="text1"/>
        </w:rPr>
        <w:t>undergraduate 2nd year students of full-time department of the law faculty</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Perm State University</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614016, Perm, st. Krasnoflotskaya, 11</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982-494-67-89, e-mail: alina_aleksandrovna94@mail.ru</w:t>
      </w:r>
    </w:p>
    <w:p w:rsidR="00181BA7" w:rsidRPr="00DA76A7" w:rsidRDefault="00181BA7" w:rsidP="00181BA7">
      <w:pPr>
        <w:pStyle w:val="a4"/>
        <w:ind w:firstLine="567"/>
        <w:rPr>
          <w:rFonts w:ascii="Arial" w:hAnsi="Arial" w:cs="Arial"/>
          <w:color w:val="000000" w:themeColor="text1"/>
          <w:sz w:val="22"/>
          <w:szCs w:val="22"/>
          <w:lang w:val="en-US"/>
        </w:rPr>
      </w:pPr>
    </w:p>
    <w:p w:rsidR="00181BA7" w:rsidRPr="00DA76A7" w:rsidRDefault="00181BA7" w:rsidP="00181BA7">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рассматривается вопрос о том, на каком праве сумма обеспечительного платежа находится у лица, его получившего. В доктрине гражданского права нет единообразного подхода к тому, передается ли обеспечительный платеж в собственность кредитору или право собственности на него остается у должника, а кредитор лишь наделяется правом владения и пользования суммой платежа. Анализируется проблема возврата денежных сумм, переданных в качестве обеспечительного платежа, в случае возбуждения дела о банкротстве лица, получившего обеспечение.</w:t>
      </w:r>
    </w:p>
    <w:p w:rsidR="00181BA7" w:rsidRPr="00DA76A7" w:rsidRDefault="00181BA7" w:rsidP="00181BA7">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the article viewed a position on which right the security deposit is with the person who received it. In the science of civil law, there is no way to whether a security deposit is transferred to the creditor's property or the debtor‘s ownership of it, and the creditor is only given the right to tenure and use the monetary amount. The problem of repayment  security deposit of bankruptcy of the person who received it are analyzing in this article.</w:t>
      </w:r>
    </w:p>
    <w:p w:rsidR="00181BA7" w:rsidRPr="00DA76A7" w:rsidRDefault="00181BA7" w:rsidP="00181BA7">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способ обеспечения исполнения обязательств;</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обеспечительный платеж; право собственности; право владения</w:t>
      </w:r>
    </w:p>
    <w:p w:rsidR="00181BA7" w:rsidRPr="00DA76A7" w:rsidRDefault="00181BA7" w:rsidP="00181BA7">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way to enforce obligations; security deposit; ownership; tenure</w:t>
      </w:r>
    </w:p>
    <w:p w:rsidR="00181BA7" w:rsidRPr="00DA76A7" w:rsidRDefault="00181BA7" w:rsidP="00181BA7">
      <w:pPr>
        <w:pStyle w:val="a4"/>
        <w:ind w:firstLine="567"/>
        <w:jc w:val="both"/>
        <w:rPr>
          <w:rFonts w:ascii="Arial" w:hAnsi="Arial" w:cs="Arial"/>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главу 23 Гражданского кодекса Российской Федерации (далее – ГК РФ), которая регламентирует вопросы обеспечения исполнения обязательств, Федеральным законом от 8 марта 2015 года № 42-ФЗ были внесены существенные изменения, вступившие в силу с 1 июня 2015 года. Так, в данной главе появился новый параграф 8, который впервые законодательно закрепил в числе поименованных способов обеспечения исполнения обязательств такой известный практике способ обеспечения как обеспечительный платеж [3].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 п. 1 ст. 381.1 ГК РФ под обеспечительным платежом необходимо понимать определенную денежную сумму, вносимую по соглашению сторон одной стороной в пользу другой стороны, с целью обеспечения денежного обязательства, в том числе обязанности возместить убытки или уплатить неустойку в случае нарушения договора, и обязательства, возникшего по основаниям, предусмотренным пунктом 2 статьи 1062 ГК РФ. Обеспечительным платежом может быть обеспечено обязательство, которое возникнет в будущем [1].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наш взгляд, законодательное признание конструкции обеспечительного платежа является актуальным и своевременным, оно соответствует идеологии гражданско-правового регулирования в части укрепления защиты интересов участников обязательственных правоотношений. Кроме того, легализация положений об обеспечительном платеже в цивилистической науке уже справедливо названа «одной из наиболее прогрессивных новелл» гражданского законодательства [10, 48].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Стоит отметить, что до вступления в силу вышеуказанного федерального закона обеспечительный платеж широко применялся на практике как непоименованный способ обеспечения исполнения обязательств. Так, контрагенты заключали соглашение о применении обеспечительного платежа на основании п. 1 ст. 329 ГК РФ как «другого способа, предусмотренного законом или договором».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момента законодательного закрепления обеспечительного платежа в числе самостоятельных способов обеспечения исполнения обязательств, на практике он применяется контрагентами наравне с иными способами. Однако ряд принципиальных вопросов об обеспечительном платеже до сих пор не получил должного рассмотрения в гражданско-правовой доктрине.  Более того, недостаточность существующей нормативной базы, регулирующей этот способ обеспечения обязательств, порождает неединообразную и противоречивую судебную практику рассмотрения соответствующих споров.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рамках настоящей статьи интересным представляется рассмотреть вопрос о том, на каком праве кредитор получает от должника обеспечительный платеж. Важно сказать, что в доктрине гражданского права нет единообразного подхода к тому, передается ли обеспечительный платеж в собственность кредитору или право собственности на него остается у должника, а кредитор лишь наделяется правом владения и пользования суммой платежа.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вышеуказанную проблему обращает внимание А.В. Степанченко, который отмечает, что «ст. 381.1 ГК РФ прямо не содержит указания, передаются ли денежные суммы одной стороной по соглашению другой стороне в собственность - отчуждаются и приобретаются либо денежные суммы депонируются - передаются «на хранение», отчуждение/приобретение денежной суммы не происходит, денежная сумма, переданная в обеспечение, будет считаться принадлежащей стороне, ее передавшей» [9, 103].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цивилистической доктрине существует две диаметрально противоположные точки зрения относительно принадлежности денежных сумм, передаваемых в качестве обеспечительного платежа. Так, А.В. Степанченко полагает, что «денежная сумма, передаваемая в качестве обеспечительного платежа, поступает фактически в собственность стороны, в пользу которой сделано обеспечение» [9, 104]. Апологет обосновывает свою позицию тем, что денежная сумма, уплачиваемая должником в качестве обеспечения обязательства, либо передается из рук в руки в случае использования наличных денежных средств, либо перечисляется на счет в безналичной форме, поскольку закон не предусматривает использование каких-либо специальных банковских счетов или депозита нотариуса.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Развивая далее эту мысль, А.В. Степанченко утверждает, что при передаче наличных денег из рук в руки или перечислении денежных сумм на счет кредитора, такая денежная сумма смешивается с денежными средствами кредитора и у должника есть только право потребовать возврата денежных сумм в случае ненаступления обеспеченного денежного обязательства либо прекращения обеспеченного обязательства [9, 104].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Более того, по мнению вышеуказанного автора, о том, что денежная сумма поступает в собственность кредитора, также свидетельствует то обстоятельство, что при возникновении обеспеченного обязательства у кредитора возникает право на зачет требования по данному обязательству на встречное требование должника о его возврате, то есть фактически кредитор имеет право на распоряжение переданной ему денежной суммой [9, 104].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А.В. Степанченко в подтверждение своей позиции замечает, что в соглашении сторон может быть предусмотрено, что обеспечительный платеж возврату не подлежит и остается у лица, его получившего, что свидетельствует о праве собственности кредитора на сумму обеспечительного платежа [9, 104].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Вслед за ним, К.А. Новиков пишет, что заменимые вещи, передаваемые в обеспечение исполнения обязательства, после их передачи смешиваются с однородными вещами кредитора, в данном случае деньгами, и поступают в собственность последнего, в свою очередь, кредитор несет обязанность по возврату не тех же самых, а таких же вещей [11, 146].</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противовес указанной позиции, В.В. Акинфиева полагает, что денежные средства, передаваемые в счет обеспечительного платежа, поступают кредитору во владение, а не в собственность. Свою точку зрения автор аргументирует следующим: факт смешения денежных средств, представляющих обеспечительный платеж, не может свидетельствовать о том, что обеспечительный платеж поступает именно в собственность кредитора, поскольку такой факт объясняется исключительно природой денежных средств [8, 53].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В.В. Акинфиева небезосновательно полагает, что вызывает возражение аргумент А.В. Степанченко о том, что обеспечительный платеж остается у стороны, его получившей [8, 53]. Так, на наш взгляд одним из основных признаков обеспечительного платежа является его возвратность внесшей стороне, поскольку исходя из п. 2 ст. 381.1 ГК РФ, обеспечительный платеж в случае ненаступления в предусмотренный договором срок обстоятельств, в соответствии с которыми он мог бы быть засчитан в счет соответствующих обязательств, или прекращения обеспеченного обязательства, такой платеж подлежит возврату.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можно выделить два основания, в соответствии с которыми обеспечительный платеж подлежит возврату стороне, его внесшей: 1) если в предусмотренный договором срок, не наступят обстоятельства, необходимые для того, чтобы кредитор мог засчитать обеспечительный платеж в счет исполнения соответствующего обязательства; 2) если прекратится основное обязательство. Однако, в случае наступления обстоятельств, которые стороны предусмотрели в договоре, сумма обеспечительного платежа может засчитываться в счет исполнения соответствующего обязательства. Так, стороны могут установить, что обеспечительный платеж будет засчитан в оплату продукции за последние периоды, если основной объем изделий передан либо выполнена большая часть работ либо оказана большая часть услуг. Кроме того, стороны могут предусмотреть применение рассматриваемого инструмента и в арендном соглашении, в таком случае сумма обеспечительного платежа может быть засчитана в счет арендного платежа за последний месяц аренды и др.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Более того, сумма обеспечительного платежа не подлежит возврату в случае неисполнения или ненадлежащего исполнения должником своих обязательств.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подтверждение своей позиции В.В. Акинфиева утверждает, что и анализ судебно-арбитражной практики в большинстве случаев свидетельствует о возврате обеспечительного платежа после прекращения обязательства, хотя возможность его зачета также не отрицается [8, 53]. На наш взгляд, нельзя не согласиться с данным утверждением. Приведем пример из судебной практики.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ООО «Меридиан 2014» обратилось в Арбитражный суд Свердловской области с иском о взыскании с общества «База на Артинской» неосновательного обогащения и процентов по ст. 395 ГК РФ.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Суд установил, что между истцом (арендатор) и ответчиком (арендодатель) был заключен договор аренды, по условиям которого арендодатель обязуется предоставить арендатору за плату во временное владение и пользование нежилое помещение с офисными помещениями для использования под размещение склада и офиса. В соответствии с условиями договора арендатор в качестве обеспечения исполнения своих обязательств по договору уплатил арендодателю обеспечительный платеж. Обеспечительный платеж подлежит возврату арендатору при окончании срока (либо при досрочном расторжении) заключенного договора в той сумме, которая осталась после произведенных удержаний.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установлено, что договор аренды был расторгнут, арендованные помещения возвращены истцом ответчику по соответствующему акту, обеспечительный платеж арендодателем возвращен не был.</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Суд пришел к выводу, что договор аренды между сторонами расторгнут, арендная плата за весь период пользования спорным имуществом истцом внесена в полном объеме, обеспечительный платеж подлежит возврату истцу; заявленные ответчиком возражения в части зачета обеспечительного платежа в счет необходимости проведения ремонтных работ судом отклонены [7].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судебная практика подтверждает, что по общему правилу сумма обеспечительного платежа подлежит возврату при надлежащем исполнении обеспеченного обязательства, если иное не предусмотрено соглашением сторон.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обоснование своей точки зрения относительно того, что денежные средства, передаваемые в счет обеспечительного платежа, поступают кредитору во владение, а не в собственность,  В.В. Акинфиева верно замечает, что обеспечительный платеж не облагается налогом на добавленную стоимость в момент поступления денежных средств кредитору, не облагается налогом на прибыль, то есть фактически не учитывается как денежные средства собственно кредитора [8, 54].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Действительно, на основании Письма Министерства финансов РФ обеспечительный платеж и залог, являясь способами обеспечения исполнения обязательств, имеют общую правовую основу, в этой связи к обеспечительному платежу могут быть применены положения пп. 2 п. 1 ст. 251 НК РФ, при этом на основании п. 32 ст. 270 указанного кодекса при определении налоговой базы не учитываются расходы в виде имущества или имущественных прав, переданных в качестве задатка, залога [4]. Таким образом, можно сделать вывод, что обеспечительный платеж не включается ни в доходы лица, его получившего, ни в расходы лица, предоставившего такое обеспечение.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Проанализировав нормы зарубежного гражданского права, отметим, что конструкция обеспечительного платежа наиболее широкое распространение получила в законодательных актах США. Такой способ обеспечения исполнения обязательств там называется обеспечительный депозит (security deposit). Обеспечительный депозит по современному американскому праву чаще всего обеспечивает именно обязательства, следующие из договоров аренды. В связи с повсеместным применением обеспечительного депозита как способа обеспечения интересов арендодателя в арендных правоотношениях многие штаты США приняли законы, которые специально регулируют вопросы применения обеспечительного платежа в такого рода договорах.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Существенное значение в рамках данной статьи имеет § 44-7-31 Кодекса Джорджии, в котором установлено, что обеспечительный депозит депонируется кредитором на специальном счете, открытом только для этой цели в любом банке или кредитном учреждении, подлежащем регулированию этим штатом или любым органом правительства Соединенных Штатов. Обеспечительный депозит может удерживаться в доверительном управлении [5].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подобное требование закреплено и в иных законах, например, в Статуте Канзаса установлено, что все обеспечительные депозиты удерживаются арендодателем для арендатора в банке, кредитной организации или ассоциации ссуд и займов, которая застрахована агентством федерального правительства. Обеспечительные депозиты не должны смешиваться с личными средствами арендодателя [6].</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 законодательстве США прямо предусмотрено, что право собственности на денежную сумму, передаваемую в качестве обеспечительного платежа, сохраняется за лицом, ее передавшим. В свою очередь, лицо, получившее обеспечительный платеж, приобретает на него право владения, в связи с этим, сумма обеспечительного платежа не может быть смешана с личными средствами лица, ее получившего, поэтому такая сумма хранится на отдельном банковском счете.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Немаловажным вопросом, непосредственно связанным с решением вопроса о том, переходит ли обеспечительный платеж в собственность или во владение кредитора, является вопрос возврата сумм обеспечительного платежа. Однако действующее гражданское законодательство не содержит механизма, который бы гарантировал сохранность денежных сумм, переданных в качестве обеспечительного платежа. Еще больший интерес вызывает проблема возврата обеспечительного платежа в случае возбуждения дела о банкротстве лица, получившего обеспечение. Важно установить будет ли требование должника о возврате обеспечительного платежа текущим, реестровым или требованием вне реестра, например, как требование о взыскании с кредитора неосновательного обогащения в виде суммы обеспечительного платежа.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решении вышеуказанной проблемы большое значение имеет то, на каком праве сумма обеспечительного платежа находится у кредитора: на праве собственности либо на праве владения. Так, как нами указывалось ранее, А.В. Степанченко, придерживаясь позиции, что обеспечительный платеж поступает кредитору в собственность, отмечает, что требование должника о возврате обеспечительного платежа, в случае банкротства кредитора, не может рассматриваться как требование внереестровое о возврате имущества лица, предоставившего платеж. Такое требование о возврате обеспечительного платежа в зависимости от момента возникновения обязанности возвратить обеспечительный платеж может быть либо текущим, либо реестровым [9, 106].</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со ст. 5 ФЗ «О несостоятельности (банкротстве)» под текущими платежами понимаются денежные обязательства, требования о выплате выходных пособий и (или) об оплате труда лиц, работающих или работавших по трудовому договору, и обязательные платежи, возникшие после даты принятия заявления о признании должника банкротом. Возникшие после возбуждения производства по делу о банкротстве требования кредитора об оплате поставленных товаров, оказанных услуг и выполненных работ являются текущими. Требования по текущим платежам не подлежат включению в реестр требований кредиторов [2].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Кроме того, А.В. Степанченко полагает, что из смысла положений ГК РФ, регулирующих вопросы обеспечительного платежа, следует, что условие об обеспечительном платеже и его возврате включается в текст основного договора, денежное обязательство по которому обеспечивается обеспечительным платежом, однако законом не исключается и заключение отдельного соглашения. В связи с этим, если договор об обеспечительном платеже или иной договор с таким условием был заключен до возбуждения дела о банкротстве кредитора и основание для возврата обеспечительного платежа также возникло до возбуждения дела о банкротстве, то такое требование о его возврате подлежит включению в реестр требований кредиторов должника - лица, получившего такой платеж [9, 107].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ученого наиболее сложным представляется решить вопрос о том, будет ли реестровым или текущим требование лица, предоставившего обеспечительный платеж о его возврате, когда право требовать возврата платежа возникло после возбуждения дела о банкротстве, а само соглашение об обеспечительном платеже было заключено до возбуждения дела о банкротстве кредитора. Представляется, что для этого необходимо определить, когда возникает обязательство лица, получившего обеспечительный платеж, его вернуть: либо с даты заключения соответствующего соглашения, либо с даты, когда возникнет основание для возврата, например, право его потребовать. Так, по мнению А.В. Степанченко  обязательство лица, получившего обеспечительный платеж, его возвратить следует считать возникшим с даты заключения соглашения об обеспечительном платеже. При наступлении соответствующих оснований у лица, предоставившего обеспечение, возникает право потребовать его возврата.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мы с долей вероятности можем утверждать, что наиболее правильной является точка зрения, что сумма обеспечительного платежа поступает не в собственность лица, ее получившего, а во владение, поэтому относить требование должника о возврате обеспечительного платежа к текущим или реестровым требованиям представляется неверным.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вышеизложенной позиции, по нашему мнению, денежная сумма, переданная должником кредитору с целью обеспечения исполнения обязательств по договору, должна быть депонирована на специальном счете кредитора отдельно от остальных, принадлежащих ему на праве собственности денег, подобно тому, как это урегулировано в зарубежном праве.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Резюмируя вышеизложенное, отметим, что решение вопроса о том на каком праве денежная сумма, переданная лицом в качестве обеспечения обязательств в виде обеспечительного платежа, имеет большое значение как для доктрины, так и для правоприменительной практики. Более того, указанная проблема не находит свое решение в действующем гражданском законодательстве.  Полагаем, что обеспечительный платеж, переданный должником кредитору с целью обеспечения своих обязательств по договору, поступает во владение кредитора не на праве собственности, в этой связи он должен храниться кредитором на отдельном счете и не смешиваться с его личными деньгами. В таком случае при исполнении должником своих обязательств по договору перед кредитором, а также в случае ненаступления в предусмотренный договором срок обстоятельств, указанных в п. 1 ст. 381.1 ГК РФ, или прекращения обеспеченного обязательства, обеспечительный платеж подлежит возврату должнику и данное требование не подлежит включению в реестр требований кредиторов. Более того, в таком случае должник вправе предъявить иск в суд с требованием о взыскании с лица, получившего обеспечительный платеж, неосновательного обогащения в виде сумм обеспечительного платежа.</w:t>
      </w:r>
    </w:p>
    <w:p w:rsidR="00181BA7" w:rsidRPr="00DA76A7" w:rsidRDefault="00181BA7" w:rsidP="00181BA7">
      <w:pPr>
        <w:pStyle w:val="a4"/>
        <w:tabs>
          <w:tab w:val="left" w:pos="285"/>
        </w:tabs>
        <w:ind w:firstLine="567"/>
        <w:rPr>
          <w:rFonts w:ascii="Arial" w:hAnsi="Arial" w:cs="Arial"/>
          <w:b/>
          <w:color w:val="000000" w:themeColor="text1"/>
          <w:sz w:val="22"/>
          <w:szCs w:val="22"/>
        </w:rPr>
      </w:pPr>
      <w:r w:rsidRPr="00DA76A7">
        <w:rPr>
          <w:rFonts w:ascii="Arial" w:hAnsi="Arial" w:cs="Arial"/>
          <w:b/>
          <w:color w:val="000000" w:themeColor="text1"/>
          <w:sz w:val="22"/>
          <w:szCs w:val="22"/>
        </w:rPr>
        <w:tab/>
      </w:r>
      <w:r w:rsidRPr="00DA76A7">
        <w:rPr>
          <w:rFonts w:ascii="Arial" w:hAnsi="Arial" w:cs="Arial"/>
          <w:b/>
          <w:color w:val="000000" w:themeColor="text1"/>
          <w:sz w:val="22"/>
          <w:szCs w:val="22"/>
        </w:rPr>
        <w:tab/>
      </w:r>
    </w:p>
    <w:p w:rsidR="00181BA7" w:rsidRPr="00DA76A7" w:rsidRDefault="00181BA7" w:rsidP="00181BA7">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Гражданский кодекс Российской Федерации (часть первая): Федеральный закон РФ от 30.11.1994 № 51-ФЗ  (ред. 29.07.2017) // СЗ РФ. 05.12.1994. № 32. Ст. 3301.</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О несостоятельности (банкротстве): Федеральный закон от 26.10.2002 № 127-ФЗ (ред. от 25.11.2017) // СЗ РФ. 2002. № 43. Ст. 4190.</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w:t>
      </w:r>
      <w:r w:rsidRPr="00DA76A7">
        <w:rPr>
          <w:rFonts w:ascii="Arial" w:hAnsi="Arial" w:cs="Arial"/>
          <w:color w:val="000000" w:themeColor="text1"/>
          <w:sz w:val="22"/>
          <w:szCs w:val="22"/>
        </w:rPr>
        <w:tab/>
        <w:t>О внесении изменений в часть первую Гражданского кодекса Российской Федерации: Федеральный закон РФ от 08.03.2015 № 42-ФЗ. [Электронный ресурс] // Официальный интернет-портал правовой информации. – Режим доступа: http://www.pravo.gov.ru (дата обращения: 19.03.2018).</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Письмо Министерства финансов Российской Федерации от 24.03.2017 № 03-03-07/17197 [Электронный ресурс] // Режим доступа: http://www.minfin.ru/ru/ (дата обращения: 19.03.2018).</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Georgia Code  [Электронный ресурс]. // Режим доступа: https://law.justia.com/codes/georgia/ (дата обращения: 20.03.2018).</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Kansas Statutes [Электронный ресурс]. // Режим доступа: https://law.justia.com/codes/kansas/ (дата обращения: 20.03.2018).</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Постановление Семнадцатого арбитражного апелляционного суда от 25.08.2017 № 17АП-10735/2017-ГК по делу № А60-60614/2016 // [Электронный ресурс]. Доступ из СПС «КонсультантПлюс» (дата обращения: 19.03.2018).</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Акинфиева В.В. Обеспечительный платеж как способ обеспечения обязательств в российском гражданском праве: дисс. … канд. юрид. наук. - Пермь, 2017. – 201 с.</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9. Бандо М.В., Брюхов Р.Б., Валеева Н.Г. и др. Частное право. Преодолевая испытания: К 60-летию Б. М. Гонгало. – М.: Статут, 2016. – 256 с.</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10. Голубцов В.Г. Обеспечительный платеж в системе способов обеспечения гражданско-правовых обязательств // Законность и правопорядок в современном обществе. –2016. – № 29. – С. 47-52.</w:t>
      </w:r>
    </w:p>
    <w:p w:rsidR="00181BA7" w:rsidRPr="00DA76A7" w:rsidRDefault="00181BA7" w:rsidP="00181BA7">
      <w:pPr>
        <w:pStyle w:val="a4"/>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11. Новиков К.А. Обеспечительный платеж как способ обеспечения исполнения обязательств // Вестник экономического правосудия. – 2016. – № 1. – С. 145-149.</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pStyle w:val="Standard"/>
        <w:ind w:firstLine="567"/>
        <w:jc w:val="center"/>
        <w:rPr>
          <w:rFonts w:ascii="Arial" w:hAnsi="Arial" w:cs="Arial"/>
          <w:b/>
          <w:bCs/>
          <w:color w:val="000000" w:themeColor="text1"/>
          <w:sz w:val="22"/>
          <w:szCs w:val="22"/>
          <w:lang w:val="ru-RU"/>
        </w:rPr>
      </w:pPr>
    </w:p>
    <w:p w:rsidR="00181BA7" w:rsidRPr="00DA76A7" w:rsidRDefault="00181BA7" w:rsidP="00181BA7">
      <w:pPr>
        <w:pStyle w:val="Standard"/>
        <w:jc w:val="center"/>
        <w:rPr>
          <w:rFonts w:ascii="Arial" w:hAnsi="Arial" w:cs="Arial"/>
          <w:b/>
          <w:bCs/>
          <w:color w:val="000000" w:themeColor="text1"/>
          <w:sz w:val="22"/>
          <w:szCs w:val="22"/>
          <w:lang w:val="ru-RU"/>
        </w:rPr>
      </w:pPr>
      <w:r w:rsidRPr="00DA76A7">
        <w:rPr>
          <w:rFonts w:ascii="Arial" w:hAnsi="Arial" w:cs="Arial"/>
          <w:b/>
          <w:bCs/>
          <w:color w:val="000000" w:themeColor="text1"/>
          <w:sz w:val="22"/>
          <w:szCs w:val="22"/>
          <w:lang w:val="ru-RU"/>
        </w:rPr>
        <w:t>СОВРЕМЕННЫЕ ПРОБЛЕМЫ ЗЛОУПОТРЕБЛЕНИЯ ПРАВОМ: СЛОЖНОСТЬ ПРИМЕНЕНИЯ В ТЕОРИИ И ПРАВОПРИМЕНИТЕЛЬНОЙ ПРАКТИКЕ</w:t>
      </w:r>
    </w:p>
    <w:p w:rsidR="00181BA7" w:rsidRPr="00DA76A7" w:rsidRDefault="00181BA7" w:rsidP="00181BA7">
      <w:pPr>
        <w:pStyle w:val="Standard"/>
        <w:jc w:val="center"/>
        <w:rPr>
          <w:rFonts w:ascii="Arial" w:hAnsi="Arial" w:cs="Arial"/>
          <w:b/>
          <w:bCs/>
          <w:color w:val="000000" w:themeColor="text1"/>
          <w:sz w:val="22"/>
          <w:szCs w:val="22"/>
          <w:lang w:val="ru-RU"/>
        </w:rPr>
      </w:pPr>
    </w:p>
    <w:p w:rsidR="00181BA7" w:rsidRPr="00DA76A7" w:rsidRDefault="00181BA7" w:rsidP="00181BA7">
      <w:pPr>
        <w:pStyle w:val="Standard"/>
        <w:jc w:val="center"/>
        <w:rPr>
          <w:rFonts w:ascii="Arial" w:hAnsi="Arial" w:cs="Arial"/>
          <w:b/>
          <w:bCs/>
          <w:iCs/>
          <w:color w:val="000000" w:themeColor="text1"/>
          <w:sz w:val="22"/>
          <w:szCs w:val="22"/>
          <w:lang w:val="ru-RU"/>
        </w:rPr>
      </w:pPr>
      <w:r w:rsidRPr="00DA76A7">
        <w:rPr>
          <w:rFonts w:ascii="Arial" w:hAnsi="Arial" w:cs="Arial"/>
          <w:b/>
          <w:bCs/>
          <w:iCs/>
          <w:color w:val="000000" w:themeColor="text1"/>
          <w:sz w:val="22"/>
          <w:szCs w:val="22"/>
          <w:lang w:val="ru-RU"/>
        </w:rPr>
        <w:t>Кочура Анастасия Сергеевна</w:t>
      </w:r>
    </w:p>
    <w:p w:rsidR="00181BA7" w:rsidRPr="00DA76A7" w:rsidRDefault="00181BA7" w:rsidP="00181BA7">
      <w:pPr>
        <w:pStyle w:val="Standard"/>
        <w:jc w:val="center"/>
        <w:rPr>
          <w:rFonts w:ascii="Arial" w:hAnsi="Arial" w:cs="Arial"/>
          <w:color w:val="000000" w:themeColor="text1"/>
          <w:sz w:val="22"/>
          <w:szCs w:val="22"/>
          <w:lang w:val="ru-RU"/>
        </w:rPr>
      </w:pPr>
      <w:r w:rsidRPr="00DA76A7">
        <w:rPr>
          <w:rFonts w:ascii="Arial" w:hAnsi="Arial" w:cs="Arial"/>
          <w:color w:val="000000" w:themeColor="text1"/>
          <w:sz w:val="22"/>
          <w:szCs w:val="22"/>
          <w:lang w:val="ru-RU"/>
        </w:rPr>
        <w:t>магистрант 1-го года обучения очного отделения юридического факультета</w:t>
      </w:r>
    </w:p>
    <w:p w:rsidR="00181BA7" w:rsidRPr="00DA76A7" w:rsidRDefault="00181BA7" w:rsidP="00181BA7">
      <w:pPr>
        <w:pStyle w:val="Standard"/>
        <w:jc w:val="center"/>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Частное образовательное учреждение Южный институт менеджмента </w:t>
      </w:r>
    </w:p>
    <w:p w:rsidR="00181BA7" w:rsidRPr="00DA76A7" w:rsidRDefault="00181BA7" w:rsidP="00181BA7">
      <w:pPr>
        <w:pStyle w:val="Standard"/>
        <w:jc w:val="center"/>
        <w:rPr>
          <w:rFonts w:ascii="Arial" w:hAnsi="Arial" w:cs="Arial"/>
          <w:color w:val="000000" w:themeColor="text1"/>
          <w:sz w:val="22"/>
          <w:szCs w:val="22"/>
          <w:lang w:val="ru-RU"/>
        </w:rPr>
      </w:pPr>
      <w:r w:rsidRPr="00DA76A7">
        <w:rPr>
          <w:rFonts w:ascii="Arial" w:hAnsi="Arial" w:cs="Arial"/>
          <w:color w:val="000000" w:themeColor="text1"/>
          <w:sz w:val="22"/>
          <w:szCs w:val="22"/>
          <w:lang w:val="ru-RU"/>
        </w:rPr>
        <w:t>350040, Российская Федерация, г. Краснодар, ул. Ставропольская, 216</w:t>
      </w:r>
    </w:p>
    <w:p w:rsidR="00181BA7" w:rsidRPr="00DA76A7" w:rsidRDefault="00181BA7" w:rsidP="00181BA7">
      <w:pPr>
        <w:pStyle w:val="Standard"/>
        <w:jc w:val="center"/>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тел.: 8(918) 436-03-57,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lang w:val="ru-RU"/>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lang w:val="ru-RU"/>
        </w:rPr>
        <w:t xml:space="preserve">: </w:t>
      </w:r>
      <w:r w:rsidRPr="00DA76A7">
        <w:rPr>
          <w:rFonts w:ascii="Arial" w:hAnsi="Arial" w:cs="Arial"/>
          <w:color w:val="000000" w:themeColor="text1"/>
          <w:sz w:val="22"/>
          <w:szCs w:val="22"/>
          <w:lang w:val="en-US"/>
        </w:rPr>
        <w:t>marik</w:t>
      </w:r>
      <w:r w:rsidRPr="00DA76A7">
        <w:rPr>
          <w:rFonts w:ascii="Arial" w:hAnsi="Arial" w:cs="Arial"/>
          <w:color w:val="000000" w:themeColor="text1"/>
          <w:sz w:val="22"/>
          <w:szCs w:val="22"/>
          <w:lang w:val="ru-RU"/>
        </w:rPr>
        <w:t>-</w:t>
      </w:r>
      <w:r w:rsidRPr="00DA76A7">
        <w:rPr>
          <w:rFonts w:ascii="Arial" w:hAnsi="Arial" w:cs="Arial"/>
          <w:color w:val="000000" w:themeColor="text1"/>
          <w:sz w:val="22"/>
          <w:szCs w:val="22"/>
          <w:lang w:val="en-US"/>
        </w:rPr>
        <w:t>luke</w:t>
      </w:r>
      <w:r w:rsidRPr="00DA76A7">
        <w:rPr>
          <w:rFonts w:ascii="Arial" w:hAnsi="Arial" w:cs="Arial"/>
          <w:color w:val="000000" w:themeColor="text1"/>
          <w:sz w:val="22"/>
          <w:szCs w:val="22"/>
          <w:lang w:val="ru-RU"/>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lang w:val="ru-RU"/>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lang w:val="ru-RU"/>
        </w:rPr>
        <w:t xml:space="preserve"> </w:t>
      </w:r>
    </w:p>
    <w:p w:rsidR="00181BA7" w:rsidRPr="00DA76A7" w:rsidRDefault="00181BA7" w:rsidP="00181BA7">
      <w:pPr>
        <w:pStyle w:val="Standard"/>
        <w:jc w:val="center"/>
        <w:rPr>
          <w:rFonts w:ascii="Arial" w:hAnsi="Arial" w:cs="Arial"/>
          <w:b/>
          <w:color w:val="000000" w:themeColor="text1"/>
          <w:sz w:val="22"/>
          <w:szCs w:val="22"/>
          <w:lang w:val="ru-RU"/>
        </w:rPr>
      </w:pPr>
    </w:p>
    <w:p w:rsidR="00181BA7" w:rsidRPr="00DA76A7" w:rsidRDefault="00181BA7" w:rsidP="00181BA7">
      <w:pPr>
        <w:pStyle w:val="Standard"/>
        <w:jc w:val="center"/>
        <w:rPr>
          <w:rFonts w:ascii="Arial" w:hAnsi="Arial" w:cs="Arial"/>
          <w:b/>
          <w:bCs/>
          <w:iCs/>
          <w:color w:val="000000" w:themeColor="text1"/>
          <w:sz w:val="22"/>
          <w:szCs w:val="22"/>
          <w:lang w:val="en-US"/>
        </w:rPr>
      </w:pPr>
      <w:r w:rsidRPr="00DA76A7">
        <w:rPr>
          <w:rFonts w:ascii="Arial" w:hAnsi="Arial" w:cs="Arial"/>
          <w:b/>
          <w:bCs/>
          <w:iCs/>
          <w:color w:val="000000" w:themeColor="text1"/>
          <w:sz w:val="22"/>
          <w:szCs w:val="22"/>
          <w:lang w:val="en-US"/>
        </w:rPr>
        <w:t>MODERN PROBLEMS OF ABUSE OF LAW: THE COMPLEXITY OF THE APPLICATION IN THEORY AND PRACTICE CORRECTLY</w:t>
      </w:r>
    </w:p>
    <w:p w:rsidR="00181BA7" w:rsidRPr="00DA76A7" w:rsidRDefault="00181BA7" w:rsidP="00181BA7">
      <w:pPr>
        <w:pStyle w:val="Standard"/>
        <w:jc w:val="center"/>
        <w:rPr>
          <w:rFonts w:ascii="Arial" w:hAnsi="Arial" w:cs="Arial"/>
          <w:b/>
          <w:color w:val="000000" w:themeColor="text1"/>
          <w:sz w:val="22"/>
          <w:szCs w:val="22"/>
          <w:lang w:val="en-US"/>
        </w:rPr>
      </w:pPr>
    </w:p>
    <w:p w:rsidR="00181BA7" w:rsidRPr="00DA76A7" w:rsidRDefault="00181BA7" w:rsidP="00181BA7">
      <w:pPr>
        <w:pStyle w:val="Standard"/>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Kochura Anastasia Sergeevna</w:t>
      </w:r>
    </w:p>
    <w:p w:rsidR="00181BA7" w:rsidRPr="00DA76A7" w:rsidRDefault="00181BA7" w:rsidP="00181BA7">
      <w:pPr>
        <w:pStyle w:val="Standard"/>
        <w:jc w:val="center"/>
        <w:rPr>
          <w:rFonts w:ascii="Arial" w:hAnsi="Arial" w:cs="Arial"/>
          <w:color w:val="000000" w:themeColor="text1"/>
          <w:sz w:val="22"/>
          <w:szCs w:val="22"/>
          <w:lang w:val="en-US"/>
        </w:rPr>
      </w:pPr>
      <w:r w:rsidRPr="00DA76A7">
        <w:rPr>
          <w:rFonts w:ascii="Arial" w:hAnsi="Arial" w:cs="Arial"/>
          <w:color w:val="000000" w:themeColor="text1"/>
          <w:sz w:val="22"/>
          <w:szCs w:val="22"/>
        </w:rPr>
        <w:t>undergraduate</w:t>
      </w:r>
      <w:r w:rsidRPr="00DA76A7">
        <w:rPr>
          <w:rFonts w:ascii="Arial" w:hAnsi="Arial" w:cs="Arial"/>
          <w:color w:val="000000" w:themeColor="text1"/>
          <w:sz w:val="22"/>
          <w:szCs w:val="22"/>
          <w:lang w:val="en-US"/>
        </w:rPr>
        <w:t xml:space="preserve"> student  1st year of full-time department of the law faculty</w:t>
      </w:r>
    </w:p>
    <w:p w:rsidR="00181BA7" w:rsidRPr="00DA76A7" w:rsidRDefault="00181BA7" w:rsidP="00181BA7">
      <w:pPr>
        <w:pStyle w:val="Standard"/>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Private educational institution Southern </w:t>
      </w:r>
      <w:r w:rsidRPr="00DA76A7">
        <w:rPr>
          <w:rFonts w:ascii="Arial" w:hAnsi="Arial" w:cs="Arial"/>
          <w:color w:val="000000" w:themeColor="text1"/>
          <w:sz w:val="22"/>
          <w:szCs w:val="22"/>
          <w:lang w:val="ru-RU"/>
        </w:rPr>
        <w:t>м</w:t>
      </w:r>
      <w:r w:rsidRPr="00DA76A7">
        <w:rPr>
          <w:rFonts w:ascii="Arial" w:hAnsi="Arial" w:cs="Arial"/>
          <w:color w:val="000000" w:themeColor="text1"/>
          <w:sz w:val="22"/>
          <w:szCs w:val="22"/>
          <w:lang w:val="en-US"/>
        </w:rPr>
        <w:t>anagement institute</w:t>
      </w:r>
    </w:p>
    <w:p w:rsidR="00181BA7" w:rsidRPr="00DA76A7" w:rsidRDefault="00181BA7" w:rsidP="00181BA7">
      <w:pPr>
        <w:pStyle w:val="Standard"/>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350040, Russian Federation, Krasnodar, Stavropolskaya st., 216</w:t>
      </w:r>
    </w:p>
    <w:p w:rsidR="00181BA7" w:rsidRPr="00DA76A7" w:rsidRDefault="00181BA7" w:rsidP="00181BA7">
      <w:pPr>
        <w:pStyle w:val="Standard"/>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8 (918) 436-03-57, e-mail: marik-luke@mail.ru</w:t>
      </w:r>
    </w:p>
    <w:p w:rsidR="00181BA7" w:rsidRPr="00DA76A7" w:rsidRDefault="00181BA7" w:rsidP="00181BA7">
      <w:pPr>
        <w:pStyle w:val="Standard"/>
        <w:jc w:val="both"/>
        <w:rPr>
          <w:rFonts w:ascii="Arial" w:hAnsi="Arial" w:cs="Arial"/>
          <w:color w:val="000000" w:themeColor="text1"/>
          <w:sz w:val="22"/>
          <w:szCs w:val="22"/>
          <w:lang w:val="en-US"/>
        </w:rPr>
      </w:pPr>
    </w:p>
    <w:p w:rsidR="00181BA7" w:rsidRPr="00DA76A7" w:rsidRDefault="00181BA7" w:rsidP="00181BA7">
      <w:pPr>
        <w:pStyle w:val="Standard"/>
        <w:ind w:firstLine="567"/>
        <w:jc w:val="both"/>
        <w:rPr>
          <w:rFonts w:ascii="Arial" w:hAnsi="Arial" w:cs="Arial"/>
          <w:i/>
          <w:color w:val="000000" w:themeColor="text1"/>
          <w:sz w:val="22"/>
          <w:szCs w:val="22"/>
          <w:lang w:val="ru-RU"/>
        </w:rPr>
      </w:pPr>
      <w:r w:rsidRPr="00DA76A7">
        <w:rPr>
          <w:rFonts w:ascii="Arial" w:hAnsi="Arial" w:cs="Arial"/>
          <w:b/>
          <w:i/>
          <w:color w:val="000000" w:themeColor="text1"/>
          <w:sz w:val="22"/>
          <w:szCs w:val="22"/>
          <w:lang w:val="ru-RU"/>
        </w:rPr>
        <w:t>Аннотация.</w:t>
      </w:r>
      <w:r w:rsidRPr="00DA76A7">
        <w:rPr>
          <w:rFonts w:ascii="Arial" w:hAnsi="Arial" w:cs="Arial"/>
          <w:i/>
          <w:color w:val="000000" w:themeColor="text1"/>
          <w:sz w:val="22"/>
          <w:szCs w:val="22"/>
          <w:lang w:val="ru-RU"/>
        </w:rPr>
        <w:t xml:space="preserve"> В статье раскрываются некоторые теоретические вопросы, возникающие при применении такой категории как «злоупотребление правом», нормы которой закреплены в национальном законодательстве, а также порядку их разрешения в судебной практике.</w:t>
      </w:r>
    </w:p>
    <w:p w:rsidR="00181BA7" w:rsidRPr="00DA76A7" w:rsidRDefault="00181BA7" w:rsidP="00181BA7">
      <w:pPr>
        <w:pStyle w:val="Standard"/>
        <w:ind w:firstLine="567"/>
        <w:jc w:val="both"/>
        <w:rPr>
          <w:rFonts w:ascii="Arial" w:hAnsi="Arial" w:cs="Arial"/>
          <w:i/>
          <w:iCs/>
          <w:color w:val="000000" w:themeColor="text1"/>
          <w:sz w:val="22"/>
          <w:szCs w:val="22"/>
          <w:lang w:val="en-US"/>
        </w:rPr>
      </w:pPr>
      <w:r w:rsidRPr="00DA76A7">
        <w:rPr>
          <w:rFonts w:ascii="Arial" w:hAnsi="Arial" w:cs="Arial"/>
          <w:b/>
          <w:i/>
          <w:iCs/>
          <w:color w:val="000000" w:themeColor="text1"/>
          <w:sz w:val="22"/>
          <w:szCs w:val="22"/>
          <w:lang w:val="en-US"/>
        </w:rPr>
        <w:t>Annotation.</w:t>
      </w:r>
      <w:r w:rsidRPr="00DA76A7">
        <w:rPr>
          <w:rFonts w:ascii="Arial" w:hAnsi="Arial" w:cs="Arial"/>
          <w:i/>
          <w:iCs/>
          <w:color w:val="000000" w:themeColor="text1"/>
          <w:sz w:val="22"/>
          <w:szCs w:val="22"/>
          <w:lang w:val="en-US"/>
        </w:rPr>
        <w:t xml:space="preserve">  The article reveals some theoretical issues arising in the application of such a category as «abuse of law», the norms of which are enshrined in national legislation, as well as the order of their resolution in judicial practice.</w:t>
      </w:r>
    </w:p>
    <w:p w:rsidR="00181BA7" w:rsidRPr="00DA76A7" w:rsidRDefault="00181BA7" w:rsidP="00181BA7">
      <w:pPr>
        <w:pStyle w:val="Standard"/>
        <w:ind w:firstLine="567"/>
        <w:jc w:val="both"/>
        <w:rPr>
          <w:rFonts w:ascii="Arial" w:hAnsi="Arial" w:cs="Arial"/>
          <w:i/>
          <w:iCs/>
          <w:color w:val="000000" w:themeColor="text1"/>
          <w:sz w:val="22"/>
          <w:szCs w:val="22"/>
          <w:lang w:val="ru-RU"/>
        </w:rPr>
      </w:pPr>
      <w:r w:rsidRPr="00DA76A7">
        <w:rPr>
          <w:rFonts w:ascii="Arial" w:hAnsi="Arial" w:cs="Arial"/>
          <w:b/>
          <w:i/>
          <w:iCs/>
          <w:color w:val="000000" w:themeColor="text1"/>
          <w:sz w:val="22"/>
          <w:szCs w:val="22"/>
          <w:lang w:val="ru-RU"/>
        </w:rPr>
        <w:t>Ключевые слова:</w:t>
      </w:r>
      <w:r w:rsidRPr="00DA76A7">
        <w:rPr>
          <w:rFonts w:ascii="Arial" w:hAnsi="Arial" w:cs="Arial"/>
          <w:i/>
          <w:iCs/>
          <w:color w:val="000000" w:themeColor="text1"/>
          <w:sz w:val="22"/>
          <w:szCs w:val="22"/>
          <w:lang w:val="ru-RU"/>
        </w:rPr>
        <w:t xml:space="preserve"> злоупотребление правом; субъективное право; правонарушение; ответственность.</w:t>
      </w:r>
    </w:p>
    <w:p w:rsidR="00181BA7" w:rsidRPr="00DA76A7" w:rsidRDefault="00181BA7" w:rsidP="00181BA7">
      <w:pPr>
        <w:pStyle w:val="Standard"/>
        <w:ind w:firstLine="567"/>
        <w:jc w:val="both"/>
        <w:rPr>
          <w:rFonts w:ascii="Arial" w:hAnsi="Arial" w:cs="Arial"/>
          <w:i/>
          <w:iCs/>
          <w:color w:val="000000" w:themeColor="text1"/>
          <w:sz w:val="22"/>
          <w:szCs w:val="22"/>
          <w:lang w:val="en-US"/>
        </w:rPr>
      </w:pPr>
      <w:r w:rsidRPr="00DA76A7">
        <w:rPr>
          <w:rFonts w:ascii="Arial" w:hAnsi="Arial" w:cs="Arial"/>
          <w:b/>
          <w:i/>
          <w:iCs/>
          <w:color w:val="000000" w:themeColor="text1"/>
          <w:sz w:val="22"/>
          <w:szCs w:val="22"/>
          <w:lang w:val="en-US"/>
        </w:rPr>
        <w:t>Key words:</w:t>
      </w:r>
      <w:r w:rsidRPr="00DA76A7">
        <w:rPr>
          <w:rFonts w:ascii="Arial" w:hAnsi="Arial" w:cs="Arial"/>
          <w:i/>
          <w:iCs/>
          <w:color w:val="000000" w:themeColor="text1"/>
          <w:sz w:val="22"/>
          <w:szCs w:val="22"/>
          <w:lang w:val="en-US"/>
        </w:rPr>
        <w:t xml:space="preserve"> abuse of the right; subjective right; offence; responsibility.</w:t>
      </w:r>
    </w:p>
    <w:p w:rsidR="00181BA7" w:rsidRPr="00DA76A7" w:rsidRDefault="00181BA7" w:rsidP="00181BA7">
      <w:pPr>
        <w:pStyle w:val="Standard"/>
        <w:ind w:firstLine="567"/>
        <w:rPr>
          <w:rFonts w:ascii="Arial" w:hAnsi="Arial" w:cs="Arial"/>
          <w:color w:val="000000" w:themeColor="text1"/>
          <w:sz w:val="22"/>
          <w:szCs w:val="22"/>
          <w:lang w:val="en-US"/>
        </w:rPr>
      </w:pP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Категория злоупотребления правом в системе гражданских правоотношений не раз являлась объектом цивилистических исследований. Однако несмотря на обширный исследовательский материал, многие ключевые вопросы до сих пор остаются спорными.  </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Прежде всего, стоит отметить, что проблема злоупотребления субъективным правом сформировалась еще в Древнем Риме. Юристы того времени часто сталкивались с тем, что управомоченный субъект реализовывал предоставленное ему право в ущерб другим лицам.  Несмотря на то, что изначально римляне отрицали саму идею о злоупотреблении правом, в дальнейшем они сформулировали положения, направленные на установление определенного баланса интересов собственника и иных управомоченных лиц при использовании ими своих прав.</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Это правило смело можно считать прообразом статьи 10 Гражданского кодекса Российской Федерации, устанавливающей недопущение  осуществления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 [1; Ст.10] Особую актуальность вопросы применения данной статьи обрели в силу появления Информационного письма ВАС РФ от 25 ноября 2008 года № 127 «Обзор практики применения арбитражными судами статьи 10 Гражданского кодекса Российской Федерации», а так же Постановления Пленума ВС РФ от 22 ноября 2016 года №54 «О некоторых вопросах применения общих положений Гражданского кодекса Российской Федерации об обязательствах и их исполнении». [3]</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При исследовании института злоупотребления правом необходимо учитывать его сущность, а именно сам процесс трансформации права субъективного как средства злоупотребления в неправомерное поведение. Данный механизм представляет собой одну из проблем выявления злоупотребления правом и определения граней между неумелым использованием предоставленных государством прав, например, процессуальных прав, и злоупотребления ими осознано. Причиной такого положения становится невозможность закрепления в законе формальных признаков злоупотребления процессуальными и иными правами. </w:t>
      </w:r>
    </w:p>
    <w:p w:rsidR="00181BA7" w:rsidRPr="00DA76A7" w:rsidRDefault="00181BA7" w:rsidP="00181BA7">
      <w:pPr>
        <w:pStyle w:val="Standard"/>
        <w:ind w:firstLine="567"/>
        <w:jc w:val="both"/>
        <w:rPr>
          <w:rFonts w:ascii="Arial" w:hAnsi="Arial" w:cs="Arial"/>
          <w:color w:val="000000" w:themeColor="text1"/>
          <w:sz w:val="22"/>
          <w:szCs w:val="22"/>
          <w:shd w:val="clear" w:color="auto" w:fill="FFFFFF"/>
          <w:lang w:val="ru-RU"/>
        </w:rPr>
      </w:pPr>
      <w:r w:rsidRPr="00DA76A7">
        <w:rPr>
          <w:rFonts w:ascii="Arial" w:hAnsi="Arial" w:cs="Arial"/>
          <w:color w:val="000000" w:themeColor="text1"/>
          <w:sz w:val="22"/>
          <w:szCs w:val="22"/>
          <w:lang w:val="ru-RU"/>
        </w:rPr>
        <w:t xml:space="preserve">Стоит заметить, что в последние годы законодатель все же предпринимает попытки для создания норм материального права, направленные на определение действий, которые будут считаться злоупотреблением.например, </w:t>
      </w:r>
      <w:r w:rsidRPr="00DA76A7">
        <w:rPr>
          <w:rFonts w:ascii="Arial" w:hAnsi="Arial" w:cs="Arial"/>
          <w:bCs/>
          <w:color w:val="000000" w:themeColor="text1"/>
          <w:sz w:val="22"/>
          <w:szCs w:val="22"/>
          <w:shd w:val="clear" w:color="auto" w:fill="FFFFFF"/>
        </w:rPr>
        <w:t xml:space="preserve">Федеральный конституционный закон от 28.06.2004 N 5-ФКЗ </w:t>
      </w:r>
      <w:r w:rsidRPr="00DA76A7">
        <w:rPr>
          <w:rFonts w:ascii="Arial" w:hAnsi="Arial" w:cs="Arial"/>
          <w:bCs/>
          <w:color w:val="000000" w:themeColor="text1"/>
          <w:sz w:val="22"/>
          <w:szCs w:val="22"/>
          <w:shd w:val="clear" w:color="auto" w:fill="FFFFFF"/>
          <w:lang w:val="ru-RU"/>
        </w:rPr>
        <w:t>«</w:t>
      </w:r>
      <w:r w:rsidRPr="00DA76A7">
        <w:rPr>
          <w:rFonts w:ascii="Arial" w:hAnsi="Arial" w:cs="Arial"/>
          <w:bCs/>
          <w:color w:val="000000" w:themeColor="text1"/>
          <w:sz w:val="22"/>
          <w:szCs w:val="22"/>
          <w:shd w:val="clear" w:color="auto" w:fill="FFFFFF"/>
        </w:rPr>
        <w:t>О референдуме Российской Федерации</w:t>
      </w:r>
      <w:r w:rsidRPr="00DA76A7">
        <w:rPr>
          <w:rFonts w:ascii="Arial" w:hAnsi="Arial" w:cs="Arial"/>
          <w:bCs/>
          <w:color w:val="000000" w:themeColor="text1"/>
          <w:sz w:val="22"/>
          <w:szCs w:val="22"/>
          <w:shd w:val="clear" w:color="auto" w:fill="FFFFFF"/>
          <w:lang w:val="ru-RU"/>
        </w:rPr>
        <w:t xml:space="preserve">», который устанавливает, что при проведении </w:t>
      </w:r>
      <w:r w:rsidRPr="00DA76A7">
        <w:rPr>
          <w:rFonts w:ascii="Arial" w:hAnsi="Arial" w:cs="Arial"/>
          <w:color w:val="000000" w:themeColor="text1"/>
          <w:sz w:val="22"/>
          <w:szCs w:val="22"/>
          <w:shd w:val="clear" w:color="auto" w:fill="FFFFFF"/>
        </w:rPr>
        <w:t> агитации по вопросам референдума не допускается злоупотребление свободой массовой информации</w:t>
      </w:r>
      <w:r w:rsidRPr="00DA76A7">
        <w:rPr>
          <w:rFonts w:ascii="Arial" w:hAnsi="Arial" w:cs="Arial"/>
          <w:color w:val="000000" w:themeColor="text1"/>
          <w:sz w:val="22"/>
          <w:szCs w:val="22"/>
          <w:shd w:val="clear" w:color="auto" w:fill="FFFFFF"/>
          <w:lang w:val="ru-RU"/>
        </w:rPr>
        <w:t>. [Ст. 68]</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В качестве субъектов, злоупотребляющими своими правами, выступают  носители конституционных прав и свобод (политические партии, средства массовой информации и другие), лица без гражданства, иностранные граждане, юридические лица,  государственные органы и их должностные лица. Злоупотребление правом — это часть объективной действительности, когда управомоченное лицо выходит за рамки возможного и дозволенного поведения, не придерживаясь правовой модели, очерченной законом.  Таким образом, злоупотребление правом может иметь место лишь при условии наличия у лица соответствующего права.</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 Несмотря на это, в правовой науке отсутствует единство взглядов на содержание рассматриваемого понятия. В основе различий лежат неодинаковые оценки пределов осуществления права, в связи с тем, что закон предел осуществления сводит к простому упоминанию понятия «злоупотребление правом».</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Так, В.Д. Горобец считает, что злоупотребление правом представляет собой осуществление субъективного права, противоречащее его назначению. В результате этого причиняется ущерб правам и законным интересам граждан, государства и общества в целом. [5; С. 56-57]</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Р. Квачевич-Куштрумович устанавливает, что под злоупотребление правом понимается такое осуществление права, которое противопоставляется общепризнанной и защищенной законом цели или господствующей в обществе морали.</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Отличительная от первых двух позиция, имеет В.П. Грибанов, который раскрывает злоупотребление правом через категорию особого типа правонарушения.</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Подобного мнения придерживается О.Н. Садиков. В этом случае злоупотребление правом выступает как правонарушение, особенность которого состоит в том, что оно связано с осуществлением принадлежащих лицу прав, за рамки которого оно выходит.</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Таким образом, в практическом смысле злоупотребление правом всегда будет связано с оценкой действий управомоченного лица, вида и меры возможного поведения относительно очерченных границ. [6; С. 353] В теоретическом смысле злоупотребление правом — это выход за его пределы, который происходит при реализации модели поведения в фактическом поведении субъектов правоотношения, где речь идет только о правонарушении, влекущем не те последствия, которые содержались в модели, а которые вытекают прямо из закона и характеризуются как неблагоприятные для лица, вышедшего за границы правовой модели.</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Выход за пределы разрешенного поведения осуществляется в различных формах. В статье 10 Гражданского кодекса Российской Федерации закреплены следующие формы: осуществление прав «исключительно с намерением причинить вред другому лицу» [1; Ст. 10], или так называемая шикана; осуществление прав «в иных формах», отличных от шиканы; злоупотребление правом применительно к конкурентным отношениям.</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Относительно первых двух форм Верховный Арбитражный суд Российской Федерации в своем Обзоре практики применения арбитражными судами статьи 10 Гражданского кодекса Российской Федерации приводит следующие ситуации, считающиеся частно встречающими примерами злоупотребления правом в судебной практике: оспаривание решения совета директоров после собственных недобросовестных действий, повлекших нарушение устава общества [2; п. 1]; отсутствие права на взыскание арендных платежей [2; п. 2]; требование учредителя муниципального бюджетного учреждения о расторжении договора аренды и выселении учреждения из занимаемого помещения [2; п. 3]; последствия неоднократного требования о созыве внеочередного собрания акционеров [2; п. 4]; определение в уставе российского акционерного общества зарубежных городов в качестве мест проведения общих собраний акционеров [2; п. 5].</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Важнейшим правилом, установленном законодателем в статье 10 ГК РФ, является право суда по своей инициативе отказать в защите прав злоупотребляющему лицу, независимо от того, ссылалась ли потерпевшая сторона на это. В мотивировочной части решения суда должна быть отражена детальная квалификация таких действий.</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Спорным определяющим моментом является отсутствие в перечне, указанном в статье 10 ГК РФ, критерия, положенного в основу приведенной выше классификации. Так, выделение законодателем третьей формы определения злоупотребления правом, а именно «использование гражданских прав в целях ограничения конкуренции, а также злоупотребления доминирующим положением на рынке», по своей сути является конкретизацией второй формы, упомянутой в той же статье Гражданского кодекса Российской Федерации. Закрепление подобного правила в законе объясняется активным развитием рыночных отношений на момент формирования законодателем нормы, придание исключительного значение сферы защиты конкуренции государством.</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На сегодняшний момент, считаем, что необходимость в закреплении подобного правила в общей норме материального права отсутствует, так она акцентирует внимание только на отношениях, регулируемых антимонопольным законодательством. Если признать данный подход к классификации верным, произойдет смешение категорий общих норма права, а именно статьи 10 ГК РФ и специальных норм права, отраженных, например в главе 2 Федерального закона от 26 июля 2006 года № 135-ФЗ «О защите конкуренции».  </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При квалификации поведения как злоупотребления субъективным гражданским правом важно учитывать, что законодатель исходит из презумпции разумности и добросовестности участников гражданских правоотношений в случаях, когда закон ставит защиту гражданских прав в зависимость от того, осуществлялись ли эти права разумно и добросовестно. [1; п. 3 ст. 10]</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На сферу гражданских правоотношений существенное влияние оказывают социальные и личные характеристики субъекта, злоупотребляющего правом. Именно они обуславливают неправомерное поведение лица. Субъект должен осознавать, что осуществляемое им действие (бездействие) является правомерным или неправомерным, но по каким-то причинам намеренно предпочитает неправомерное правомерному, тем самым злоупотребляя своим правом.  [5; С.114] </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Исходя из этого, мы можем определить, что предпосылки злоупотребления права делятся на объективные и субъективные.</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Объективным источником или предпосылкой злоупотреблений правами является юридико-технический материал, содержащийся в позитивном праве, с помощью которого лицо, злоупотребляющее своим правом, стремится к наступлению благоприятных для себя последствий, достижения эгоистичных целей. Субъективные источники злоупотреблений правами отличаются от объективных, тем что находятся в сознании лица, который разработал и воспроизвел злоупотребительный акт, исходя из своих мировоззренческих позиций по поводу указанной ситуации. [4; С. 403]</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Рассмотрим подробнее классификацию субъективных предпосылок злоупотребления права, так как именно они определеяются сознанием каждого самостоятельного индивидуума. Условно субъективныеные источники можно разделить на социальные и индивидуальные (ментально-волевые). К социальным источникам относятся пробел воспитания, как первичный социальный фактор, пробел образования, правовой нигилизм, характеризующийся низкой правовой культурой, деформацией правового сознания. В качестве индивидуальных (ментально-волевых) источниках выступают злоупотребительные суждения, злоупотребительные умозаключения, злоупотребительные схемы.</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Одновременно с этим, еще одним источником злоупотребления права является несовершенство гражданско-правовых норм и правил, составляющие пороки самого права. Объективные грамматические недостатки, смысловые ошибки, пробелы, противоречия, системные «пробои», содержащиеся в нормах гражданского права, ведут к искажению воли законодателя. Подобные пороки преодолеваются либо путем внесения изменений в законодательные акты — так называемое совершенствование законодательства, либо путем официального, неофициального толкования в процессе применения их лицами в гражданских правоотношениях, судебном процессе, а также с помощью норм статьи 10 ГК РФ в случаях их недобросовестного правоприменения. [5; С. 167]</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Исходя из установленных объективных и субъективных источников злоупотребления правом, перед законодателем стоит вопрос о необходимости совершенствования действующего законодательства, в частности, статьи 10 Гражданского кодекса Российской Федерации. При этом существует необходимость совершенствования правовой культуры самих участников гражданских правоотношений - носителей прав и обязанностей. Указанные мероприятия должны проходить в тесном взаимодействии друг с другом,  ведь сколько бы нормы права не совершенствовалось, процесс этот будет безрезультатным, если в правоотношениях не произойдет трансформация ценностей права, то есть нравственное совершенствование правовой практики общества. Отсюда следует, что правовые нормы должны соответствовать основным ценностям культуры и активно содействовать ее укреплению и развитию.</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На основании рассмотренного выше понятия «злоупотребление гражданским правом», а так же материалов судебной практики, можно сделать следующие выводы относительно природы злоупотребления правом в сфере гражданских правоотношений:</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а) злоупотребление правом представляет собой нестандартное гражданское правонарушение. Оно может выступать как в форме действия так и бездействия;</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б) противоправность этого правонарушения напрямую зависит от правовой неопределенности отдельных норм права, устанавливающих для лица правомочия и обязанности;</w:t>
      </w:r>
    </w:p>
    <w:p w:rsidR="00181BA7" w:rsidRPr="00DA76A7" w:rsidRDefault="00181BA7" w:rsidP="00181BA7">
      <w:pPr>
        <w:pStyle w:val="Standard"/>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в) использование средств гражданского права предполагает наличие прямого умысла в деянии, направленного не столько на причинение вреда другим лицам, сколько на реализацию своих корыстных интересов.</w:t>
      </w:r>
    </w:p>
    <w:p w:rsidR="00181BA7" w:rsidRPr="00DA76A7" w:rsidRDefault="00181BA7" w:rsidP="00181BA7">
      <w:pPr>
        <w:pStyle w:val="Standard"/>
        <w:ind w:firstLine="567"/>
        <w:jc w:val="both"/>
        <w:rPr>
          <w:rFonts w:ascii="Arial" w:hAnsi="Arial" w:cs="Arial"/>
          <w:color w:val="000000" w:themeColor="text1"/>
          <w:sz w:val="22"/>
          <w:szCs w:val="22"/>
          <w:lang w:val="ru-RU"/>
        </w:rPr>
      </w:pPr>
    </w:p>
    <w:p w:rsidR="00181BA7" w:rsidRPr="00DA76A7" w:rsidRDefault="00181BA7" w:rsidP="00181BA7">
      <w:pPr>
        <w:pStyle w:val="Standard"/>
        <w:ind w:firstLine="567"/>
        <w:jc w:val="center"/>
        <w:rPr>
          <w:rFonts w:ascii="Arial" w:hAnsi="Arial" w:cs="Arial"/>
          <w:b/>
          <w:bCs/>
          <w:color w:val="000000" w:themeColor="text1"/>
          <w:sz w:val="22"/>
          <w:szCs w:val="22"/>
          <w:lang w:val="ru-RU"/>
        </w:rPr>
      </w:pPr>
      <w:r w:rsidRPr="00DA76A7">
        <w:rPr>
          <w:rFonts w:ascii="Arial" w:hAnsi="Arial" w:cs="Arial"/>
          <w:b/>
          <w:bCs/>
          <w:color w:val="000000" w:themeColor="text1"/>
          <w:sz w:val="22"/>
          <w:szCs w:val="22"/>
          <w:lang w:val="ru-RU"/>
        </w:rPr>
        <w:t>Список литературы:</w:t>
      </w:r>
    </w:p>
    <w:p w:rsidR="00181BA7" w:rsidRPr="00DA76A7" w:rsidRDefault="00181BA7" w:rsidP="00D45D6B">
      <w:pPr>
        <w:pStyle w:val="Standard"/>
        <w:numPr>
          <w:ilvl w:val="2"/>
          <w:numId w:val="69"/>
        </w:numPr>
        <w:tabs>
          <w:tab w:val="left" w:pos="851"/>
        </w:tabs>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Гражданский кодекс Российской Федерации (часть первая) от 30 ноября 1994 года N 51-ФЗ // Российская газета. - 1994. - 08 декабря.</w:t>
      </w:r>
    </w:p>
    <w:p w:rsidR="00181BA7" w:rsidRPr="00DA76A7" w:rsidRDefault="00181BA7" w:rsidP="00D45D6B">
      <w:pPr>
        <w:pStyle w:val="Standard"/>
        <w:numPr>
          <w:ilvl w:val="2"/>
          <w:numId w:val="69"/>
        </w:numPr>
        <w:tabs>
          <w:tab w:val="left" w:pos="851"/>
        </w:tabs>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Информационное письмо Президиума ВАС РФ от 25 ноября 2008 года N 12 «Обзор практики применения арбитражными судами статьи 10 Гражданского кодекса Российской Федерации» // Вестник ВАС РФ. - 2009.</w:t>
      </w:r>
    </w:p>
    <w:p w:rsidR="00181BA7" w:rsidRPr="00DA76A7" w:rsidRDefault="00181BA7" w:rsidP="00D45D6B">
      <w:pPr>
        <w:pStyle w:val="Standard"/>
        <w:numPr>
          <w:ilvl w:val="2"/>
          <w:numId w:val="69"/>
        </w:numPr>
        <w:tabs>
          <w:tab w:val="left" w:pos="851"/>
        </w:tabs>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Постановление Пленума ВС РФ от 22 ноября 2016 года N 54 «О некоторых вопросах. применения общих положений Гражданского кодекса Российской Федерации об обязательствах и их исполнении» // СПС «Консультант Плюс»</w:t>
      </w:r>
    </w:p>
    <w:p w:rsidR="00181BA7" w:rsidRPr="00DA76A7" w:rsidRDefault="00181BA7" w:rsidP="00D45D6B">
      <w:pPr>
        <w:pStyle w:val="Standard"/>
        <w:numPr>
          <w:ilvl w:val="2"/>
          <w:numId w:val="69"/>
        </w:numPr>
        <w:tabs>
          <w:tab w:val="left" w:pos="851"/>
        </w:tabs>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Золотухина О. В. Злоупотребление правом // Молодой ученый. — 2017. — №12. — С. 401-404.</w:t>
      </w:r>
    </w:p>
    <w:p w:rsidR="00181BA7" w:rsidRPr="00DA76A7" w:rsidRDefault="00181BA7" w:rsidP="00D45D6B">
      <w:pPr>
        <w:pStyle w:val="Standard"/>
        <w:numPr>
          <w:ilvl w:val="2"/>
          <w:numId w:val="69"/>
        </w:numPr>
        <w:tabs>
          <w:tab w:val="left" w:pos="851"/>
        </w:tabs>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Кирюшкин Р.А. Злоупотребление правом. Законность и правопорядок. Монография // КиноРус, - 2016. - 192 с.</w:t>
      </w:r>
    </w:p>
    <w:p w:rsidR="00181BA7" w:rsidRPr="00DA76A7" w:rsidRDefault="00181BA7" w:rsidP="00D45D6B">
      <w:pPr>
        <w:pStyle w:val="Standard"/>
        <w:numPr>
          <w:ilvl w:val="2"/>
          <w:numId w:val="69"/>
        </w:numPr>
        <w:tabs>
          <w:tab w:val="left" w:pos="851"/>
        </w:tabs>
        <w:ind w:firstLine="567"/>
        <w:jc w:val="both"/>
        <w:rPr>
          <w:rFonts w:ascii="Arial" w:hAnsi="Arial" w:cs="Arial"/>
          <w:color w:val="000000" w:themeColor="text1"/>
          <w:sz w:val="22"/>
          <w:szCs w:val="22"/>
          <w:lang w:val="ru-RU"/>
        </w:rPr>
      </w:pPr>
      <w:r w:rsidRPr="00DA76A7">
        <w:rPr>
          <w:rFonts w:ascii="Arial" w:hAnsi="Arial" w:cs="Arial"/>
          <w:color w:val="000000" w:themeColor="text1"/>
          <w:sz w:val="22"/>
          <w:szCs w:val="22"/>
          <w:lang w:val="ru-RU"/>
        </w:rPr>
        <w:t>Колтырин М. Н. Юридические последствия злоупотребления правом // Молодой ученый. — 2017. — №16. — С. 352-355.</w:t>
      </w:r>
    </w:p>
    <w:p w:rsidR="00181BA7" w:rsidRPr="00DA76A7" w:rsidRDefault="00181BA7" w:rsidP="00181BA7">
      <w:pPr>
        <w:shd w:val="clear" w:color="auto" w:fill="FFFFFF"/>
        <w:ind w:firstLine="567"/>
        <w:jc w:val="both"/>
        <w:rPr>
          <w:rFonts w:ascii="Arial" w:hAnsi="Arial" w:cs="Arial"/>
          <w:color w:val="000000" w:themeColor="text1"/>
          <w:sz w:val="22"/>
          <w:szCs w:val="22"/>
        </w:rPr>
      </w:pPr>
    </w:p>
    <w:p w:rsidR="00181BA7" w:rsidRDefault="00181BA7"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Pr="00DA76A7" w:rsidRDefault="001713F3"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К ВОПРОСУ О </w:t>
      </w:r>
      <w:r w:rsidR="00ED3C2E" w:rsidRPr="00DA76A7">
        <w:rPr>
          <w:rFonts w:ascii="Arial" w:hAnsi="Arial" w:cs="Arial"/>
          <w:b/>
          <w:color w:val="000000" w:themeColor="text1"/>
          <w:sz w:val="22"/>
          <w:szCs w:val="22"/>
        </w:rPr>
        <w:t xml:space="preserve">ЗАКЛЮЧЕНИИ  БРАКА В РЕСПУБЛИКЕ </w:t>
      </w:r>
      <w:r w:rsidRPr="00DA76A7">
        <w:rPr>
          <w:rFonts w:ascii="Arial" w:hAnsi="Arial" w:cs="Arial"/>
          <w:b/>
          <w:color w:val="000000" w:themeColor="text1"/>
          <w:sz w:val="22"/>
          <w:szCs w:val="22"/>
        </w:rPr>
        <w:t>ТАДЖИКИСТАН</w:t>
      </w:r>
    </w:p>
    <w:p w:rsidR="00181BA7" w:rsidRPr="00DA76A7" w:rsidRDefault="00181BA7" w:rsidP="00181BA7">
      <w:pPr>
        <w:jc w:val="center"/>
        <w:rPr>
          <w:rFonts w:ascii="Arial" w:hAnsi="Arial" w:cs="Arial"/>
          <w:b/>
          <w:bCs/>
          <w:color w:val="000000" w:themeColor="text1"/>
          <w:sz w:val="22"/>
          <w:szCs w:val="22"/>
        </w:rPr>
      </w:pPr>
    </w:p>
    <w:p w:rsidR="00181BA7" w:rsidRPr="00DA76A7" w:rsidRDefault="00181BA7" w:rsidP="00181BA7">
      <w:pPr>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Курбанова Мукаддас Ибрагимовна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372 2276740,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grajdan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TO THE QUESTION OF THE CONCLUSION OF MARRIAGE IN THE REPUBLIC OF TAJIKISTAN</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Kurbanova Mukaddas Ibragimovna</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master of 2 nd year of full-time department of the faculty of law </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 372 2276740, e-mail: grajdan.pravo@mail.ru</w:t>
      </w:r>
    </w:p>
    <w:p w:rsidR="00181BA7" w:rsidRPr="00DA76A7" w:rsidRDefault="00181BA7" w:rsidP="00181BA7">
      <w:pPr>
        <w:ind w:firstLine="567"/>
        <w:jc w:val="center"/>
        <w:rPr>
          <w:rFonts w:ascii="Arial" w:hAnsi="Arial" w:cs="Arial"/>
          <w:b/>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академик Махмудзода М.А.</w:t>
      </w: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bCs/>
          <w:i/>
          <w:color w:val="000000" w:themeColor="text1"/>
          <w:sz w:val="22"/>
          <w:szCs w:val="22"/>
        </w:rPr>
        <w:t xml:space="preserve">Аннотация. </w:t>
      </w:r>
      <w:r w:rsidRPr="00DA76A7">
        <w:rPr>
          <w:rFonts w:ascii="Arial" w:eastAsia="Calibri" w:hAnsi="Arial" w:cs="Arial"/>
          <w:i/>
          <w:color w:val="000000" w:themeColor="text1"/>
          <w:sz w:val="22"/>
          <w:szCs w:val="22"/>
        </w:rPr>
        <w:t xml:space="preserve">Предметом исследования настоящей статьи  послужили  вопросы заключения брак в Республике Таджикистан. </w:t>
      </w:r>
    </w:p>
    <w:p w:rsidR="00181BA7" w:rsidRPr="00DA76A7" w:rsidRDefault="00181BA7" w:rsidP="00181BA7">
      <w:pPr>
        <w:ind w:firstLine="567"/>
        <w:jc w:val="both"/>
        <w:rPr>
          <w:rFonts w:ascii="Arial" w:eastAsia="Calibri" w:hAnsi="Arial" w:cs="Arial"/>
          <w:i/>
          <w:color w:val="000000" w:themeColor="text1"/>
          <w:sz w:val="22"/>
          <w:szCs w:val="22"/>
          <w:shd w:val="clear" w:color="auto" w:fill="FFFFFF"/>
          <w:lang w:val="en-US"/>
        </w:rPr>
      </w:pPr>
      <w:r w:rsidRPr="00DA76A7">
        <w:rPr>
          <w:rFonts w:ascii="Arial" w:eastAsia="Calibri" w:hAnsi="Arial" w:cs="Arial"/>
          <w:b/>
          <w:bCs/>
          <w:i/>
          <w:color w:val="000000" w:themeColor="text1"/>
          <w:sz w:val="22"/>
          <w:szCs w:val="22"/>
        </w:rPr>
        <w:t xml:space="preserve"> </w:t>
      </w:r>
      <w:r w:rsidRPr="00DA76A7">
        <w:rPr>
          <w:rFonts w:ascii="Arial" w:eastAsia="Calibri" w:hAnsi="Arial" w:cs="Arial"/>
          <w:b/>
          <w:bCs/>
          <w:i/>
          <w:color w:val="000000" w:themeColor="text1"/>
          <w:sz w:val="22"/>
          <w:szCs w:val="22"/>
          <w:lang w:val="en-US"/>
        </w:rPr>
        <w:t xml:space="preserve">Annotation. </w:t>
      </w:r>
      <w:r w:rsidRPr="00DA76A7">
        <w:rPr>
          <w:rFonts w:ascii="Arial" w:eastAsia="Calibri" w:hAnsi="Arial" w:cs="Arial"/>
          <w:i/>
          <w:color w:val="000000" w:themeColor="text1"/>
          <w:sz w:val="22"/>
          <w:szCs w:val="22"/>
          <w:shd w:val="clear" w:color="auto" w:fill="FFFFFF"/>
          <w:lang w:val="en-US"/>
        </w:rPr>
        <w:t xml:space="preserve"> The subject of this article was the issue of marriage in the Republic of Tajikistan.</w:t>
      </w: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Ключевые слова:</w:t>
      </w:r>
      <w:r w:rsidRPr="00DA76A7">
        <w:rPr>
          <w:rFonts w:ascii="Arial" w:eastAsia="Calibri" w:hAnsi="Arial" w:cs="Arial"/>
          <w:i/>
          <w:color w:val="000000" w:themeColor="text1"/>
          <w:sz w:val="22"/>
          <w:szCs w:val="22"/>
        </w:rPr>
        <w:t xml:space="preserve"> Семейное право, семейные правоотношения, семья, брак, супруги.</w:t>
      </w:r>
    </w:p>
    <w:p w:rsidR="00181BA7" w:rsidRPr="00DA76A7" w:rsidRDefault="00181BA7" w:rsidP="00181BA7">
      <w:pPr>
        <w:shd w:val="clear" w:color="auto" w:fill="FFFFFF"/>
        <w:ind w:firstLine="567"/>
        <w:rPr>
          <w:rFonts w:ascii="Arial" w:eastAsia="Calibri" w:hAnsi="Arial" w:cs="Arial"/>
          <w:i/>
          <w:color w:val="000000" w:themeColor="text1"/>
          <w:sz w:val="22"/>
          <w:szCs w:val="22"/>
          <w:shd w:val="clear" w:color="auto" w:fill="FFFFFF"/>
          <w:lang w:val="en-US"/>
        </w:rPr>
      </w:pPr>
      <w:r w:rsidRPr="00DA76A7">
        <w:rPr>
          <w:rFonts w:ascii="Arial" w:eastAsia="Calibri" w:hAnsi="Arial" w:cs="Arial"/>
          <w:b/>
          <w:i/>
          <w:color w:val="000000" w:themeColor="text1"/>
          <w:sz w:val="22"/>
          <w:szCs w:val="22"/>
          <w:lang w:val="en-US"/>
        </w:rPr>
        <w:t>Key words:</w:t>
      </w:r>
      <w:r w:rsidRPr="00DA76A7">
        <w:rPr>
          <w:rFonts w:ascii="Arial" w:eastAsia="Calibri" w:hAnsi="Arial" w:cs="Arial"/>
          <w:i/>
          <w:color w:val="000000" w:themeColor="text1"/>
          <w:sz w:val="22"/>
          <w:szCs w:val="22"/>
          <w:shd w:val="clear" w:color="auto" w:fill="FFFFFF"/>
          <w:lang w:val="en-US"/>
        </w:rPr>
        <w:t xml:space="preserve"> Family law, family legal relations, family, marriage, spouses.</w:t>
      </w:r>
    </w:p>
    <w:p w:rsidR="00181BA7" w:rsidRPr="00DA76A7" w:rsidRDefault="00181BA7" w:rsidP="00181BA7">
      <w:pPr>
        <w:ind w:firstLine="567"/>
        <w:jc w:val="center"/>
        <w:rPr>
          <w:rFonts w:ascii="Arial" w:hAnsi="Arial" w:cs="Arial"/>
          <w:b/>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Первым, препятствующим браку обстоятельством, названо наличие другого зарегистрированного брака. СК РТ запрещает двоеженство и двое мужество (ст. 14). </w:t>
      </w:r>
      <w:r w:rsidRPr="00DA76A7">
        <w:rPr>
          <w:rFonts w:ascii="Arial" w:eastAsia="Calibri" w:hAnsi="Arial" w:cs="Arial"/>
          <w:color w:val="000000" w:themeColor="text1"/>
          <w:sz w:val="22"/>
          <w:szCs w:val="22"/>
        </w:rPr>
        <w:t>[4,43].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Брак, заключенный лицом, состоящим в другом зарегистрированном браке, признается недействительным. Нарушение указанного принципа влечет наступление таких мер как гражданско-правовой ответственности для недобросовестной стороны (возмещение убытков, компенсация морального вреда). Возможно, следует нам отметить что, относительно ранее зарегистрированного брака определить упрощенный порядок расторжения брака по требованию добросовестного супруга. Закрепить нарушение принципа моногамии в качестве специального основания расторжения раннее заключенного брака на усмотрение добросовестной стороны.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Абсолютно правильная политика государства на установление единобрачия, которая способствует не только упорядочению брачных отношений, но и укреплению здоровья и супругов, и их потомства. Нельзя согласиться с высказываниями отдельных депутатов, партий по узакониванию полигамии для граждан РТ, исповедующих определенные религии, которые допускают подобные формы брака. Ведь даже в странах мусульманского права многоженство может иметь место лишь при определенных обстоятельствах (материальное положение мужчины и др.). Хотя следует отметить, что, несмотря на негативное отношение государства к полигамии, в РТ фактически такие отношения складываются.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Следующим условием недействительности брака является состояние в кровнородственных отношениях жениха и невесты. Статья 14 СК РТ устанавливает запрет на заключение брака между близкими родственниками по прямой линии (родителями и детьми, дедушкой, бабушкой и внуками) и боковой линии родства (полнородными и неполнородными братьями и сестрами). Следует отметить, что современное законодательство делает послабление в запретах на кровосмесительные браки. Истории института брака в РТ известны запреты на заключение брака и более дальних степеней родства. За рубежом по-разному решается вопрос о возможности заключения брака при наличии родства. Медицина подтверждает рождение неполноценного потомства и у более дальних родственников (тети, дяди и племянники и племянницы, двоюродные братья и сестры). Возможно, с целью сохранения здорового генофонда РТ следует расширить круг лиц, имеющих родство как препятствие к заключению брака. Причем следует заметить, что родство как условие, препятствующее заключению брака, не обязательно должно быть юридически оформлено, достаточно наличия фактических родственных отношений, допустим неустановленное отцовство.</w:t>
      </w:r>
      <w:r w:rsidRPr="00DA76A7">
        <w:rPr>
          <w:rFonts w:ascii="Arial" w:eastAsia="Calibri" w:hAnsi="Arial" w:cs="Arial"/>
          <w:color w:val="000000" w:themeColor="text1"/>
          <w:sz w:val="22"/>
          <w:szCs w:val="22"/>
        </w:rPr>
        <w:t>[2,31].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тем, что отношения усыновителей и усыновленных приравниваются к отношениям родителей и детей, брак между ними не допускается по этическим и нравственным соображениям, хотя и отсутствуют медицинские показания на запрет таких браков. Наличие факта усыновления - это третье обстоятельство, препятствующее заключению брака. Представляется необоснованной позиция законодателя, разрешающего браки между лицами, состоящими в отношениях свойства: отчим, мачеха и пасынки, падчерицы; теща, свекор и зять, невестка. На взгляд автора, абсолютно безнравственно заключение брака между лицами, связанными подобными семейными отношениями.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Другое обстоятельство, выделенное таджикским законодателем в качестве препятствия для заключения брака, - недееспособность лица (лиц) вследствие психического расстройства здоровья. Наличие психического заболевания само по себе не препятствует заключению брака, только установление недееспособности в судебном порядке делает невозможным вступление в брак. Заболевания, не связанные с психическими расстройствами здоровья, а только с физическими недугами, не являются препятствием для заключения брака.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Новый СК РТ предусматривает медицинское обследование лиц, вступающих в брак, в обязательном порядке ст. 15 СК РТ. </w:t>
      </w:r>
      <w:r w:rsidRPr="00DA76A7">
        <w:rPr>
          <w:rFonts w:ascii="Arial" w:eastAsia="Calibri" w:hAnsi="Arial" w:cs="Arial"/>
          <w:color w:val="000000" w:themeColor="text1"/>
          <w:sz w:val="22"/>
          <w:szCs w:val="22"/>
        </w:rPr>
        <w:t>[1,67].</w:t>
      </w:r>
      <w:r w:rsidRPr="00DA76A7">
        <w:rPr>
          <w:rFonts w:ascii="Arial" w:hAnsi="Arial" w:cs="Arial"/>
          <w:color w:val="000000" w:themeColor="text1"/>
          <w:sz w:val="22"/>
          <w:szCs w:val="22"/>
        </w:rPr>
        <w:t xml:space="preserve"> Разглашение сведений возможно лишь с согласия лица, прошедшего медицинское обследование.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лицо при заключении брака скрыло наличие венерического заболевания или ВИЧ-инфекции, то это является основанием для признания брака недействительным. Данные ограничения направлены на защиту прав и законных интересов добросовестного супруга и возможного потомства, так как заболевания, при наличии которых брак признается недействительным, являются «наследственными». Следует отметить, что, наличие заболеваний, передающихся половым путем, не является абсолютным препятствием для заключения брака, как указанные ранее обстоятельства: наличие другого зарегистрированного брака или состояние в родстве или усыновление, которые влекут ничтожность брачного союза независимо от воли лиц, его заключивших. Признание брака недействительным при сокрытии одним из супругов болезни производится по заявлению другого супруга.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Представляется нужным нормативно закрепить перечень заболеваний, передающихся по «наследству» потомкам и влекущих серьезные нарушения психического и физического здоровья, в качестве оснований, препятствующих заключению брака. Сделать это следует с целью сохранения здоровья будущих поколений.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Укреплению брака способствовал бы особый порядок его расторжения - только судебный порядок. Кроме того, следовало бы установить перечень оснований расторжения брака, указывающих на недобросовестность одного из супругов и дающих добросовестной стороне право на материальную компенсацию. По нашему мнению, к числу таковых можно отнести: сожительство с другим лицом; плохое обращение с членами семьи, в том числе насилие в семье; увлечение азартными играми, злоупотребление алкогольными напитками или наркотическими средствами; отдельное проживание в течение длительного времени.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ст. 17 СК РТ установлено ограничение права мужа на расторжение брака в период беременности жены и в течение года после рождения ребенка. Если же возражений со стороны супруги нет, то развод возможен. Справедливо было бы закрепить запрет на расторжение брака по требованию жены в период прохождения мужем срочной военной службы.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государство только сам не может справиться с существующими проблемами, даже если законодательство в этой области общественных отношений является совершенным, необходимо повысить не только правовую культуру и общественное сознание населения, но и улучшить его моральные и культурного состояния. Высокий уровень нравственности в обществе решит проблему необходимости введения некоторых положений в закон.</w:t>
      </w:r>
      <w:r w:rsidRPr="00DA76A7">
        <w:rPr>
          <w:rFonts w:ascii="Arial" w:eastAsia="Calibri" w:hAnsi="Arial" w:cs="Arial"/>
          <w:color w:val="000000" w:themeColor="text1"/>
          <w:sz w:val="22"/>
          <w:szCs w:val="22"/>
        </w:rPr>
        <w:t>[3,45].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Мировой опыт показывает, что факты родства, свойства, усыновления - наиболее часто встречаемые запреты на брак. Опека и попечительство в качестве препятствия к браку встречаются редко. Родство - это связь между людьми, обусловленная общим происхождением, которое бывает двух видов.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Происхождение одних людей от других (прямое родство), к числу таких родственников относят: родителей и детей; дедушек и бабушек по линии как отца, так и матери, с одной стороны, и внуков, внучек - с другой; прадедушек и прабабушек - правнуков и правнучек.</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Происхождение людей от общих предков (боковое родство). Боковыми родственниками являются между собой: братья и сестры (полнородные и неполнородные, имеющие двух или только одного общего родителя, единокровные - общий отец, единоутробные - общая мать); дяди, тети и племянники, племянницы; двоюродные братья и сестры и т.д.</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Восходящие линии родства ведут от потомков к предкам, нисходящие - в обратном направлении (от предков к потомкам).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Юридическое значение могут иметь степени родства. Степень родства определяется числом рождений, отделяющих людей друг от друга.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Свойство определяется как связь, основанная на браке двух лиц, принадлежащих к разным родам.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со ст. 14 Семейного кодекса Республике Таджикистан не допускается заключение брака между: лицами,  из  которых хотя бы одно лицо уже состоит в другом зарегистрированном браке; близкими родственниками (между отцом или матерью и дочерью или сыном, между дедом или бабушкой и внуком или внучкой); полнородными  и  неполнородными  (имеющими  общих  отца или мать) братьями и сестрами; детьми братьев, сестер, братьев и сестер; дядей по материнской линии и племянницей, дядей по отцовской линии и племянницей, тетей по материнской линии и племянником, тетей по отцовской линии и племянником; лицами, выкормленными молоком одной женщины; лицами, не проходившими обязательного медицинского обследования; усыновителями и усыновленными; лицами, из которых хотя бы одно лицо признано судом недееспособным вследствие  душевной болезни или слабоумия; лицами, одно из которых признано судом ограниченно дееспособным вследствие злоупотребления спиртными напитками, наркотическими средствами, психотропными веществами и прекурсорами или иными одурманивающими веществами.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Абсолютно верно, позиция законодателя в отношении запрета браков между приемными родителями и усыновленными детьми, а именно по моральным соображениям. Однако не все так просто. Есть несколько вопросов. Во-первых, насколько этично это допускать браки, когда усыновление отменяется. Вероятно, важна продолжительность существования отношений усыновления. Во-вторых, для усыновленного ребенка, несмотря на прекращение правовых отношений с фактическими близкими родственниками, кровные отношения сохраняются и, соответственно, остается запрет на вступление в брак с близкими родственниками. Однако никто еще не отменил уголовную ответственность за разглашение секретов усыновления. В-третьих, закон не решает вопрос о допустимости или незаконности браков, принятых усыновителями (приемными родителями) между собой или своими детьми. И, наконец, усыновление - это не единственная форма размещения детей, оставшихся без попечения родителей, предусмотренных действующим законодательством. Подобно принятию отношений - это опека (опека), приемная семья, а также фактическое воспитание ребенка. Допускаются браки между опекуном (опекуном) и лицом под опекой (опекуном), усыновителями и приемными детьми, фактическими педагогами и фактическими учениками, хотя они также безнравственны, как браки между приемными родителями и усыновленными детьми.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Похоже, что на основе медицинских генетических, моральных, моральных и этических соображений, внутреннего и мирового опыта круг лиц, которым запрещено вступать в брак по российскому законодательству, неоправданно узкий. Кроме того, основания для запретов и их отмены не определены. Исходя из всего вышесказанного, можно отметить, что законодатель Республики Таджикистан следит за правильным курсом. Поскольку родство приведет к негативным последствиям.</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Семейный кодекс Республики Таджикистан от 13 ноября 1998 г. № 682 // Ахбори Маджлиси Оли Республики Таджикистан, 1998 г., №22, ст. 303; 2006 г., №4, ст. 196; 2008 г., №3, ст. 201; 2010 г., №7, ст. 546; 2011 г., №3, ст. 177, №12, ст. 855; 2013 г., №3, ст. 195; 2015 г., №11, ст. 960; 2016 г., №3, ст. 143; Закон РТ от 14.11.2016 г., №1365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Косарева И.А. Отношения родства, усыновления, свойства, опеки и попечительства как обстоятельства, препятствующие заключению брака по законодательству России и зарубежных стран / И.А. Косарева. // Нотариус. – 2007. – № 4. – С. 15-35.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Манукян Ю.К. Современное семейное право Российской Федерации и шариат. / Ю.К. Манукян. – Ростов: «Феникс». 2003. – 518 с.</w:t>
      </w:r>
    </w:p>
    <w:p w:rsidR="00181BA7" w:rsidRPr="005D1C4B" w:rsidRDefault="00181BA7" w:rsidP="00181BA7">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rPr>
        <w:t xml:space="preserve">4. </w:t>
      </w:r>
      <w:r w:rsidRPr="00DA76A7">
        <w:rPr>
          <w:rFonts w:ascii="Arial" w:hAnsi="Arial" w:cs="Arial"/>
          <w:noProof/>
          <w:color w:val="000000" w:themeColor="text1"/>
          <w:sz w:val="22"/>
          <w:szCs w:val="22"/>
          <w:lang w:val="tg-Cyrl-TJ"/>
        </w:rPr>
        <w:t xml:space="preserve">Махмудов М.А. Комментарии к Семейному кодексу Республики Таджикистан.- Душанбе: </w:t>
      </w:r>
      <w:r w:rsidRPr="005D1C4B">
        <w:rPr>
          <w:rFonts w:ascii="Arial" w:hAnsi="Arial" w:cs="Arial"/>
          <w:color w:val="000000" w:themeColor="text1"/>
          <w:sz w:val="22"/>
          <w:szCs w:val="22"/>
          <w:lang w:val="en-US"/>
        </w:rPr>
        <w:t>«</w:t>
      </w:r>
      <w:r w:rsidRPr="00DA76A7">
        <w:rPr>
          <w:rFonts w:ascii="Arial" w:hAnsi="Arial" w:cs="Arial"/>
          <w:noProof/>
          <w:color w:val="000000" w:themeColor="text1"/>
          <w:sz w:val="22"/>
          <w:szCs w:val="22"/>
          <w:lang w:val="tg-Cyrl-TJ"/>
        </w:rPr>
        <w:t>Эр</w:t>
      </w:r>
      <w:r w:rsidRPr="00DA76A7">
        <w:rPr>
          <w:rFonts w:ascii="Arial" w:hAnsi="Arial" w:cs="Arial"/>
          <w:noProof/>
          <w:color w:val="000000" w:themeColor="text1"/>
          <w:sz w:val="22"/>
          <w:szCs w:val="22"/>
        </w:rPr>
        <w:t>граф</w:t>
      </w:r>
      <w:r w:rsidRPr="005D1C4B">
        <w:rPr>
          <w:rFonts w:ascii="Arial" w:hAnsi="Arial" w:cs="Arial"/>
          <w:noProof/>
          <w:color w:val="000000" w:themeColor="text1"/>
          <w:sz w:val="22"/>
          <w:szCs w:val="22"/>
          <w:lang w:val="en-US"/>
        </w:rPr>
        <w:t xml:space="preserve">», 2011. – 432 </w:t>
      </w:r>
      <w:r w:rsidRPr="00DA76A7">
        <w:rPr>
          <w:rFonts w:ascii="Arial" w:hAnsi="Arial" w:cs="Arial"/>
          <w:noProof/>
          <w:color w:val="000000" w:themeColor="text1"/>
          <w:sz w:val="22"/>
          <w:szCs w:val="22"/>
        </w:rPr>
        <w:t>с</w:t>
      </w:r>
      <w:r w:rsidRPr="005D1C4B">
        <w:rPr>
          <w:rFonts w:ascii="Arial" w:hAnsi="Arial" w:cs="Arial"/>
          <w:noProof/>
          <w:color w:val="000000" w:themeColor="text1"/>
          <w:sz w:val="22"/>
          <w:szCs w:val="22"/>
          <w:lang w:val="en-US"/>
        </w:rPr>
        <w:t xml:space="preserve">. </w:t>
      </w:r>
    </w:p>
    <w:p w:rsidR="00181BA7" w:rsidRPr="005D1C4B" w:rsidRDefault="00181BA7" w:rsidP="00181BA7">
      <w:pPr>
        <w:shd w:val="clear" w:color="auto" w:fill="FFFFFF"/>
        <w:ind w:firstLine="567"/>
        <w:jc w:val="both"/>
        <w:rPr>
          <w:rFonts w:ascii="Arial" w:hAnsi="Arial" w:cs="Arial"/>
          <w:color w:val="000000" w:themeColor="text1"/>
          <w:sz w:val="22"/>
          <w:szCs w:val="22"/>
          <w:lang w:val="en-US"/>
        </w:rPr>
      </w:pPr>
    </w:p>
    <w:p w:rsidR="00181BA7" w:rsidRPr="005D1C4B" w:rsidRDefault="00181BA7" w:rsidP="00181BA7">
      <w:pPr>
        <w:ind w:firstLine="567"/>
        <w:jc w:val="center"/>
        <w:rPr>
          <w:rFonts w:ascii="Arial" w:hAnsi="Arial" w:cs="Arial"/>
          <w:b/>
          <w:bCs/>
          <w:color w:val="000000" w:themeColor="text1"/>
          <w:sz w:val="22"/>
          <w:szCs w:val="22"/>
          <w:lang w:val="en-US"/>
        </w:rPr>
      </w:pPr>
    </w:p>
    <w:p w:rsidR="00ED3C2E" w:rsidRPr="00DA76A7" w:rsidRDefault="00ED3C2E" w:rsidP="00ED3C2E">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ON SOURCES OF CIVIL JUSTICE OF MINORS IN THE INFORMATION SPHERE</w:t>
      </w:r>
    </w:p>
    <w:p w:rsidR="00ED3C2E" w:rsidRPr="00DA76A7" w:rsidRDefault="00ED3C2E" w:rsidP="00ED3C2E">
      <w:pPr>
        <w:jc w:val="center"/>
        <w:rPr>
          <w:rFonts w:ascii="Arial" w:hAnsi="Arial" w:cs="Arial"/>
          <w:b/>
          <w:color w:val="000000" w:themeColor="text1"/>
          <w:sz w:val="22"/>
          <w:szCs w:val="22"/>
          <w:lang w:val="en-US"/>
        </w:rPr>
      </w:pPr>
    </w:p>
    <w:p w:rsidR="00ED3C2E" w:rsidRPr="00DA76A7" w:rsidRDefault="00ED3C2E" w:rsidP="00ED3C2E">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Kurbonalizoda Nurullo Shamsullo</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candidate of law, associate professor of the faculty of law</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Tajik national university</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Rudaki Ave. 17.</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+992918510302, e-mail: Nurullo1988@inbox.ru</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p>
    <w:p w:rsidR="00ED3C2E" w:rsidRPr="00DA76A7" w:rsidRDefault="00ED3C2E" w:rsidP="00ED3C2E">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Azizzoda Maston</w:t>
      </w:r>
      <w:r w:rsidRPr="00DA76A7">
        <w:rPr>
          <w:rFonts w:ascii="Arial" w:hAnsi="Arial" w:cs="Arial"/>
          <w:b/>
          <w:color w:val="000000" w:themeColor="text1"/>
          <w:sz w:val="22"/>
          <w:szCs w:val="22"/>
        </w:rPr>
        <w:t>а</w:t>
      </w:r>
      <w:r w:rsidRPr="00DA76A7">
        <w:rPr>
          <w:rFonts w:ascii="Arial" w:hAnsi="Arial" w:cs="Arial"/>
          <w:b/>
          <w:color w:val="000000" w:themeColor="text1"/>
          <w:sz w:val="22"/>
          <w:szCs w:val="22"/>
          <w:lang w:val="en-US"/>
        </w:rPr>
        <w:t xml:space="preserve"> Ibrohim</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first year of law school</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Tajik national university</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Rudaki Ave. 17.</w:t>
      </w:r>
    </w:p>
    <w:p w:rsidR="00ED3C2E" w:rsidRPr="00DA76A7" w:rsidRDefault="00ED3C2E" w:rsidP="00ED3C2E">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+992918510302, e-mail: Nurullo1988@inbox.ru</w:t>
      </w:r>
    </w:p>
    <w:p w:rsidR="00ED3C2E" w:rsidRPr="00DA76A7" w:rsidRDefault="00ED3C2E" w:rsidP="00ED3C2E">
      <w:pPr>
        <w:tabs>
          <w:tab w:val="left" w:pos="7860"/>
        </w:tabs>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
      </w:r>
    </w:p>
    <w:p w:rsidR="00ED3C2E" w:rsidRPr="00DA76A7" w:rsidRDefault="00ED3C2E" w:rsidP="00ED3C2E">
      <w:pPr>
        <w:jc w:val="center"/>
        <w:rPr>
          <w:rFonts w:ascii="Arial" w:hAnsi="Arial" w:cs="Arial"/>
          <w:b/>
          <w:color w:val="000000" w:themeColor="text1"/>
          <w:sz w:val="22"/>
          <w:szCs w:val="22"/>
        </w:rPr>
      </w:pPr>
      <w:r w:rsidRPr="00DA76A7">
        <w:rPr>
          <w:rFonts w:ascii="Arial" w:hAnsi="Arial" w:cs="Arial"/>
          <w:b/>
          <w:color w:val="000000" w:themeColor="text1"/>
          <w:sz w:val="22"/>
          <w:szCs w:val="22"/>
        </w:rPr>
        <w:t>ОБ ИСТОЧНИКАХ ГРАЖДАНСКОЙ ПРАВОСУБЪЕКТНОСТИ НЕСОВЕРШЕННОЛЕТНИХ В ИНФОРМАЦИОННОЙ СФЕРЕ</w:t>
      </w:r>
    </w:p>
    <w:p w:rsidR="00ED3C2E" w:rsidRPr="00DA76A7" w:rsidRDefault="00ED3C2E" w:rsidP="00ED3C2E">
      <w:pPr>
        <w:jc w:val="center"/>
        <w:rPr>
          <w:rFonts w:ascii="Arial" w:hAnsi="Arial" w:cs="Arial"/>
          <w:b/>
          <w:color w:val="000000" w:themeColor="text1"/>
          <w:sz w:val="22"/>
          <w:szCs w:val="22"/>
        </w:rPr>
      </w:pPr>
    </w:p>
    <w:p w:rsidR="00ED3C2E" w:rsidRPr="00DA76A7" w:rsidRDefault="00ED3C2E" w:rsidP="00ED3C2E">
      <w:pPr>
        <w:jc w:val="center"/>
        <w:rPr>
          <w:rFonts w:ascii="Arial" w:hAnsi="Arial" w:cs="Arial"/>
          <w:b/>
          <w:color w:val="000000" w:themeColor="text1"/>
          <w:sz w:val="22"/>
          <w:szCs w:val="22"/>
        </w:rPr>
      </w:pPr>
      <w:r w:rsidRPr="00DA76A7">
        <w:rPr>
          <w:rFonts w:ascii="Arial" w:hAnsi="Arial" w:cs="Arial"/>
          <w:b/>
          <w:color w:val="000000" w:themeColor="text1"/>
          <w:sz w:val="22"/>
          <w:szCs w:val="22"/>
        </w:rPr>
        <w:t>Курбонализода Нурулло Шамсулло</w:t>
      </w:r>
    </w:p>
    <w:p w:rsidR="00ED3C2E" w:rsidRPr="00DA76A7" w:rsidRDefault="00ED3C2E" w:rsidP="00ED3C2E">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кандидат юридических наук, доцент юридического факультета </w:t>
      </w:r>
    </w:p>
    <w:p w:rsidR="00ED3C2E" w:rsidRPr="00DA76A7" w:rsidRDefault="00ED3C2E" w:rsidP="00ED3C2E">
      <w:pPr>
        <w:jc w:val="center"/>
        <w:rPr>
          <w:rFonts w:ascii="Arial" w:hAnsi="Arial" w:cs="Arial"/>
          <w:color w:val="000000" w:themeColor="text1"/>
          <w:sz w:val="22"/>
          <w:szCs w:val="22"/>
        </w:rPr>
      </w:pPr>
      <w:r w:rsidRPr="00DA76A7">
        <w:rPr>
          <w:rFonts w:ascii="Arial" w:hAnsi="Arial" w:cs="Arial"/>
          <w:color w:val="000000" w:themeColor="text1"/>
          <w:sz w:val="22"/>
          <w:szCs w:val="22"/>
        </w:rPr>
        <w:t>Таджикский национальный университет</w:t>
      </w:r>
    </w:p>
    <w:p w:rsidR="00ED3C2E" w:rsidRPr="00DA76A7" w:rsidRDefault="00ED3C2E" w:rsidP="00ED3C2E">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пр. Рудаки 17. </w:t>
      </w:r>
    </w:p>
    <w:p w:rsidR="00ED3C2E" w:rsidRPr="00DA76A7" w:rsidRDefault="00ED3C2E" w:rsidP="00ED3C2E">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+992918510302,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09" w:history="1">
        <w:r w:rsidRPr="00DA76A7">
          <w:rPr>
            <w:rStyle w:val="af0"/>
            <w:rFonts w:ascii="Arial" w:hAnsi="Arial" w:cs="Arial"/>
            <w:color w:val="000000" w:themeColor="text1"/>
            <w:sz w:val="22"/>
            <w:szCs w:val="22"/>
            <w:u w:val="none"/>
            <w:lang w:val="en-US"/>
          </w:rPr>
          <w:t>Nurullo</w:t>
        </w:r>
        <w:r w:rsidRPr="00DA76A7">
          <w:rPr>
            <w:rStyle w:val="af0"/>
            <w:rFonts w:ascii="Arial" w:hAnsi="Arial" w:cs="Arial"/>
            <w:color w:val="000000" w:themeColor="text1"/>
            <w:sz w:val="22"/>
            <w:szCs w:val="22"/>
            <w:u w:val="none"/>
          </w:rPr>
          <w:t>1988@</w:t>
        </w:r>
        <w:r w:rsidRPr="00DA76A7">
          <w:rPr>
            <w:rStyle w:val="af0"/>
            <w:rFonts w:ascii="Arial" w:hAnsi="Arial" w:cs="Arial"/>
            <w:color w:val="000000" w:themeColor="text1"/>
            <w:sz w:val="22"/>
            <w:szCs w:val="22"/>
            <w:u w:val="none"/>
            <w:lang w:val="en-US"/>
          </w:rPr>
          <w:t>inbox</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ED3C2E" w:rsidRPr="00DA76A7" w:rsidRDefault="00ED3C2E" w:rsidP="00ED3C2E">
      <w:pPr>
        <w:jc w:val="both"/>
        <w:rPr>
          <w:rFonts w:ascii="Arial" w:hAnsi="Arial" w:cs="Arial"/>
          <w:color w:val="000000" w:themeColor="text1"/>
          <w:sz w:val="22"/>
          <w:szCs w:val="22"/>
          <w:shd w:val="clear" w:color="auto" w:fill="FFFFFF"/>
        </w:rPr>
      </w:pPr>
    </w:p>
    <w:p w:rsidR="00ED3C2E" w:rsidRPr="00DA76A7" w:rsidRDefault="00ED3C2E" w:rsidP="00ED3C2E">
      <w:pPr>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Азиззода Мастона Иброхим</w:t>
      </w:r>
    </w:p>
    <w:p w:rsidR="00ED3C2E" w:rsidRPr="00DA76A7" w:rsidRDefault="00ED3C2E" w:rsidP="00ED3C2E">
      <w:pPr>
        <w:jc w:val="center"/>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аспирантка 1-го года обучения юридического факультета</w:t>
      </w:r>
    </w:p>
    <w:p w:rsidR="00ED3C2E" w:rsidRPr="00DA76A7" w:rsidRDefault="00ED3C2E" w:rsidP="00ED3C2E">
      <w:pPr>
        <w:jc w:val="center"/>
        <w:rPr>
          <w:rFonts w:ascii="Arial" w:hAnsi="Arial" w:cs="Arial"/>
          <w:color w:val="000000" w:themeColor="text1"/>
          <w:sz w:val="22"/>
          <w:szCs w:val="22"/>
        </w:rPr>
      </w:pPr>
      <w:r w:rsidRPr="00DA76A7">
        <w:rPr>
          <w:rFonts w:ascii="Arial" w:hAnsi="Arial" w:cs="Arial"/>
          <w:color w:val="000000" w:themeColor="text1"/>
          <w:sz w:val="22"/>
          <w:szCs w:val="22"/>
        </w:rPr>
        <w:t>Таджикский национальный университет</w:t>
      </w:r>
    </w:p>
    <w:p w:rsidR="00ED3C2E" w:rsidRPr="00DA76A7" w:rsidRDefault="00ED3C2E" w:rsidP="00ED3C2E">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734025, Республика Таджикистан, г. Душанбе, пр. Рудаки</w:t>
      </w:r>
      <w:r w:rsidRPr="00DA76A7">
        <w:rPr>
          <w:rFonts w:ascii="Arial" w:hAnsi="Arial" w:cs="Arial"/>
          <w:color w:val="000000" w:themeColor="text1"/>
          <w:sz w:val="22"/>
          <w:szCs w:val="22"/>
          <w:lang w:val="en-US"/>
        </w:rPr>
        <w:t xml:space="preserve"> 17. </w:t>
      </w:r>
    </w:p>
    <w:p w:rsidR="00ED3C2E" w:rsidRPr="00DA76A7" w:rsidRDefault="00ED3C2E" w:rsidP="00ED3C2E">
      <w:pPr>
        <w:tabs>
          <w:tab w:val="left" w:pos="7860"/>
        </w:tabs>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 xml:space="preserve">tel.: +992918510302, e-mail: </w:t>
      </w:r>
      <w:hyperlink r:id="rId210" w:history="1">
        <w:r w:rsidRPr="00DA76A7">
          <w:rPr>
            <w:rStyle w:val="af0"/>
            <w:rFonts w:ascii="Arial" w:hAnsi="Arial" w:cs="Arial"/>
            <w:color w:val="000000" w:themeColor="text1"/>
            <w:sz w:val="22"/>
            <w:szCs w:val="22"/>
            <w:u w:val="none"/>
            <w:lang w:val="en-US"/>
          </w:rPr>
          <w:t>Nurullo1988@inbox.ru</w:t>
        </w:r>
      </w:hyperlink>
    </w:p>
    <w:p w:rsidR="00ED3C2E" w:rsidRPr="00DA76A7" w:rsidRDefault="00ED3C2E" w:rsidP="00ED3C2E">
      <w:pPr>
        <w:ind w:firstLine="567"/>
        <w:jc w:val="both"/>
        <w:rPr>
          <w:rFonts w:ascii="Arial" w:hAnsi="Arial" w:cs="Arial"/>
          <w:b/>
          <w:color w:val="000000" w:themeColor="text1"/>
          <w:sz w:val="22"/>
          <w:szCs w:val="22"/>
          <w:lang w:val="en-US"/>
        </w:rPr>
      </w:pP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Annotation: </w:t>
      </w:r>
      <w:r w:rsidRPr="00DA76A7">
        <w:rPr>
          <w:rFonts w:ascii="Arial" w:hAnsi="Arial" w:cs="Arial"/>
          <w:color w:val="000000" w:themeColor="text1"/>
          <w:sz w:val="22"/>
          <w:szCs w:val="22"/>
          <w:lang w:val="en-US"/>
        </w:rPr>
        <w:t>The article considers the question of  the legal personality of the minor children  in the sphere of information activities in the Republic of Tajikistan. They are determined by information rights and duties of the minor children  according to the national legislation.</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b/>
          <w:color w:val="000000" w:themeColor="text1"/>
          <w:sz w:val="22"/>
          <w:szCs w:val="22"/>
        </w:rPr>
        <w:t>Аннотация.</w:t>
      </w:r>
      <w:r w:rsidRPr="00DA76A7">
        <w:rPr>
          <w:rFonts w:ascii="Arial" w:hAnsi="Arial" w:cs="Arial"/>
          <w:color w:val="000000" w:themeColor="text1"/>
          <w:sz w:val="22"/>
          <w:szCs w:val="22"/>
        </w:rPr>
        <w:t xml:space="preserve"> В статье рассматривается вопрос о правосубъектности несовершеннолетних детей в сфере информационной деятельности в Республике Таджикистан. Они определяются информационными правами и обязанностями несовершеннолетних детей в соответствии с национальным законодательством.</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Key words: </w:t>
      </w:r>
      <w:r w:rsidRPr="00DA76A7">
        <w:rPr>
          <w:rFonts w:ascii="Arial" w:hAnsi="Arial" w:cs="Arial"/>
          <w:color w:val="000000" w:themeColor="text1"/>
          <w:sz w:val="22"/>
          <w:szCs w:val="22"/>
          <w:lang w:val="en-US"/>
        </w:rPr>
        <w:t xml:space="preserve">Informational rights of a minor children,  legal subjectivity of a minor children, informational obligation, sources of the rights of a minor children on information,  harmful information, protection of informational rights, restriction or rejection to information access.   </w:t>
      </w:r>
    </w:p>
    <w:p w:rsidR="00ED3C2E" w:rsidRPr="00DA76A7" w:rsidRDefault="00ED3C2E" w:rsidP="00ED3C2E">
      <w:pPr>
        <w:ind w:firstLine="567"/>
        <w:jc w:val="both"/>
        <w:rPr>
          <w:rFonts w:ascii="Arial" w:hAnsi="Arial" w:cs="Arial"/>
          <w:color w:val="000000" w:themeColor="text1"/>
          <w:sz w:val="22"/>
          <w:szCs w:val="22"/>
        </w:rPr>
      </w:pPr>
      <w:r w:rsidRPr="00DA76A7">
        <w:rPr>
          <w:rFonts w:ascii="Arial" w:hAnsi="Arial" w:cs="Arial"/>
          <w:b/>
          <w:color w:val="000000" w:themeColor="text1"/>
          <w:sz w:val="22"/>
          <w:szCs w:val="22"/>
        </w:rPr>
        <w:t xml:space="preserve">Ключевые слова: </w:t>
      </w:r>
      <w:r w:rsidRPr="00DA76A7">
        <w:rPr>
          <w:rFonts w:ascii="Arial" w:hAnsi="Arial" w:cs="Arial"/>
          <w:color w:val="000000" w:themeColor="text1"/>
          <w:sz w:val="22"/>
          <w:szCs w:val="22"/>
        </w:rPr>
        <w:t>Информационные права несовершеннолетних детей, правосубъектность несовершеннолетних детей, информационное обязательство, источники прав несовершеннолетних детей на информацию, вредная информация, защита информационных прав, ограничение или отказ в доступе к информации.</w:t>
      </w:r>
    </w:p>
    <w:p w:rsidR="00ED3C2E" w:rsidRPr="00DA76A7" w:rsidRDefault="00ED3C2E" w:rsidP="00ED3C2E">
      <w:pPr>
        <w:ind w:firstLine="567"/>
        <w:jc w:val="both"/>
        <w:rPr>
          <w:rFonts w:ascii="Arial" w:hAnsi="Arial" w:cs="Arial"/>
          <w:color w:val="000000" w:themeColor="text1"/>
          <w:sz w:val="22"/>
          <w:szCs w:val="22"/>
        </w:rPr>
      </w:pP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After gaining state independence Constitution of the Republic of Tajikistan (1994) in chapter 2 «Rights, Liberties, basic duties of a man and citizen» is used not only term «citizen», but also term «man», uniting them into notion «every». By this civilized approach the main law includes citizens of their country into the system of international law, recognizing and protecting the rights of a man independently from its national-legal status. According to part 1, article 23 of the Constitution of the Republic of Tajikistan everybody is ensured by secret of correspondence, (tele)tel. conversations, telegraph and other personal messages except cases stipulated by law. For implementation of the given right in part 2 of the same article of the main law is provided that collection, keeping, usage and spreading information about private domain (personal life) of a human without his agree (accord) are prohibited. This order is spreaded also to minor children.</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In our opinion, sources of legal subjectivity  of minor children in information sphere are divided into international legal acts and national legislation. On international level ground (fundamental) significance has convention on the rights of child, preamble of which says that member countries of this convention «….ascertained in that family as the first partition of society and also natural environment for wellbeing of all members, especially. For children, for productive functioning inside this society must be ensured  by necessary protection and support…»  Recognizing that for intect and harmonic development   of a child it is necessary family surrounding, declaration reads that a child before born and after born they are necessary definite guarantees and defence by the legislation [7] it should be noted that a given Convention under the notion of a child it is understood natural natural person not achieved the age of 18, that is including minors.</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In different articles of the present Convention more elaborately expressed legal subjectivity of minor children in information exchange. For instance, in accordance with article 13 of this Convention minor has the right to express his opinion freely. This right includes freedom to search, to get and to address in formation and any ideas independently from border in oral, written or printed forms. It is also said in part 2 about some limits of implementation of this right, which provided by law and are necessary for the respect of rights and reputation of other persons or for the safeguard of state security, or public order, or health, or morality of population.</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Convention on the rights of child provides obligations of states participants in the sphere of respect of rights of minor children for freedom of speech, thought awareness and religion. States-participants to lead minors in using his rights by method of according with developing abilities of minors.  Freedom of (shrive) belief in his own religion  may be undergone only such limits which defined by law.</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Convention also regulates access of  minors to information. In article 17 it is provided that participants-states recognize important role of mass media and ensure in order minor children should have access to information and materials from various national and international sources especially to information and materials which directed to the assistant of social, spiritual and moral well-being, as well as healthy physical and mental development of a minor [9,106-776] with this aim participant states: </w:t>
      </w:r>
    </w:p>
    <w:p w:rsidR="00ED3C2E" w:rsidRPr="00DA76A7" w:rsidRDefault="00ED3C2E" w:rsidP="00ED3C2E">
      <w:pPr>
        <w:pStyle w:val="a6"/>
        <w:numPr>
          <w:ilvl w:val="0"/>
          <w:numId w:val="78"/>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to encourage  mass media to spread of information and materials, useful for minor children in social and cultural relations;</w:t>
      </w:r>
    </w:p>
    <w:p w:rsidR="00ED3C2E" w:rsidRPr="00DA76A7" w:rsidRDefault="00ED3C2E" w:rsidP="00ED3C2E">
      <w:pPr>
        <w:pStyle w:val="a6"/>
        <w:numPr>
          <w:ilvl w:val="0"/>
          <w:numId w:val="78"/>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encourage international cooperation in the field of preparing, exchange and spread of such information and materials from different cultural, national and international sources; </w:t>
      </w:r>
    </w:p>
    <w:p w:rsidR="00ED3C2E" w:rsidRPr="00DA76A7" w:rsidRDefault="00ED3C2E" w:rsidP="00ED3C2E">
      <w:pPr>
        <w:pStyle w:val="a6"/>
        <w:numPr>
          <w:ilvl w:val="0"/>
          <w:numId w:val="78"/>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 encourage outcome and spread of children’s  literature; </w:t>
      </w:r>
    </w:p>
    <w:p w:rsidR="00ED3C2E" w:rsidRPr="00DA76A7" w:rsidRDefault="00ED3C2E" w:rsidP="00ED3C2E">
      <w:pPr>
        <w:pStyle w:val="a6"/>
        <w:numPr>
          <w:ilvl w:val="0"/>
          <w:numId w:val="78"/>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 encourage mass media to pay special attention to language needs of a minor belonged to any group of minority or native-born population; </w:t>
      </w:r>
    </w:p>
    <w:p w:rsidR="00ED3C2E" w:rsidRPr="00DA76A7" w:rsidRDefault="00ED3C2E" w:rsidP="00ED3C2E">
      <w:pPr>
        <w:pStyle w:val="a6"/>
        <w:numPr>
          <w:ilvl w:val="0"/>
          <w:numId w:val="78"/>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encourage working out necessary principles of protection of minors from information and materials caused harm to his well-being taking into consideration the situation [articles 13 and 18].</w:t>
      </w:r>
    </w:p>
    <w:p w:rsidR="00ED3C2E" w:rsidRPr="00DA76A7" w:rsidRDefault="00ED3C2E" w:rsidP="00ED3C2E">
      <w:pPr>
        <w:tabs>
          <w:tab w:val="left" w:pos="851"/>
        </w:tabs>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One of the main forms of manifestation is the right to education. That’s why in article 28 of Convention provided that participants states recognize the right of a child to educations and with the purpose of  gradual achievement of of implementation of this right on the basis of equal possibilities they do the following tasks: </w:t>
      </w:r>
    </w:p>
    <w:p w:rsidR="00ED3C2E" w:rsidRPr="00DA76A7" w:rsidRDefault="00ED3C2E" w:rsidP="00ED3C2E">
      <w:pPr>
        <w:pStyle w:val="a6"/>
        <w:numPr>
          <w:ilvl w:val="0"/>
          <w:numId w:val="79"/>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introduce free of charge and obligatory initial education;</w:t>
      </w:r>
    </w:p>
    <w:p w:rsidR="00ED3C2E" w:rsidRPr="00DA76A7" w:rsidRDefault="00ED3C2E" w:rsidP="00ED3C2E">
      <w:pPr>
        <w:pStyle w:val="a6"/>
        <w:numPr>
          <w:ilvl w:val="0"/>
          <w:numId w:val="79"/>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encourage development of different forms of high education as general and professional, ensure its access for all children and take such necessary measures as introduction free of charge education and representation in case of necessity financial and help; </w:t>
      </w:r>
    </w:p>
    <w:p w:rsidR="00ED3C2E" w:rsidRPr="00DA76A7" w:rsidRDefault="00ED3C2E" w:rsidP="00ED3C2E">
      <w:pPr>
        <w:pStyle w:val="a6"/>
        <w:numPr>
          <w:ilvl w:val="0"/>
          <w:numId w:val="79"/>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ensure access to higher education for all on the base of abilities of everybody with the help of all necessary means; </w:t>
      </w:r>
    </w:p>
    <w:p w:rsidR="00ED3C2E" w:rsidRPr="00DA76A7" w:rsidRDefault="00ED3C2E" w:rsidP="00ED3C2E">
      <w:pPr>
        <w:pStyle w:val="a6"/>
        <w:numPr>
          <w:ilvl w:val="0"/>
          <w:numId w:val="79"/>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ensure access to information and materials in the field of education and professional training for all children ; </w:t>
      </w:r>
    </w:p>
    <w:p w:rsidR="00ED3C2E" w:rsidRPr="00DA76A7" w:rsidRDefault="00ED3C2E" w:rsidP="00ED3C2E">
      <w:pPr>
        <w:pStyle w:val="a6"/>
        <w:numPr>
          <w:ilvl w:val="0"/>
          <w:numId w:val="79"/>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take measures on assistance of regular attendance of school and decreasing number of pupils, left schools. [9]</w:t>
      </w:r>
    </w:p>
    <w:p w:rsidR="00ED3C2E" w:rsidRPr="00DA76A7" w:rsidRDefault="00ED3C2E" w:rsidP="00ED3C2E">
      <w:pPr>
        <w:tabs>
          <w:tab w:val="left" w:pos="851"/>
        </w:tabs>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Other source on international level may be considered Cairo Declaration on Human Rights in Islam. Article 7 says: «From the moment of birth every  minor child has the right to necessary care, education, as well as material, hygienic and moral support which must be ensured by parents, society and state. As for the child so for the mother is necessary special care and support by the legislation».[5]</w:t>
      </w:r>
    </w:p>
    <w:p w:rsidR="00ED3C2E" w:rsidRPr="00DA76A7" w:rsidRDefault="00ED3C2E" w:rsidP="00ED3C2E">
      <w:pPr>
        <w:tabs>
          <w:tab w:val="left" w:pos="851"/>
        </w:tabs>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On international level as a source of rights of minors on information may be included The universal Islamic Declaration says:</w:t>
      </w:r>
    </w:p>
    <w:p w:rsidR="00ED3C2E" w:rsidRPr="00DA76A7" w:rsidRDefault="00ED3C2E" w:rsidP="00ED3C2E">
      <w:pPr>
        <w:pStyle w:val="a6"/>
        <w:numPr>
          <w:ilvl w:val="0"/>
          <w:numId w:val="80"/>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every man has the right to express his thoughts and beliefs on that measure and degree on which it permitted (provided) by law. Nobody has the  right to spread wrong information directed with aim of to do harm on public morality or libel and belittlement, or to damage to prestige of others; </w:t>
      </w:r>
    </w:p>
    <w:p w:rsidR="00ED3C2E" w:rsidRPr="00DA76A7" w:rsidRDefault="00ED3C2E" w:rsidP="00ED3C2E">
      <w:pPr>
        <w:pStyle w:val="a6"/>
        <w:numPr>
          <w:ilvl w:val="0"/>
          <w:numId w:val="80"/>
        </w:numPr>
        <w:tabs>
          <w:tab w:val="left" w:pos="851"/>
        </w:tabs>
        <w:spacing w:after="0" w:line="240" w:lineRule="auto"/>
        <w:ind w:left="0" w:firstLine="567"/>
        <w:jc w:val="both"/>
        <w:rPr>
          <w:rFonts w:ascii="Arial" w:hAnsi="Arial" w:cs="Arial"/>
          <w:color w:val="000000" w:themeColor="text1"/>
          <w:lang w:val="en-US"/>
        </w:rPr>
      </w:pPr>
      <w:r w:rsidRPr="00DA76A7">
        <w:rPr>
          <w:rFonts w:ascii="Arial" w:hAnsi="Arial" w:cs="Arial"/>
          <w:color w:val="000000" w:themeColor="text1"/>
          <w:lang w:val="en-US"/>
        </w:rPr>
        <w:t xml:space="preserve">it must not be any obstacles on spreading information, if it is not dangerous for the interests of state or society and doesn’t come out of the limits, provided by law. Further in article 21 provided that every person has the right to education according to their born abilities and possibilities. </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In point 2 of this article it also said that everybody has the right on free choice of profession and career and opportunity  most Full development their born abilities. [1]</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Article 19 of Universal Declaration of Human Rights provides  the right of everybody to search freely, get and spread information and ideas by any means and independently an state borders. </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To the number of international sources of minors rights on information it may be also included international Pact on civil and political rights and European convention on human rights defense and main freedoms. In part 2 of article 19 on international pact on civil and political rights was determined that everybody has the right to express his opinion freely, this right include  freedom of search , get and ideas independently from state borders orally, in written or publish in newspapers, as well as by means of from literary  forms of expression  or by other ways on own choice. </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Article 10 of European  convention  on human rights defense and main freedoms says: “everybody has the tight to express his opinion freely”.</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This right  includes the  freedom of support one’s own opinion, to get and to spread information and ideas without interference by state bodies and independently of state borders [8,174].</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Law of the Republic of Tajikistan «On information» provides that the citizens have the right to information, put Fundamental legal basis information. Th</w:t>
      </w:r>
      <w:r w:rsidRPr="00DA76A7">
        <w:rPr>
          <w:rFonts w:ascii="Arial" w:hAnsi="Arial" w:cs="Arial"/>
          <w:vanish/>
          <w:color w:val="000000" w:themeColor="text1"/>
          <w:sz w:val="22"/>
          <w:szCs w:val="22"/>
          <w:lang w:val="en-US"/>
        </w:rPr>
        <w:t>TT</w:t>
      </w:r>
      <w:r w:rsidRPr="00DA76A7">
        <w:rPr>
          <w:rFonts w:ascii="Arial" w:hAnsi="Arial" w:cs="Arial"/>
          <w:color w:val="000000" w:themeColor="text1"/>
          <w:sz w:val="22"/>
          <w:szCs w:val="22"/>
          <w:lang w:val="en-US"/>
        </w:rPr>
        <w:t>ough the law doesn’t regulate the questions of establishing and using information technologies  it should be however recognized that in it there are provided two main guarantees of ensuring the right to information. This is the duty of state power bodies  and local self-government to create accessful in Formation resources for citizens and accordingly possibility of citizens to appeal acts or decisions, directed to limit or refuse in access to information. In this respect it may be recommended a number of concrete measures, directed to overcome of existing shortages and increasing efficient structurized role of law. In opinion of SH.K Gayurov it is necessary as well as in article 28 of Law the Republic of Tajikistan «On information» to introduce the following addition: «To oblige bodies and organizations with duty to spread for general report (data) became them known under implementation his activity this information, if this information can prevent threat for life or health of citizens,  if it demands to stop of spreading false information, if this information has or can have public significant character” [4].</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In national legislation legal subjectivity of minor children in information sphere based, first of all, on Constitution of RT, Civil Code of RT, Laws of RT ”On Information” “On informatization”, “On protection or information” and other normative legal acts. Acting legislation of the Republic of Tajikistan doesn’t define for minor children any limits in access to information. In accordance  with Constitution of RT (article 30) everybody has the right freely to search, to get, to transmit, to produce and to spread information by any legal way. This regulation of the Constitution of RT, in accordance with article 17 of Convention an the right of the child ensures to every  minor child possibility of access to information and materials, which directed to the assistance of his social, spiritual and moral well-being as well as healthy physical and mental development. Situation is compounded by that minor children often because of their physical and mental immaturity can not understand his actions Fully, “to clean” representing him information, critically to perceive directed to him actions of the others. </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One of the main sources of minors’right on information is Civil Code of the Republic of Tajikistan. According to  part 2 article 140 of Civil Code of RT information of the object of civil rights. In our opinion, given norm also spread on the minors’ right to information.</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According to the law of the Republic of Tajikistan “on Information” [3] minor children are users of information services. That’s why it is necessary to introduce following amendments in this law: to prohibit public spread of malicious  information. To malicious information may belong: information directed to inciting hatred; the feud, violence including caused by social, racial, national or religious hatred, the feud, feeling of superiority, strife , intolerance: information containing calls to war and mass disorder; about (false) information including unfair, false, obvious about (false) advertisement; information maintaining encroachment;  honour, kind name and business reputation including pornography, unethical advertisement; information providing destructive impact on people’s health including advertisement with hidden inserts. In case of spreading such information, it should be provided punishment of subject representing such kind of information, for breach of given norm.</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So, to the number sources of legal subjectivity of minor children in information sphere can belong the following: on international level –Universal declaration of Human Rights, Convention on child’s rights, International Pact on civil and political rights of Human, European convention of protection of the rights of the man and basic freedoms, International Pact on economic, social (public) and cultural rights of a man. Convention of CIS on the rights and the main freedoms of a man, Cairo Declaration of the rights of a human in Islam, Universal Islamic declaration of human rights and others. </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In national legislation sources of the minors’rights on information are Constitution of the Republic of  Tajikistan, Civil Code of RT, Laws of RT “On Information” “On informatization”, “On press and other mass media”, “On protection of information” and legislative acts, provided norms of rights of a man on information. Summarizing my conclusions deliberately considering the question we can say, that regulation the relations connected with production, possession, usage and spreading information with the participant of minors already regulated (settled) in international-recognized acts with implementation of norms which RT has  definite obligations. </w:t>
      </w:r>
    </w:p>
    <w:p w:rsidR="00ED3C2E" w:rsidRPr="00DA76A7" w:rsidRDefault="00ED3C2E" w:rsidP="00ED3C2E">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Sources of legal subjectivity of minors will be more adequate for modern needs, if in them will be rational combination of national tradition and advanced (progressive) experience (practice) of legal regulation.            </w:t>
      </w:r>
    </w:p>
    <w:p w:rsidR="001713F3" w:rsidRDefault="001713F3" w:rsidP="00ED3C2E">
      <w:pPr>
        <w:ind w:firstLine="567"/>
        <w:jc w:val="center"/>
        <w:rPr>
          <w:rFonts w:ascii="Arial" w:hAnsi="Arial" w:cs="Arial"/>
          <w:b/>
          <w:color w:val="000000" w:themeColor="text1"/>
          <w:sz w:val="22"/>
          <w:szCs w:val="22"/>
          <w:lang w:val="en-US"/>
        </w:rPr>
      </w:pPr>
    </w:p>
    <w:p w:rsidR="001713F3" w:rsidRDefault="001713F3" w:rsidP="00ED3C2E">
      <w:pPr>
        <w:ind w:firstLine="567"/>
        <w:jc w:val="center"/>
        <w:rPr>
          <w:rFonts w:ascii="Arial" w:hAnsi="Arial" w:cs="Arial"/>
          <w:b/>
          <w:color w:val="000000" w:themeColor="text1"/>
          <w:sz w:val="22"/>
          <w:szCs w:val="22"/>
          <w:lang w:val="en-US"/>
        </w:rPr>
      </w:pPr>
    </w:p>
    <w:p w:rsidR="001713F3" w:rsidRDefault="001713F3" w:rsidP="00ED3C2E">
      <w:pPr>
        <w:ind w:firstLine="567"/>
        <w:jc w:val="center"/>
        <w:rPr>
          <w:rFonts w:ascii="Arial" w:hAnsi="Arial" w:cs="Arial"/>
          <w:b/>
          <w:color w:val="000000" w:themeColor="text1"/>
          <w:sz w:val="22"/>
          <w:szCs w:val="22"/>
          <w:lang w:val="en-US"/>
        </w:rPr>
      </w:pPr>
    </w:p>
    <w:p w:rsidR="001713F3" w:rsidRDefault="001713F3" w:rsidP="00ED3C2E">
      <w:pPr>
        <w:ind w:firstLine="567"/>
        <w:jc w:val="center"/>
        <w:rPr>
          <w:rFonts w:ascii="Arial" w:hAnsi="Arial" w:cs="Arial"/>
          <w:b/>
          <w:color w:val="000000" w:themeColor="text1"/>
          <w:sz w:val="22"/>
          <w:szCs w:val="22"/>
          <w:lang w:val="en-US"/>
        </w:rPr>
      </w:pPr>
    </w:p>
    <w:p w:rsidR="00ED3C2E" w:rsidRPr="00DA76A7" w:rsidRDefault="00ED3C2E" w:rsidP="00ED3C2E">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lang w:val="en-US"/>
        </w:rPr>
        <w:t>Literature</w:t>
      </w:r>
      <w:r w:rsidRPr="00DA76A7">
        <w:rPr>
          <w:rFonts w:ascii="Arial" w:hAnsi="Arial" w:cs="Arial"/>
          <w:b/>
          <w:color w:val="000000" w:themeColor="text1"/>
          <w:sz w:val="22"/>
          <w:szCs w:val="22"/>
        </w:rPr>
        <w:t>:</w:t>
      </w:r>
    </w:p>
    <w:p w:rsidR="00ED3C2E" w:rsidRPr="00DA76A7" w:rsidRDefault="00ED3C2E" w:rsidP="00ED3C2E">
      <w:pPr>
        <w:widowControl/>
        <w:numPr>
          <w:ilvl w:val="0"/>
          <w:numId w:val="77"/>
        </w:numPr>
        <w:tabs>
          <w:tab w:val="clear" w:pos="720"/>
          <w:tab w:val="num" w:pos="851"/>
        </w:tabs>
        <w:autoSpaceDE/>
        <w:autoSpaceDN/>
        <w:adjustRightInd/>
        <w:ind w:left="0" w:firstLine="567"/>
        <w:rPr>
          <w:rFonts w:ascii="Arial" w:hAnsi="Arial" w:cs="Arial"/>
          <w:color w:val="000000" w:themeColor="text1"/>
          <w:sz w:val="22"/>
          <w:szCs w:val="22"/>
          <w:lang w:val="en-US"/>
        </w:rPr>
      </w:pPr>
      <w:r w:rsidRPr="00DA76A7">
        <w:rPr>
          <w:rFonts w:ascii="Arial" w:hAnsi="Arial" w:cs="Arial"/>
          <w:color w:val="000000" w:themeColor="text1"/>
          <w:sz w:val="22"/>
          <w:szCs w:val="22"/>
          <w:lang w:val="en-US"/>
        </w:rPr>
        <w:t>The universal Islamic Declaration of human rights, adopted on 19, September, 1981, the Islamic Council of Europe in Paris.</w:t>
      </w:r>
      <w:hyperlink r:id="rId211" w:history="1">
        <w:r w:rsidRPr="00DA76A7">
          <w:rPr>
            <w:rStyle w:val="af0"/>
            <w:rFonts w:ascii="Arial" w:hAnsi="Arial" w:cs="Arial"/>
            <w:color w:val="000000" w:themeColor="text1"/>
            <w:sz w:val="22"/>
            <w:szCs w:val="22"/>
            <w:u w:val="none"/>
            <w:lang w:val="en-US"/>
          </w:rPr>
          <w:t>http://www.worldislamlaw.ru</w:t>
        </w:r>
      </w:hyperlink>
      <w:r w:rsidRPr="00DA76A7">
        <w:rPr>
          <w:rFonts w:ascii="Arial" w:hAnsi="Arial" w:cs="Arial"/>
          <w:color w:val="000000" w:themeColor="text1"/>
          <w:sz w:val="22"/>
          <w:szCs w:val="22"/>
          <w:lang w:val="en-US"/>
        </w:rPr>
        <w:t xml:space="preserve">   /archives /122. (the date of the circulation </w:t>
      </w:r>
      <w:r w:rsidRPr="00DA76A7">
        <w:rPr>
          <w:rFonts w:ascii="Arial" w:hAnsi="Arial" w:cs="Arial"/>
          <w:color w:val="000000" w:themeColor="text1"/>
          <w:sz w:val="22"/>
          <w:szCs w:val="22"/>
          <w:lang w:val="tg-Cyrl-TJ"/>
        </w:rPr>
        <w:t>12.09.2012).-</w:t>
      </w:r>
      <w:r w:rsidRPr="00DA76A7">
        <w:rPr>
          <w:rFonts w:ascii="Arial" w:hAnsi="Arial" w:cs="Arial"/>
          <w:color w:val="000000" w:themeColor="text1"/>
          <w:sz w:val="22"/>
          <w:szCs w:val="22"/>
          <w:lang w:val="en-US"/>
        </w:rPr>
        <w:t>p.8</w:t>
      </w:r>
    </w:p>
    <w:p w:rsidR="00ED3C2E" w:rsidRPr="00DA76A7" w:rsidRDefault="00ED3C2E" w:rsidP="00ED3C2E">
      <w:pPr>
        <w:widowControl/>
        <w:numPr>
          <w:ilvl w:val="0"/>
          <w:numId w:val="77"/>
        </w:numPr>
        <w:tabs>
          <w:tab w:val="clear" w:pos="720"/>
          <w:tab w:val="num" w:pos="851"/>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Gayurov Sh. K. personal information the right of citizens: the problem of civil-legal regulation in the Republic of Tajikistan. M: Publishing house “Sputnik”, 2010.-p.360</w:t>
      </w:r>
    </w:p>
    <w:p w:rsidR="00ED3C2E" w:rsidRPr="00DA76A7" w:rsidRDefault="00ED3C2E" w:rsidP="00ED3C2E">
      <w:pPr>
        <w:widowControl/>
        <w:numPr>
          <w:ilvl w:val="0"/>
          <w:numId w:val="77"/>
        </w:numPr>
        <w:tabs>
          <w:tab w:val="clear" w:pos="720"/>
          <w:tab w:val="num" w:pos="851"/>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The law of Republic of Tajikistan “On informatization”, AkhboriMajlisiOli of the TJ.2001.№7 p.502.-p.11</w:t>
      </w:r>
    </w:p>
    <w:p w:rsidR="00ED3C2E" w:rsidRPr="00DA76A7" w:rsidRDefault="00ED3C2E" w:rsidP="00ED3C2E">
      <w:pPr>
        <w:widowControl/>
        <w:numPr>
          <w:ilvl w:val="0"/>
          <w:numId w:val="77"/>
        </w:numPr>
        <w:tabs>
          <w:tab w:val="clear" w:pos="720"/>
          <w:tab w:val="num" w:pos="851"/>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The law of Republic of Tajikistan “On information”, AkhboriMajlisiOli of the TJ.2002.№4p2. p.320.-p.10</w:t>
      </w:r>
    </w:p>
    <w:p w:rsidR="00ED3C2E" w:rsidRPr="00DA76A7" w:rsidRDefault="00ED3C2E" w:rsidP="00ED3C2E">
      <w:pPr>
        <w:widowControl/>
        <w:numPr>
          <w:ilvl w:val="0"/>
          <w:numId w:val="77"/>
        </w:numPr>
        <w:tabs>
          <w:tab w:val="clear" w:pos="720"/>
          <w:tab w:val="num" w:pos="851"/>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The Cairo declaration of human rights in Islam, Cairo, 5 August1990. p.5</w:t>
      </w:r>
    </w:p>
    <w:p w:rsidR="00ED3C2E" w:rsidRPr="00DA76A7" w:rsidRDefault="00ED3C2E" w:rsidP="00ED3C2E">
      <w:pPr>
        <w:widowControl/>
        <w:numPr>
          <w:ilvl w:val="0"/>
          <w:numId w:val="77"/>
        </w:numPr>
        <w:tabs>
          <w:tab w:val="clear" w:pos="720"/>
          <w:tab w:val="num" w:pos="851"/>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Convention on the right of the child, adopted by General Assembly resolution 44\25 of 20 –November 1989. </w:t>
      </w:r>
      <w:hyperlink r:id="rId212" w:history="1">
        <w:r w:rsidRPr="00DA76A7">
          <w:rPr>
            <w:rFonts w:ascii="Arial" w:hAnsi="Arial" w:cs="Arial"/>
            <w:color w:val="000000" w:themeColor="text1"/>
            <w:sz w:val="22"/>
            <w:szCs w:val="22"/>
            <w:lang w:val="en-US"/>
          </w:rPr>
          <w:t>http://www/Lawmix.ru/abro.php?id=11489</w:t>
        </w:r>
      </w:hyperlink>
      <w:r w:rsidRPr="00DA76A7">
        <w:rPr>
          <w:rFonts w:ascii="Arial" w:hAnsi="Arial" w:cs="Arial"/>
          <w:color w:val="000000" w:themeColor="text1"/>
          <w:sz w:val="22"/>
          <w:szCs w:val="22"/>
          <w:lang w:val="en-US"/>
        </w:rPr>
        <w:t>. (the date of the circulation 16.02.2011).- p</w:t>
      </w:r>
      <w:r w:rsidRPr="00DA76A7">
        <w:rPr>
          <w:rFonts w:ascii="Arial" w:hAnsi="Arial" w:cs="Arial"/>
          <w:color w:val="000000" w:themeColor="text1"/>
          <w:sz w:val="22"/>
          <w:szCs w:val="22"/>
          <w:lang w:val="tg-Cyrl-TJ"/>
        </w:rPr>
        <w:t>.230-239</w:t>
      </w:r>
    </w:p>
    <w:p w:rsidR="00ED3C2E" w:rsidRPr="00DA76A7" w:rsidRDefault="00ED3C2E" w:rsidP="00ED3C2E">
      <w:pPr>
        <w:widowControl/>
        <w:numPr>
          <w:ilvl w:val="0"/>
          <w:numId w:val="77"/>
        </w:numPr>
        <w:tabs>
          <w:tab w:val="clear" w:pos="720"/>
          <w:tab w:val="num" w:pos="851"/>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International law in the documents: textbook / ed.:N.T. Blatova, G.M. Melkov. -4 –e izd. added and more. -m.2003.-p.880</w:t>
      </w:r>
    </w:p>
    <w:p w:rsidR="00ED3C2E" w:rsidRPr="00DA76A7" w:rsidRDefault="00ED3C2E" w:rsidP="00ED3C2E">
      <w:pPr>
        <w:widowControl/>
        <w:numPr>
          <w:ilvl w:val="0"/>
          <w:numId w:val="77"/>
        </w:numPr>
        <w:tabs>
          <w:tab w:val="clear" w:pos="720"/>
          <w:tab w:val="num" w:pos="851"/>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The universal collection of international and national instruments on human rights – Dushanbe. 2010.-p.234</w:t>
      </w:r>
    </w:p>
    <w:p w:rsidR="00ED3C2E" w:rsidRPr="00DA76A7" w:rsidRDefault="00ED3C2E" w:rsidP="00ED3C2E">
      <w:pPr>
        <w:widowControl/>
        <w:numPr>
          <w:ilvl w:val="0"/>
          <w:numId w:val="77"/>
        </w:numPr>
        <w:tabs>
          <w:tab w:val="clear" w:pos="720"/>
          <w:tab w:val="num" w:pos="851"/>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A chronological collection of the current legislation of the Tajik SSR 1929-1945. Dushanbe 1964- vol.1-p.142.</w:t>
      </w:r>
    </w:p>
    <w:p w:rsidR="00ED3C2E" w:rsidRPr="00DA76A7" w:rsidRDefault="00ED3C2E" w:rsidP="00ED3C2E">
      <w:pPr>
        <w:ind w:firstLine="567"/>
        <w:jc w:val="both"/>
        <w:rPr>
          <w:rFonts w:ascii="Arial" w:hAnsi="Arial" w:cs="Arial"/>
          <w:color w:val="000000" w:themeColor="text1"/>
          <w:sz w:val="22"/>
          <w:szCs w:val="22"/>
        </w:rPr>
      </w:pPr>
    </w:p>
    <w:p w:rsidR="00ED3C2E" w:rsidRPr="00DA76A7" w:rsidRDefault="00ED3C2E" w:rsidP="00181BA7">
      <w:pPr>
        <w:ind w:firstLine="567"/>
        <w:jc w:val="center"/>
        <w:rPr>
          <w:rFonts w:ascii="Arial" w:hAnsi="Arial" w:cs="Arial"/>
          <w:b/>
          <w:bCs/>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ЗНАЧЕНИЕ ДОГОВОРА КОММЕРЧЕСКОЙ КОНЦЕССИИ В СОВРЕМЕННЫХ УСЛОВИЯХ</w:t>
      </w:r>
    </w:p>
    <w:p w:rsidR="00181BA7" w:rsidRPr="00DA76A7" w:rsidRDefault="00181BA7" w:rsidP="00181BA7">
      <w:pPr>
        <w:ind w:firstLine="567"/>
        <w:jc w:val="both"/>
        <w:rPr>
          <w:rFonts w:ascii="Arial" w:hAnsi="Arial" w:cs="Arial"/>
          <w:bCs/>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Махмудова Мохру Эргашевна</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3-го года обучения заочного отделения  юридического факультета</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тел.: (+992) 2230460,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13" w:history="1">
        <w:r w:rsidRPr="00DA76A7">
          <w:rPr>
            <w:rStyle w:val="af0"/>
            <w:rFonts w:ascii="Arial" w:hAnsi="Arial" w:cs="Arial"/>
            <w:color w:val="000000" w:themeColor="text1"/>
            <w:sz w:val="22"/>
            <w:szCs w:val="22"/>
            <w:u w:val="none"/>
            <w:lang w:val="en-US"/>
          </w:rPr>
          <w:t>mohru</w:t>
        </w:r>
        <w:r w:rsidRPr="00DA76A7">
          <w:rPr>
            <w:rStyle w:val="af0"/>
            <w:rFonts w:ascii="Arial" w:hAnsi="Arial" w:cs="Arial"/>
            <w:color w:val="000000" w:themeColor="text1"/>
            <w:sz w:val="22"/>
            <w:szCs w:val="22"/>
            <w:u w:val="none"/>
          </w:rPr>
          <w:t>-80@</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IMPORTANCE OF THE CONTRACT OF COMMERCIAL CONCESSION IN MODERN CONDITIONS</w:t>
      </w:r>
    </w:p>
    <w:p w:rsidR="00181BA7" w:rsidRPr="00DA76A7" w:rsidRDefault="00181BA7" w:rsidP="00181BA7">
      <w:pPr>
        <w:ind w:firstLine="567"/>
        <w:jc w:val="center"/>
        <w:rPr>
          <w:rFonts w:ascii="Arial" w:hAnsi="Arial" w:cs="Arial"/>
          <w:b/>
          <w:color w:val="000000" w:themeColor="text1"/>
          <w:sz w:val="22"/>
          <w:szCs w:val="22"/>
          <w:lang w:val="en-US"/>
        </w:rPr>
      </w:pPr>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Makhmudova Mohru Ergashevna</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3 rd year of correspondence course of the faculty of law</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2230460,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214" w:history="1">
        <w:r w:rsidRPr="00DA76A7">
          <w:rPr>
            <w:rStyle w:val="af0"/>
            <w:rFonts w:ascii="Arial" w:hAnsi="Arial" w:cs="Arial"/>
            <w:color w:val="000000" w:themeColor="text1"/>
            <w:sz w:val="22"/>
            <w:szCs w:val="22"/>
            <w:u w:val="none"/>
            <w:lang w:val="en-US"/>
          </w:rPr>
          <w:t>mohru-80@mail.ru</w:t>
        </w:r>
      </w:hyperlink>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Султонова Т.И.</w:t>
      </w:r>
    </w:p>
    <w:p w:rsidR="00181BA7" w:rsidRPr="00DA76A7" w:rsidRDefault="00181BA7" w:rsidP="00181BA7">
      <w:pPr>
        <w:ind w:firstLine="567"/>
        <w:jc w:val="both"/>
        <w:rPr>
          <w:rFonts w:ascii="Arial" w:hAnsi="Arial" w:cs="Arial"/>
          <w:b/>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указывается значение договора коммерческой концессии в гражданском обороте. Популярность коммерческой концессии обусловлена тем, что применение этого института дает существенные преимущества на пути расширения предпринимательской деятельности, в том числе и на уровне международного рынка.</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indicates the significance of the contract of commercial concession in civil circulation. The popularity of the commercial concession is due to the fact that the application of this institution gives significant advantages to the expansion of entrepreneurial activity, including at the level of the international market.</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договор, коммерческая концессия, правообладатель, пользователь, исключительные права.</w:t>
      </w:r>
    </w:p>
    <w:p w:rsidR="00181BA7" w:rsidRPr="00DA76A7" w:rsidRDefault="00181BA7" w:rsidP="00181BA7">
      <w:pPr>
        <w:ind w:firstLine="567"/>
        <w:jc w:val="both"/>
        <w:rPr>
          <w:rFonts w:ascii="Arial" w:hAnsi="Arial" w:cs="Arial"/>
          <w:bCs/>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w:t>
      </w:r>
      <w:r w:rsidRPr="00DA76A7">
        <w:rPr>
          <w:rFonts w:ascii="Arial" w:hAnsi="Arial" w:cs="Arial"/>
          <w:bCs/>
          <w:i/>
          <w:color w:val="000000" w:themeColor="text1"/>
          <w:sz w:val="22"/>
          <w:szCs w:val="22"/>
          <w:lang w:val="en-US"/>
        </w:rPr>
        <w:t>contract, commercial concession, copyright holder, user, exclusive rights.</w:t>
      </w:r>
    </w:p>
    <w:p w:rsidR="00181BA7" w:rsidRPr="00DA76A7" w:rsidRDefault="00181BA7" w:rsidP="00181BA7">
      <w:pPr>
        <w:ind w:firstLine="567"/>
        <w:jc w:val="both"/>
        <w:rPr>
          <w:rFonts w:ascii="Arial" w:hAnsi="Arial" w:cs="Arial"/>
          <w:bCs/>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Принятие части второй Гражданских кодексов Республики Таджикистан и Российской Федерации явилось началом гражданско-правового регулирования договора коммерческой концессии в Таджикистане и России. За время действия Гражданских кодексов этот новый гражданско-правовой институт для гражданского права названных стран нашёл своё развитие в гражданском обороте </w:t>
      </w:r>
      <w:r w:rsidRPr="00DA76A7">
        <w:rPr>
          <w:rFonts w:ascii="Arial" w:hAnsi="Arial" w:cs="Arial"/>
          <w:bCs/>
          <w:color w:val="000000" w:themeColor="text1"/>
          <w:sz w:val="22"/>
          <w:szCs w:val="22"/>
        </w:rPr>
        <w:t>и играет большую роль в национальной торговле</w:t>
      </w: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bCs/>
          <w:color w:val="000000" w:themeColor="text1"/>
          <w:sz w:val="22"/>
          <w:szCs w:val="22"/>
        </w:rPr>
      </w:pPr>
      <w:r w:rsidRPr="00DA76A7">
        <w:rPr>
          <w:rFonts w:ascii="Arial" w:hAnsi="Arial" w:cs="Arial"/>
          <w:color w:val="000000" w:themeColor="text1"/>
          <w:sz w:val="22"/>
          <w:szCs w:val="22"/>
        </w:rPr>
        <w:t>Институт к</w:t>
      </w:r>
      <w:r w:rsidRPr="00DA76A7">
        <w:rPr>
          <w:rFonts w:ascii="Arial" w:hAnsi="Arial" w:cs="Arial"/>
          <w:bCs/>
          <w:color w:val="000000" w:themeColor="text1"/>
          <w:sz w:val="22"/>
          <w:szCs w:val="22"/>
        </w:rPr>
        <w:t>оммерческой концессии являет собой специфический механизм организации предпринимательской деятельности, при котором один предприниматель даёт разрешение на определённых условиях разрешение другому предпринимателю на коммерческое использование принадлежащего ему комплекса исключительных и иных прав [1, 977-978].</w:t>
      </w:r>
    </w:p>
    <w:p w:rsidR="00181BA7" w:rsidRPr="00DA76A7" w:rsidRDefault="00181BA7" w:rsidP="00181BA7">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Суть отношений, возникающих в сфере коммерческой концессии, заключается в том, что происходит унификация предпринимательской деятельности всех лиц, являющихся пользователями исключительных прав, которые состоят в договорных отношениях с одним правообладателем исключительных прав. Унификация предпринимательской деятельности указанных лиц обусловлена тем, что правообладатель предоставляет всем пользователям вместе товарными знаками и знаки обслуживания свои секреты производства, ноу-хау, знания и опыт, а все пользователи включаются в систему предпринимательской активности, которая уже организована правообладателем.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Иными словами, коммерческая концессия представляет собой форму продолжительного делового сотрудничества, в процессе которого правообладатель предоставляет пользователю право на производство продукции, торговлю товарами или предоставление услуг под товарным знаком (знаком обслуживания) правообладателя на ограниченной договором территории на срок и на условиях, определенных договором.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В процессе своего взаимодействия определённые имущественные выгоды получают и правообладатель, и пользователь. Выгода правообладателя, в первую очередь, заключается в том, что он имеет возможность несложным способом расширить границы своего товарного рынка. Для этого ему теперь не нужно образовывать огромное количество филиалов и представительств, дочерних предприятий на удаленных от него территориях, создавать там рабочие места, </w:t>
      </w:r>
      <w:r w:rsidRPr="00DA76A7">
        <w:rPr>
          <w:rFonts w:ascii="Arial" w:hAnsi="Arial" w:cs="Arial"/>
          <w:color w:val="000000" w:themeColor="text1"/>
          <w:sz w:val="22"/>
          <w:szCs w:val="22"/>
        </w:rPr>
        <w:t xml:space="preserve">нанимать работников для осуществления соответствующей предпринимательской деятельности, </w:t>
      </w:r>
      <w:r w:rsidRPr="00DA76A7">
        <w:rPr>
          <w:rFonts w:ascii="Arial" w:hAnsi="Arial" w:cs="Arial"/>
          <w:bCs/>
          <w:color w:val="000000" w:themeColor="text1"/>
          <w:sz w:val="22"/>
          <w:szCs w:val="22"/>
        </w:rPr>
        <w:t xml:space="preserve">делать определённые финансовые вложения для их функционирования, подстраиваться под национальное законодательство той страны, где открывает новый бизнес. Посредством коммерческой концессии он без особых сложностей получает возможность увеличить границы своего товара или услуги. </w:t>
      </w:r>
    </w:p>
    <w:p w:rsidR="00181BA7" w:rsidRPr="00DA76A7" w:rsidRDefault="00181BA7" w:rsidP="00181BA7">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Пользователь точно также получает не меньшие имущественные выгоды от договорных отношений с правообладателем. В частности, посредством коммерческой концессии значительно снижаются его предпринимательские риски и ускоряется окупаемость тех финансовых затрат, которые он вложил в своё дело. Также ему не нужно тратить большие деньги для завоевания потребительского спроса. Оставаясь собственником своего предприятия, он получает возможность получать прибыль от производства и реализации уже завоевавшего своего потребителя бренда. Этим самым он выходит на рынок с определенным преимуществом перед конкурентами, лишенными такой возможности.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Таким образом, использование конструкции коммерческой концессии </w:t>
      </w:r>
      <w:r w:rsidRPr="00DA76A7">
        <w:rPr>
          <w:rFonts w:ascii="Arial" w:hAnsi="Arial" w:cs="Arial"/>
          <w:color w:val="000000" w:themeColor="text1"/>
          <w:sz w:val="22"/>
          <w:szCs w:val="22"/>
        </w:rPr>
        <w:t>предоставляет существенные выгоды для развития предпринимательской деятельности как лиц, предоставляющих право использовать свои средства индивидуализации, деловую репутацию, методы организации производства и реализации товаров, работ, услуг, так и лиц, получающих возможность их использования в предпринимательской деятельности [2, 553-554].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Популярность коммерческой концессии обусловлена тем, что применение этого института дает существенные преимущества на пути расширения предпринимательской деятельности, в том числе и на уровне международного рынка.</w:t>
      </w:r>
    </w:p>
    <w:p w:rsidR="00181BA7" w:rsidRPr="00DA76A7" w:rsidRDefault="00181BA7" w:rsidP="00181BA7">
      <w:pPr>
        <w:ind w:firstLine="567"/>
        <w:jc w:val="both"/>
        <w:rPr>
          <w:rFonts w:ascii="Arial" w:hAnsi="Arial" w:cs="Arial"/>
          <w:color w:val="000000" w:themeColor="text1"/>
          <w:sz w:val="22"/>
          <w:szCs w:val="22"/>
        </w:rPr>
      </w:pPr>
    </w:p>
    <w:p w:rsidR="001713F3" w:rsidRDefault="001713F3" w:rsidP="00181BA7">
      <w:pPr>
        <w:ind w:firstLine="567"/>
        <w:jc w:val="center"/>
        <w:rPr>
          <w:rFonts w:ascii="Arial" w:hAnsi="Arial" w:cs="Arial"/>
          <w:b/>
          <w:bCs/>
          <w:color w:val="000000" w:themeColor="text1"/>
          <w:sz w:val="22"/>
          <w:szCs w:val="22"/>
        </w:rPr>
      </w:pPr>
    </w:p>
    <w:p w:rsidR="001713F3" w:rsidRDefault="001713F3" w:rsidP="00181BA7">
      <w:pPr>
        <w:ind w:firstLine="567"/>
        <w:jc w:val="center"/>
        <w:rPr>
          <w:rFonts w:ascii="Arial" w:hAnsi="Arial" w:cs="Arial"/>
          <w:b/>
          <w:bCs/>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Список литературы:</w:t>
      </w:r>
    </w:p>
    <w:p w:rsidR="00181BA7" w:rsidRPr="00DA76A7" w:rsidRDefault="00181BA7" w:rsidP="00D45D6B">
      <w:pPr>
        <w:pStyle w:val="af2"/>
        <w:numPr>
          <w:ilvl w:val="0"/>
          <w:numId w:val="70"/>
        </w:numPr>
        <w:tabs>
          <w:tab w:val="left" w:pos="851"/>
        </w:tabs>
        <w:ind w:left="0"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Брагинский М.И., Витрянский В.В. Договорное право. Договоры о выполнении работ и оказании услуг. - М.: Статут, 2011. – 1055 с.</w:t>
      </w:r>
    </w:p>
    <w:p w:rsidR="00181BA7" w:rsidRPr="00DA76A7" w:rsidRDefault="00181BA7" w:rsidP="00D45D6B">
      <w:pPr>
        <w:pStyle w:val="af2"/>
        <w:numPr>
          <w:ilvl w:val="0"/>
          <w:numId w:val="7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Гражданский кодекс Российской Федерации. Часть вторая: Текст, комментарий, алфавитно-предметный указатель / под ред. О.М. Козырь, А.Л. Маковского, С.А. Хохлова. - М.: Международный центр финансово-экономического развития, 1996. – 704 с.</w:t>
      </w:r>
    </w:p>
    <w:p w:rsidR="00181BA7" w:rsidRPr="00DA76A7" w:rsidRDefault="00181BA7" w:rsidP="00181BA7">
      <w:pPr>
        <w:ind w:firstLine="567"/>
        <w:jc w:val="both"/>
        <w:rPr>
          <w:rFonts w:ascii="Arial" w:hAnsi="Arial" w:cs="Arial"/>
          <w:bCs/>
          <w:color w:val="000000" w:themeColor="text1"/>
          <w:sz w:val="22"/>
          <w:szCs w:val="22"/>
        </w:rPr>
      </w:pP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ПРИРОДНЫЕ РЕСУРСЫ КАК ОБЪЕКТЫ ГРАЖДАНСКОГО ПРАВА</w:t>
      </w: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Мустафина Алина Юсуповна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М.Турсунзаде, 30</w:t>
      </w:r>
    </w:p>
    <w:p w:rsidR="00181BA7" w:rsidRPr="00DA76A7" w:rsidRDefault="00181BA7" w:rsidP="00181BA7">
      <w:pPr>
        <w:ind w:firstLine="567"/>
        <w:jc w:val="center"/>
        <w:rPr>
          <w:rStyle w:val="af0"/>
          <w:rFonts w:ascii="Arial" w:hAnsi="Arial" w:cs="Arial"/>
          <w:color w:val="000000" w:themeColor="text1"/>
          <w:sz w:val="22"/>
          <w:szCs w:val="22"/>
          <w:u w:val="none"/>
        </w:rPr>
      </w:pPr>
      <w:r w:rsidRPr="00DA76A7">
        <w:rPr>
          <w:rFonts w:ascii="Arial" w:hAnsi="Arial" w:cs="Arial"/>
          <w:color w:val="000000" w:themeColor="text1"/>
          <w:sz w:val="22"/>
          <w:szCs w:val="22"/>
        </w:rPr>
        <w:t xml:space="preserve">тел.: (99237230460),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15" w:history="1">
        <w:r w:rsidRPr="00DA76A7">
          <w:rPr>
            <w:rStyle w:val="af0"/>
            <w:rFonts w:ascii="Arial" w:hAnsi="Arial" w:cs="Arial"/>
            <w:color w:val="000000" w:themeColor="text1"/>
            <w:sz w:val="22"/>
            <w:szCs w:val="22"/>
            <w:u w:val="none"/>
            <w:lang w:val="en-US"/>
          </w:rPr>
          <w:t>alina</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mustafina</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globe</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tj</w:t>
        </w:r>
      </w:hyperlink>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NATURAL RESOURCES AS OBJECTS OF CIVIL LAW</w:t>
      </w:r>
    </w:p>
    <w:p w:rsidR="00181BA7" w:rsidRPr="00DA76A7" w:rsidRDefault="00181BA7" w:rsidP="00181BA7">
      <w:pPr>
        <w:ind w:firstLine="567"/>
        <w:jc w:val="center"/>
        <w:rPr>
          <w:rFonts w:ascii="Arial" w:hAnsi="Arial" w:cs="Arial"/>
          <w:b/>
          <w:color w:val="000000" w:themeColor="text1"/>
          <w:sz w:val="22"/>
          <w:szCs w:val="22"/>
          <w:lang w:val="en-US"/>
        </w:rPr>
      </w:pPr>
    </w:p>
    <w:p w:rsidR="00181BA7" w:rsidRPr="00DA76A7" w:rsidRDefault="00181BA7" w:rsidP="00181BA7">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Mustafina Alina Yusupovna</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30</w:t>
      </w:r>
    </w:p>
    <w:p w:rsidR="00181BA7" w:rsidRPr="00DA76A7" w:rsidRDefault="00181BA7" w:rsidP="00181BA7">
      <w:pPr>
        <w:ind w:firstLine="567"/>
        <w:jc w:val="center"/>
        <w:rPr>
          <w:rStyle w:val="af0"/>
          <w:rFonts w:ascii="Arial" w:hAnsi="Arial" w:cs="Arial"/>
          <w:color w:val="000000" w:themeColor="text1"/>
          <w:sz w:val="22"/>
          <w:szCs w:val="22"/>
          <w:u w:val="none"/>
        </w:rPr>
      </w:pPr>
      <w:r w:rsidRPr="00DA76A7">
        <w:rPr>
          <w:rFonts w:ascii="Arial" w:hAnsi="Arial" w:cs="Arial"/>
          <w:color w:val="000000" w:themeColor="text1"/>
          <w:sz w:val="22"/>
          <w:szCs w:val="22"/>
          <w:lang w:val="en-US"/>
        </w:rPr>
        <w:t>tel</w:t>
      </w:r>
      <w:r w:rsidRPr="00DA76A7">
        <w:rPr>
          <w:rFonts w:ascii="Arial" w:hAnsi="Arial" w:cs="Arial"/>
          <w:color w:val="000000" w:themeColor="text1"/>
          <w:sz w:val="22"/>
          <w:szCs w:val="22"/>
        </w:rPr>
        <w:t xml:space="preserve">.: (99237230460), </w:t>
      </w:r>
      <w:hyperlink r:id="rId216" w:history="1">
        <w:r w:rsidRPr="00DA76A7">
          <w:rPr>
            <w:rStyle w:val="af0"/>
            <w:rFonts w:ascii="Arial" w:hAnsi="Arial" w:cs="Arial"/>
            <w:color w:val="000000" w:themeColor="text1"/>
            <w:sz w:val="22"/>
            <w:szCs w:val="22"/>
            <w:u w:val="none"/>
            <w:lang w:val="en-US"/>
          </w:rPr>
          <w:t>alina</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mustafina</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globe</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tj</w:t>
        </w:r>
      </w:hyperlink>
    </w:p>
    <w:p w:rsidR="00181BA7" w:rsidRPr="00DA76A7" w:rsidRDefault="00181BA7" w:rsidP="00181BA7">
      <w:pPr>
        <w:ind w:firstLine="567"/>
        <w:jc w:val="center"/>
        <w:rPr>
          <w:rFonts w:ascii="Arial" w:hAnsi="Arial" w:cs="Arial"/>
          <w:color w:val="000000" w:themeColor="text1"/>
          <w:sz w:val="22"/>
          <w:szCs w:val="22"/>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Золотухин А.В.</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Настоящая статья посвящена проблемам включения природных ресурсов в объект гражданского правового регулирования. Делается вывод, что различность взглядов, диаметрально противоположных, не могут быть рассмотрены в качестве основных выводов для данной статьи. Предлагается рассматривать данный вопрос с третьей позиции: отчасти признание природных ресурсов и их компонентов в качестве объектов гражданского права, если они служат удовлетворению потребностей человека.</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is devoted to the problems of including natural resources in the object of civil legal regulation. It is concluded that the differences in views diametrically opposed can not be considered as the main conclusions for this article. It is proposed to consider this issue from the third position: partly the recognition of natural resources and their components as objects of civil law, if they serve human needs.</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объект гражданского права, природные ресурсы, имущественные отношения, природоресурсное право.</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object of civil law, natural resources, property relations, natural resource law/</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Важным и остро обсуждаемым на данный период времени является вопрос принадлежности окружающего человека мира и его компонентов к объектам гражданского права. Во многом, тенденции современной цивилистики, учения римского частного права относят природные ресурсы и ее отдельные компоненты к объектам гражданского права, но для настоящего исследования необходимые более детальные и полные обоснования, которые могли бы стать основой для рассмотрения отдельных объектов далее в настоящем исследовании. Важным аспектом спора является наличие иных взглядов на данный вопрос со стороны сторонников советского гражданского права, рассматривающих вопрос относительно недопустимости природных ресурсов как объектов гражданского права. Н.Н. Веденин справедливо отмечает, что переход от командно-административной системы к рыночным отношениям привел к коренным изменениям в методах правового регулирования отношений по использованию и охране природных объектов, что выразилось в усилении частноправового метода. Ранее в нашем праве, пишет данный автор, в целом, в том числе и в праве экологическом, частноправовое регулирование, как и деление права на частное и публичное, категорически отвергалось «по принципиальным соображениям», ибо, как утверждалось, «мы ничего «частного» не признаем, для нас все в области хозяйства есть публично-правовое, а не частное»</w:t>
      </w:r>
      <w:r w:rsidRPr="00DA76A7">
        <w:rPr>
          <w:rFonts w:ascii="Arial" w:hAnsi="Arial" w:cs="Arial"/>
          <w:color w:val="000000" w:themeColor="text1"/>
          <w:sz w:val="22"/>
          <w:szCs w:val="22"/>
          <w:vertAlign w:val="superscript"/>
        </w:rPr>
        <w:t xml:space="preserve"> </w:t>
      </w:r>
      <w:r w:rsidRPr="00DA76A7">
        <w:rPr>
          <w:rFonts w:ascii="Arial" w:hAnsi="Arial" w:cs="Arial"/>
          <w:color w:val="000000" w:themeColor="text1"/>
          <w:sz w:val="22"/>
          <w:szCs w:val="22"/>
        </w:rPr>
        <w:t>[2,35].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изменение взглядов на природные ресурсы как объект имущественных отношений ввиду ускорения темпов рыночных отношений в сторону расширения частного правового метода, в науке остаются ряд ученых, которые полагают, что включение природных ресурсов в сферу предмета регулирования гражданского права неразумно или такое включение должно быть частичным. Подтверждением нашему суждению мы находим у Н.Д. Егорова, который пишет «В настоящее время земля и другие природные объекты втягиваются в товарный оборот, и складывающиеся по поводу их имущественные отношения приобретают стоимостной характер, включаясь тем самым в предмет гражданского права»</w:t>
      </w:r>
      <w:r w:rsidRPr="00DA76A7">
        <w:rPr>
          <w:rFonts w:ascii="Arial" w:hAnsi="Arial" w:cs="Arial"/>
          <w:color w:val="000000" w:themeColor="text1"/>
          <w:sz w:val="22"/>
          <w:szCs w:val="22"/>
          <w:vertAlign w:val="superscript"/>
        </w:rPr>
        <w:t xml:space="preserve"> </w:t>
      </w:r>
      <w:r w:rsidRPr="00DA76A7">
        <w:rPr>
          <w:rFonts w:ascii="Arial" w:hAnsi="Arial" w:cs="Arial"/>
          <w:color w:val="000000" w:themeColor="text1"/>
          <w:sz w:val="22"/>
          <w:szCs w:val="22"/>
        </w:rPr>
        <w:t>[4,16]. Е.А. Суханов указывает, что «В настоящее время происходит известное расширение сферы действия гражданского права. Так, к нему теперь относится ряд отношений землепользования и природопользования, изменивших свою экономическую и юридическую природу в связи с признанием права частной собственности на некоторые земельные участки и другие природные объекты»</w:t>
      </w:r>
      <w:r w:rsidRPr="00DA76A7">
        <w:rPr>
          <w:rFonts w:ascii="Arial" w:hAnsi="Arial" w:cs="Arial"/>
          <w:color w:val="000000" w:themeColor="text1"/>
          <w:sz w:val="22"/>
          <w:szCs w:val="22"/>
          <w:vertAlign w:val="superscript"/>
        </w:rPr>
        <w:t xml:space="preserve"> </w:t>
      </w:r>
      <w:r w:rsidRPr="00DA76A7">
        <w:rPr>
          <w:rFonts w:ascii="Arial" w:hAnsi="Arial" w:cs="Arial"/>
          <w:color w:val="000000" w:themeColor="text1"/>
          <w:sz w:val="22"/>
          <w:szCs w:val="22"/>
        </w:rPr>
        <w:t>[7,24]. Оптимистичные выражения ученых далее продолжаются мыслью, которая напрочь отказывает в праве природных ресурсов войти в сферу имущественных отношений. «Имущественные отношения, имеющие иную (нетоварную) природу и, следовательно, не отвечающие указанным признакам (например, ...отношения по использованию земли и других природных ресурсов, находящихся в государственной собственности, и т. п.), не входят в предмет гражданского права и не могут регулироваться им»</w:t>
      </w:r>
      <w:r w:rsidRPr="00DA76A7">
        <w:rPr>
          <w:rFonts w:ascii="Arial" w:hAnsi="Arial" w:cs="Arial"/>
          <w:color w:val="000000" w:themeColor="text1"/>
          <w:sz w:val="22"/>
          <w:szCs w:val="22"/>
          <w:vertAlign w:val="superscript"/>
        </w:rPr>
        <w:t xml:space="preserve"> </w:t>
      </w:r>
      <w:r w:rsidRPr="00DA76A7">
        <w:rPr>
          <w:rFonts w:ascii="Arial" w:hAnsi="Arial" w:cs="Arial"/>
          <w:color w:val="000000" w:themeColor="text1"/>
          <w:sz w:val="22"/>
          <w:szCs w:val="22"/>
        </w:rPr>
        <w:t xml:space="preserve">[7,24], добавляет Е.А. Суханов. В трудах В.А. Белова можно найти классификацию объектов гражданских прав, где включены «материальные предметы, созданные или отвоеванные у природы человеческим трудом» [1,182]. И.Б. Калинин уверен, что «Отношения по изъятию природных ресурсов и тесно связанные с ним отношения (например, по поиску и разведке месторождений) регулируются нормами природоресурсного права и составляют его предмет», а отношения природопользования, не связанные с добычей, извлечением ресурса, включаются в предмет правового регулирования в том числе гражданского права [5,12-19]. Следовательно, мы делаем вывод из суждений ученых, что природные ресурсы, не могут быть объектом гражданских прав, поскольку не могут быть оценены с точки зрения стоимости, не являются предметом труда человека.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Продолжая дискуссию о принадлежности объектов природы к объектам гражданских прав следует отметить мнение А.П. Сергеева и Ю.К. Толстого об исключительной важности включения природных компонентов в объект гражданского права. Согласно их мысли земли, недра, водные объекты и все, что прочно связано с землей, несомненно, включены в понятие «вещь», при этом недвижимая вещь, понятие которое регулируется нормами гражданского законодательства [4,256]. А.А. Воронина считает, несмотря на отсутствие в гражданском кодексе упоминания о природных объектах как об объектах гражданских прав, следует опираться на положения последующих статей, где, во-первых, земля и природные ресурсы представлены как отчуждаемые объекты гражданских прав, и, во-вторых, обозначена их прочная связь с землей, что относит их к недвижимым вещам [2,68-72]. Е. Новикова, в свою очередь, уверена, что реалии сегодняшнего дня делают необратимым и очевидным расширение сферы действия гражданского права и, соответственно, процесса активного поглощения гражданско-правовым регулированием значительного объема отношений в области природопользования [6,37].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Несмотря на сложность определения принадлежности природных ресурсов и их отдельных компонентов к объектам гражданско-правового регулирования, мы не можем занять позицию тех или иных ученых на этот счет. Мы считаем, что природные ресурсы без их использования человеком должны быть включены в сферу регулирования экологического, административного, уголовного законодательства, где главная задача ставится сохранение, защита и охрана. Лишь отношения по их использованию, владению, пользованию и распоряжению отчасти относят их к числу объектов гражданского права. Справедливость нашему суждению мы находим из положений ст. 1 ГК РТ, где подчеркивается отнесение отношений по использованию природных ресурсов к нормам гражданского законодательства, отвечающим признакам определения правового положения участников гражданского оборота, оснований возникновения и порядок осуществления права собственности и других вещных прав, прав на результаты интеллектуальной деятельности, договорных и иных обязательств, а также других имущественных и связанных с ними личных неимущественных отношений. </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7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Белов В.А. Гражданское право: общая часть: учебник. – М.: АО «Центр ЮрИнфоР», 2004. - 767 с. </w:t>
      </w:r>
    </w:p>
    <w:p w:rsidR="00181BA7" w:rsidRPr="00DA76A7" w:rsidRDefault="00181BA7" w:rsidP="00D45D6B">
      <w:pPr>
        <w:pStyle w:val="a6"/>
        <w:numPr>
          <w:ilvl w:val="0"/>
          <w:numId w:val="7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Веденин H.H. Животный мир: проблемы охраны и использования // Журнал рос. права. - 2002. - №12. - 177 с.</w:t>
      </w:r>
    </w:p>
    <w:p w:rsidR="00181BA7" w:rsidRPr="00DA76A7" w:rsidRDefault="00181BA7" w:rsidP="00D45D6B">
      <w:pPr>
        <w:pStyle w:val="a6"/>
        <w:numPr>
          <w:ilvl w:val="0"/>
          <w:numId w:val="7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Воронина, А.А. Недра как объект гражданских правоотношений // Известия Российского государственного педагогического университета имени А.И.Герцена. Аспирантские тетради. - СПб., 2008. - N 25(58). – 504 с. </w:t>
      </w:r>
    </w:p>
    <w:p w:rsidR="00181BA7" w:rsidRPr="00DA76A7" w:rsidRDefault="00181BA7" w:rsidP="00D45D6B">
      <w:pPr>
        <w:pStyle w:val="a6"/>
        <w:numPr>
          <w:ilvl w:val="0"/>
          <w:numId w:val="7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Гражданское право: учеб.: в 3 т. Т. 1.  /Н.Д. Егоров, И.В. Елисеев [и др.]; отв.ред. А.П. Сергеев, Ю.К. Толстой. – М.: Велби, Изд-во Проспект, 2006. – 784 с.</w:t>
      </w:r>
    </w:p>
    <w:p w:rsidR="00181BA7" w:rsidRPr="00DA76A7" w:rsidRDefault="00181BA7" w:rsidP="00D45D6B">
      <w:pPr>
        <w:pStyle w:val="a6"/>
        <w:numPr>
          <w:ilvl w:val="0"/>
          <w:numId w:val="7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Калинин И.Б. Вещные права в природоресурсном праве // Вторая Сибирская школа молодого ученого. Т. IV. История, Правоведение. - Томск, 2000. - С. 12-19</w:t>
      </w:r>
    </w:p>
    <w:p w:rsidR="00181BA7" w:rsidRPr="00DA76A7" w:rsidRDefault="00181BA7" w:rsidP="00D45D6B">
      <w:pPr>
        <w:pStyle w:val="a6"/>
        <w:numPr>
          <w:ilvl w:val="0"/>
          <w:numId w:val="7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Новикова Е. Частно-правовые институты и нормы в системе экологического законодательства// Рос. юстиция. - 1999. - № 5. - С. 37.</w:t>
      </w:r>
    </w:p>
    <w:p w:rsidR="00181BA7" w:rsidRPr="00DA76A7" w:rsidRDefault="00181BA7" w:rsidP="00D45D6B">
      <w:pPr>
        <w:pStyle w:val="a6"/>
        <w:numPr>
          <w:ilvl w:val="0"/>
          <w:numId w:val="7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Суханов Е.А. Гражданское право: в 2 т. Т. 1. - М., 2000. - 704 с.</w:t>
      </w:r>
    </w:p>
    <w:p w:rsidR="00181BA7" w:rsidRPr="00DA76A7" w:rsidRDefault="00181BA7"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О НЕКОТОРЫХ АСПЕКТАХ СТРАХОВАНИЯ ДОГОВОРНОЙ ОТВЕТСТВЕННОСТИ</w:t>
      </w:r>
    </w:p>
    <w:p w:rsidR="00181BA7" w:rsidRPr="00DA76A7" w:rsidRDefault="00181BA7" w:rsidP="00181BA7">
      <w:pPr>
        <w:ind w:firstLine="567"/>
        <w:jc w:val="center"/>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Назримадов Тимур Кодирович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372 2276740,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grajdan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shd w:val="clear" w:color="auto" w:fill="FFFFFF"/>
        <w:ind w:firstLine="567"/>
        <w:contextualSpacing/>
        <w:jc w:val="center"/>
        <w:outlineLvl w:val="1"/>
        <w:rPr>
          <w:rFonts w:ascii="Arial" w:hAnsi="Arial" w:cs="Arial"/>
          <w:b/>
          <w:color w:val="000000" w:themeColor="text1"/>
          <w:sz w:val="22"/>
          <w:szCs w:val="22"/>
        </w:rPr>
      </w:pPr>
    </w:p>
    <w:p w:rsidR="00181BA7" w:rsidRPr="00DA76A7" w:rsidRDefault="00181BA7" w:rsidP="00181BA7">
      <w:pPr>
        <w:shd w:val="clear" w:color="auto" w:fill="FFFFFF"/>
        <w:ind w:firstLine="567"/>
        <w:contextualSpacing/>
        <w:jc w:val="center"/>
        <w:outlineLvl w:val="1"/>
        <w:rPr>
          <w:rFonts w:ascii="Arial" w:hAnsi="Arial" w:cs="Arial"/>
          <w:b/>
          <w:bCs/>
          <w:color w:val="000000" w:themeColor="text1"/>
          <w:sz w:val="22"/>
          <w:szCs w:val="22"/>
          <w:lang w:val="en-US"/>
        </w:rPr>
      </w:pPr>
      <w:r w:rsidRPr="00DA76A7">
        <w:rPr>
          <w:rFonts w:ascii="Arial" w:hAnsi="Arial" w:cs="Arial"/>
          <w:b/>
          <w:color w:val="000000" w:themeColor="text1"/>
          <w:sz w:val="22"/>
          <w:szCs w:val="22"/>
          <w:lang w:val="en-US"/>
        </w:rPr>
        <w:t>ABOUT SOME ASPECTS OF INSURANCE LIABILITY INSURANCE</w:t>
      </w:r>
    </w:p>
    <w:p w:rsidR="00181BA7" w:rsidRPr="00DA76A7" w:rsidRDefault="00181BA7" w:rsidP="00181BA7">
      <w:pPr>
        <w:shd w:val="clear" w:color="auto" w:fill="FFFFFF"/>
        <w:ind w:firstLine="567"/>
        <w:contextualSpacing/>
        <w:jc w:val="center"/>
        <w:outlineLvl w:val="1"/>
        <w:rPr>
          <w:rFonts w:ascii="Arial" w:hAnsi="Arial" w:cs="Arial"/>
          <w:b/>
          <w:bCs/>
          <w:color w:val="000000" w:themeColor="text1"/>
          <w:sz w:val="22"/>
          <w:szCs w:val="22"/>
          <w:lang w:val="en-US"/>
        </w:rPr>
      </w:pPr>
    </w:p>
    <w:p w:rsidR="00181BA7" w:rsidRPr="00DA76A7" w:rsidRDefault="00181BA7" w:rsidP="00181BA7">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Nazirmadov Timur Kodirovich</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shd w:val="clear" w:color="auto" w:fill="FFFFFF"/>
        <w:ind w:firstLine="567"/>
        <w:contextualSpacing/>
        <w:jc w:val="center"/>
        <w:outlineLvl w:val="1"/>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Russian-Tajik (Slavonic) university</w:t>
      </w:r>
    </w:p>
    <w:p w:rsidR="00181BA7" w:rsidRPr="00DA76A7" w:rsidRDefault="00181BA7" w:rsidP="00181BA7">
      <w:pPr>
        <w:shd w:val="clear" w:color="auto" w:fill="FFFFFF"/>
        <w:ind w:firstLine="567"/>
        <w:contextualSpacing/>
        <w:jc w:val="center"/>
        <w:outlineLvl w:val="1"/>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734025, Republic of Tajikistan, Dushanbe, M. Tursunzade str.,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 372 2276740, e-mail: grajdan.pravo@mail.ru</w:t>
      </w:r>
    </w:p>
    <w:p w:rsidR="00181BA7" w:rsidRPr="00DA76A7" w:rsidRDefault="00181BA7" w:rsidP="00181BA7">
      <w:pPr>
        <w:ind w:firstLine="567"/>
        <w:jc w:val="right"/>
        <w:rPr>
          <w:rFonts w:ascii="Arial" w:hAnsi="Arial" w:cs="Arial"/>
          <w:b/>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д.ю.н., профессор  Золотухин А. В. </w:t>
      </w:r>
    </w:p>
    <w:p w:rsidR="00181BA7" w:rsidRPr="00DA76A7" w:rsidRDefault="00181BA7" w:rsidP="00181BA7">
      <w:pPr>
        <w:ind w:firstLine="567"/>
        <w:jc w:val="both"/>
        <w:rPr>
          <w:rFonts w:ascii="Arial" w:hAnsi="Arial" w:cs="Arial"/>
          <w:b/>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данной статье рассматриваются правовые аспекты страхования договорной ответственности в гражданском праве Республике Таджикистан.</w:t>
      </w:r>
    </w:p>
    <w:p w:rsidR="00181BA7" w:rsidRPr="00DA76A7" w:rsidRDefault="00181BA7" w:rsidP="00181BA7">
      <w:pPr>
        <w:pStyle w:val="HTML"/>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examines the legal aspects of contract liability insurance in the civil law of the Republic of Tajikistan.</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страхования, гражданско-правовой договор, гражданский кодекс.</w:t>
      </w:r>
    </w:p>
    <w:p w:rsidR="00181BA7" w:rsidRPr="00DA76A7" w:rsidRDefault="00181BA7" w:rsidP="00181BA7">
      <w:pPr>
        <w:ind w:firstLine="567"/>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insurance, civil law contract, civil code.</w:t>
      </w:r>
    </w:p>
    <w:p w:rsidR="00181BA7" w:rsidRPr="00DA76A7" w:rsidRDefault="00181BA7" w:rsidP="00181BA7">
      <w:pPr>
        <w:pStyle w:val="ConsPlusNormal"/>
        <w:widowControl/>
        <w:ind w:firstLine="567"/>
        <w:jc w:val="both"/>
        <w:rPr>
          <w:i/>
          <w:color w:val="000000" w:themeColor="text1"/>
          <w:sz w:val="22"/>
          <w:szCs w:val="22"/>
          <w:lang w:val="en-US"/>
        </w:rPr>
      </w:pP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В силу нормы Гражданского кодекса РТ страхование риска ответственности за нарушение договора допускается лишь в отношении ответственности индивидуального предпринимателя или коммерческой организации за неисполнение или ненадлежащее исполнение публичного договора и в случаях, прямо указанных в законе. Такое положение указанной нормы не  является случайным, поскольку «бесконтрольное применение данного правила на практике означало бы ничем не ограниченное освобождение нарушителя договорных условия от исполнения возложенных на него обязанностей».[4, </w:t>
      </w:r>
      <w:r w:rsidRPr="00DA76A7">
        <w:rPr>
          <w:color w:val="000000" w:themeColor="text1"/>
          <w:sz w:val="22"/>
          <w:szCs w:val="22"/>
          <w:lang w:val="en-US"/>
        </w:rPr>
        <w:t>c</w:t>
      </w:r>
      <w:r w:rsidRPr="00DA76A7">
        <w:rPr>
          <w:color w:val="000000" w:themeColor="text1"/>
          <w:sz w:val="22"/>
          <w:szCs w:val="22"/>
        </w:rPr>
        <w:t xml:space="preserve">. 175]    В то же время следует отметить, что данное страхование не всегда является обязательным, оно может быть и добровольным, когда договор страхования договорной ответственности заключается по соглашению сторон. Хотя Гражданский кодекс РТ предусматривает возможность страхования ответственности за нарушение договора в качестве обязательного вида страхования.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При рассмотрении данного института следует иметь в виду, что понятия «нарушение договора» и «ответственность за нарушение договора» различаются. Под нарушением договора понимается неисполнение либо ненадлежащее исполнение стороной своих обязанностей согласно заключенному договору. Договор порождает обязательство, в силу которого если одно лицо (должник) обязано совершить в пользу другого лица (кредитора) определенное действие (или воздержаться от его совершения), то нарушение договора означает неисполнение или ненадлежащее исполнение должником своей обязанности, вытекающей из данного обязательства. Привлечение должника к ответственности за нарушение обязательства производится по требованию кредитора.  Ответственность за нарушение договора заключается в принуждении должника к надлежащему исполнению своих обязанностей, предусмотренных заключенным договором. Применительно к договору страхования договорной ответственности следует отметить, что в данном случае страхуется неисполнение страхователем своей обязанности по какому-либо договору, в котором он является стороной. При этом страховщик в случае неисполнения страхователем своей обязанности должен путем выплаты страхового возмещения погасить долг страхователя перед кредитором, т.е. фактически, если обязательство страхователя носит денежный характер  (например, договор займа), осуществить исполнение договора вместо страхователя [6, </w:t>
      </w:r>
      <w:r w:rsidRPr="00DA76A7">
        <w:rPr>
          <w:color w:val="000000" w:themeColor="text1"/>
          <w:sz w:val="22"/>
          <w:szCs w:val="22"/>
          <w:lang w:val="en-US"/>
        </w:rPr>
        <w:t>c</w:t>
      </w:r>
      <w:r w:rsidRPr="00DA76A7">
        <w:rPr>
          <w:color w:val="000000" w:themeColor="text1"/>
          <w:sz w:val="22"/>
          <w:szCs w:val="22"/>
        </w:rPr>
        <w:t>. 462]. Как отмечает А.И. Худяков, данное обстоятельство указывает, что в данном случае имеет место не столько страхование ответственности за нарушение договора, сколько страхование исполнения договора.  Страхование риска договорной ответственности фактически создает заранее обеспеченную возможность неисполнения обязательства, поэтому допускается только в тех случаях, когда законодатель сочтет это целесообразным. В то же время страхование риска договорной ответственности выгодно для кредитора, поскольку в случае нарушения обязательства он получит гарантированное возмещение убытков.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Для возникновения договорной ответственности необходимо наличие хотя бы двух оснований: «существование договорного обязательства, формально действительного и по существу не противоречащего закону» и нарушение этого обязательства [3,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20]. Таким образом, в отличие от внедоговорной ответственности, когда обязательство возникает только после причинения вреда, договорная ответственность является дополнительным обязательством (по отношению к первоначальному), в котором у кредитора появляется дополнительное право, а у должника - дополнительная обязанность. Следует отметить, что при данном страховании имеет место два договора. Первый – основной договор, в котором страхователь является стороной, несущей определенные обязанности в пользу другой стороны, т.е. является должником по обязательству. Второй – договор страхования, по которому страхует ответственность за неисполнение или ненадлежащее исполнение своих обязательств по основному договору. Иногда такой договор является «средством обеспечения исполнения первого договора».[5,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461]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Институт страхования ответственности по договору интересен тем, что его связь с возмещением убытков обнаруживается в двух ситуациях. При этом презюмируется надлежащее исполнение сторонами договорных обязательств – необходимость возмещения убытков возникает при неисполнении или ненадлежащем исполнении договора [5,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8-15].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случае неисполнения или ненадлежащего исполнения своих обязанностей перед кредитором должник несет ответственность, установленную законом или договором. Гражданский кодекс РТ предусматривает два вида ответственности за нарушение обязательства: возмещение убытков и уплата неустойки. Закон, в первую очередь, говорит об обязанности возместить убытки, в то время как неустойка является видом ответственности, устанавливаемой чаще договором. Как справедливо заметила Т.Р. Сивак, «Гражданский кодекс рассматривает неустойку не столько как вид гражданско - правовой ответственности, сколько как способ обеспечения обязательств. По требованию об уплате неустойки кредитор не обязан доказывать причинение ему убытков. Следует отметить, что наличие убытков является обязательным условием гражданско-правовой ответственности». Убытки рассматриваются в качестве универсальной формы ответственности  и общей санкции гражданского права, то есть они возмещаются во всех случаях нарушения обязательства, независимо от того, имеются ли в законе прямые указания или нет.  Естественно, подлежат возмещению лишь прямые убытки в рамках договора страхования договорной ответственности: реальный ущерб и упущенная выгода. Моральный вред и косвенные убытки не имеют причинной связи с фактом нарушения обязательства.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Что касается неустойки, то по требованию о ее возмещении кредитор не обязан доказывать факт причинения ему убытков. Если за неисполнение или ненадлежащее исполнение обязательства установлена неустойка, убытки возмещаются в части непокрытой неустойкой. Однако законом и договором могут быть предусмотрены случаи, когда допускается взыскание только неустойки, но не убытков; убытки взыскиваются в полной сумме сверх неустойки; взыскиваются либо неустойка, либо убытки.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существует мнение, согласно которому страхование ответственности в виде неустойки, установленной законом, является недопустимым, так как оно будет выражать страхование противоправных интересов [6,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464].  Несмотря на то, что многие авторы сосредотачивают свое внимание на убытках, следует отметить, что страхование ответственности за нарушение договора  каких-либо  ограничений в части видов этой ответственности, включая виды неустойки не содержит. Привлечение нарушителя договора к ответственности в виде неустойки, которая хотя и установлена законом, но носит зачетный характер, есть способ возмещения убытков, причиненных в результате неисполнения или ненадлежащего исполнения договора. Поэтому, считает А.И. Худяков, запрещение страхования ответственности в виде неустойки, установленной законом, приведет к искажению назначения данного вида страхования, поскольку ухудшит возможности выгодоприобретателя по возмещению того ущерба, который будет причинен нарушением договора. Однако в случае штрафной неустойки есть опасность ухода застрахованного лица от ответственности  за нарушение договора. Поэтому было бы целесообразным установление в законах, регулирующих страхование договорной ответственности, императивных норм о недопустимости страхования ответственности, влекущей уплату штрафной неустойки, по основному договору.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Исходя из вышеизложенного, можно сделать вывод, что страхование ответственности по договору порождает обязательство, в силу которого страховщик, выступая гарантом должника, не выполнившего основное обязательство, обязуется возместить кредитору вызванные нарушением договора убытки, а также уплатить предусмотренную договором или законом неустойку.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Традиционно говорят о четырех условиях договорной ответственности, а именно неправомерном поведении должника, которое выражается: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 неисполнении или ненадлежащем исполнении договорного обязательства;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 причиненных этими действиями убытках;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 причинной связи между вышеуказанными обстоятельствами;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виной должника.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силу того, что страхование риска ответственности за нарушение договора допускается лишь в отношении ответственности индивидуального предпринимателя или коммерческой организации за неисполнение или ненадлежащее исполнение публичного договора, следовательно, при осуществлении предпринимательской деятельности должник несет ответственность независимо от вины. Так, банк или небанковская кредитная организация несет ответственность, если не докажет, что надлежащее исполнение оказалось невозможным вследствие непреодолимой силы. Не считаются непреодолимой силой, в частности, нарушение обязанностей со стороны контрагентов должника и отсутствие у должника необходимых денежных средств. Поэтому можно утверждать, что четвертое условие договорной ответственности может и отсутствовать, но это не влияет на результат страхования ответственности по договору.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Страхование риска договорной ответственности, несмотря на все ограничения, все же имеет определенную сферу применения. Прежде всего речь идет о случаях, когда в законе предусмотрена обязательность соответствующего страхования для стороны в договоре. Примером может служить Воздушный кодекс РТ, обязывающий перевозчика страховать свою ответственность перед контрагентом по договору перевозки грузов (грузоотправителем) за утрату, недостачу или повреждение (порчу) груза. Другой пример - обязанность ломбарда страховать ответственность за принятые в залог вещи, а также за вещи поклажедателя. Обязанность страхователя страховать риск ответственности за нарушение договора может быть предусмотрена как альтернатива предоставления какого-либо из способов обеспечения.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Предметом страхования ответственности за нарушение договора выступает сама ответственность, к которой может быть привлечен страхователь как сторона по основному договору за неисполнение или ненадлежащее исполнение вытекающих из него обязанностей. Причем следует отметить, что ущерб может быть и не причинен  и речь идет лишь о взыскании неустойки. Например, за просрочку поставки товара реального ущерба может и не быть, но может иметь место привлечение должника к ответственности за ненадлежащее исполнение обязательства.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Объектом страхования является имущественный интерес страхователя, заключающийся в возможности возмещения тех убытков, которые возникнут у него в результате привлечения к ответственности за нарушение основного договора. Как справедливо замечено А.И. Худяковым, речь идет «об убытках страхователя, а не его контрагента». [6, </w:t>
      </w:r>
      <w:r w:rsidRPr="00DA76A7">
        <w:rPr>
          <w:color w:val="000000" w:themeColor="text1"/>
          <w:sz w:val="22"/>
          <w:szCs w:val="22"/>
          <w:lang w:val="en-US"/>
        </w:rPr>
        <w:t>c</w:t>
      </w:r>
      <w:r w:rsidRPr="00DA76A7">
        <w:rPr>
          <w:color w:val="000000" w:themeColor="text1"/>
          <w:sz w:val="22"/>
          <w:szCs w:val="22"/>
        </w:rPr>
        <w:t xml:space="preserve">. 467]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Страховым случаем является факт привлечения страхователя  к ответственности за нарушение основного договора.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По договору страхования риска ответственности за нарушение договора может быть застрахован риск ответственности только самого страхователя, но никак не третьих лиц, даже если на них возложено исполнение договора. Это положение императивное. А.А. Иванов обосновывает это «фискальными соображениями». Ведь нарушение договора в значительном числе случаев – результат волевых действий обязанного лица. Поэтому разрешение страховать ответственность по любому договору позволило бы, пишет он, перекачивать денежные средства, не заботясь подысканием подходящих оснований. Естественно, это противоречит смыслу страхования, лишает его признаков случайности и вероятности.</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Причем подлежит наступлению риск договорной ответственности самого страхователя и никакого другого лица, что не позволяет страховать риск ответственности за неисполнение договорных обязательств, возложенных страхователем – должником на третье лицо, несоблюдение этого условия влечет его ничтожность.</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 xml:space="preserve">Страхователем по договору страхования договорной ответственности является лицо, являющееся стороной по основному договору, неисполнение или ненадлежащее исполнение которой своих обязанностей может повлечь привлечение ее к ответственности в качестве должника. Выгодоприобретателем за нарушение договора является контрагент страхователя по основному договору.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Анализ обязательства по страхованию ответственности за нарушение договора позволяет сделать следующие выводы: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Во-первых, страхование ответственности по договору порождает обязательство, в силу которого страховщик, выступая гарантом должника, не выполнившего основное обязательство, обязуется возместить кредитору вызванные нарушением договора убытки, а также уплатить предусмотренную договором или законом неустойку.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Во-вторых,  страхование ответственности за нарушение договора имеет своей целью защиту не только имущественных интересов страхователей, связанных с риском ответственности по обязательствам. Этот вид страхования направлен, в первую очередь, на защиту интересов кредиторов и в этом качестве выступает способом обеспечения основного обязательства.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В-третьих,  объектом страхования являются имущественные интересы страхователя, связанные с его обязанностью возместить убытки, причиненные вследствие неисполнения или ненадлежащего исполнения им своих обязанностей по договору.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В-четвертых, было бы целесообразным установление в законах, регулирующих страхование договорной ответственности императивных норм о недопустимости страхования ответственности, влекущей уплату штрафной неустойки, по основному договору.  </w:t>
      </w:r>
    </w:p>
    <w:p w:rsidR="00181BA7" w:rsidRPr="00DA76A7" w:rsidRDefault="00181BA7" w:rsidP="00181BA7">
      <w:pPr>
        <w:pStyle w:val="ConsPlusNormal"/>
        <w:widowControl/>
        <w:ind w:firstLine="567"/>
        <w:jc w:val="both"/>
        <w:rPr>
          <w:color w:val="000000" w:themeColor="text1"/>
          <w:sz w:val="22"/>
          <w:szCs w:val="22"/>
        </w:rPr>
      </w:pPr>
      <w:r w:rsidRPr="00DA76A7">
        <w:rPr>
          <w:color w:val="000000" w:themeColor="text1"/>
          <w:sz w:val="22"/>
          <w:szCs w:val="22"/>
        </w:rPr>
        <w:t>Говоря о тенденциях развития данного вида страхования можно сказать, что, к сожалению, данный вид страхования ответственности не развит в нашей республике, но мы думаем, что в скором будущем возрастет значение данного договора. В нынешнем гражданском законодательстве имеются предпосылки для развития данного вида страхования.</w:t>
      </w:r>
    </w:p>
    <w:p w:rsidR="00181BA7" w:rsidRPr="00DA76A7" w:rsidRDefault="00181BA7" w:rsidP="00181BA7">
      <w:pPr>
        <w:pStyle w:val="ConsPlusNormal"/>
        <w:widowControl/>
        <w:ind w:firstLine="567"/>
        <w:jc w:val="center"/>
        <w:rPr>
          <w:b/>
          <w:color w:val="000000" w:themeColor="text1"/>
          <w:sz w:val="22"/>
          <w:szCs w:val="22"/>
        </w:rPr>
      </w:pPr>
    </w:p>
    <w:p w:rsidR="00181BA7" w:rsidRPr="00DA76A7" w:rsidRDefault="00181BA7" w:rsidP="00181BA7">
      <w:pPr>
        <w:pStyle w:val="ConsPlusNormal"/>
        <w:widowControl/>
        <w:ind w:firstLine="567"/>
        <w:jc w:val="center"/>
        <w:rPr>
          <w:b/>
          <w:color w:val="000000" w:themeColor="text1"/>
          <w:sz w:val="22"/>
          <w:szCs w:val="22"/>
        </w:rPr>
      </w:pPr>
      <w:r w:rsidRPr="00DA76A7">
        <w:rPr>
          <w:b/>
          <w:color w:val="000000" w:themeColor="text1"/>
          <w:sz w:val="22"/>
          <w:szCs w:val="22"/>
        </w:rPr>
        <w:t>Список литературы:</w:t>
      </w:r>
    </w:p>
    <w:p w:rsidR="00181BA7" w:rsidRPr="00DA76A7" w:rsidRDefault="00181BA7" w:rsidP="00D45D6B">
      <w:pPr>
        <w:pStyle w:val="ConsPlusNormal"/>
        <w:widowControl/>
        <w:numPr>
          <w:ilvl w:val="0"/>
          <w:numId w:val="72"/>
        </w:numPr>
        <w:tabs>
          <w:tab w:val="left" w:pos="851"/>
        </w:tabs>
        <w:ind w:left="0" w:firstLine="567"/>
        <w:jc w:val="both"/>
        <w:rPr>
          <w:b/>
          <w:color w:val="000000" w:themeColor="text1"/>
          <w:sz w:val="22"/>
          <w:szCs w:val="22"/>
        </w:rPr>
      </w:pPr>
      <w:r w:rsidRPr="00DA76A7">
        <w:rPr>
          <w:color w:val="000000" w:themeColor="text1"/>
          <w:sz w:val="22"/>
          <w:szCs w:val="22"/>
        </w:rPr>
        <w:t xml:space="preserve">Конституция Республики Таджикистан от 6 ноября 1994 г. [Электронный ресурс]. – Режим доступа: </w:t>
      </w:r>
      <w:hyperlink r:id="rId217" w:history="1">
        <w:r w:rsidRPr="00DA76A7">
          <w:rPr>
            <w:rStyle w:val="af0"/>
            <w:color w:val="000000" w:themeColor="text1"/>
            <w:sz w:val="22"/>
            <w:szCs w:val="22"/>
            <w:u w:val="none"/>
          </w:rPr>
          <w:t>http://www.president.tj/ru/taxonomy/term/5/112</w:t>
        </w:r>
      </w:hyperlink>
      <w:r w:rsidRPr="00DA76A7">
        <w:rPr>
          <w:color w:val="000000" w:themeColor="text1"/>
          <w:sz w:val="22"/>
          <w:szCs w:val="22"/>
        </w:rPr>
        <w:t xml:space="preserve"> (дата обращения: 15.03.2018).</w:t>
      </w:r>
    </w:p>
    <w:p w:rsidR="00181BA7" w:rsidRPr="00DA76A7" w:rsidRDefault="00181BA7" w:rsidP="00D45D6B">
      <w:pPr>
        <w:pStyle w:val="ConsPlusNormal"/>
        <w:widowControl/>
        <w:numPr>
          <w:ilvl w:val="0"/>
          <w:numId w:val="72"/>
        </w:numPr>
        <w:tabs>
          <w:tab w:val="left" w:pos="851"/>
        </w:tabs>
        <w:ind w:left="0" w:firstLine="567"/>
        <w:jc w:val="both"/>
        <w:rPr>
          <w:b/>
          <w:color w:val="000000" w:themeColor="text1"/>
          <w:sz w:val="22"/>
          <w:szCs w:val="22"/>
        </w:rPr>
      </w:pPr>
      <w:r w:rsidRPr="00DA76A7">
        <w:rPr>
          <w:color w:val="000000" w:themeColor="text1"/>
          <w:sz w:val="22"/>
          <w:szCs w:val="22"/>
        </w:rPr>
        <w:t>Гражданский кодекс Республики Таджикистан. Ч. 1 от 30 июня 1999года // Ахбори Маджлиси Оли Республики Таджикистан, 1999 г., 2015 г., №3, ст. 200</w:t>
      </w:r>
    </w:p>
    <w:p w:rsidR="00181BA7" w:rsidRPr="00DA76A7" w:rsidRDefault="00181BA7" w:rsidP="00D45D6B">
      <w:pPr>
        <w:pStyle w:val="ConsPlusNormal"/>
        <w:widowControl/>
        <w:numPr>
          <w:ilvl w:val="0"/>
          <w:numId w:val="72"/>
        </w:numPr>
        <w:tabs>
          <w:tab w:val="left" w:pos="851"/>
        </w:tabs>
        <w:ind w:left="0" w:firstLine="567"/>
        <w:jc w:val="both"/>
        <w:rPr>
          <w:b/>
          <w:color w:val="000000" w:themeColor="text1"/>
          <w:sz w:val="22"/>
          <w:szCs w:val="22"/>
        </w:rPr>
      </w:pPr>
      <w:r w:rsidRPr="00DA76A7">
        <w:rPr>
          <w:color w:val="000000" w:themeColor="text1"/>
          <w:sz w:val="22"/>
          <w:szCs w:val="22"/>
        </w:rPr>
        <w:t xml:space="preserve">Антимонов Б.С. Основания договорной ответственности социалистических организаций. - М.: Юрид. лит., 1962. – 176 с. </w:t>
      </w:r>
    </w:p>
    <w:p w:rsidR="00181BA7" w:rsidRPr="00DA76A7" w:rsidRDefault="00181BA7" w:rsidP="00D45D6B">
      <w:pPr>
        <w:pStyle w:val="ConsPlusNormal"/>
        <w:widowControl/>
        <w:numPr>
          <w:ilvl w:val="0"/>
          <w:numId w:val="72"/>
        </w:numPr>
        <w:tabs>
          <w:tab w:val="left" w:pos="851"/>
        </w:tabs>
        <w:ind w:left="0" w:firstLine="567"/>
        <w:jc w:val="both"/>
        <w:rPr>
          <w:rStyle w:val="st"/>
          <w:b/>
          <w:color w:val="000000" w:themeColor="text1"/>
          <w:sz w:val="22"/>
          <w:szCs w:val="22"/>
        </w:rPr>
      </w:pPr>
      <w:r w:rsidRPr="00DA76A7">
        <w:rPr>
          <w:rStyle w:val="af6"/>
          <w:i w:val="0"/>
          <w:color w:val="000000" w:themeColor="text1"/>
          <w:sz w:val="22"/>
          <w:szCs w:val="22"/>
        </w:rPr>
        <w:t>Белых В.С., Кривошеев И.В. Страховое право</w:t>
      </w:r>
      <w:r w:rsidRPr="00DA76A7">
        <w:rPr>
          <w:rStyle w:val="st"/>
          <w:color w:val="000000" w:themeColor="text1"/>
          <w:sz w:val="22"/>
          <w:szCs w:val="22"/>
        </w:rPr>
        <w:t>. - М.: Издательство НОРМА (Издательская группа НОРМА-ИНФРА-М), 2001. - 224 с</w:t>
      </w:r>
    </w:p>
    <w:p w:rsidR="00181BA7" w:rsidRPr="00DA76A7" w:rsidRDefault="00181BA7" w:rsidP="00D45D6B">
      <w:pPr>
        <w:pStyle w:val="ConsPlusNormal"/>
        <w:widowControl/>
        <w:numPr>
          <w:ilvl w:val="0"/>
          <w:numId w:val="72"/>
        </w:numPr>
        <w:tabs>
          <w:tab w:val="left" w:pos="851"/>
        </w:tabs>
        <w:ind w:left="0" w:firstLine="567"/>
        <w:jc w:val="both"/>
        <w:rPr>
          <w:b/>
          <w:color w:val="000000" w:themeColor="text1"/>
          <w:sz w:val="22"/>
          <w:szCs w:val="22"/>
        </w:rPr>
      </w:pPr>
      <w:r w:rsidRPr="00DA76A7">
        <w:rPr>
          <w:rStyle w:val="af6"/>
          <w:i w:val="0"/>
          <w:color w:val="000000" w:themeColor="text1"/>
          <w:sz w:val="22"/>
          <w:szCs w:val="22"/>
        </w:rPr>
        <w:t>Сивак Т.Р</w:t>
      </w:r>
      <w:r w:rsidRPr="00DA76A7">
        <w:rPr>
          <w:rStyle w:val="st"/>
          <w:color w:val="000000" w:themeColor="text1"/>
          <w:sz w:val="22"/>
          <w:szCs w:val="22"/>
        </w:rPr>
        <w:t xml:space="preserve">. </w:t>
      </w:r>
      <w:r w:rsidRPr="00DA76A7">
        <w:rPr>
          <w:rStyle w:val="af6"/>
          <w:i w:val="0"/>
          <w:color w:val="000000" w:themeColor="text1"/>
          <w:sz w:val="22"/>
          <w:szCs w:val="22"/>
        </w:rPr>
        <w:t>Страхование договорной ответственности</w:t>
      </w:r>
      <w:r w:rsidRPr="00DA76A7">
        <w:rPr>
          <w:rStyle w:val="st"/>
          <w:color w:val="000000" w:themeColor="text1"/>
          <w:sz w:val="22"/>
          <w:szCs w:val="22"/>
        </w:rPr>
        <w:t xml:space="preserve"> // Право и экономика. - М.; Юрид. Дом «Юстицинформ», 2001. - № 4. - с.8-15.</w:t>
      </w:r>
    </w:p>
    <w:p w:rsidR="00181BA7" w:rsidRPr="00DA76A7" w:rsidRDefault="00181BA7" w:rsidP="00D45D6B">
      <w:pPr>
        <w:pStyle w:val="ConsPlusNormal"/>
        <w:widowControl/>
        <w:numPr>
          <w:ilvl w:val="0"/>
          <w:numId w:val="72"/>
        </w:numPr>
        <w:tabs>
          <w:tab w:val="left" w:pos="851"/>
        </w:tabs>
        <w:ind w:left="0" w:firstLine="567"/>
        <w:jc w:val="both"/>
        <w:rPr>
          <w:rStyle w:val="st"/>
          <w:b/>
          <w:color w:val="000000" w:themeColor="text1"/>
          <w:sz w:val="22"/>
          <w:szCs w:val="22"/>
        </w:rPr>
      </w:pPr>
      <w:r w:rsidRPr="00DA76A7">
        <w:rPr>
          <w:rStyle w:val="af6"/>
          <w:i w:val="0"/>
          <w:color w:val="000000" w:themeColor="text1"/>
          <w:sz w:val="22"/>
          <w:szCs w:val="22"/>
        </w:rPr>
        <w:t>Худяков А</w:t>
      </w:r>
      <w:r w:rsidRPr="00DA76A7">
        <w:rPr>
          <w:rStyle w:val="st"/>
          <w:color w:val="000000" w:themeColor="text1"/>
          <w:sz w:val="22"/>
          <w:szCs w:val="22"/>
        </w:rPr>
        <w:t>.</w:t>
      </w:r>
      <w:r w:rsidRPr="00DA76A7">
        <w:rPr>
          <w:rStyle w:val="af6"/>
          <w:i w:val="0"/>
          <w:color w:val="000000" w:themeColor="text1"/>
          <w:sz w:val="22"/>
          <w:szCs w:val="22"/>
        </w:rPr>
        <w:t>И</w:t>
      </w:r>
      <w:r w:rsidRPr="00DA76A7">
        <w:rPr>
          <w:rStyle w:val="st"/>
          <w:color w:val="000000" w:themeColor="text1"/>
          <w:sz w:val="22"/>
          <w:szCs w:val="22"/>
        </w:rPr>
        <w:t xml:space="preserve">. </w:t>
      </w:r>
      <w:r w:rsidRPr="00DA76A7">
        <w:rPr>
          <w:rStyle w:val="af6"/>
          <w:i w:val="0"/>
          <w:color w:val="000000" w:themeColor="text1"/>
          <w:sz w:val="22"/>
          <w:szCs w:val="22"/>
        </w:rPr>
        <w:t>Страховое право</w:t>
      </w:r>
      <w:r w:rsidRPr="00DA76A7">
        <w:rPr>
          <w:rStyle w:val="st"/>
          <w:color w:val="000000" w:themeColor="text1"/>
          <w:sz w:val="22"/>
          <w:szCs w:val="22"/>
        </w:rPr>
        <w:t>. – М.: Юридический центр Пресс, 2004. – 691 с.</w:t>
      </w:r>
    </w:p>
    <w:p w:rsidR="00181BA7" w:rsidRPr="00DA76A7" w:rsidRDefault="00181BA7" w:rsidP="00181BA7">
      <w:pPr>
        <w:pStyle w:val="ConsPlusNormal"/>
        <w:widowControl/>
        <w:tabs>
          <w:tab w:val="left" w:pos="851"/>
        </w:tabs>
        <w:ind w:firstLine="567"/>
        <w:rPr>
          <w:b/>
          <w:color w:val="000000" w:themeColor="text1"/>
          <w:sz w:val="22"/>
          <w:szCs w:val="22"/>
        </w:rPr>
      </w:pPr>
    </w:p>
    <w:p w:rsidR="00181BA7" w:rsidRPr="00DA76A7" w:rsidRDefault="00181BA7" w:rsidP="00181BA7">
      <w:pPr>
        <w:pStyle w:val="ConsPlusNormal"/>
        <w:widowControl/>
        <w:ind w:firstLine="567"/>
        <w:rPr>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СРОК ИСКОВОЙ ДАВНОСТИ: ТЕОРИЯ И ПРАКТИКА ПРИМЕНЕНИЯ</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Николаева Лаура Владиславовна</w:t>
      </w:r>
    </w:p>
    <w:p w:rsidR="00181BA7" w:rsidRPr="00DA76A7" w:rsidRDefault="00181BA7" w:rsidP="00181BA7">
      <w:pPr>
        <w:pStyle w:val="Aff9"/>
        <w:pBdr>
          <w:top w:val="none" w:sz="0" w:space="0" w:color="auto"/>
          <w:left w:val="none" w:sz="0" w:space="0" w:color="auto"/>
          <w:bottom w:val="none" w:sz="0" w:space="0" w:color="auto"/>
          <w:right w:val="none" w:sz="0" w:space="0" w:color="auto"/>
          <w:bar w:val="none" w:sz="0" w:color="auto"/>
        </w:pBdr>
        <w:jc w:val="center"/>
        <w:rPr>
          <w:rFonts w:ascii="Arial" w:eastAsia="Batang" w:hAnsi="Arial" w:cs="Arial"/>
          <w:color w:val="000000" w:themeColor="text1"/>
          <w:lang w:eastAsia="ko-KR"/>
        </w:rPr>
      </w:pPr>
      <w:r w:rsidRPr="00DA76A7">
        <w:rPr>
          <w:rFonts w:ascii="Arial" w:eastAsia="Batang" w:hAnsi="Arial" w:cs="Arial"/>
          <w:color w:val="000000" w:themeColor="text1"/>
          <w:lang w:eastAsia="ko-KR"/>
        </w:rPr>
        <w:t>студентка 3 курса очной формы обучения юридического факультета</w:t>
      </w:r>
    </w:p>
    <w:p w:rsidR="00181BA7" w:rsidRPr="00DA76A7" w:rsidRDefault="00181BA7" w:rsidP="00181BA7">
      <w:pPr>
        <w:pStyle w:val="Aff9"/>
        <w:pBdr>
          <w:top w:val="none" w:sz="0" w:space="0" w:color="auto"/>
          <w:left w:val="none" w:sz="0" w:space="0" w:color="auto"/>
          <w:bottom w:val="none" w:sz="0" w:space="0" w:color="auto"/>
          <w:right w:val="none" w:sz="0" w:space="0" w:color="auto"/>
          <w:bar w:val="none" w:sz="0" w:color="auto"/>
        </w:pBdr>
        <w:jc w:val="center"/>
        <w:rPr>
          <w:rFonts w:ascii="Arial" w:eastAsia="Batang" w:hAnsi="Arial" w:cs="Arial"/>
          <w:color w:val="000000" w:themeColor="text1"/>
          <w:lang w:eastAsia="ko-KR"/>
        </w:rPr>
      </w:pPr>
      <w:r w:rsidRPr="00DA76A7">
        <w:rPr>
          <w:rFonts w:ascii="Arial" w:eastAsia="Batang" w:hAnsi="Arial" w:cs="Arial"/>
          <w:color w:val="000000" w:themeColor="text1"/>
          <w:lang w:eastAsia="ko-KR"/>
        </w:rPr>
        <w:t>Северо-Кавказский филиал Российского государственного университета правосудия</w:t>
      </w:r>
    </w:p>
    <w:p w:rsidR="00181BA7" w:rsidRPr="00DA76A7" w:rsidRDefault="00181BA7" w:rsidP="00181BA7">
      <w:pPr>
        <w:pStyle w:val="Aff9"/>
        <w:pBdr>
          <w:top w:val="none" w:sz="0" w:space="0" w:color="auto"/>
          <w:left w:val="none" w:sz="0" w:space="0" w:color="auto"/>
          <w:bottom w:val="none" w:sz="0" w:space="0" w:color="auto"/>
          <w:right w:val="none" w:sz="0" w:space="0" w:color="auto"/>
          <w:bar w:val="none" w:sz="0" w:color="auto"/>
        </w:pBdr>
        <w:jc w:val="center"/>
        <w:rPr>
          <w:rFonts w:ascii="Arial" w:eastAsia="Batang" w:hAnsi="Arial" w:cs="Arial"/>
          <w:color w:val="000000" w:themeColor="text1"/>
          <w:lang w:eastAsia="ko-KR"/>
        </w:rPr>
      </w:pPr>
      <w:r w:rsidRPr="00DA76A7">
        <w:rPr>
          <w:rFonts w:ascii="Arial" w:eastAsia="Batang" w:hAnsi="Arial" w:cs="Arial"/>
          <w:color w:val="000000" w:themeColor="text1"/>
          <w:lang w:eastAsia="ko-KR"/>
        </w:rPr>
        <w:t>350002, Россия, Краснодарский край, г. Краснодар, ул. Промышленная, 19, кв.30.</w:t>
      </w:r>
    </w:p>
    <w:p w:rsidR="00181BA7" w:rsidRPr="00DA76A7" w:rsidRDefault="00181BA7" w:rsidP="00181BA7">
      <w:pPr>
        <w:pStyle w:val="Aff9"/>
        <w:pBdr>
          <w:top w:val="none" w:sz="0" w:space="0" w:color="auto"/>
          <w:left w:val="none" w:sz="0" w:space="0" w:color="auto"/>
          <w:bottom w:val="none" w:sz="0" w:space="0" w:color="auto"/>
          <w:right w:val="none" w:sz="0" w:space="0" w:color="auto"/>
          <w:bar w:val="none" w:sz="0" w:color="auto"/>
        </w:pBdr>
        <w:jc w:val="center"/>
        <w:rPr>
          <w:rFonts w:ascii="Arial" w:hAnsi="Arial" w:cs="Arial"/>
          <w:bCs/>
          <w:iCs/>
          <w:color w:val="000000" w:themeColor="text1"/>
        </w:rPr>
      </w:pPr>
      <w:r w:rsidRPr="00DA76A7">
        <w:rPr>
          <w:rFonts w:ascii="Arial" w:hAnsi="Arial" w:cs="Arial"/>
          <w:bCs/>
          <w:iCs/>
          <w:color w:val="000000" w:themeColor="text1"/>
        </w:rPr>
        <w:t xml:space="preserve">тел.: 918-191-94-22, </w:t>
      </w:r>
      <w:r w:rsidRPr="00DA76A7">
        <w:rPr>
          <w:rFonts w:ascii="Arial" w:hAnsi="Arial" w:cs="Arial"/>
          <w:bCs/>
          <w:iCs/>
          <w:color w:val="000000" w:themeColor="text1"/>
          <w:lang w:val="en-US"/>
        </w:rPr>
        <w:t>e</w:t>
      </w:r>
      <w:r w:rsidRPr="00DA76A7">
        <w:rPr>
          <w:rFonts w:ascii="Arial" w:hAnsi="Arial" w:cs="Arial"/>
          <w:bCs/>
          <w:iCs/>
          <w:color w:val="000000" w:themeColor="text1"/>
        </w:rPr>
        <w:t>-</w:t>
      </w:r>
      <w:r w:rsidRPr="00DA76A7">
        <w:rPr>
          <w:rFonts w:ascii="Arial" w:hAnsi="Arial" w:cs="Arial"/>
          <w:bCs/>
          <w:iCs/>
          <w:color w:val="000000" w:themeColor="text1"/>
          <w:lang w:val="en-US"/>
        </w:rPr>
        <w:t>mail</w:t>
      </w:r>
      <w:r w:rsidRPr="00DA76A7">
        <w:rPr>
          <w:rFonts w:ascii="Arial" w:hAnsi="Arial" w:cs="Arial"/>
          <w:bCs/>
          <w:iCs/>
          <w:color w:val="000000" w:themeColor="text1"/>
        </w:rPr>
        <w:t xml:space="preserve">: </w:t>
      </w:r>
      <w:r w:rsidRPr="00DA76A7">
        <w:rPr>
          <w:rFonts w:ascii="Arial" w:hAnsi="Arial" w:cs="Arial"/>
          <w:bCs/>
          <w:iCs/>
          <w:color w:val="000000" w:themeColor="text1"/>
          <w:lang w:val="en-US"/>
        </w:rPr>
        <w:t>laura</w:t>
      </w:r>
      <w:r w:rsidRPr="00DA76A7">
        <w:rPr>
          <w:rFonts w:ascii="Arial" w:hAnsi="Arial" w:cs="Arial"/>
          <w:bCs/>
          <w:iCs/>
          <w:color w:val="000000" w:themeColor="text1"/>
        </w:rPr>
        <w:t>-1997@</w:t>
      </w:r>
      <w:r w:rsidRPr="00DA76A7">
        <w:rPr>
          <w:rFonts w:ascii="Arial" w:hAnsi="Arial" w:cs="Arial"/>
          <w:bCs/>
          <w:iCs/>
          <w:color w:val="000000" w:themeColor="text1"/>
          <w:lang w:val="en-US"/>
        </w:rPr>
        <w:t>yandex</w:t>
      </w:r>
      <w:r w:rsidRPr="00DA76A7">
        <w:rPr>
          <w:rFonts w:ascii="Arial" w:hAnsi="Arial" w:cs="Arial"/>
          <w:bCs/>
          <w:iCs/>
          <w:color w:val="000000" w:themeColor="text1"/>
        </w:rPr>
        <w:t>.</w:t>
      </w:r>
      <w:r w:rsidRPr="00DA76A7">
        <w:rPr>
          <w:rFonts w:ascii="Arial" w:hAnsi="Arial" w:cs="Arial"/>
          <w:bCs/>
          <w:iCs/>
          <w:color w:val="000000" w:themeColor="text1"/>
          <w:lang w:val="en-US"/>
        </w:rPr>
        <w:t>ru</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LIMIT OF LIMITATION OF LIMITATION: THEORY AND PRACTICE OF APPLICATION</w:t>
      </w:r>
    </w:p>
    <w:p w:rsidR="00181BA7" w:rsidRPr="00DA76A7" w:rsidRDefault="00181BA7" w:rsidP="00181BA7">
      <w:pPr>
        <w:tabs>
          <w:tab w:val="left" w:pos="6211"/>
        </w:tabs>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Nikolaeva Laura Vladislavovna</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3-year student of the full-time course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North-Caucasian branch of Russian State University of Justice»</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350002, Russia, Krasnodar Territory, Krasnodar, ul.Promyshlennaya, 19, apt.30.</w:t>
      </w:r>
    </w:p>
    <w:p w:rsidR="00181BA7" w:rsidRPr="00DA76A7" w:rsidRDefault="00181BA7" w:rsidP="00181BA7">
      <w:pPr>
        <w:jc w:val="center"/>
        <w:rPr>
          <w:rFonts w:ascii="Arial" w:hAnsi="Arial" w:cs="Arial"/>
          <w:color w:val="000000" w:themeColor="text1"/>
          <w:sz w:val="22"/>
          <w:szCs w:val="22"/>
          <w:highlight w:val="yellow"/>
          <w:lang w:val="en-US"/>
        </w:rPr>
      </w:pPr>
      <w:r w:rsidRPr="00DA76A7">
        <w:rPr>
          <w:rFonts w:ascii="Arial" w:hAnsi="Arial" w:cs="Arial"/>
          <w:color w:val="000000" w:themeColor="text1"/>
          <w:sz w:val="22"/>
          <w:szCs w:val="22"/>
          <w:lang w:val="en-US"/>
        </w:rPr>
        <w:t>tel.: 918-191-94-22, e-mail: laura-1997@yandex.ru</w:t>
      </w:r>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рассмотрены особенности и порядок исчисления сроков исковой давности. Уделено внимание сроку исковой давности в субъективном и объективном смысле слова. Уделено внимание особенностям применения сроков исковой давности к дополнительным требованиям.</w:t>
      </w:r>
      <w:r w:rsidRPr="00DA76A7">
        <w:rPr>
          <w:rFonts w:ascii="Arial" w:hAnsi="Arial" w:cs="Arial"/>
          <w:b/>
          <w:i/>
          <w:color w:val="000000" w:themeColor="text1"/>
          <w:sz w:val="22"/>
          <w:szCs w:val="22"/>
        </w:rPr>
        <w:t xml:space="preserve">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the article features and an order of calculation of terms of limitation of actions are considered. Attention is paid to the limitation period in the subjective and objective sense of the word. Attention is paid to applying the application of the limitation period to additional requirements.</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исковая давность, общий срок исковой давности, течение, приостановление и восстановление срока исковой давности.</w:t>
      </w:r>
    </w:p>
    <w:p w:rsidR="00181BA7" w:rsidRPr="00DA76A7" w:rsidRDefault="00181BA7" w:rsidP="00181BA7">
      <w:pPr>
        <w:pStyle w:val="Aff9"/>
        <w:pBdr>
          <w:top w:val="none" w:sz="0" w:space="0" w:color="auto"/>
          <w:left w:val="none" w:sz="0" w:space="0" w:color="auto"/>
          <w:bottom w:val="none" w:sz="0" w:space="0" w:color="auto"/>
          <w:right w:val="none" w:sz="0" w:space="0" w:color="auto"/>
          <w:bar w:val="none" w:sz="0" w:color="auto"/>
        </w:pBdr>
        <w:ind w:firstLine="567"/>
        <w:jc w:val="both"/>
        <w:rPr>
          <w:rFonts w:ascii="Arial" w:hAnsi="Arial" w:cs="Arial"/>
          <w:bCs/>
          <w:i/>
          <w:color w:val="000000" w:themeColor="text1"/>
          <w:lang w:val="en-US"/>
        </w:rPr>
      </w:pPr>
      <w:r w:rsidRPr="00DA76A7">
        <w:rPr>
          <w:rFonts w:ascii="Arial" w:hAnsi="Arial" w:cs="Arial"/>
          <w:b/>
          <w:bCs/>
          <w:i/>
          <w:color w:val="000000" w:themeColor="text1"/>
          <w:lang w:val="en-US"/>
        </w:rPr>
        <w:t xml:space="preserve">Key words: </w:t>
      </w:r>
      <w:r w:rsidRPr="00DA76A7">
        <w:rPr>
          <w:rFonts w:ascii="Arial" w:hAnsi="Arial" w:cs="Arial"/>
          <w:bCs/>
          <w:i/>
          <w:color w:val="000000" w:themeColor="text1"/>
          <w:lang w:val="en-US"/>
        </w:rPr>
        <w:t>the statute of limitations, the general limitation period, the course, suspension and restoration of the statute of limitations.</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Исковая давность является одним из центральных институтов права. Именно сроком исковой давности определяются временные рамки защиты нарушенного субъективного права в судебном порядке, поскольку, как гласит статья 195 ГК РФ [1], исковой давностью признаётся срок для защиты права по иску лица, право которого нарушено. Поэтому большое значение имеет исследование изменений норм действующего законодательства [2] (далее ФЗ №100-ФЗ), а именно, изменений, связанных с особенностями начала, приостановления течения срока исковой давности.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Положения ГК РФ были скорректированы таким образом, чтобы у участников оборота была большая ясность относительно порядка и особенностей исчисления сроков исковой давности.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Во-первых, как и в ранее действовавшей редакции ГК РФ срок исковой давности составляет три года. Этот срок носит субъективный характер, поскольку его течение начинается со дня, когда лицо узнало или должно было узнать о нарушении своего права и о том, кто является надлежащим ответчиком по иску о защите этого права (ранее начало срока исковой давности не было связано с определением надлежащего ответчика). Кроме субъективного, появился и срок исковой давности объективного характера, составляющий 10 лет. Его появление не случайно. Законодатель посчитал данный срок оптимальным для защиты нарушенного права при, например, совершении сделок третьими лица, при виндицировании вещи. По-мнению законодателя, этот срок является оптимальным для обеспечения стабильности гражданского оборота, а также защиты добросовестных участников правоотношений, которые могут совершать сделки в отношении предмета спора.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Изначально нормам ФЗ №100-ФЗ законодатель придал обратную силу. Однако Конституционный суд указал на противоречие такого подхода Конституции, в силу чего сначала в законе, а теперь и в разъяснениях высшего суда [4] появились уточнения о том, что правила применяются и к требованиям, возникшим до вступления в силу ФЗ №100-ФЗ. Под действие названного закона подпадают требования, которые появились на основании других, ранее действовавших законов, и которые не истекли 1 сентября 2013 года. Кроме того, у ответчика появилось право заявить о пропуске срока исковой давности на этапе судебных прений. </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color w:val="000000" w:themeColor="text1"/>
          <w:sz w:val="22"/>
          <w:szCs w:val="22"/>
        </w:rPr>
        <w:t>Во-вторых, ФЗ № 100-ФЗ дополнены положения статьи 202 ГК РФ нормой, согласно которой срок исковой давности приостанавливается при наступлении обстоятельств, указанных в пункте 1 статьи 202 ГК РФ (если предъявлению иска препятствовало чрезвычайное и непредотвратимое при данных условиях обстоятельство, если истец или ответчик находятся в составе Вооружённых сил Российской Федерации, переведённых на военное положение и др.), если они возникли или продолжали существовать в последние шесть месяцев срока исковой давности (если этот срок равен шести месяцам или менее - в течение срока исковой давности).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Практика судов показывает, что требования о восстановлении исковой давности заявляются довольно часто. Аргументы, которые приводятся заявителями в таких случаях разнообразные. Например, когда заявитель указывает на уважительный характер пропуска для защиты нарушенного или оспариваемого права по причине невозможности оспорить незаконно начисленную коммунальным предприятием сумму долга, в связи с временным отсутствием лица в городе, по месту своего жительства [5, с. 94].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Кроме того, согласно положениям пункта 3 статьи 202 ГК РФ, если стороны прибегли к предусмотренной законом процедуре разрешения спора во внесудебном порядке (включая процедуру медиации, посредничества, досудебную административную процедуру), то течение срока исковой давности приостанавливается на срок, установленный законом для проведения такой процедуры, а при отсутствии такого срока - на шесть месяцев со дня начала процедуры. Данные правила, на наш взгляд, являются положительными, и, непосредственно, способствуют развитию досудебного порядка урегулирования споров.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В-третьих, ФЗ № 100-ФЗ уточнены положения статьи 207 ГК РФ о применении исковой давности и к дополнительным требованиям, наиболее распространённым из которых является требование о взыскании процентов. С истечением срока исковой давности по главному требованию считается истёкшим и срок исковой давности в отношении процентов, в том числе начисленных после истечения срока исковой давности по дополнительному требованию. [4] Кроме того, пункт 2 статьи 207 устанавливает, что в случае пропуска срока на предъявление к исполнению исполнительного документа по главному требованию срок исковой давности по дополнительным требованиям считается истёкшим.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В-четвертых, проблемным остается вопрос о моменте, с которого начинает течь срок исковой давности по виндикационным требованиям. Трудность состоит в том, что на протяжении времени розыска утерянной (похищенной) вещи собственник не может обратиться в суд за защитой нарушенного права, поскольку ответчик ему не известен. При этом факт истечения срока исковой давности служит самостоятельным основанием для отказа в иске, и в этом случае какие-либо другие доводы в обоснование заявленного искового требования не подлежат рассмотрению. Следовательно, возникает вопрос, как определять начальный момент течения срока исковой давности, когда собственник знал о выбытии из своего владения определенной вещи, но не мог установить кто конкретно владеет его вещью и к кому необходимо предъявлять виндикационное требование. Попытка решения указанной проблемы в отношении движимой вещи была предпринята ВАС РФ. Так, в пункте 12 информационного письма от 13 ноября 2008 года № 126 «Обзор судебной практики по некоторым вопросам, связанным с истребованием имущества из чужого незаконного владения» (далее – информационное письмо № 126) суд выразил правовую позицию, в соответствии с которой течение срока исковой давности по иску о виндикации движимого имущества начинается со дня обнаружения этого имущества. [3] Такой подход объясняется тем, что согласно пункту 1 статьи 200 ГК РФ исчисление срока исковой давности начинается с того дня, когда лицо узнало или должно было узнать о факте нарушения своего права. А в силу статьи 195 ГК РФ исковая давность определяется как срок для защиты права по иску лица, право которого нарушено. При этом в рамках искового производства защита права невозможна до тех пор, пока неизвестен нарушитель права – потенциальный ответчик. Следовательно, срок исковой давности по виндикационному требованию начинает течь с момента, когда истец узнал о нахождении спорной вещи.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Учитывая вышеизложенное, хотелось бы отметить, что институт исковой давности, является сложным, при всей кажущейся простоте, институтом, правовая регламентация которого имеет значение не только в свете реформирования гражданского законодательства, но, в первую очередь, в свете меняющихся экономических отношений, усложнения норм права, характера правоотношений. Именно от правильного понимания особенностей порядка исчисления срока исковой давности, порой зависит исход дела. Поэтому и точность формулировок, и особенности исчисления такого рода сроков, данные законодателем и ВС РФ, имеют огромное значение с точки зрения теории и практики применения.</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Гражданский кодекс Российской Федерации (часть первая) от 30.10.94 г. №51-ФЗ (ред. от 29.12.2017 № 459-ФЗ) // СЗ РФ. – 1994. - № 32. – Ст. 3301.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Федеральный закон «О внесении изменений в подразделы 4 и 5 раздела I части первой и статью 1153 части третьей Гражданского кодекса Российской Федерации» от 07.05.2013 г. № 100-ФЗ // СЗ РФ. – 2013. - № 19. – Ст. 2327.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Информационное письмо ВАС РФ «Обзор судебной практики по некоторым вопросам, связанным с истребованием имущества из чужого незаконного владения» от 13.11.2008 г. № 126 // Вестник ВАС РФ. – 2009. - № 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4. Постановление Пленума ВС РФ «О некоторых вопросах, связанных с применением норм Гражданского кодекса об исковой давности» от 29.09.2015 г. № 43 (ред. 07.02.2017 № 6)  // Бюллетень ВС РФ. – 2015. - № 12.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Орлов А. Судебная практика в разрезе сроков исковой давности // Российская юстиция. - 2015. – С. 94.</w:t>
      </w:r>
    </w:p>
    <w:p w:rsidR="00181BA7" w:rsidRPr="00DA76A7" w:rsidRDefault="00181BA7" w:rsidP="00181BA7">
      <w:pPr>
        <w:ind w:firstLine="567"/>
        <w:jc w:val="both"/>
        <w:rPr>
          <w:rFonts w:ascii="Arial" w:hAnsi="Arial" w:cs="Arial"/>
          <w:color w:val="000000" w:themeColor="text1"/>
          <w:sz w:val="22"/>
          <w:szCs w:val="22"/>
        </w:rPr>
      </w:pPr>
    </w:p>
    <w:p w:rsidR="00181BA7" w:rsidRDefault="00181BA7" w:rsidP="00181BA7">
      <w:pPr>
        <w:shd w:val="clear" w:color="auto" w:fill="FFFFFF"/>
        <w:ind w:firstLine="567"/>
        <w:jc w:val="both"/>
        <w:rPr>
          <w:rFonts w:ascii="Arial" w:hAnsi="Arial" w:cs="Arial"/>
          <w:color w:val="000000" w:themeColor="text1"/>
          <w:sz w:val="22"/>
          <w:szCs w:val="22"/>
        </w:rPr>
      </w:pPr>
    </w:p>
    <w:p w:rsidR="001713F3" w:rsidRDefault="001713F3" w:rsidP="00181BA7">
      <w:pPr>
        <w:shd w:val="clear" w:color="auto" w:fill="FFFFFF"/>
        <w:ind w:firstLine="567"/>
        <w:jc w:val="both"/>
        <w:rPr>
          <w:rFonts w:ascii="Arial" w:hAnsi="Arial" w:cs="Arial"/>
          <w:color w:val="000000" w:themeColor="text1"/>
          <w:sz w:val="22"/>
          <w:szCs w:val="22"/>
        </w:rPr>
      </w:pPr>
    </w:p>
    <w:p w:rsidR="001713F3" w:rsidRPr="00DA76A7" w:rsidRDefault="001713F3"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shd w:val="clear" w:color="auto" w:fill="FFFFFF"/>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К ВОПРОСУ О ПОНЯТИИ БАНКОВСКОЙ ДЕЯТЕЛЬНОСТИ</w:t>
      </w:r>
    </w:p>
    <w:p w:rsidR="00181BA7" w:rsidRPr="00DA76A7" w:rsidRDefault="00181BA7" w:rsidP="00181BA7">
      <w:pPr>
        <w:shd w:val="clear" w:color="auto" w:fill="FFFFFF"/>
        <w:ind w:firstLine="567"/>
        <w:jc w:val="center"/>
        <w:rPr>
          <w:rFonts w:ascii="Arial" w:hAnsi="Arial" w:cs="Arial"/>
          <w:b/>
          <w:color w:val="000000" w:themeColor="text1"/>
          <w:sz w:val="22"/>
          <w:szCs w:val="22"/>
        </w:rPr>
      </w:pPr>
    </w:p>
    <w:p w:rsidR="00181BA7" w:rsidRPr="00DA76A7" w:rsidRDefault="00181BA7" w:rsidP="00181BA7">
      <w:pPr>
        <w:shd w:val="clear" w:color="auto" w:fill="FFFFFF"/>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Ниятбеков Джамшед Сарбозбекович</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Российско-Таджикский (Славянский) университет</w:t>
      </w:r>
    </w:p>
    <w:p w:rsidR="00181BA7" w:rsidRPr="00DA76A7" w:rsidRDefault="00181BA7" w:rsidP="00181BA7">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734025, Республика Таджикистан, г. Душанбе, ул. М. Турсунзаде, 30</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w:t>
      </w:r>
      <w:r w:rsidRPr="00DA76A7">
        <w:rPr>
          <w:rFonts w:ascii="Arial" w:hAnsi="Arial" w:cs="Arial"/>
          <w:color w:val="000000" w:themeColor="text1"/>
          <w:sz w:val="22"/>
          <w:szCs w:val="22"/>
          <w:shd w:val="clear" w:color="auto" w:fill="FFFFFF"/>
        </w:rPr>
        <w:t>938098484</w:t>
      </w:r>
      <w:r w:rsidRPr="00DA76A7">
        <w:rPr>
          <w:rFonts w:ascii="Arial" w:hAnsi="Arial" w:cs="Arial"/>
          <w:color w:val="000000" w:themeColor="text1"/>
          <w:sz w:val="22"/>
          <w:szCs w:val="22"/>
        </w:rPr>
        <w:t>,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lang w:val="en-US"/>
        </w:rPr>
        <w:t>jamshedttt</w:t>
      </w:r>
      <w:r w:rsidRPr="00DA76A7">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gmail</w:t>
      </w:r>
      <w:r w:rsidRPr="00DA76A7">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com</w:t>
      </w:r>
    </w:p>
    <w:p w:rsidR="00181BA7" w:rsidRPr="00DA76A7" w:rsidRDefault="00181BA7" w:rsidP="00181BA7">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181BA7" w:rsidRPr="00DA76A7" w:rsidRDefault="00181BA7" w:rsidP="00181BA7">
      <w:pPr>
        <w:ind w:firstLine="567"/>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Niyatbekov Jamshed Sarbozbekovich</w:t>
      </w:r>
    </w:p>
    <w:p w:rsidR="00181BA7" w:rsidRPr="00DA76A7" w:rsidRDefault="00181BA7" w:rsidP="00181BA7">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master of 2nd year of full-time department of the faculty of law</w:t>
      </w:r>
    </w:p>
    <w:p w:rsidR="00181BA7" w:rsidRPr="00DA76A7" w:rsidRDefault="00181BA7" w:rsidP="00181BA7">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Russian-Tajik (Slavonic) university</w:t>
      </w:r>
    </w:p>
    <w:p w:rsidR="00181BA7" w:rsidRPr="00DA76A7" w:rsidRDefault="00181BA7" w:rsidP="00181BA7">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734025, Republic of Tajikistan, Dushanbe, M. Tursunzade str., 30</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w:t>
      </w:r>
      <w:r w:rsidRPr="00DA76A7">
        <w:rPr>
          <w:rFonts w:ascii="Arial" w:hAnsi="Arial" w:cs="Arial"/>
          <w:color w:val="000000" w:themeColor="text1"/>
          <w:sz w:val="22"/>
          <w:szCs w:val="22"/>
          <w:shd w:val="clear" w:color="auto" w:fill="FFFFFF"/>
          <w:lang w:val="en-US"/>
        </w:rPr>
        <w:t>938098484</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r w:rsidRPr="00DA76A7">
        <w:rPr>
          <w:rFonts w:ascii="Arial" w:hAnsi="Arial" w:cs="Arial"/>
          <w:color w:val="000000" w:themeColor="text1"/>
          <w:sz w:val="22"/>
          <w:szCs w:val="22"/>
          <w:shd w:val="clear" w:color="auto" w:fill="FFFFFF"/>
          <w:lang w:val="en-US"/>
        </w:rPr>
        <w:t>jamshedttt@gmail.com</w:t>
      </w:r>
    </w:p>
    <w:p w:rsidR="00181BA7" w:rsidRPr="00DA76A7" w:rsidRDefault="00181BA7" w:rsidP="00181BA7">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w:t>
      </w: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Меликов У.С.</w:t>
      </w:r>
    </w:p>
    <w:p w:rsidR="00181BA7" w:rsidRPr="00DA76A7" w:rsidRDefault="00181BA7" w:rsidP="00181BA7">
      <w:pPr>
        <w:shd w:val="clear" w:color="auto" w:fill="FFFFFF"/>
        <w:ind w:firstLine="567"/>
        <w:rPr>
          <w:rFonts w:ascii="Arial" w:hAnsi="Arial" w:cs="Arial"/>
          <w:b/>
          <w:color w:val="000000" w:themeColor="text1"/>
          <w:sz w:val="22"/>
          <w:szCs w:val="22"/>
        </w:rPr>
      </w:pPr>
    </w:p>
    <w:p w:rsidR="00181BA7" w:rsidRPr="00DA76A7" w:rsidRDefault="00181BA7" w:rsidP="00181BA7">
      <w:pPr>
        <w:shd w:val="clear" w:color="auto" w:fill="FFFFFF"/>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анализируется понятие банковской деятельности, раскрывается ее сущность и содержание</w:t>
      </w:r>
    </w:p>
    <w:p w:rsidR="00181BA7" w:rsidRPr="00DA76A7" w:rsidRDefault="00181BA7" w:rsidP="00181BA7">
      <w:pPr>
        <w:shd w:val="clear" w:color="auto" w:fill="FFFFFF"/>
        <w:ind w:firstLine="567"/>
        <w:jc w:val="both"/>
        <w:rPr>
          <w:rFonts w:ascii="Arial" w:hAnsi="Arial" w:cs="Arial"/>
          <w:b/>
          <w:i/>
          <w:color w:val="000000" w:themeColor="text1"/>
          <w:sz w:val="22"/>
          <w:szCs w:val="22"/>
          <w:shd w:val="clear" w:color="auto" w:fill="FFFFFF"/>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analyzes the concept of banking activity, reveals its essence and content.</w:t>
      </w:r>
    </w:p>
    <w:p w:rsidR="00181BA7" w:rsidRPr="00DA76A7" w:rsidRDefault="00181BA7" w:rsidP="00181BA7">
      <w:pPr>
        <w:shd w:val="clear" w:color="auto" w:fill="FFFFFF"/>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кредитная организация, банк, банковская деятельность, банковские сделки, банковские операции.</w:t>
      </w:r>
    </w:p>
    <w:p w:rsidR="00181BA7" w:rsidRPr="00DA76A7" w:rsidRDefault="00181BA7" w:rsidP="00181BA7">
      <w:pPr>
        <w:shd w:val="clear" w:color="auto" w:fill="FFFFFF"/>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credit organization, bank, banking, banking transactions, banking operations.</w:t>
      </w:r>
    </w:p>
    <w:p w:rsidR="00181BA7" w:rsidRPr="00DA76A7" w:rsidRDefault="00181BA7" w:rsidP="00181BA7">
      <w:pPr>
        <w:shd w:val="clear" w:color="auto" w:fill="FFFFFF"/>
        <w:ind w:firstLine="567"/>
        <w:jc w:val="both"/>
        <w:rPr>
          <w:rFonts w:ascii="Arial" w:hAnsi="Arial" w:cs="Arial"/>
          <w:i/>
          <w:color w:val="000000" w:themeColor="text1"/>
          <w:sz w:val="22"/>
          <w:szCs w:val="22"/>
          <w:lang w:val="en-US"/>
        </w:rPr>
      </w:pP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Категория «банковская деятельность» буквально пронизывает банковское законодательство Республики Таджикистан, используется законодателем в десятках законодательных и подзаконных нормативных актах. Данный термин широко применяется в банковской сфере и банковских актах, в частности, нормативных актах  Национального банка Таджикистана.</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ст. 1 Закона Республики Таджикистан «О банковской деятельности»  закреплено легальное определение термина «банковская деятельность», согласно которому банковская деятельность – осуществление кредитными организациями банковских операций и сделок, предусмотренных банковским законодательством.</w:t>
      </w: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 тем вопрос об определении сущности банковской деятельности в юридической литературе занимает особое место и выступает одним из главных тем для дискуссии ученых. Поэтому можно встретить различные определения данной категории:</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деятельность по осуществлению кредитными организациями банковских операций. Так, О.М. Олейник говорит, что «о банковской деятельности может идти речь в тех случаях, когда имеет место совершение любого вида перечисленных законодателем банковских  операций, как самим банком, так и иными кредитными организациями» [8, 26].</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деятельность по осуществлению кредитными организациями банковских операций и сделок [6, 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деятельность по осуществлению кредитными организациями банковских операций и сделок и деятельность Национального банка Таджикистан по организации и регулированию банковской системы.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Наличие различных определений термин «банковской деятельности» объясняется тем, что в законодательстве РТ периодически употребляются термины близкие по значению с понятием «банковской деятельности», но не совпадающие с ним по смыслу и содержанию (например, термины «деятельность кредитных организаций», «банковские услуги», «банковское дело» и некоторые другие), что также усложняет правоприменительный процесс. Так, например, в Уголовном кодексе РТ (ст. 263) законодатель использует следующий словооборот «осуществление банковской деятельности (банковских операций)», что позволяет сделать скоропалительный вывод о совпадении содержание понятий «банковская деятельность» и «банковские операции». Отсюда ученые уголовного права определяют банковскую деятельность как осуществление банковских операций, а также предпринимательскую деятельность в банковской сфере и в сфере деятельности кредитных организаций [4, 152].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Проанализируем точки зрения правоведов относительно определения сути исследуемого термина.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Например, А.Г. Братко полагает, что банковская деятельность - это банковские операции и сделки, а также другие действия кредитной организации, которые непосредственно направлены на развитие эффективности и повышение безопасности банковских услуг [2, 27]. </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Л.Г. Вострикова трактует банковскую деятельность как осуществляемую особыми субъектами рыночных отношений (кредитными организациями) специфическая предпринимательская деятельность по аккумуляции временно свободных денежных средств и вовлечению их в экономический оборот путем размещения от своего лица и на свой риск, а также по осуществлению расчетов [3, 43].</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авторы приравнивают банковскую деятельность к предпринимательской деятельности и связывают ее с банковскими операциями и банковскими сделками.</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наш взгляд широкое определение термина «банковская деятельность наиболее верно было отмечено С.А. Маркунцовым, по мнению которого к банковской деятельности относится не только основная, но и вспомогательная банковская деятельность [7, 36]. В трактовке А.Г. Братко основная банковская деятельность - это такая деятельность кредитной организации, которая включает банковские операции и банковские сделки. Вспомогательная банковская деятельность направлена на обеспечение благоприятных и безопасных условий осуществления основной банковской деятельности. Эта деятельность косвенно связана с результатами основной банковской деятельности. Например, к вспомогательной банковской деятельности относится информатизация, охрана, система безопасности и другие аналогичные виды деятельности различных подразделений кредитной организации [2, 29].</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резюмируя вышесказанное, банковскую деятельность можно определить как разновидность предпринимательской деятельности, заключающаяся в совершении совокупности банковских операций и банковских сделок кредитными организациями.</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закону РТ  о банковской деятельности к банковским операциям относятся:</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привлечение денежных средств физических и юридических лиц во вклады (до востребования и на определенный срок);</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размещение привлеченных средств физических и юридических лиц от своего имени и за свой счет;</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открытие и ведение банковских счетов физических и юридических лиц;</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осуществление переводов денежных средств по поручению физических и юридических лиц, в том числе банков-корреспондентов, по их банковским счетам;</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5) инкассация денежных средств, векселей, платежных и расчетных документов и кассовое обслуживание физических и юридических лиц; </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купля-продажа иностранной валюты в наличной и безналичной формах;</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привлечение во вклады и размещение драгоценных металлов;</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выдача банковских гарантий.</w:t>
      </w:r>
    </w:p>
    <w:p w:rsidR="00181BA7" w:rsidRPr="00DA76A7" w:rsidRDefault="00181BA7" w:rsidP="00181BA7">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сегодняшний день развитие банковской деятельности и уровень оказываемых ими услуг невозможно представить без внедрения современных научно – технических достижений, таких как компьютеризация банковской системы, использование программных обеспечений и всемирной сети «Интернет», расширение электронных банковских услуг [5, 33]. Обеспеченность банков компьютерной и специальной банковской техники, подключение к международным коммуникационным системам, внедрение в деятельность банков оказание электронных услуг, - необходимое условие работы банков на внутреннем и международном рынках услуг.</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widowControl w:val="0"/>
        <w:numPr>
          <w:ilvl w:val="0"/>
          <w:numId w:val="55"/>
        </w:numPr>
        <w:shd w:val="clear" w:color="auto" w:fill="FFFFFF"/>
        <w:tabs>
          <w:tab w:val="left" w:pos="851"/>
        </w:tabs>
        <w:autoSpaceDE w:val="0"/>
        <w:autoSpaceDN w:val="0"/>
        <w:adjustRightInd w:val="0"/>
        <w:spacing w:after="0" w:line="240" w:lineRule="auto"/>
        <w:ind w:left="0" w:firstLine="567"/>
        <w:jc w:val="both"/>
        <w:rPr>
          <w:rFonts w:ascii="Arial" w:eastAsia="PalatinoLinotype-Bold" w:hAnsi="Arial" w:cs="Arial"/>
          <w:bCs/>
          <w:color w:val="000000" w:themeColor="text1"/>
        </w:rPr>
      </w:pPr>
      <w:r w:rsidRPr="00DA76A7">
        <w:rPr>
          <w:rFonts w:ascii="Arial" w:hAnsi="Arial" w:cs="Arial"/>
          <w:color w:val="000000" w:themeColor="text1"/>
          <w:spacing w:val="-2"/>
        </w:rPr>
        <w:t xml:space="preserve">Закон Республики Таджикистан «О банковской деятельности» от 19 мая 2009 г. </w:t>
      </w:r>
      <w:r w:rsidRPr="00DA76A7">
        <w:rPr>
          <w:rFonts w:ascii="Arial" w:eastAsia="PalatinoLinotype-Bold" w:hAnsi="Arial" w:cs="Arial"/>
          <w:bCs/>
          <w:color w:val="000000" w:themeColor="text1"/>
        </w:rPr>
        <w:t>(с измен. и доп. от 27.11.2014 г.).</w:t>
      </w:r>
    </w:p>
    <w:p w:rsidR="00181BA7" w:rsidRPr="00DA76A7" w:rsidRDefault="00181BA7" w:rsidP="00D45D6B">
      <w:pPr>
        <w:pStyle w:val="af2"/>
        <w:numPr>
          <w:ilvl w:val="0"/>
          <w:numId w:val="55"/>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Братко А.Г. Банковское право России. – М.: Юрид. лит., 2003. – 848 с.</w:t>
      </w:r>
    </w:p>
    <w:p w:rsidR="00181BA7" w:rsidRPr="00DA76A7" w:rsidRDefault="00181BA7" w:rsidP="00D45D6B">
      <w:pPr>
        <w:pStyle w:val="af2"/>
        <w:numPr>
          <w:ilvl w:val="0"/>
          <w:numId w:val="55"/>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Вострикова Л.Г. Комментарий к Федеральному закону «О банках и банковской деятельности». - М.: Юстицинформ, 2006. – 191 с.</w:t>
      </w:r>
    </w:p>
    <w:p w:rsidR="00181BA7" w:rsidRPr="00DA76A7" w:rsidRDefault="00181BA7" w:rsidP="00D45D6B">
      <w:pPr>
        <w:pStyle w:val="af2"/>
        <w:numPr>
          <w:ilvl w:val="0"/>
          <w:numId w:val="55"/>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Гуев А.Н. Комментарий к Уголовному кодексу Российской Федерации для предпринимателей – М.: Экзамен, 2006.</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 383 с.</w:t>
      </w:r>
    </w:p>
    <w:p w:rsidR="00181BA7" w:rsidRPr="00DA76A7" w:rsidRDefault="00181BA7" w:rsidP="00D45D6B">
      <w:pPr>
        <w:pStyle w:val="a6"/>
        <w:widowControl w:val="0"/>
        <w:numPr>
          <w:ilvl w:val="0"/>
          <w:numId w:val="55"/>
        </w:numPr>
        <w:shd w:val="clear" w:color="auto" w:fill="FFFFFF"/>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Исмоилова З.И. Правовое регулирование расчетных отношений в международном коммерческом обороте: дисс. … канд. юрид. наук. – Душанбе, 2014. – 196 с.</w:t>
      </w:r>
    </w:p>
    <w:p w:rsidR="00181BA7" w:rsidRPr="00DA76A7" w:rsidRDefault="00181BA7" w:rsidP="00D45D6B">
      <w:pPr>
        <w:pStyle w:val="af2"/>
        <w:numPr>
          <w:ilvl w:val="0"/>
          <w:numId w:val="55"/>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Кузнецова И.А. Банковское право: шпаргалки. - М.: Эксмо, 2007. – 32 с.</w:t>
      </w:r>
    </w:p>
    <w:p w:rsidR="00181BA7" w:rsidRPr="00DA76A7" w:rsidRDefault="00181BA7" w:rsidP="00D45D6B">
      <w:pPr>
        <w:pStyle w:val="af2"/>
        <w:numPr>
          <w:ilvl w:val="0"/>
          <w:numId w:val="55"/>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Маркунцов С.А. О необходимости законодательного закрепления понятия «банковская деятельность» // Российская юстиция. - 2006. - №4.  – С. 35-38.</w:t>
      </w:r>
    </w:p>
    <w:p w:rsidR="00181BA7" w:rsidRPr="00DA76A7" w:rsidRDefault="00181BA7" w:rsidP="00D45D6B">
      <w:pPr>
        <w:pStyle w:val="a6"/>
        <w:widowControl w:val="0"/>
        <w:numPr>
          <w:ilvl w:val="0"/>
          <w:numId w:val="55"/>
        </w:numPr>
        <w:tabs>
          <w:tab w:val="left" w:pos="567"/>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Олейник О.М. Основы банковского права: курс лекций. - М.: Юристъ, 1997. - 424 с.</w:t>
      </w:r>
    </w:p>
    <w:p w:rsidR="00181BA7" w:rsidRPr="00DA76A7" w:rsidRDefault="00181BA7"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ind w:firstLine="567"/>
        <w:jc w:val="both"/>
        <w:rPr>
          <w:rFonts w:ascii="Arial" w:hAnsi="Arial" w:cs="Arial"/>
          <w:color w:val="000000" w:themeColor="text1"/>
          <w:sz w:val="22"/>
          <w:szCs w:val="22"/>
        </w:rPr>
      </w:pPr>
    </w:p>
    <w:p w:rsidR="00ED3C2E" w:rsidRPr="00DA76A7" w:rsidRDefault="00ED3C2E" w:rsidP="00ED3C2E">
      <w:pPr>
        <w:shd w:val="clear" w:color="auto" w:fill="FFFFFF"/>
        <w:ind w:firstLine="567"/>
        <w:jc w:val="center"/>
        <w:rPr>
          <w:rFonts w:ascii="Arial" w:hAnsi="Arial" w:cs="Arial"/>
          <w:b/>
          <w:color w:val="000000" w:themeColor="text1"/>
          <w:spacing w:val="-2"/>
          <w:sz w:val="22"/>
          <w:szCs w:val="22"/>
        </w:rPr>
      </w:pPr>
      <w:r w:rsidRPr="00DA76A7">
        <w:rPr>
          <w:rFonts w:ascii="Arial" w:hAnsi="Arial" w:cs="Arial"/>
          <w:b/>
          <w:color w:val="000000" w:themeColor="text1"/>
          <w:spacing w:val="-2"/>
          <w:sz w:val="22"/>
          <w:szCs w:val="22"/>
        </w:rPr>
        <w:t>ПОНЯТИЕ И ВИДЫ КРЕДИТНЫХ ОРГАНИЗАЦИЙ В РЕСПУБЛИКЕ ТАДЖИКИСТАН</w:t>
      </w:r>
    </w:p>
    <w:p w:rsidR="00ED3C2E" w:rsidRPr="00DA76A7" w:rsidRDefault="00ED3C2E" w:rsidP="00ED3C2E">
      <w:pPr>
        <w:shd w:val="clear" w:color="auto" w:fill="FFFFFF"/>
        <w:ind w:firstLine="567"/>
        <w:jc w:val="both"/>
        <w:rPr>
          <w:rFonts w:ascii="Arial" w:hAnsi="Arial" w:cs="Arial"/>
          <w:b/>
          <w:color w:val="000000" w:themeColor="text1"/>
          <w:spacing w:val="-2"/>
          <w:sz w:val="22"/>
          <w:szCs w:val="22"/>
        </w:rPr>
      </w:pPr>
    </w:p>
    <w:p w:rsidR="00ED3C2E" w:rsidRPr="00DA76A7" w:rsidRDefault="00ED3C2E" w:rsidP="00ED3C2E">
      <w:pPr>
        <w:shd w:val="clear" w:color="auto" w:fill="FFFFFF"/>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Ниятбеков Джамшед Сарбозбекович</w:t>
      </w:r>
    </w:p>
    <w:p w:rsidR="00ED3C2E" w:rsidRPr="00DA76A7" w:rsidRDefault="00ED3C2E" w:rsidP="00ED3C2E">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ED3C2E" w:rsidRPr="00DA76A7" w:rsidRDefault="00ED3C2E" w:rsidP="00ED3C2E">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Российско-Таджикский (Славянский) университет</w:t>
      </w:r>
    </w:p>
    <w:p w:rsidR="00ED3C2E" w:rsidRPr="00DA76A7" w:rsidRDefault="00ED3C2E" w:rsidP="00ED3C2E">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734025, Республика Таджикистан, г. Душанбе, ул. М. Турсунзаде, 30</w:t>
      </w:r>
    </w:p>
    <w:p w:rsidR="00ED3C2E" w:rsidRPr="00DA76A7" w:rsidRDefault="00ED3C2E" w:rsidP="00ED3C2E">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w:t>
      </w:r>
      <w:r w:rsidRPr="00DA76A7">
        <w:rPr>
          <w:rFonts w:ascii="Arial" w:hAnsi="Arial" w:cs="Arial"/>
          <w:color w:val="000000" w:themeColor="text1"/>
          <w:sz w:val="22"/>
          <w:szCs w:val="22"/>
          <w:shd w:val="clear" w:color="auto" w:fill="FFFFFF"/>
        </w:rPr>
        <w:t>938098484</w:t>
      </w:r>
      <w:r w:rsidRPr="00DA76A7">
        <w:rPr>
          <w:rFonts w:ascii="Arial" w:hAnsi="Arial" w:cs="Arial"/>
          <w:color w:val="000000" w:themeColor="text1"/>
          <w:sz w:val="22"/>
          <w:szCs w:val="22"/>
        </w:rPr>
        <w:t>,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lang w:val="en-US"/>
        </w:rPr>
        <w:t>jamshedttt</w:t>
      </w:r>
      <w:r w:rsidRPr="00DA76A7">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gmail</w:t>
      </w:r>
      <w:r w:rsidRPr="00DA76A7">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com</w:t>
      </w:r>
    </w:p>
    <w:p w:rsidR="00ED3C2E" w:rsidRPr="00DA76A7" w:rsidRDefault="00ED3C2E" w:rsidP="00ED3C2E">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ED3C2E" w:rsidRPr="00DA76A7" w:rsidRDefault="00ED3C2E" w:rsidP="00ED3C2E">
      <w:pPr>
        <w:ind w:firstLine="567"/>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Niyatbekov Jamshed Sarbozbekovich</w:t>
      </w:r>
    </w:p>
    <w:p w:rsidR="00ED3C2E" w:rsidRPr="00DA76A7" w:rsidRDefault="00ED3C2E" w:rsidP="00ED3C2E">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master of 2nd year of full-time department of the faculty of law</w:t>
      </w:r>
    </w:p>
    <w:p w:rsidR="00ED3C2E" w:rsidRPr="00DA76A7" w:rsidRDefault="00ED3C2E" w:rsidP="00ED3C2E">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Russian-Tajik (Slavonic) university</w:t>
      </w:r>
    </w:p>
    <w:p w:rsidR="00ED3C2E" w:rsidRPr="00DA76A7" w:rsidRDefault="00ED3C2E" w:rsidP="00ED3C2E">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734025, Republic of Tajikistan, Dushanbe, M. Tursunzade str., 30</w:t>
      </w:r>
    </w:p>
    <w:p w:rsidR="00ED3C2E" w:rsidRPr="00DA76A7" w:rsidRDefault="00ED3C2E" w:rsidP="00ED3C2E">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w:t>
      </w:r>
      <w:r w:rsidRPr="00DA76A7">
        <w:rPr>
          <w:rFonts w:ascii="Arial" w:hAnsi="Arial" w:cs="Arial"/>
          <w:color w:val="000000" w:themeColor="text1"/>
          <w:sz w:val="22"/>
          <w:szCs w:val="22"/>
          <w:shd w:val="clear" w:color="auto" w:fill="FFFFFF"/>
          <w:lang w:val="en-US"/>
        </w:rPr>
        <w:t>938098484</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r w:rsidRPr="00DA76A7">
        <w:rPr>
          <w:rFonts w:ascii="Arial" w:hAnsi="Arial" w:cs="Arial"/>
          <w:color w:val="000000" w:themeColor="text1"/>
          <w:sz w:val="22"/>
          <w:szCs w:val="22"/>
          <w:shd w:val="clear" w:color="auto" w:fill="FFFFFF"/>
          <w:lang w:val="en-US"/>
        </w:rPr>
        <w:t>jamshedttt@gmail.com</w:t>
      </w:r>
    </w:p>
    <w:p w:rsidR="00ED3C2E" w:rsidRPr="00DA76A7" w:rsidRDefault="00ED3C2E" w:rsidP="00ED3C2E">
      <w:pPr>
        <w:ind w:firstLine="567"/>
        <w:jc w:val="right"/>
        <w:rPr>
          <w:rFonts w:ascii="Arial" w:hAnsi="Arial" w:cs="Arial"/>
          <w:color w:val="000000" w:themeColor="text1"/>
          <w:sz w:val="22"/>
          <w:szCs w:val="22"/>
          <w:lang w:val="en-US"/>
        </w:rPr>
      </w:pPr>
    </w:p>
    <w:p w:rsidR="00ED3C2E" w:rsidRPr="00DA76A7" w:rsidRDefault="00ED3C2E" w:rsidP="00ED3C2E">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Меликов У.С.</w:t>
      </w:r>
    </w:p>
    <w:p w:rsidR="00ED3C2E" w:rsidRPr="00DA76A7" w:rsidRDefault="00ED3C2E" w:rsidP="00ED3C2E">
      <w:pPr>
        <w:shd w:val="clear" w:color="auto" w:fill="FFFFFF"/>
        <w:ind w:firstLine="567"/>
        <w:rPr>
          <w:rFonts w:ascii="Arial" w:hAnsi="Arial" w:cs="Arial"/>
          <w:b/>
          <w:color w:val="000000" w:themeColor="text1"/>
          <w:sz w:val="22"/>
          <w:szCs w:val="22"/>
        </w:rPr>
      </w:pPr>
    </w:p>
    <w:p w:rsidR="00ED3C2E" w:rsidRPr="00DA76A7" w:rsidRDefault="00ED3C2E" w:rsidP="00ED3C2E">
      <w:pPr>
        <w:shd w:val="clear" w:color="auto" w:fill="FFFFFF"/>
        <w:ind w:firstLine="567"/>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статье дается общая характеристика понятия кредитной организации, раскрываются ее признаки и виды. </w:t>
      </w:r>
    </w:p>
    <w:p w:rsidR="00ED3C2E" w:rsidRPr="00DA76A7" w:rsidRDefault="00ED3C2E" w:rsidP="00ED3C2E">
      <w:pPr>
        <w:shd w:val="clear" w:color="auto" w:fill="FFFFFF"/>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Annotation.</w:t>
      </w:r>
      <w:r w:rsidRPr="00DA76A7">
        <w:rPr>
          <w:rFonts w:ascii="Arial" w:hAnsi="Arial" w:cs="Arial"/>
          <w:i/>
          <w:color w:val="000000" w:themeColor="text1"/>
          <w:sz w:val="22"/>
          <w:szCs w:val="22"/>
          <w:shd w:val="clear" w:color="auto" w:fill="FFFFFF"/>
          <w:lang w:val="en-US"/>
        </w:rPr>
        <w:t xml:space="preserve"> The article gives a general description of the concept of a credit institution, its signs and types are disclosed.</w:t>
      </w:r>
    </w:p>
    <w:p w:rsidR="00ED3C2E" w:rsidRPr="00DA76A7" w:rsidRDefault="00ED3C2E" w:rsidP="00ED3C2E">
      <w:pPr>
        <w:shd w:val="clear" w:color="auto" w:fill="FFFFFF"/>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кредитная организация, банк, небанковские кредитные организации, микрофинансовая организация.</w:t>
      </w:r>
    </w:p>
    <w:p w:rsidR="00ED3C2E" w:rsidRPr="00DA76A7" w:rsidRDefault="00ED3C2E" w:rsidP="00ED3C2E">
      <w:pPr>
        <w:shd w:val="clear" w:color="auto" w:fill="FFFFFF"/>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shd w:val="clear" w:color="auto" w:fill="FFFFFF"/>
          <w:lang w:val="en-US"/>
        </w:rPr>
        <w:t>Key words:</w:t>
      </w:r>
      <w:r w:rsidRPr="00DA76A7">
        <w:rPr>
          <w:rFonts w:ascii="Arial" w:hAnsi="Arial" w:cs="Arial"/>
          <w:i/>
          <w:color w:val="000000" w:themeColor="text1"/>
          <w:sz w:val="22"/>
          <w:szCs w:val="22"/>
          <w:shd w:val="clear" w:color="auto" w:fill="FFFFFF"/>
          <w:lang w:val="en-US"/>
        </w:rPr>
        <w:t xml:space="preserve"> credit organization, bank, non-bank credit organizations, microfinance organization.</w:t>
      </w:r>
    </w:p>
    <w:p w:rsidR="00ED3C2E" w:rsidRPr="00DA76A7" w:rsidRDefault="00ED3C2E" w:rsidP="00ED3C2E">
      <w:pPr>
        <w:shd w:val="clear" w:color="auto" w:fill="FFFFFF"/>
        <w:ind w:firstLine="567"/>
        <w:jc w:val="both"/>
        <w:rPr>
          <w:rFonts w:ascii="Arial" w:hAnsi="Arial" w:cs="Arial"/>
          <w:b/>
          <w:color w:val="000000" w:themeColor="text1"/>
          <w:spacing w:val="-2"/>
          <w:sz w:val="22"/>
          <w:szCs w:val="22"/>
          <w:lang w:val="en-US"/>
        </w:rPr>
      </w:pPr>
    </w:p>
    <w:p w:rsidR="00ED3C2E" w:rsidRPr="00DA76A7" w:rsidRDefault="00ED3C2E" w:rsidP="00ED3C2E">
      <w:pPr>
        <w:tabs>
          <w:tab w:val="left" w:pos="567"/>
        </w:tabs>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Кредитная организация является самостоятельным хозяйствующим субъектом, которая обладает правами юридического лица и оказывает банковские услуги.  </w:t>
      </w:r>
    </w:p>
    <w:p w:rsidR="00ED3C2E" w:rsidRPr="00DA76A7" w:rsidRDefault="00ED3C2E" w:rsidP="00ED3C2E">
      <w:pPr>
        <w:shd w:val="clear" w:color="auto" w:fill="FFFFFF"/>
        <w:ind w:firstLine="567"/>
        <w:jc w:val="both"/>
        <w:rPr>
          <w:rFonts w:ascii="Arial" w:hAnsi="Arial" w:cs="Arial"/>
          <w:color w:val="000000" w:themeColor="text1"/>
          <w:spacing w:val="-2"/>
          <w:sz w:val="22"/>
          <w:szCs w:val="22"/>
        </w:rPr>
      </w:pPr>
      <w:r w:rsidRPr="00DA76A7">
        <w:rPr>
          <w:rFonts w:ascii="Arial" w:hAnsi="Arial" w:cs="Arial"/>
          <w:color w:val="000000" w:themeColor="text1"/>
          <w:sz w:val="22"/>
          <w:szCs w:val="22"/>
        </w:rPr>
        <w:t>В современных государствах с развитой рыночной экономикой кредитные организации представлены как особый вид организации, занимающиеся предпринимательской деятельностью в специфической сфере ссудного капитала, осуществляя его мобилизацию, движение и распределение [4, 274].</w:t>
      </w:r>
    </w:p>
    <w:p w:rsidR="00ED3C2E" w:rsidRPr="00DA76A7" w:rsidRDefault="00ED3C2E" w:rsidP="00ED3C2E">
      <w:pPr>
        <w:shd w:val="clear" w:color="auto" w:fill="FFFFFF"/>
        <w:ind w:firstLine="567"/>
        <w:jc w:val="both"/>
        <w:rPr>
          <w:rFonts w:ascii="Arial" w:eastAsia="PalatinoLinotype-Roman" w:hAnsi="Arial" w:cs="Arial"/>
          <w:color w:val="000000" w:themeColor="text1"/>
          <w:sz w:val="22"/>
          <w:szCs w:val="22"/>
        </w:rPr>
      </w:pPr>
      <w:r w:rsidRPr="00DA76A7">
        <w:rPr>
          <w:rFonts w:ascii="Arial" w:hAnsi="Arial" w:cs="Arial"/>
          <w:color w:val="000000" w:themeColor="text1"/>
          <w:spacing w:val="-2"/>
          <w:sz w:val="22"/>
          <w:szCs w:val="22"/>
        </w:rPr>
        <w:t xml:space="preserve">Закон Республики Таджикистан «О банковской деятельности» под </w:t>
      </w:r>
      <w:r w:rsidRPr="00DA76A7">
        <w:rPr>
          <w:rFonts w:ascii="Arial" w:hAnsi="Arial" w:cs="Arial"/>
          <w:bCs/>
          <w:iCs/>
          <w:color w:val="000000" w:themeColor="text1"/>
          <w:spacing w:val="-2"/>
          <w:sz w:val="22"/>
          <w:szCs w:val="22"/>
        </w:rPr>
        <w:t xml:space="preserve">кредитной организацией </w:t>
      </w:r>
      <w:r w:rsidRPr="00DA76A7">
        <w:rPr>
          <w:rFonts w:ascii="Arial" w:hAnsi="Arial" w:cs="Arial"/>
          <w:color w:val="000000" w:themeColor="text1"/>
          <w:spacing w:val="-2"/>
          <w:sz w:val="22"/>
          <w:szCs w:val="22"/>
        </w:rPr>
        <w:t>понимает ю</w:t>
      </w:r>
      <w:r w:rsidRPr="00DA76A7">
        <w:rPr>
          <w:rFonts w:ascii="Arial" w:eastAsia="PalatinoLinotype-Roman" w:hAnsi="Arial" w:cs="Arial"/>
          <w:color w:val="000000" w:themeColor="text1"/>
          <w:sz w:val="22"/>
          <w:szCs w:val="22"/>
        </w:rPr>
        <w:t xml:space="preserve">ридическое лицо, осуществляющее на основании лицензии Национального банка Таджикистана все или отдельные банковские операции, предусмотренные банковским законодательством  Республики Таджикистан (ст. 1). </w:t>
      </w:r>
    </w:p>
    <w:p w:rsidR="00ED3C2E" w:rsidRPr="00DA76A7" w:rsidRDefault="00ED3C2E" w:rsidP="00ED3C2E">
      <w:pPr>
        <w:shd w:val="clear" w:color="auto" w:fill="FFFFFF"/>
        <w:ind w:firstLine="567"/>
        <w:jc w:val="both"/>
        <w:rPr>
          <w:rFonts w:ascii="Arial" w:eastAsia="PalatinoLinotype-Roman" w:hAnsi="Arial" w:cs="Arial"/>
          <w:color w:val="000000" w:themeColor="text1"/>
          <w:sz w:val="22"/>
          <w:szCs w:val="22"/>
        </w:rPr>
      </w:pPr>
      <w:r w:rsidRPr="00DA76A7">
        <w:rPr>
          <w:rFonts w:ascii="Arial" w:eastAsia="PalatinoLinotype-Roman" w:hAnsi="Arial" w:cs="Arial"/>
          <w:color w:val="000000" w:themeColor="text1"/>
          <w:sz w:val="22"/>
          <w:szCs w:val="22"/>
        </w:rPr>
        <w:t>Анализ банковского законодательства Республики Таджикистан позволил нам выделить следующие признаки кредитной организации:</w:t>
      </w:r>
    </w:p>
    <w:p w:rsidR="00ED3C2E" w:rsidRPr="00DA76A7" w:rsidRDefault="00ED3C2E" w:rsidP="00ED3C2E">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а) кредитная организация является коммерческим юридическим лицом, т.е. таким организационным образованием, деятельность которого направлена на извлечение прибыли, за исключением микрокредитных фондов, которые законом отнесены в ряды некоммерческих организаций (ст. 1 Закона РТ «О микрофинансовых организациях»). </w:t>
      </w:r>
    </w:p>
    <w:p w:rsidR="00ED3C2E" w:rsidRPr="00DA76A7" w:rsidRDefault="00ED3C2E" w:rsidP="00ED3C2E">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 кредитная организация создается в основном в форме хозяйственного общества, т.е. акционерного общества, общества с ограниченной ответственностью. В частности, банки в нашей стране, за исключением государственного банка, создаются в форме акционерных обществ. </w:t>
      </w:r>
      <w:r w:rsidRPr="00DA76A7">
        <w:rPr>
          <w:rFonts w:ascii="Arial" w:eastAsia="PalatinoLinotype-Roman" w:hAnsi="Arial" w:cs="Arial"/>
          <w:color w:val="000000" w:themeColor="text1"/>
          <w:sz w:val="22"/>
          <w:szCs w:val="22"/>
        </w:rPr>
        <w:t>Микрокредитная депозитная организация и микрокредитная организация</w:t>
      </w:r>
      <w:r w:rsidRPr="00DA76A7">
        <w:rPr>
          <w:rFonts w:ascii="Arial" w:hAnsi="Arial" w:cs="Arial"/>
          <w:color w:val="000000" w:themeColor="text1"/>
          <w:sz w:val="22"/>
          <w:szCs w:val="22"/>
        </w:rPr>
        <w:t xml:space="preserve"> </w:t>
      </w:r>
      <w:r w:rsidRPr="00DA76A7">
        <w:rPr>
          <w:rFonts w:ascii="Arial" w:eastAsia="PalatinoLinotype-Roman" w:hAnsi="Arial" w:cs="Arial"/>
          <w:color w:val="000000" w:themeColor="text1"/>
          <w:sz w:val="22"/>
          <w:szCs w:val="22"/>
        </w:rPr>
        <w:t xml:space="preserve">создаются в форме закрытого акционерного общества или общества с ограниченной ответственностью. </w:t>
      </w:r>
    </w:p>
    <w:p w:rsidR="00ED3C2E" w:rsidRPr="00DA76A7" w:rsidRDefault="00ED3C2E" w:rsidP="00ED3C2E">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кредитная организация является юридическим лицом, созданным для осуществления банковских операций;</w:t>
      </w:r>
    </w:p>
    <w:p w:rsidR="00ED3C2E" w:rsidRPr="00DA76A7" w:rsidRDefault="00ED3C2E" w:rsidP="00ED3C2E">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 кредитная организация действует на основе лицензии, выдаваемой Национальным банком Таджикистана;</w:t>
      </w:r>
    </w:p>
    <w:p w:rsidR="00ED3C2E" w:rsidRPr="00DA76A7" w:rsidRDefault="00ED3C2E" w:rsidP="00ED3C2E">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 кредитная организация обладает специальной компетенцией, т.е. она извлекает прибыль только путем совершения определенных операций;</w:t>
      </w:r>
    </w:p>
    <w:p w:rsidR="00ED3C2E" w:rsidRPr="00DA76A7" w:rsidRDefault="00ED3C2E" w:rsidP="00ED3C2E">
      <w:pPr>
        <w:tabs>
          <w:tab w:val="left" w:pos="567"/>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 кредитная организация рассматривается законодателем как один из элементов банковской системы.</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w:t>
      </w:r>
      <w:r w:rsidRPr="00DA76A7">
        <w:rPr>
          <w:rFonts w:ascii="Arial" w:hAnsi="Arial" w:cs="Arial"/>
          <w:bCs/>
          <w:iCs/>
          <w:color w:val="000000" w:themeColor="text1"/>
          <w:sz w:val="22"/>
          <w:szCs w:val="22"/>
        </w:rPr>
        <w:t xml:space="preserve">редитная организация </w:t>
      </w:r>
      <w:r w:rsidRPr="00DA76A7">
        <w:rPr>
          <w:rFonts w:ascii="Arial" w:hAnsi="Arial" w:cs="Arial"/>
          <w:color w:val="000000" w:themeColor="text1"/>
          <w:sz w:val="22"/>
          <w:szCs w:val="22"/>
        </w:rPr>
        <w:t>вправе осуществлять следующие банковские операции:</w:t>
      </w:r>
    </w:p>
    <w:p w:rsidR="00ED3C2E" w:rsidRPr="00DA76A7" w:rsidRDefault="00ED3C2E" w:rsidP="00ED3C2E">
      <w:pPr>
        <w:numPr>
          <w:ilvl w:val="0"/>
          <w:numId w:val="73"/>
        </w:numPr>
        <w:shd w:val="clear" w:color="auto" w:fill="FFFFFF"/>
        <w:tabs>
          <w:tab w:val="left" w:pos="552"/>
        </w:tabs>
        <w:ind w:firstLine="567"/>
        <w:jc w:val="both"/>
        <w:rPr>
          <w:rFonts w:ascii="Arial" w:hAnsi="Arial" w:cs="Arial"/>
          <w:color w:val="000000" w:themeColor="text1"/>
          <w:spacing w:val="-18"/>
          <w:sz w:val="22"/>
          <w:szCs w:val="22"/>
        </w:rPr>
      </w:pPr>
      <w:r w:rsidRPr="00DA76A7">
        <w:rPr>
          <w:rFonts w:ascii="Arial" w:hAnsi="Arial" w:cs="Arial"/>
          <w:color w:val="000000" w:themeColor="text1"/>
          <w:sz w:val="22"/>
          <w:szCs w:val="22"/>
        </w:rPr>
        <w:t xml:space="preserve"> привлечение денежных средств физических и юридических лиц во вклады (до востребования и на определенный срок);</w:t>
      </w:r>
    </w:p>
    <w:p w:rsidR="00ED3C2E" w:rsidRPr="00DA76A7" w:rsidRDefault="00ED3C2E" w:rsidP="00ED3C2E">
      <w:pPr>
        <w:numPr>
          <w:ilvl w:val="0"/>
          <w:numId w:val="73"/>
        </w:numPr>
        <w:shd w:val="clear" w:color="auto" w:fill="FFFFFF"/>
        <w:tabs>
          <w:tab w:val="left" w:pos="552"/>
        </w:tabs>
        <w:ind w:firstLine="567"/>
        <w:jc w:val="both"/>
        <w:rPr>
          <w:rFonts w:ascii="Arial" w:hAnsi="Arial" w:cs="Arial"/>
          <w:color w:val="000000" w:themeColor="text1"/>
          <w:spacing w:val="-7"/>
          <w:sz w:val="22"/>
          <w:szCs w:val="22"/>
        </w:rPr>
      </w:pPr>
      <w:r w:rsidRPr="00DA76A7">
        <w:rPr>
          <w:rFonts w:ascii="Arial" w:hAnsi="Arial" w:cs="Arial"/>
          <w:color w:val="000000" w:themeColor="text1"/>
          <w:sz w:val="22"/>
          <w:szCs w:val="22"/>
        </w:rPr>
        <w:t xml:space="preserve"> размещение указанных привлеченных средств от своего име</w:t>
      </w:r>
      <w:r w:rsidRPr="00DA76A7">
        <w:rPr>
          <w:rFonts w:ascii="Arial" w:hAnsi="Arial" w:cs="Arial"/>
          <w:color w:val="000000" w:themeColor="text1"/>
          <w:sz w:val="22"/>
          <w:szCs w:val="22"/>
        </w:rPr>
        <w:softHyphen/>
        <w:t>ни и за свой счет;</w:t>
      </w:r>
    </w:p>
    <w:p w:rsidR="00ED3C2E" w:rsidRPr="00DA76A7" w:rsidRDefault="00ED3C2E" w:rsidP="00ED3C2E">
      <w:pPr>
        <w:numPr>
          <w:ilvl w:val="0"/>
          <w:numId w:val="74"/>
        </w:numPr>
        <w:shd w:val="clear" w:color="auto" w:fill="FFFFFF"/>
        <w:tabs>
          <w:tab w:val="left" w:pos="638"/>
        </w:tabs>
        <w:ind w:firstLine="567"/>
        <w:jc w:val="both"/>
        <w:rPr>
          <w:rFonts w:ascii="Arial" w:hAnsi="Arial" w:cs="Arial"/>
          <w:color w:val="000000" w:themeColor="text1"/>
          <w:spacing w:val="-9"/>
          <w:sz w:val="22"/>
          <w:szCs w:val="22"/>
        </w:rPr>
      </w:pPr>
      <w:r w:rsidRPr="00DA76A7">
        <w:rPr>
          <w:rFonts w:ascii="Arial" w:hAnsi="Arial" w:cs="Arial"/>
          <w:color w:val="000000" w:themeColor="text1"/>
          <w:sz w:val="22"/>
          <w:szCs w:val="22"/>
        </w:rPr>
        <w:t xml:space="preserve"> открытие и ведение банковских счетов физических и юридических лиц;</w:t>
      </w:r>
    </w:p>
    <w:p w:rsidR="00ED3C2E" w:rsidRPr="00DA76A7" w:rsidRDefault="00ED3C2E" w:rsidP="00ED3C2E">
      <w:pPr>
        <w:numPr>
          <w:ilvl w:val="0"/>
          <w:numId w:val="74"/>
        </w:numPr>
        <w:shd w:val="clear" w:color="auto" w:fill="FFFFFF"/>
        <w:tabs>
          <w:tab w:val="left" w:pos="638"/>
        </w:tabs>
        <w:ind w:firstLine="567"/>
        <w:jc w:val="both"/>
        <w:rPr>
          <w:rFonts w:ascii="Arial" w:hAnsi="Arial" w:cs="Arial"/>
          <w:color w:val="000000" w:themeColor="text1"/>
          <w:spacing w:val="-4"/>
          <w:sz w:val="22"/>
          <w:szCs w:val="22"/>
        </w:rPr>
      </w:pPr>
      <w:r w:rsidRPr="00DA76A7">
        <w:rPr>
          <w:rFonts w:ascii="Arial" w:hAnsi="Arial" w:cs="Arial"/>
          <w:color w:val="000000" w:themeColor="text1"/>
          <w:sz w:val="22"/>
          <w:szCs w:val="22"/>
        </w:rPr>
        <w:t xml:space="preserve"> осуществление расчетов по поручению физических и юридических лиц, в том числе банков-корреспондентов;</w:t>
      </w:r>
    </w:p>
    <w:p w:rsidR="00ED3C2E" w:rsidRPr="00DA76A7" w:rsidRDefault="00ED3C2E" w:rsidP="00ED3C2E">
      <w:pPr>
        <w:numPr>
          <w:ilvl w:val="0"/>
          <w:numId w:val="74"/>
        </w:numPr>
        <w:shd w:val="clear" w:color="auto" w:fill="FFFFFF"/>
        <w:tabs>
          <w:tab w:val="left" w:pos="638"/>
        </w:tabs>
        <w:ind w:firstLine="567"/>
        <w:jc w:val="both"/>
        <w:rPr>
          <w:rFonts w:ascii="Arial" w:hAnsi="Arial" w:cs="Arial"/>
          <w:color w:val="000000" w:themeColor="text1"/>
          <w:spacing w:val="-9"/>
          <w:sz w:val="22"/>
          <w:szCs w:val="22"/>
        </w:rPr>
      </w:pPr>
      <w:r w:rsidRPr="00DA76A7">
        <w:rPr>
          <w:rFonts w:ascii="Arial" w:hAnsi="Arial" w:cs="Arial"/>
          <w:color w:val="000000" w:themeColor="text1"/>
          <w:sz w:val="22"/>
          <w:szCs w:val="22"/>
        </w:rPr>
        <w:t xml:space="preserve"> инкассация денежных средств, векселей, платежных и рас</w:t>
      </w:r>
      <w:r w:rsidRPr="00DA76A7">
        <w:rPr>
          <w:rFonts w:ascii="Arial" w:hAnsi="Arial" w:cs="Arial"/>
          <w:color w:val="000000" w:themeColor="text1"/>
          <w:sz w:val="22"/>
          <w:szCs w:val="22"/>
        </w:rPr>
        <w:softHyphen/>
        <w:t>четных документов и кассовое обслуживание физических и юридических лиц;</w:t>
      </w:r>
    </w:p>
    <w:p w:rsidR="00ED3C2E" w:rsidRPr="00DA76A7" w:rsidRDefault="00ED3C2E" w:rsidP="00ED3C2E">
      <w:pPr>
        <w:numPr>
          <w:ilvl w:val="0"/>
          <w:numId w:val="74"/>
        </w:numPr>
        <w:shd w:val="clear" w:color="auto" w:fill="FFFFFF"/>
        <w:tabs>
          <w:tab w:val="left" w:pos="638"/>
        </w:tabs>
        <w:ind w:firstLine="567"/>
        <w:jc w:val="both"/>
        <w:rPr>
          <w:rFonts w:ascii="Arial" w:hAnsi="Arial" w:cs="Arial"/>
          <w:color w:val="000000" w:themeColor="text1"/>
          <w:spacing w:val="-6"/>
          <w:sz w:val="22"/>
          <w:szCs w:val="22"/>
        </w:rPr>
      </w:pPr>
      <w:r w:rsidRPr="00DA76A7">
        <w:rPr>
          <w:rFonts w:ascii="Arial" w:hAnsi="Arial" w:cs="Arial"/>
          <w:color w:val="000000" w:themeColor="text1"/>
          <w:sz w:val="22"/>
          <w:szCs w:val="22"/>
        </w:rPr>
        <w:t xml:space="preserve"> купля-продажа иностранной валюты в наличной и безналичной формах;</w:t>
      </w:r>
    </w:p>
    <w:p w:rsidR="00ED3C2E" w:rsidRPr="00DA76A7" w:rsidRDefault="00ED3C2E" w:rsidP="00ED3C2E">
      <w:pPr>
        <w:numPr>
          <w:ilvl w:val="0"/>
          <w:numId w:val="74"/>
        </w:numPr>
        <w:shd w:val="clear" w:color="auto" w:fill="FFFFFF"/>
        <w:tabs>
          <w:tab w:val="left" w:pos="638"/>
        </w:tabs>
        <w:ind w:firstLine="567"/>
        <w:jc w:val="both"/>
        <w:rPr>
          <w:rFonts w:ascii="Arial" w:hAnsi="Arial" w:cs="Arial"/>
          <w:color w:val="000000" w:themeColor="text1"/>
          <w:spacing w:val="-11"/>
          <w:sz w:val="22"/>
          <w:szCs w:val="22"/>
        </w:rPr>
      </w:pPr>
      <w:r w:rsidRPr="00DA76A7">
        <w:rPr>
          <w:rFonts w:ascii="Arial" w:hAnsi="Arial" w:cs="Arial"/>
          <w:color w:val="000000" w:themeColor="text1"/>
          <w:sz w:val="22"/>
          <w:szCs w:val="22"/>
        </w:rPr>
        <w:t xml:space="preserve"> привлечение во вклады и размещение драгоценных металлов;</w:t>
      </w:r>
    </w:p>
    <w:p w:rsidR="00ED3C2E" w:rsidRPr="00DA76A7" w:rsidRDefault="00ED3C2E" w:rsidP="00ED3C2E">
      <w:pPr>
        <w:numPr>
          <w:ilvl w:val="0"/>
          <w:numId w:val="74"/>
        </w:numPr>
        <w:shd w:val="clear" w:color="auto" w:fill="FFFFFF"/>
        <w:tabs>
          <w:tab w:val="left" w:pos="638"/>
        </w:tabs>
        <w:ind w:firstLine="567"/>
        <w:jc w:val="both"/>
        <w:rPr>
          <w:rFonts w:ascii="Arial" w:hAnsi="Arial" w:cs="Arial"/>
          <w:color w:val="000000" w:themeColor="text1"/>
          <w:spacing w:val="-9"/>
          <w:sz w:val="22"/>
          <w:szCs w:val="22"/>
        </w:rPr>
      </w:pPr>
      <w:r w:rsidRPr="00DA76A7">
        <w:rPr>
          <w:rFonts w:ascii="Arial" w:hAnsi="Arial" w:cs="Arial"/>
          <w:color w:val="000000" w:themeColor="text1"/>
          <w:sz w:val="22"/>
          <w:szCs w:val="22"/>
        </w:rPr>
        <w:t xml:space="preserve"> выдача банковских гарантий;</w:t>
      </w:r>
    </w:p>
    <w:p w:rsidR="00ED3C2E" w:rsidRPr="00DA76A7" w:rsidRDefault="00ED3C2E" w:rsidP="00ED3C2E">
      <w:pPr>
        <w:numPr>
          <w:ilvl w:val="0"/>
          <w:numId w:val="74"/>
        </w:numPr>
        <w:shd w:val="clear" w:color="auto" w:fill="FFFFFF"/>
        <w:tabs>
          <w:tab w:val="left" w:pos="638"/>
        </w:tabs>
        <w:ind w:firstLine="567"/>
        <w:jc w:val="both"/>
        <w:rPr>
          <w:rFonts w:ascii="Arial" w:hAnsi="Arial" w:cs="Arial"/>
          <w:color w:val="000000" w:themeColor="text1"/>
          <w:spacing w:val="-10"/>
          <w:sz w:val="22"/>
          <w:szCs w:val="22"/>
        </w:rPr>
      </w:pPr>
      <w:r w:rsidRPr="00DA76A7">
        <w:rPr>
          <w:rFonts w:ascii="Arial" w:hAnsi="Arial" w:cs="Arial"/>
          <w:color w:val="000000" w:themeColor="text1"/>
          <w:sz w:val="22"/>
          <w:szCs w:val="22"/>
        </w:rPr>
        <w:t xml:space="preserve"> осуществление переводов денежных средств по поручению физических лиц без открытия банковских счетов (за исключением почтовых переводов).</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iCs/>
          <w:color w:val="000000" w:themeColor="text1"/>
          <w:sz w:val="22"/>
          <w:szCs w:val="22"/>
        </w:rPr>
        <w:t xml:space="preserve">Кредитная организация </w:t>
      </w:r>
      <w:r w:rsidRPr="00DA76A7">
        <w:rPr>
          <w:rFonts w:ascii="Arial" w:hAnsi="Arial" w:cs="Arial"/>
          <w:color w:val="000000" w:themeColor="text1"/>
          <w:sz w:val="22"/>
          <w:szCs w:val="22"/>
        </w:rPr>
        <w:t xml:space="preserve">помимо перечисленных банковских операций </w:t>
      </w:r>
      <w:r w:rsidRPr="00DA76A7">
        <w:rPr>
          <w:rFonts w:ascii="Arial" w:hAnsi="Arial" w:cs="Arial"/>
          <w:iCs/>
          <w:color w:val="000000" w:themeColor="text1"/>
          <w:sz w:val="22"/>
          <w:szCs w:val="22"/>
        </w:rPr>
        <w:t>вправе осуществлять следующие сделки:</w:t>
      </w:r>
    </w:p>
    <w:p w:rsidR="00ED3C2E" w:rsidRPr="00DA76A7" w:rsidRDefault="00ED3C2E" w:rsidP="00ED3C2E">
      <w:pPr>
        <w:numPr>
          <w:ilvl w:val="0"/>
          <w:numId w:val="75"/>
        </w:numPr>
        <w:shd w:val="clear" w:color="auto" w:fill="FFFFFF"/>
        <w:tabs>
          <w:tab w:val="left" w:pos="547"/>
        </w:tabs>
        <w:ind w:firstLine="567"/>
        <w:jc w:val="both"/>
        <w:rPr>
          <w:rFonts w:ascii="Arial" w:hAnsi="Arial" w:cs="Arial"/>
          <w:color w:val="000000" w:themeColor="text1"/>
          <w:spacing w:val="-21"/>
          <w:sz w:val="22"/>
          <w:szCs w:val="22"/>
        </w:rPr>
      </w:pPr>
      <w:r w:rsidRPr="00DA76A7">
        <w:rPr>
          <w:rFonts w:ascii="Arial" w:hAnsi="Arial" w:cs="Arial"/>
          <w:color w:val="000000" w:themeColor="text1"/>
          <w:sz w:val="22"/>
          <w:szCs w:val="22"/>
        </w:rPr>
        <w:t xml:space="preserve"> выдачу поручительств за третьих лиц, предусматривающих исполнение обязательств в денежной форме;</w:t>
      </w:r>
    </w:p>
    <w:p w:rsidR="00ED3C2E" w:rsidRPr="00DA76A7" w:rsidRDefault="00ED3C2E" w:rsidP="00ED3C2E">
      <w:pPr>
        <w:numPr>
          <w:ilvl w:val="0"/>
          <w:numId w:val="75"/>
        </w:numPr>
        <w:shd w:val="clear" w:color="auto" w:fill="FFFFFF"/>
        <w:tabs>
          <w:tab w:val="left" w:pos="547"/>
        </w:tabs>
        <w:ind w:firstLine="567"/>
        <w:jc w:val="both"/>
        <w:rPr>
          <w:rFonts w:ascii="Arial" w:hAnsi="Arial" w:cs="Arial"/>
          <w:color w:val="000000" w:themeColor="text1"/>
          <w:spacing w:val="-6"/>
          <w:sz w:val="22"/>
          <w:szCs w:val="22"/>
        </w:rPr>
      </w:pPr>
      <w:r w:rsidRPr="00DA76A7">
        <w:rPr>
          <w:rFonts w:ascii="Arial" w:hAnsi="Arial" w:cs="Arial"/>
          <w:color w:val="000000" w:themeColor="text1"/>
          <w:sz w:val="22"/>
          <w:szCs w:val="22"/>
        </w:rPr>
        <w:t xml:space="preserve"> приобретение права требования от третьих лиц исполнения обязательств в денежной форме;</w:t>
      </w:r>
    </w:p>
    <w:p w:rsidR="00ED3C2E" w:rsidRPr="00DA76A7" w:rsidRDefault="00ED3C2E" w:rsidP="00ED3C2E">
      <w:pPr>
        <w:numPr>
          <w:ilvl w:val="0"/>
          <w:numId w:val="75"/>
        </w:numPr>
        <w:shd w:val="clear" w:color="auto" w:fill="FFFFFF"/>
        <w:tabs>
          <w:tab w:val="left" w:pos="547"/>
        </w:tabs>
        <w:ind w:firstLine="567"/>
        <w:jc w:val="both"/>
        <w:rPr>
          <w:rFonts w:ascii="Arial" w:hAnsi="Arial" w:cs="Arial"/>
          <w:color w:val="000000" w:themeColor="text1"/>
          <w:spacing w:val="-6"/>
          <w:sz w:val="22"/>
          <w:szCs w:val="22"/>
        </w:rPr>
      </w:pPr>
      <w:r w:rsidRPr="00DA76A7">
        <w:rPr>
          <w:rFonts w:ascii="Arial" w:hAnsi="Arial" w:cs="Arial"/>
          <w:color w:val="000000" w:themeColor="text1"/>
          <w:sz w:val="22"/>
          <w:szCs w:val="22"/>
        </w:rPr>
        <w:t xml:space="preserve"> доверительное управление денежными средствами и иным имуществом по договору с физическими и юридическими лицами;</w:t>
      </w:r>
    </w:p>
    <w:p w:rsidR="00ED3C2E" w:rsidRPr="00DA76A7" w:rsidRDefault="00ED3C2E" w:rsidP="00ED3C2E">
      <w:pPr>
        <w:numPr>
          <w:ilvl w:val="0"/>
          <w:numId w:val="75"/>
        </w:numPr>
        <w:shd w:val="clear" w:color="auto" w:fill="FFFFFF"/>
        <w:tabs>
          <w:tab w:val="left" w:pos="547"/>
        </w:tabs>
        <w:ind w:firstLine="567"/>
        <w:jc w:val="both"/>
        <w:rPr>
          <w:rFonts w:ascii="Arial" w:hAnsi="Arial" w:cs="Arial"/>
          <w:color w:val="000000" w:themeColor="text1"/>
          <w:spacing w:val="-4"/>
          <w:sz w:val="22"/>
          <w:szCs w:val="22"/>
        </w:rPr>
      </w:pPr>
      <w:r w:rsidRPr="00DA76A7">
        <w:rPr>
          <w:rFonts w:ascii="Arial" w:hAnsi="Arial" w:cs="Arial"/>
          <w:color w:val="000000" w:themeColor="text1"/>
          <w:sz w:val="22"/>
          <w:szCs w:val="22"/>
        </w:rPr>
        <w:t xml:space="preserve"> осуществление операций с драгоценными металлами и драго</w:t>
      </w:r>
      <w:r w:rsidRPr="00DA76A7">
        <w:rPr>
          <w:rFonts w:ascii="Arial" w:hAnsi="Arial" w:cs="Arial"/>
          <w:color w:val="000000" w:themeColor="text1"/>
          <w:sz w:val="22"/>
          <w:szCs w:val="22"/>
        </w:rPr>
        <w:softHyphen/>
        <w:t>ценными камнями в соответствии с законодательством Российской Федерации;</w:t>
      </w:r>
    </w:p>
    <w:p w:rsidR="00ED3C2E" w:rsidRPr="00DA76A7" w:rsidRDefault="00ED3C2E" w:rsidP="00ED3C2E">
      <w:pPr>
        <w:numPr>
          <w:ilvl w:val="0"/>
          <w:numId w:val="75"/>
        </w:numPr>
        <w:shd w:val="clear" w:color="auto" w:fill="FFFFFF"/>
        <w:tabs>
          <w:tab w:val="left" w:pos="547"/>
        </w:tabs>
        <w:ind w:firstLine="567"/>
        <w:jc w:val="both"/>
        <w:rPr>
          <w:rFonts w:ascii="Arial" w:hAnsi="Arial" w:cs="Arial"/>
          <w:color w:val="000000" w:themeColor="text1"/>
          <w:spacing w:val="-6"/>
          <w:sz w:val="22"/>
          <w:szCs w:val="22"/>
        </w:rPr>
      </w:pPr>
      <w:r w:rsidRPr="00DA76A7">
        <w:rPr>
          <w:rFonts w:ascii="Arial" w:hAnsi="Arial" w:cs="Arial"/>
          <w:color w:val="000000" w:themeColor="text1"/>
          <w:sz w:val="22"/>
          <w:szCs w:val="22"/>
        </w:rPr>
        <w:t xml:space="preserve"> предоставление в аренду физическим и юридическим лицам специальных помещений или находящихся в них сейфов для хра</w:t>
      </w:r>
      <w:r w:rsidRPr="00DA76A7">
        <w:rPr>
          <w:rFonts w:ascii="Arial" w:hAnsi="Arial" w:cs="Arial"/>
          <w:color w:val="000000" w:themeColor="text1"/>
          <w:sz w:val="22"/>
          <w:szCs w:val="22"/>
        </w:rPr>
        <w:softHyphen/>
        <w:t>пения документов и ценностей;</w:t>
      </w:r>
    </w:p>
    <w:p w:rsidR="00ED3C2E" w:rsidRPr="00DA76A7" w:rsidRDefault="00ED3C2E" w:rsidP="00ED3C2E">
      <w:pPr>
        <w:numPr>
          <w:ilvl w:val="0"/>
          <w:numId w:val="75"/>
        </w:numPr>
        <w:shd w:val="clear" w:color="auto" w:fill="FFFFFF"/>
        <w:tabs>
          <w:tab w:val="left" w:pos="547"/>
        </w:tabs>
        <w:ind w:firstLine="567"/>
        <w:jc w:val="both"/>
        <w:rPr>
          <w:rFonts w:ascii="Arial" w:hAnsi="Arial" w:cs="Arial"/>
          <w:color w:val="000000" w:themeColor="text1"/>
          <w:spacing w:val="-5"/>
          <w:sz w:val="22"/>
          <w:szCs w:val="22"/>
        </w:rPr>
      </w:pPr>
      <w:r w:rsidRPr="00DA76A7">
        <w:rPr>
          <w:rFonts w:ascii="Arial" w:hAnsi="Arial" w:cs="Arial"/>
          <w:color w:val="000000" w:themeColor="text1"/>
          <w:sz w:val="22"/>
          <w:szCs w:val="22"/>
        </w:rPr>
        <w:t xml:space="preserve"> лизинговые операции;</w:t>
      </w:r>
    </w:p>
    <w:p w:rsidR="00ED3C2E" w:rsidRPr="00DA76A7" w:rsidRDefault="00ED3C2E" w:rsidP="00ED3C2E">
      <w:pPr>
        <w:numPr>
          <w:ilvl w:val="0"/>
          <w:numId w:val="75"/>
        </w:numPr>
        <w:shd w:val="clear" w:color="auto" w:fill="FFFFFF"/>
        <w:tabs>
          <w:tab w:val="left" w:pos="547"/>
        </w:tabs>
        <w:ind w:firstLine="567"/>
        <w:jc w:val="both"/>
        <w:rPr>
          <w:rFonts w:ascii="Arial" w:hAnsi="Arial" w:cs="Arial"/>
          <w:color w:val="000000" w:themeColor="text1"/>
          <w:spacing w:val="-5"/>
          <w:sz w:val="22"/>
          <w:szCs w:val="22"/>
        </w:rPr>
      </w:pPr>
      <w:r w:rsidRPr="00DA76A7">
        <w:rPr>
          <w:rFonts w:ascii="Arial" w:hAnsi="Arial" w:cs="Arial"/>
          <w:color w:val="000000" w:themeColor="text1"/>
          <w:sz w:val="22"/>
          <w:szCs w:val="22"/>
        </w:rPr>
        <w:t xml:space="preserve"> оказание консультационных и информационных услуг. </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Классификация видов кредитных организаций может осуществляться по самым различным основаниям. При классификации по юридическому статусу в зависимости от круга осуществляемых банковских операций и банковских сделок выделяют </w:t>
      </w:r>
      <w:r w:rsidRPr="00DA76A7">
        <w:rPr>
          <w:rFonts w:ascii="Arial" w:hAnsi="Arial" w:cs="Arial"/>
          <w:bCs/>
          <w:iCs/>
          <w:color w:val="000000" w:themeColor="text1"/>
          <w:sz w:val="22"/>
          <w:szCs w:val="22"/>
        </w:rPr>
        <w:t xml:space="preserve">банки </w:t>
      </w:r>
      <w:r w:rsidRPr="00DA76A7">
        <w:rPr>
          <w:rFonts w:ascii="Arial" w:hAnsi="Arial" w:cs="Arial"/>
          <w:color w:val="000000" w:themeColor="text1"/>
          <w:sz w:val="22"/>
          <w:szCs w:val="22"/>
        </w:rPr>
        <w:t xml:space="preserve">и </w:t>
      </w:r>
      <w:r w:rsidRPr="00DA76A7">
        <w:rPr>
          <w:rFonts w:ascii="Arial" w:hAnsi="Arial" w:cs="Arial"/>
          <w:bCs/>
          <w:iCs/>
          <w:color w:val="000000" w:themeColor="text1"/>
          <w:sz w:val="22"/>
          <w:szCs w:val="22"/>
        </w:rPr>
        <w:t>небанковские кредитные организации.</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Банки</w:t>
      </w:r>
      <w:r w:rsidRPr="00DA76A7">
        <w:rPr>
          <w:rFonts w:ascii="Arial" w:hAnsi="Arial" w:cs="Arial"/>
          <w:bCs/>
          <w:i/>
          <w:color w:val="000000" w:themeColor="text1"/>
          <w:sz w:val="22"/>
          <w:szCs w:val="22"/>
        </w:rPr>
        <w:t xml:space="preserve"> </w:t>
      </w:r>
      <w:r w:rsidRPr="00DA76A7">
        <w:rPr>
          <w:rFonts w:ascii="Arial" w:hAnsi="Arial" w:cs="Arial"/>
          <w:color w:val="000000" w:themeColor="text1"/>
          <w:sz w:val="22"/>
          <w:szCs w:val="22"/>
        </w:rPr>
        <w:t xml:space="preserve">- кредитные организации, которые имеют исключительное право осуществлять в совокупности следующие банковские операции: привлечение во вклады денежных средств физических и юридических лиц, размещение указанных средств от своего имени и за свой счет на условиях возвратности, платности, срочности, открытие и ведение банковских счетов физических и юридических лиц. Соответственно, иностранным банком считается банк, признанный таковым по законодательству иностранного государства, на территории которого он зарегистрирован. </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Современная банковская деятельность возникла на основе меняльного дела и обслуживания денежных операций купцов, т. е. посредничества в их взаимных платежах [6, 19]. Сам термин «банк» происходит от слова «banco», что в переводе с итальянского означает скамья менялы, денежный стол, на котором менялы раскладывали монеты [5, 197].</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Среди банков во всем мире традиционно выделяют </w:t>
      </w:r>
      <w:r w:rsidRPr="00DA76A7">
        <w:rPr>
          <w:rFonts w:ascii="Arial" w:hAnsi="Arial" w:cs="Arial"/>
          <w:iCs/>
          <w:color w:val="000000" w:themeColor="text1"/>
          <w:sz w:val="22"/>
          <w:szCs w:val="22"/>
        </w:rPr>
        <w:t xml:space="preserve">эмиссионные (государственные) </w:t>
      </w:r>
      <w:r w:rsidRPr="00DA76A7">
        <w:rPr>
          <w:rFonts w:ascii="Arial" w:hAnsi="Arial" w:cs="Arial"/>
          <w:color w:val="000000" w:themeColor="text1"/>
          <w:sz w:val="22"/>
          <w:szCs w:val="22"/>
        </w:rPr>
        <w:t xml:space="preserve">и </w:t>
      </w:r>
      <w:r w:rsidRPr="00DA76A7">
        <w:rPr>
          <w:rFonts w:ascii="Arial" w:hAnsi="Arial" w:cs="Arial"/>
          <w:iCs/>
          <w:color w:val="000000" w:themeColor="text1"/>
          <w:sz w:val="22"/>
          <w:szCs w:val="22"/>
        </w:rPr>
        <w:t xml:space="preserve">частные (коммерческие). </w:t>
      </w:r>
      <w:r w:rsidRPr="00DA76A7">
        <w:rPr>
          <w:rFonts w:ascii="Arial" w:hAnsi="Arial" w:cs="Arial"/>
          <w:color w:val="000000" w:themeColor="text1"/>
          <w:sz w:val="22"/>
          <w:szCs w:val="22"/>
        </w:rPr>
        <w:t>В нашей стране единственным эмиссионным банком является Национальный банк Таджикистана.</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зависимости от организационно-правовой формы, в которой созданы частные кредитные организации, различают </w:t>
      </w:r>
      <w:r w:rsidRPr="00DA76A7">
        <w:rPr>
          <w:rFonts w:ascii="Arial" w:hAnsi="Arial" w:cs="Arial"/>
          <w:iCs/>
          <w:color w:val="000000" w:themeColor="text1"/>
          <w:sz w:val="22"/>
          <w:szCs w:val="22"/>
        </w:rPr>
        <w:t xml:space="preserve">банки закрытые и открытые акционерные общества, банки общества с ограниченной ответственностью </w:t>
      </w:r>
      <w:r w:rsidRPr="00DA76A7">
        <w:rPr>
          <w:rFonts w:ascii="Arial" w:hAnsi="Arial" w:cs="Arial"/>
          <w:color w:val="000000" w:themeColor="text1"/>
          <w:sz w:val="22"/>
          <w:szCs w:val="22"/>
        </w:rPr>
        <w:t xml:space="preserve">и </w:t>
      </w:r>
      <w:r w:rsidRPr="00DA76A7">
        <w:rPr>
          <w:rFonts w:ascii="Arial" w:hAnsi="Arial" w:cs="Arial"/>
          <w:iCs/>
          <w:color w:val="000000" w:themeColor="text1"/>
          <w:sz w:val="22"/>
          <w:szCs w:val="22"/>
        </w:rPr>
        <w:t xml:space="preserve">банки общества с дополнительной ответственностью. </w:t>
      </w:r>
      <w:r w:rsidRPr="00DA76A7">
        <w:rPr>
          <w:rFonts w:ascii="Arial" w:hAnsi="Arial" w:cs="Arial"/>
          <w:color w:val="000000" w:themeColor="text1"/>
          <w:sz w:val="22"/>
          <w:szCs w:val="22"/>
        </w:rPr>
        <w:t>Наиболее распространенной формой создания банков, естественно, является акционерное общество. В зарубежных государствах создаются также кооперативные банки.</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территории обслуживания клиентов различа</w:t>
      </w:r>
      <w:r w:rsidRPr="00DA76A7">
        <w:rPr>
          <w:rFonts w:ascii="Arial" w:hAnsi="Arial" w:cs="Arial"/>
          <w:color w:val="000000" w:themeColor="text1"/>
          <w:sz w:val="22"/>
          <w:szCs w:val="22"/>
        </w:rPr>
        <w:softHyphen/>
        <w:t xml:space="preserve">ют </w:t>
      </w:r>
      <w:r w:rsidRPr="00DA76A7">
        <w:rPr>
          <w:rFonts w:ascii="Arial" w:hAnsi="Arial" w:cs="Arial"/>
          <w:iCs/>
          <w:color w:val="000000" w:themeColor="text1"/>
          <w:sz w:val="22"/>
          <w:szCs w:val="22"/>
        </w:rPr>
        <w:t xml:space="preserve">местные, региональные, общенациональные </w:t>
      </w:r>
      <w:r w:rsidRPr="00DA76A7">
        <w:rPr>
          <w:rFonts w:ascii="Arial" w:hAnsi="Arial" w:cs="Arial"/>
          <w:color w:val="000000" w:themeColor="text1"/>
          <w:sz w:val="22"/>
          <w:szCs w:val="22"/>
        </w:rPr>
        <w:t xml:space="preserve">и </w:t>
      </w:r>
      <w:r w:rsidRPr="00DA76A7">
        <w:rPr>
          <w:rFonts w:ascii="Arial" w:hAnsi="Arial" w:cs="Arial"/>
          <w:iCs/>
          <w:color w:val="000000" w:themeColor="text1"/>
          <w:sz w:val="22"/>
          <w:szCs w:val="22"/>
        </w:rPr>
        <w:t xml:space="preserve">международные (транснациональные) </w:t>
      </w:r>
      <w:r w:rsidRPr="00DA76A7">
        <w:rPr>
          <w:rFonts w:ascii="Arial" w:hAnsi="Arial" w:cs="Arial"/>
          <w:color w:val="000000" w:themeColor="text1"/>
          <w:sz w:val="22"/>
          <w:szCs w:val="22"/>
        </w:rPr>
        <w:t>банки. Как правило, к местным относят не</w:t>
      </w:r>
      <w:r w:rsidRPr="00DA76A7">
        <w:rPr>
          <w:rFonts w:ascii="Arial" w:hAnsi="Arial" w:cs="Arial"/>
          <w:color w:val="000000" w:themeColor="text1"/>
          <w:sz w:val="22"/>
          <w:szCs w:val="22"/>
        </w:rPr>
        <w:softHyphen/>
        <w:t>большие городские банки, обслуживающие население одного муни</w:t>
      </w:r>
      <w:r w:rsidRPr="00DA76A7">
        <w:rPr>
          <w:rFonts w:ascii="Arial" w:hAnsi="Arial" w:cs="Arial"/>
          <w:color w:val="000000" w:themeColor="text1"/>
          <w:sz w:val="22"/>
          <w:szCs w:val="22"/>
        </w:rPr>
        <w:softHyphen/>
        <w:t xml:space="preserve">ципального образования. Национальными выступают банки, охватывающие филиалами практически всю территорию страну. </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источнику уставного капитала различают </w:t>
      </w:r>
      <w:r w:rsidRPr="00DA76A7">
        <w:rPr>
          <w:rFonts w:ascii="Arial" w:hAnsi="Arial" w:cs="Arial"/>
          <w:iCs/>
          <w:color w:val="000000" w:themeColor="text1"/>
          <w:sz w:val="22"/>
          <w:szCs w:val="22"/>
        </w:rPr>
        <w:t xml:space="preserve">национальные банки и  банки с иностранным капиталом </w:t>
      </w:r>
      <w:r w:rsidRPr="00DA76A7">
        <w:rPr>
          <w:rFonts w:ascii="Arial" w:hAnsi="Arial" w:cs="Arial"/>
          <w:color w:val="000000" w:themeColor="text1"/>
          <w:sz w:val="22"/>
          <w:szCs w:val="22"/>
        </w:rPr>
        <w:t xml:space="preserve">и </w:t>
      </w:r>
      <w:r w:rsidRPr="00DA76A7">
        <w:rPr>
          <w:rFonts w:ascii="Arial" w:hAnsi="Arial" w:cs="Arial"/>
          <w:iCs/>
          <w:color w:val="000000" w:themeColor="text1"/>
          <w:sz w:val="22"/>
          <w:szCs w:val="22"/>
        </w:rPr>
        <w:t>иностранные банки.</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зависимости от наличия или отсутствия филиалов выделяют </w:t>
      </w:r>
      <w:r w:rsidRPr="00DA76A7">
        <w:rPr>
          <w:rFonts w:ascii="Arial" w:hAnsi="Arial" w:cs="Arial"/>
          <w:iCs/>
          <w:color w:val="000000" w:themeColor="text1"/>
          <w:sz w:val="22"/>
          <w:szCs w:val="22"/>
        </w:rPr>
        <w:t xml:space="preserve">многофилиалъные </w:t>
      </w:r>
      <w:r w:rsidRPr="00DA76A7">
        <w:rPr>
          <w:rFonts w:ascii="Arial" w:hAnsi="Arial" w:cs="Arial"/>
          <w:color w:val="000000" w:themeColor="text1"/>
          <w:sz w:val="22"/>
          <w:szCs w:val="22"/>
        </w:rPr>
        <w:t xml:space="preserve">или </w:t>
      </w:r>
      <w:r w:rsidRPr="00DA76A7">
        <w:rPr>
          <w:rFonts w:ascii="Arial" w:hAnsi="Arial" w:cs="Arial"/>
          <w:iCs/>
          <w:color w:val="000000" w:themeColor="text1"/>
          <w:sz w:val="22"/>
          <w:szCs w:val="22"/>
        </w:rPr>
        <w:t xml:space="preserve">бесфилиальные </w:t>
      </w:r>
      <w:r w:rsidRPr="00DA76A7">
        <w:rPr>
          <w:rFonts w:ascii="Arial" w:hAnsi="Arial" w:cs="Arial"/>
          <w:color w:val="000000" w:themeColor="text1"/>
          <w:sz w:val="22"/>
          <w:szCs w:val="22"/>
        </w:rPr>
        <w:t xml:space="preserve">банки. </w:t>
      </w:r>
    </w:p>
    <w:p w:rsidR="00ED3C2E" w:rsidRPr="00DA76A7" w:rsidRDefault="00ED3C2E" w:rsidP="00ED3C2E">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Наконец, в зависимости от объемов собственных активов различают мелкие, средние и крупные банки. </w:t>
      </w:r>
    </w:p>
    <w:p w:rsidR="00ED3C2E" w:rsidRPr="00DA76A7" w:rsidRDefault="00ED3C2E" w:rsidP="00ED3C2E">
      <w:pPr>
        <w:shd w:val="clear" w:color="auto" w:fill="FFFFFF"/>
        <w:ind w:firstLine="567"/>
        <w:jc w:val="both"/>
        <w:rPr>
          <w:rFonts w:ascii="Arial" w:eastAsia="PalatinoLinotype-Roman" w:hAnsi="Arial" w:cs="Arial"/>
          <w:color w:val="000000" w:themeColor="text1"/>
          <w:sz w:val="22"/>
          <w:szCs w:val="22"/>
        </w:rPr>
      </w:pPr>
      <w:r w:rsidRPr="00DA76A7">
        <w:rPr>
          <w:rFonts w:ascii="Arial" w:hAnsi="Arial" w:cs="Arial"/>
          <w:color w:val="000000" w:themeColor="text1"/>
          <w:sz w:val="22"/>
          <w:szCs w:val="22"/>
        </w:rPr>
        <w:t>Н</w:t>
      </w:r>
      <w:r w:rsidRPr="00DA76A7">
        <w:rPr>
          <w:rFonts w:ascii="Arial" w:eastAsia="PalatinoLinotype-Bold" w:hAnsi="Arial" w:cs="Arial"/>
          <w:bCs/>
          <w:color w:val="000000" w:themeColor="text1"/>
          <w:sz w:val="22"/>
          <w:szCs w:val="22"/>
        </w:rPr>
        <w:t xml:space="preserve">ебанковские кредитные организации </w:t>
      </w:r>
      <w:r w:rsidRPr="00DA76A7">
        <w:rPr>
          <w:rFonts w:ascii="Arial" w:eastAsia="PalatinoLinotype-Roman" w:hAnsi="Arial" w:cs="Arial"/>
          <w:color w:val="000000" w:themeColor="text1"/>
          <w:sz w:val="22"/>
          <w:szCs w:val="22"/>
        </w:rPr>
        <w:t xml:space="preserve">– кредитные организации, имеющие право осуществлять отдельные банковские операции. </w:t>
      </w:r>
    </w:p>
    <w:p w:rsidR="00ED3C2E" w:rsidRPr="00DA76A7" w:rsidRDefault="00ED3C2E" w:rsidP="00ED3C2E">
      <w:pPr>
        <w:shd w:val="clear" w:color="auto" w:fill="FFFFFF"/>
        <w:ind w:firstLine="567"/>
        <w:jc w:val="both"/>
        <w:rPr>
          <w:rFonts w:ascii="Arial" w:eastAsia="PalatinoLinotype-Roman" w:hAnsi="Arial" w:cs="Arial"/>
          <w:color w:val="000000" w:themeColor="text1"/>
          <w:sz w:val="22"/>
          <w:szCs w:val="22"/>
        </w:rPr>
      </w:pPr>
      <w:r w:rsidRPr="00DA76A7">
        <w:rPr>
          <w:rFonts w:ascii="Arial" w:eastAsia="PalatinoLinotype-Roman" w:hAnsi="Arial" w:cs="Arial"/>
          <w:color w:val="000000" w:themeColor="text1"/>
          <w:sz w:val="22"/>
          <w:szCs w:val="22"/>
        </w:rPr>
        <w:t>М</w:t>
      </w:r>
      <w:r w:rsidRPr="00DA76A7">
        <w:rPr>
          <w:rFonts w:ascii="Arial" w:eastAsia="PalatinoLinotype-Bold" w:hAnsi="Arial" w:cs="Arial"/>
          <w:bCs/>
          <w:color w:val="000000" w:themeColor="text1"/>
          <w:sz w:val="22"/>
          <w:szCs w:val="22"/>
        </w:rPr>
        <w:t xml:space="preserve">икрофинансовые организации </w:t>
      </w:r>
      <w:r w:rsidRPr="00DA76A7">
        <w:rPr>
          <w:rFonts w:ascii="Arial" w:eastAsia="PalatinoLinotype-Roman" w:hAnsi="Arial" w:cs="Arial"/>
          <w:color w:val="000000" w:themeColor="text1"/>
          <w:sz w:val="22"/>
          <w:szCs w:val="22"/>
        </w:rPr>
        <w:t xml:space="preserve">– это кредитные организации, занимающиеся микрофинансовой деятельностью на основании лицензии Национального банка Таджикистана. К ним относятся </w:t>
      </w:r>
      <w:r w:rsidRPr="00DA76A7">
        <w:rPr>
          <w:rFonts w:ascii="Arial" w:eastAsia="PalatinoLinotype-Bold" w:hAnsi="Arial" w:cs="Arial"/>
          <w:bCs/>
          <w:color w:val="000000" w:themeColor="text1"/>
          <w:sz w:val="22"/>
          <w:szCs w:val="22"/>
        </w:rPr>
        <w:t xml:space="preserve">микрокредитная депозитная организация, микрокредитная организация и микрокредитный фонд. Специфика деятельности данных организаций заключается в том, что они имеют право выдавать микрокредиты, которые представляют собой </w:t>
      </w:r>
      <w:r w:rsidRPr="00DA76A7">
        <w:rPr>
          <w:rFonts w:ascii="Arial" w:eastAsia="PalatinoLinotype-Roman" w:hAnsi="Arial" w:cs="Arial"/>
          <w:color w:val="000000" w:themeColor="text1"/>
          <w:sz w:val="22"/>
          <w:szCs w:val="22"/>
        </w:rPr>
        <w:t>кредит, предоставляемый заёмщику кредитной организацией на условиях выплаты процента и возвратности на определённый срок, объем которого не превышает установленный Национальным банком Таджикистана размер. Например, размер одного микрокредита, выданный микрокредитной депозитной организацией физическим лицам не должен превышать сумму эквивалентную 250 000 сомони, и выданный юридическим лицам - не должен превышать сумму эквивалентную 500 000 сомони (</w:t>
      </w:r>
      <w:r w:rsidRPr="00DA76A7">
        <w:rPr>
          <w:rFonts w:ascii="Arial" w:eastAsia="PalatinoLinotype-Bold" w:hAnsi="Arial" w:cs="Arial"/>
          <w:bCs/>
          <w:color w:val="000000" w:themeColor="text1"/>
          <w:sz w:val="22"/>
          <w:szCs w:val="22"/>
        </w:rPr>
        <w:t xml:space="preserve">Инструкция №196 </w:t>
      </w:r>
      <w:r w:rsidRPr="00DA76A7">
        <w:rPr>
          <w:rFonts w:ascii="Arial" w:eastAsia="PalatinoLinotype-Roman" w:hAnsi="Arial" w:cs="Arial"/>
          <w:color w:val="000000" w:themeColor="text1"/>
          <w:sz w:val="22"/>
          <w:szCs w:val="22"/>
        </w:rPr>
        <w:t>Национального банка Таджикистана</w:t>
      </w:r>
      <w:r w:rsidRPr="00DA76A7">
        <w:rPr>
          <w:rFonts w:ascii="Arial" w:eastAsia="PalatinoLinotype-Bold" w:hAnsi="Arial" w:cs="Arial"/>
          <w:bCs/>
          <w:color w:val="000000" w:themeColor="text1"/>
          <w:sz w:val="22"/>
          <w:szCs w:val="22"/>
        </w:rPr>
        <w:t xml:space="preserve"> «О порядке регулирования деятельности микрокредитных депозитных организаций</w:t>
      </w:r>
      <w:r w:rsidRPr="00DA76A7">
        <w:rPr>
          <w:rFonts w:ascii="Arial" w:eastAsia="PalatinoLinotype-Roman" w:hAnsi="Arial" w:cs="Arial"/>
          <w:color w:val="000000" w:themeColor="text1"/>
          <w:sz w:val="22"/>
          <w:szCs w:val="22"/>
        </w:rPr>
        <w:t>).</w:t>
      </w:r>
    </w:p>
    <w:p w:rsidR="00ED3C2E" w:rsidRPr="00DA76A7" w:rsidRDefault="00ED3C2E" w:rsidP="00ED3C2E">
      <w:pPr>
        <w:shd w:val="clear" w:color="auto" w:fill="FFFFFF"/>
        <w:ind w:firstLine="567"/>
        <w:jc w:val="both"/>
        <w:rPr>
          <w:rFonts w:ascii="Arial" w:eastAsia="PalatinoLinotype-Roman" w:hAnsi="Arial" w:cs="Arial"/>
          <w:color w:val="000000" w:themeColor="text1"/>
          <w:sz w:val="22"/>
          <w:szCs w:val="22"/>
        </w:rPr>
      </w:pPr>
    </w:p>
    <w:p w:rsidR="00ED3C2E" w:rsidRPr="00DA76A7" w:rsidRDefault="00ED3C2E" w:rsidP="00ED3C2E">
      <w:pPr>
        <w:shd w:val="clear" w:color="auto" w:fill="FFFFFF"/>
        <w:ind w:firstLine="567"/>
        <w:jc w:val="center"/>
        <w:rPr>
          <w:rFonts w:ascii="Arial" w:eastAsia="PalatinoLinotype-Roman" w:hAnsi="Arial" w:cs="Arial"/>
          <w:b/>
          <w:color w:val="000000" w:themeColor="text1"/>
          <w:sz w:val="22"/>
          <w:szCs w:val="22"/>
        </w:rPr>
      </w:pPr>
      <w:r w:rsidRPr="00DA76A7">
        <w:rPr>
          <w:rFonts w:ascii="Arial" w:eastAsia="PalatinoLinotype-Roman" w:hAnsi="Arial" w:cs="Arial"/>
          <w:b/>
          <w:color w:val="000000" w:themeColor="text1"/>
          <w:sz w:val="22"/>
          <w:szCs w:val="22"/>
        </w:rPr>
        <w:t>Список литературы:</w:t>
      </w:r>
    </w:p>
    <w:p w:rsidR="00ED3C2E" w:rsidRPr="00DA76A7" w:rsidRDefault="00ED3C2E" w:rsidP="00ED3C2E">
      <w:pPr>
        <w:pStyle w:val="a6"/>
        <w:widowControl w:val="0"/>
        <w:numPr>
          <w:ilvl w:val="0"/>
          <w:numId w:val="76"/>
        </w:numPr>
        <w:shd w:val="clear" w:color="auto" w:fill="FFFFFF"/>
        <w:tabs>
          <w:tab w:val="left" w:pos="851"/>
        </w:tabs>
        <w:autoSpaceDE w:val="0"/>
        <w:autoSpaceDN w:val="0"/>
        <w:adjustRightInd w:val="0"/>
        <w:spacing w:after="0" w:line="240" w:lineRule="auto"/>
        <w:ind w:left="0" w:firstLine="567"/>
        <w:jc w:val="both"/>
        <w:rPr>
          <w:rFonts w:ascii="Arial" w:eastAsia="PalatinoLinotype-Bold" w:hAnsi="Arial" w:cs="Arial"/>
          <w:bCs/>
          <w:color w:val="000000" w:themeColor="text1"/>
        </w:rPr>
      </w:pPr>
      <w:r w:rsidRPr="00DA76A7">
        <w:rPr>
          <w:rFonts w:ascii="Arial" w:hAnsi="Arial" w:cs="Arial"/>
          <w:color w:val="000000" w:themeColor="text1"/>
          <w:spacing w:val="-2"/>
        </w:rPr>
        <w:t xml:space="preserve">Закон Республики Таджикистан «О банковской деятельности» от 19 мая 2009 г. </w:t>
      </w:r>
      <w:r w:rsidRPr="00DA76A7">
        <w:rPr>
          <w:rFonts w:ascii="Arial" w:eastAsia="PalatinoLinotype-Bold" w:hAnsi="Arial" w:cs="Arial"/>
          <w:bCs/>
          <w:color w:val="000000" w:themeColor="text1"/>
        </w:rPr>
        <w:t>(с измен. и доп. от 27.11.2014 г.).</w:t>
      </w:r>
    </w:p>
    <w:p w:rsidR="00ED3C2E" w:rsidRPr="00DA76A7" w:rsidRDefault="00ED3C2E" w:rsidP="00ED3C2E">
      <w:pPr>
        <w:pStyle w:val="a6"/>
        <w:widowControl w:val="0"/>
        <w:numPr>
          <w:ilvl w:val="0"/>
          <w:numId w:val="76"/>
        </w:numPr>
        <w:shd w:val="clear" w:color="auto" w:fill="FFFFFF"/>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Закон </w:t>
      </w:r>
      <w:r w:rsidRPr="00DA76A7">
        <w:rPr>
          <w:rFonts w:ascii="Arial" w:hAnsi="Arial" w:cs="Arial"/>
          <w:color w:val="000000" w:themeColor="text1"/>
          <w:spacing w:val="-2"/>
        </w:rPr>
        <w:t xml:space="preserve">Республики Таджикистан </w:t>
      </w:r>
      <w:r w:rsidRPr="00DA76A7">
        <w:rPr>
          <w:rFonts w:ascii="Arial" w:hAnsi="Arial" w:cs="Arial"/>
          <w:color w:val="000000" w:themeColor="text1"/>
        </w:rPr>
        <w:t xml:space="preserve">«О микрофинансовых организациях» от 16 апреля 2012 г. </w:t>
      </w:r>
    </w:p>
    <w:p w:rsidR="00ED3C2E" w:rsidRPr="00DA76A7" w:rsidRDefault="00ED3C2E" w:rsidP="00ED3C2E">
      <w:pPr>
        <w:pStyle w:val="a6"/>
        <w:widowControl w:val="0"/>
        <w:numPr>
          <w:ilvl w:val="0"/>
          <w:numId w:val="76"/>
        </w:numPr>
        <w:shd w:val="clear" w:color="auto" w:fill="FFFFFF"/>
        <w:tabs>
          <w:tab w:val="left" w:pos="851"/>
        </w:tabs>
        <w:autoSpaceDE w:val="0"/>
        <w:autoSpaceDN w:val="0"/>
        <w:adjustRightInd w:val="0"/>
        <w:spacing w:after="0" w:line="240" w:lineRule="auto"/>
        <w:ind w:left="0" w:firstLine="567"/>
        <w:jc w:val="both"/>
        <w:rPr>
          <w:rFonts w:ascii="Arial" w:eastAsia="PalatinoLinotype-Bold" w:hAnsi="Arial" w:cs="Arial"/>
          <w:bCs/>
          <w:color w:val="000000" w:themeColor="text1"/>
        </w:rPr>
      </w:pPr>
      <w:r w:rsidRPr="00DA76A7">
        <w:rPr>
          <w:rFonts w:ascii="Arial" w:eastAsia="PalatinoLinotype-Bold" w:hAnsi="Arial" w:cs="Arial"/>
          <w:bCs/>
          <w:color w:val="000000" w:themeColor="text1"/>
        </w:rPr>
        <w:t xml:space="preserve">Инструкция №196 </w:t>
      </w:r>
      <w:r w:rsidRPr="00DA76A7">
        <w:rPr>
          <w:rFonts w:ascii="Arial" w:eastAsia="PalatinoLinotype-Roman" w:hAnsi="Arial" w:cs="Arial"/>
          <w:color w:val="000000" w:themeColor="text1"/>
        </w:rPr>
        <w:t>Национального банка Таджикистана</w:t>
      </w:r>
      <w:r w:rsidRPr="00DA76A7">
        <w:rPr>
          <w:rFonts w:ascii="Arial" w:eastAsia="PalatinoLinotype-Bold" w:hAnsi="Arial" w:cs="Arial"/>
          <w:bCs/>
          <w:color w:val="000000" w:themeColor="text1"/>
        </w:rPr>
        <w:t xml:space="preserve"> «О порядке регулирования деятельности микрокредитных депозитных организаций от 16.01.2013 г. (с измен. и доп. от 26.06.2015).</w:t>
      </w:r>
    </w:p>
    <w:p w:rsidR="00ED3C2E" w:rsidRPr="00DA76A7" w:rsidRDefault="00ED3C2E" w:rsidP="00ED3C2E">
      <w:pPr>
        <w:pStyle w:val="a6"/>
        <w:widowControl w:val="0"/>
        <w:numPr>
          <w:ilvl w:val="0"/>
          <w:numId w:val="76"/>
        </w:numPr>
        <w:shd w:val="clear" w:color="auto" w:fill="FFFFFF"/>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Гражданское и торговое право зарубежных государств: учебник: в 2 т. / отв. ред. Е.А. Васильев, А.С. Комаров. – М.: Междунар. отношения, 2008. – Т.2. – 635 с.</w:t>
      </w:r>
    </w:p>
    <w:p w:rsidR="00ED3C2E" w:rsidRPr="00DA76A7" w:rsidRDefault="00ED3C2E" w:rsidP="00ED3C2E">
      <w:pPr>
        <w:pStyle w:val="34"/>
        <w:widowControl/>
        <w:numPr>
          <w:ilvl w:val="0"/>
          <w:numId w:val="76"/>
        </w:numPr>
        <w:shd w:val="clear" w:color="auto" w:fill="auto"/>
        <w:tabs>
          <w:tab w:val="left" w:pos="993"/>
        </w:tabs>
        <w:spacing w:before="0" w:line="240" w:lineRule="auto"/>
        <w:ind w:firstLine="567"/>
        <w:rPr>
          <w:rFonts w:ascii="Arial" w:hAnsi="Arial" w:cs="Arial"/>
          <w:b w:val="0"/>
          <w:color w:val="000000" w:themeColor="text1"/>
          <w:sz w:val="22"/>
          <w:szCs w:val="22"/>
        </w:rPr>
      </w:pPr>
      <w:r w:rsidRPr="00DA76A7">
        <w:rPr>
          <w:rFonts w:ascii="Arial" w:hAnsi="Arial" w:cs="Arial"/>
          <w:b w:val="0"/>
          <w:color w:val="000000" w:themeColor="text1"/>
          <w:sz w:val="22"/>
          <w:szCs w:val="22"/>
        </w:rPr>
        <w:t>Деньги. Кредит. Банки: учебник / под ред. Г. Н. Белоглазовой. – М.: Высшее образование, 2009. – 392 с.</w:t>
      </w:r>
    </w:p>
    <w:p w:rsidR="00ED3C2E" w:rsidRPr="00DA76A7" w:rsidRDefault="00ED3C2E" w:rsidP="00ED3C2E">
      <w:pPr>
        <w:pStyle w:val="a6"/>
        <w:widowControl w:val="0"/>
        <w:numPr>
          <w:ilvl w:val="0"/>
          <w:numId w:val="76"/>
        </w:numPr>
        <w:shd w:val="clear" w:color="auto" w:fill="FFFFFF"/>
        <w:tabs>
          <w:tab w:val="left" w:pos="851"/>
        </w:tabs>
        <w:autoSpaceDE w:val="0"/>
        <w:autoSpaceDN w:val="0"/>
        <w:adjustRightInd w:val="0"/>
        <w:spacing w:after="0" w:line="240" w:lineRule="auto"/>
        <w:ind w:left="0" w:firstLine="567"/>
        <w:jc w:val="both"/>
        <w:rPr>
          <w:rFonts w:ascii="Arial" w:hAnsi="Arial" w:cs="Arial"/>
          <w:bCs/>
          <w:color w:val="000000" w:themeColor="text1"/>
        </w:rPr>
      </w:pPr>
      <w:r w:rsidRPr="00DA76A7">
        <w:rPr>
          <w:rFonts w:ascii="Arial" w:hAnsi="Arial" w:cs="Arial"/>
          <w:color w:val="000000" w:themeColor="text1"/>
        </w:rPr>
        <w:t>Исмоилова З.И. Правовое регулирование расчетных отношений в международном коммерческом обороте: дисс. … канд. юрид. наук. – Душанбе, 2014. – 196 с.</w:t>
      </w:r>
    </w:p>
    <w:p w:rsidR="00ED3C2E" w:rsidRPr="00DA76A7" w:rsidRDefault="00ED3C2E" w:rsidP="00181BA7">
      <w:pPr>
        <w:ind w:firstLine="567"/>
        <w:jc w:val="both"/>
        <w:rPr>
          <w:rFonts w:ascii="Arial" w:hAnsi="Arial" w:cs="Arial"/>
          <w:color w:val="000000" w:themeColor="text1"/>
          <w:sz w:val="22"/>
          <w:szCs w:val="22"/>
        </w:rPr>
      </w:pPr>
    </w:p>
    <w:p w:rsidR="00181BA7" w:rsidRDefault="00181BA7" w:rsidP="00181BA7">
      <w:pPr>
        <w:ind w:firstLine="567"/>
        <w:jc w:val="both"/>
        <w:rPr>
          <w:rFonts w:ascii="Arial" w:hAnsi="Arial" w:cs="Arial"/>
          <w:color w:val="000000" w:themeColor="text1"/>
          <w:sz w:val="22"/>
          <w:szCs w:val="22"/>
        </w:rPr>
      </w:pPr>
    </w:p>
    <w:p w:rsidR="001713F3" w:rsidRDefault="001713F3" w:rsidP="00181BA7">
      <w:pPr>
        <w:ind w:firstLine="567"/>
        <w:jc w:val="both"/>
        <w:rPr>
          <w:rFonts w:ascii="Arial" w:hAnsi="Arial" w:cs="Arial"/>
          <w:color w:val="000000" w:themeColor="text1"/>
          <w:sz w:val="22"/>
          <w:szCs w:val="22"/>
        </w:rPr>
      </w:pPr>
    </w:p>
    <w:p w:rsidR="001713F3" w:rsidRDefault="001713F3" w:rsidP="00181BA7">
      <w:pPr>
        <w:ind w:firstLine="567"/>
        <w:jc w:val="both"/>
        <w:rPr>
          <w:rFonts w:ascii="Arial" w:hAnsi="Arial" w:cs="Arial"/>
          <w:color w:val="000000" w:themeColor="text1"/>
          <w:sz w:val="22"/>
          <w:szCs w:val="22"/>
        </w:rPr>
      </w:pPr>
    </w:p>
    <w:p w:rsidR="001713F3" w:rsidRPr="00DA76A7" w:rsidRDefault="001713F3" w:rsidP="00181BA7">
      <w:pPr>
        <w:ind w:firstLine="567"/>
        <w:jc w:val="both"/>
        <w:rPr>
          <w:rFonts w:ascii="Arial" w:hAnsi="Arial" w:cs="Arial"/>
          <w:color w:val="000000" w:themeColor="text1"/>
          <w:sz w:val="22"/>
          <w:szCs w:val="22"/>
        </w:rPr>
      </w:pPr>
    </w:p>
    <w:p w:rsidR="00181BA7" w:rsidRPr="00DA76A7" w:rsidRDefault="00181BA7" w:rsidP="00181BA7">
      <w:pPr>
        <w:jc w:val="center"/>
        <w:textAlignment w:val="baseline"/>
        <w:outlineLvl w:val="1"/>
        <w:rPr>
          <w:rFonts w:ascii="Arial" w:hAnsi="Arial" w:cs="Arial"/>
          <w:b/>
          <w:bCs/>
          <w:color w:val="000000" w:themeColor="text1"/>
          <w:sz w:val="22"/>
          <w:szCs w:val="22"/>
        </w:rPr>
      </w:pPr>
      <w:r w:rsidRPr="00DA76A7">
        <w:rPr>
          <w:rFonts w:ascii="Arial" w:hAnsi="Arial" w:cs="Arial"/>
          <w:b/>
          <w:bCs/>
          <w:color w:val="000000" w:themeColor="text1"/>
          <w:sz w:val="22"/>
          <w:szCs w:val="22"/>
        </w:rPr>
        <w:t>ПОНЯТИЕ ГРАЖДАНСКО-ПРАВОВОЙ ОТВЕТСТВЕННОСТИ</w:t>
      </w:r>
    </w:p>
    <w:p w:rsidR="00181BA7" w:rsidRPr="00DA76A7" w:rsidRDefault="00181BA7" w:rsidP="00181BA7">
      <w:pPr>
        <w:jc w:val="center"/>
        <w:textAlignment w:val="baseline"/>
        <w:outlineLvl w:val="1"/>
        <w:rPr>
          <w:rFonts w:ascii="Arial" w:hAnsi="Arial" w:cs="Arial"/>
          <w:b/>
          <w:bCs/>
          <w:color w:val="000000" w:themeColor="text1"/>
          <w:sz w:val="22"/>
          <w:szCs w:val="22"/>
        </w:rPr>
      </w:pPr>
    </w:p>
    <w:p w:rsidR="00181BA7" w:rsidRPr="00DA76A7" w:rsidRDefault="00181BA7" w:rsidP="00181BA7">
      <w:pPr>
        <w:jc w:val="center"/>
        <w:textAlignment w:val="baseline"/>
        <w:outlineLvl w:val="1"/>
        <w:rPr>
          <w:rFonts w:ascii="Arial" w:hAnsi="Arial" w:cs="Arial"/>
          <w:b/>
          <w:bCs/>
          <w:color w:val="000000" w:themeColor="text1"/>
          <w:sz w:val="22"/>
          <w:szCs w:val="22"/>
        </w:rPr>
      </w:pPr>
      <w:r w:rsidRPr="00DA76A7">
        <w:rPr>
          <w:rFonts w:ascii="Arial" w:hAnsi="Arial" w:cs="Arial"/>
          <w:b/>
          <w:bCs/>
          <w:color w:val="000000" w:themeColor="text1"/>
          <w:sz w:val="22"/>
          <w:szCs w:val="22"/>
        </w:rPr>
        <w:t>Орлов Александр Дмитриевич</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1-го года обучения очного отделения юридического факультета</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тел.: 918-22-22-33,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aziz</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 xml:space="preserve"> </w:t>
      </w:r>
    </w:p>
    <w:p w:rsidR="00181BA7" w:rsidRPr="00DA76A7" w:rsidRDefault="00181BA7" w:rsidP="00181BA7">
      <w:pPr>
        <w:pStyle w:val="a4"/>
        <w:jc w:val="center"/>
        <w:rPr>
          <w:rFonts w:ascii="Arial" w:hAnsi="Arial" w:cs="Arial"/>
          <w:color w:val="000000" w:themeColor="text1"/>
          <w:sz w:val="22"/>
          <w:szCs w:val="22"/>
        </w:rPr>
      </w:pPr>
    </w:p>
    <w:p w:rsidR="00181BA7" w:rsidRPr="00DA76A7" w:rsidRDefault="00181BA7" w:rsidP="00181BA7">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CONCEPT OF CIVIL LIABILITY</w:t>
      </w:r>
    </w:p>
    <w:p w:rsidR="00181BA7" w:rsidRPr="00DA76A7" w:rsidRDefault="00181BA7" w:rsidP="00181BA7">
      <w:pPr>
        <w:jc w:val="center"/>
        <w:textAlignment w:val="baseline"/>
        <w:outlineLvl w:val="1"/>
        <w:rPr>
          <w:rFonts w:ascii="Arial" w:hAnsi="Arial" w:cs="Arial"/>
          <w:b/>
          <w:color w:val="000000" w:themeColor="text1"/>
          <w:sz w:val="22"/>
          <w:szCs w:val="22"/>
          <w:lang w:val="en-US"/>
        </w:rPr>
      </w:pPr>
    </w:p>
    <w:p w:rsidR="00181BA7" w:rsidRPr="00DA76A7" w:rsidRDefault="00181BA7" w:rsidP="00181BA7">
      <w:pPr>
        <w:jc w:val="center"/>
        <w:textAlignment w:val="baseline"/>
        <w:outlineLvl w:val="1"/>
        <w:rPr>
          <w:rFonts w:ascii="Arial" w:hAnsi="Arial" w:cs="Arial"/>
          <w:b/>
          <w:color w:val="000000" w:themeColor="text1"/>
          <w:sz w:val="22"/>
          <w:szCs w:val="22"/>
          <w:lang w:val="en-US"/>
        </w:rPr>
      </w:pPr>
      <w:r w:rsidRPr="00DA76A7">
        <w:rPr>
          <w:rFonts w:ascii="Arial" w:hAnsi="Arial" w:cs="Arial"/>
          <w:b/>
          <w:color w:val="000000" w:themeColor="text1"/>
          <w:sz w:val="22"/>
          <w:szCs w:val="22"/>
        </w:rPr>
        <w:t>О</w:t>
      </w:r>
      <w:r w:rsidRPr="00DA76A7">
        <w:rPr>
          <w:rFonts w:ascii="Arial" w:hAnsi="Arial" w:cs="Arial"/>
          <w:b/>
          <w:color w:val="000000" w:themeColor="text1"/>
          <w:sz w:val="22"/>
          <w:szCs w:val="22"/>
          <w:lang w:val="en-US"/>
        </w:rPr>
        <w:t>rlov Aleksandr Dmitrievich</w:t>
      </w:r>
    </w:p>
    <w:p w:rsidR="00181BA7" w:rsidRPr="00DA76A7" w:rsidRDefault="00181BA7" w:rsidP="00181BA7">
      <w:pPr>
        <w:pStyle w:val="a9"/>
        <w:tabs>
          <w:tab w:val="left" w:pos="4380"/>
        </w:tabs>
        <w:ind w:firstLine="0"/>
        <w:jc w:val="center"/>
        <w:rPr>
          <w:rFonts w:ascii="Arial" w:hAnsi="Arial" w:cs="Arial"/>
          <w:color w:val="000000" w:themeColor="text1"/>
        </w:rPr>
      </w:pPr>
      <w:r w:rsidRPr="00DA76A7">
        <w:rPr>
          <w:rFonts w:ascii="Arial" w:hAnsi="Arial" w:cs="Arial"/>
          <w:color w:val="000000" w:themeColor="text1"/>
        </w:rPr>
        <w:t>undergraduate 1nd year students of full-time department of the law faculty</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909-89-98-98 e-mail: 501029020@mail.ru</w:t>
      </w:r>
    </w:p>
    <w:p w:rsidR="00181BA7" w:rsidRPr="00DA76A7" w:rsidRDefault="00181BA7" w:rsidP="00181BA7">
      <w:pPr>
        <w:pStyle w:val="a4"/>
        <w:ind w:firstLine="567"/>
        <w:rPr>
          <w:rFonts w:ascii="Arial" w:hAnsi="Arial" w:cs="Arial"/>
          <w:b/>
          <w:color w:val="000000" w:themeColor="text1"/>
          <w:sz w:val="22"/>
          <w:szCs w:val="22"/>
          <w:lang w:val="en-US"/>
        </w:rPr>
      </w:pPr>
    </w:p>
    <w:p w:rsidR="00181BA7" w:rsidRPr="00DA76A7" w:rsidRDefault="00181BA7" w:rsidP="00181BA7">
      <w:pPr>
        <w:pStyle w:val="a4"/>
        <w:ind w:firstLine="567"/>
        <w:jc w:val="both"/>
        <w:rPr>
          <w:rFonts w:ascii="Arial" w:hAnsi="Arial" w:cs="Arial"/>
          <w:b/>
          <w:i/>
          <w:color w:val="000000" w:themeColor="text1"/>
          <w:sz w:val="22"/>
          <w:szCs w:val="22"/>
        </w:rPr>
      </w:pPr>
      <w:r w:rsidRPr="00DA76A7">
        <w:rPr>
          <w:rFonts w:ascii="Arial" w:hAnsi="Arial" w:cs="Arial"/>
          <w:b/>
          <w:color w:val="000000" w:themeColor="text1"/>
          <w:sz w:val="22"/>
          <w:szCs w:val="22"/>
          <w:lang w:val="en-US"/>
        </w:rPr>
        <w:tab/>
      </w:r>
      <w:r w:rsidRPr="00DA76A7">
        <w:rPr>
          <w:rFonts w:ascii="Arial" w:hAnsi="Arial" w:cs="Arial"/>
          <w:b/>
          <w:i/>
          <w:color w:val="000000" w:themeColor="text1"/>
          <w:sz w:val="22"/>
          <w:szCs w:val="22"/>
        </w:rPr>
        <w:t>Аннотация</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rPr>
        <w:t>В данной статье анализируется понятие  ”гражданско-правовой ответственности”, а также освещаются разные определения категории гражданско-правовая ответственность , действующие в науке гражданского права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In this article, the concept of «civil liability» is analyzed, as well as various definitions of the category of civil liability that apply in the science of civil law</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гражданско-правовая ответственность, нравственная ответственность, неправомерного, управомоченными (потерпевшими) лицами, государственно-принудительного воздействия, санкция.</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civil liability, moral responsibility, wrongful, empowered (injured) persons, state-compulsory influence, sanction.</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самом начале необходимо отметить, что вопрос о понятии гражданско-правовой ответственности многие годы является спорным в юридической науке, что порождает множественность точек зрения относительно сущности данного понятия «гражданско-правовая ответственность», высказанных в юридической литературе. Это объясняется как спецификой круга отношений, регулируемых гражданским правом, так и его целями, объектом и методом регулирования.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А также сложность понятия гражданско-правовой ответственности еще заключается в том, что в научной литературе нет единства мнений и взглядов по поводу определения и содержания института гражданско-правовой ответственности. Единство взглядов выражается преимущественно в том, что это - один из ведущих и сложнейших видов (разновидностей) юридической ответственности.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Начнем с того, что термин «ответственность» многозначен и употребляется в различных аспектах. Можно различать социальную, моральную, политическую, юридическую ответственность. Социальная ответственность— обобщающее понятие, включающее все виды ответственности в обществе. С этой точки зрения гражданская  ответственность — разновидность (формы) юридической ответственности.</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Юридическая ответственность устанавливает последствия ненадлежащего (неправомерного) поведения, нарушающего права и интересы других лиц. Следовательно, ее применение становится одним из способов защиты нарушенных прав и интересов. Важнейшая особенность этого способа состоит в применении мер ответственности с помощью государственного, прежде всего, судебного, принуждения, то есть с помощью публичной власти - уполномоченных на то государственных органов или должностных лиц. Это отличает его от самозащиты и других мер воздействия, применяемых к правонарушителям непосредственно управомоченными (потерпевшими) лицами.</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Юридическая ответственность, безусловно, всегда связана с государственным принуждением, однако далеко не всякая мера государственно-принудительного воздействия на правонарушителя одновременно является и мерой ответственности. Так, принудительное исполнение имеющейся у лица обязанности, например, возврат взятой им взаймы суммы по решению суда, едва ли можно считать мерой его ответственности перед заимодавцем, так как нарушитель в данном случае лишь принудительно обязывается к исполнению своей обязанности и не несет никаких неблагоприятных последствий своего ненадлежащего поведения.</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юридическая ответственность представляет собой одну из форм государственно-принудительного воздействия на нарушителей норм права, заключающуюся в применении к ним предусмотренных законом санкций — мер ответственности, влекущих для них дополнительные неблагоприятные последствия. [1,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76] Данная статья посвящена изучению понятия гражданско-правовой ответственности:</w:t>
      </w:r>
    </w:p>
    <w:p w:rsidR="00181BA7" w:rsidRPr="00DA76A7" w:rsidRDefault="00181BA7" w:rsidP="00181BA7">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Например, В.П. Грибанов определяет гражданско-правовую ответственность, как одну из форм государственного принуждения, связанную с применением санкций имущественного характера, направленных на восстановление нарушенных прав и стимулирование нормальных экономических отношений юридически равноправных участников гражданского оборота. [1,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101]</w:t>
      </w:r>
    </w:p>
    <w:p w:rsidR="00181BA7" w:rsidRPr="00DA76A7" w:rsidRDefault="00181BA7" w:rsidP="00181BA7">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Б.И. Пугинский отмечает, что, «хотя ответственность может быть реализована в бесспорном (неисковом) порядке и даже добровольно возложена на себя должником путем уплаты суммы неустойки или убытков потерпевшей стороне, это не меняет ее государственно-принудительного характера».</w:t>
      </w:r>
    </w:p>
    <w:p w:rsidR="00181BA7" w:rsidRPr="00DA76A7" w:rsidRDefault="00181BA7" w:rsidP="00181BA7">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как правильно отмечает О.С.Иоффе, не всякая санкция есть мера юридической ответственности. Ответственность - это санкция за правонарушение, но санкция не всегда означает ответственность. Когда, например, имущество изымается из чужого незаконного владения в принудительном порядке, утверждает О.С. Иоффе, налицо санкция как следствие правонарушения. Ответственность же - это не просто санкция за правонарушение, а такая санкция, которая влечет определенные лишения имущественного или личного характера [3,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200].</w:t>
      </w:r>
    </w:p>
    <w:p w:rsidR="00181BA7" w:rsidRPr="00DA76A7" w:rsidRDefault="00181BA7" w:rsidP="00181BA7">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Н.Д. Егоров также рассматривает гражданско-правовую ответственность как санкцию, применяемую к правонарушителю в виде возложения на него дополнительной гражданско-правовой обязанности или лишения принадлежащего ему гражданского права. Он же отмечает в качестве недостатка определения понятия гражданско-правовой ответственности как государственного принуждения то, что такое определение «оставляет за чертой гражданско-правовой ответственности добровольное возмещение должником убытков кредитору или уплаты неустойки, если они произведены не под угрозой принуждения, а в силу внутренней убежденности должника в необходимости возмещения убытков, уплаты неустойки и т.п. [2,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23]</w:t>
      </w:r>
    </w:p>
    <w:p w:rsidR="00181BA7" w:rsidRPr="00DA76A7" w:rsidRDefault="00181BA7" w:rsidP="00181BA7">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моему мнению, наиболее правильным является определение О.С. Иоффе, которое оптимальным образом отражает сущность раскрываемого понятия: «Гражданско-правовая ответственность есть санкция за правонарушение, вызывающая для нарушителя отрицательные последствия в виде лишения субъективных гражданских прав либо возложения новых или дополнительных гражданско-правовых обязанностей» [4,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91].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Можно сделать вывод на основании выше изложенного корректно утверждать, что  гражданско-правовая ответственность есть санкция за правонарушение, вызывающая для нарушителя отрицательные последствия в виде лишения субъективных гражданских прав либо возложения новых или дополнительных гражданско-правовых обязанностей.</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8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Гражданское право в 2-х т. Т.1 : учебник  / под  ред. Е. А. Суханова. – 2-е изд., перераб. и доп. – М.: Волтерс Клувер, 2004. - 816 с.     </w:t>
      </w:r>
    </w:p>
    <w:p w:rsidR="00181BA7" w:rsidRPr="00DA76A7" w:rsidRDefault="00181BA7" w:rsidP="00D45D6B">
      <w:pPr>
        <w:pStyle w:val="a6"/>
        <w:numPr>
          <w:ilvl w:val="0"/>
          <w:numId w:val="8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Гражданское право. В 3-х томах, Т. 1. / Под ред. Сергеева А.П., Толстого Ю.К. 4-е изд., перераб. и доп. - М.: Проспект, 2005.  - 765с.       </w:t>
      </w:r>
    </w:p>
    <w:p w:rsidR="00181BA7" w:rsidRPr="00DA76A7" w:rsidRDefault="00181BA7" w:rsidP="00D45D6B">
      <w:pPr>
        <w:pStyle w:val="a6"/>
        <w:numPr>
          <w:ilvl w:val="0"/>
          <w:numId w:val="8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Иоффе О.С. Ответственность по советскому гражданскому праву. - Л.: Изд-во ЛГУ, 1955. - 310 с.</w:t>
      </w:r>
    </w:p>
    <w:p w:rsidR="00181BA7" w:rsidRPr="00DA76A7" w:rsidRDefault="00181BA7" w:rsidP="00D45D6B">
      <w:pPr>
        <w:pStyle w:val="a7"/>
        <w:numPr>
          <w:ilvl w:val="0"/>
          <w:numId w:val="81"/>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Иоффе О.С. Обязательственное право. - М.: Юрид. лит., 1975. – 810 с.</w:t>
      </w:r>
    </w:p>
    <w:p w:rsidR="00181BA7" w:rsidRDefault="00181BA7" w:rsidP="00181BA7">
      <w:pPr>
        <w:tabs>
          <w:tab w:val="left" w:pos="851"/>
        </w:tabs>
        <w:ind w:firstLine="567"/>
        <w:rPr>
          <w:rFonts w:ascii="Arial" w:hAnsi="Arial" w:cs="Arial"/>
          <w:color w:val="000000" w:themeColor="text1"/>
          <w:sz w:val="22"/>
          <w:szCs w:val="22"/>
        </w:rPr>
      </w:pPr>
    </w:p>
    <w:p w:rsidR="001713F3" w:rsidRPr="00DA76A7" w:rsidRDefault="001713F3" w:rsidP="00181BA7">
      <w:pPr>
        <w:tabs>
          <w:tab w:val="left" w:pos="851"/>
        </w:tabs>
        <w:ind w:firstLine="567"/>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КАУЗА СДЕЛКИ В ГРАЖДАНСКОМ ПРАВЕ: ИСТОРИКО-КОМПАРАТИВНЫЙ АНАЛИЗ И ПЕРСПЕКТИВЫ РАЗВИТИЯ</w:t>
      </w:r>
    </w:p>
    <w:p w:rsidR="00181BA7" w:rsidRPr="00DA76A7" w:rsidRDefault="00181BA7" w:rsidP="00181BA7">
      <w:pPr>
        <w:pStyle w:val="a4"/>
        <w:rPr>
          <w:rFonts w:ascii="Arial" w:hAnsi="Arial" w:cs="Arial"/>
          <w:b/>
          <w:color w:val="000000" w:themeColor="text1"/>
          <w:sz w:val="22"/>
          <w:szCs w:val="22"/>
        </w:rPr>
      </w:pPr>
    </w:p>
    <w:p w:rsidR="00181BA7" w:rsidRPr="00DA76A7" w:rsidRDefault="00181BA7" w:rsidP="00181BA7">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Пестов Михаил Михайлович</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студент 4-го курса очного отделения юридического факультета</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Пермский государственный национальный исследовательский университет</w:t>
      </w:r>
    </w:p>
    <w:p w:rsidR="00181BA7" w:rsidRPr="00DA76A7" w:rsidRDefault="00181BA7" w:rsidP="00181BA7">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614990, Российская Федерация, г. Пермь, ул. Букирева, 15 </w:t>
      </w:r>
    </w:p>
    <w:p w:rsidR="00181BA7" w:rsidRPr="00DA76A7" w:rsidRDefault="00181BA7" w:rsidP="00181BA7">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тел.: +7 (909) 118-09-07,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Pestov</w:t>
      </w:r>
      <w:r w:rsidRPr="00DA76A7">
        <w:rPr>
          <w:rFonts w:ascii="Arial" w:hAnsi="Arial" w:cs="Arial"/>
          <w:color w:val="000000" w:themeColor="text1"/>
          <w:sz w:val="22"/>
          <w:szCs w:val="22"/>
        </w:rPr>
        <w:t>-2013@</w:t>
      </w:r>
      <w:r w:rsidRPr="00DA76A7">
        <w:rPr>
          <w:rFonts w:ascii="Arial" w:hAnsi="Arial" w:cs="Arial"/>
          <w:color w:val="000000" w:themeColor="text1"/>
          <w:sz w:val="22"/>
          <w:szCs w:val="22"/>
          <w:lang w:val="en-US"/>
        </w:rPr>
        <w:t>ya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 xml:space="preserve"> </w:t>
      </w:r>
    </w:p>
    <w:p w:rsidR="00181BA7" w:rsidRPr="00DA76A7" w:rsidRDefault="00181BA7" w:rsidP="00181BA7">
      <w:pPr>
        <w:pStyle w:val="a4"/>
        <w:jc w:val="center"/>
        <w:rPr>
          <w:rFonts w:ascii="Arial" w:hAnsi="Arial" w:cs="Arial"/>
          <w:b/>
          <w:color w:val="000000" w:themeColor="text1"/>
          <w:sz w:val="22"/>
          <w:szCs w:val="22"/>
        </w:rPr>
      </w:pPr>
    </w:p>
    <w:p w:rsidR="00181BA7" w:rsidRPr="00DA76A7" w:rsidRDefault="00181BA7" w:rsidP="00181BA7">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CAUSA OF CONTRACT IN CIVIL LAW: HISTORICAL-COMPARATIVE ANALYSIS AND DEVELOPMENT PROSPECTS</w:t>
      </w:r>
    </w:p>
    <w:p w:rsidR="00181BA7" w:rsidRPr="00DA76A7" w:rsidRDefault="00181BA7" w:rsidP="00181BA7">
      <w:pPr>
        <w:pStyle w:val="a4"/>
        <w:jc w:val="center"/>
        <w:rPr>
          <w:rFonts w:ascii="Arial" w:hAnsi="Arial" w:cs="Arial"/>
          <w:b/>
          <w:color w:val="000000" w:themeColor="text1"/>
          <w:sz w:val="22"/>
          <w:szCs w:val="22"/>
          <w:lang w:val="en-US"/>
        </w:rPr>
      </w:pPr>
    </w:p>
    <w:p w:rsidR="00181BA7" w:rsidRPr="00DA76A7" w:rsidRDefault="00181BA7" w:rsidP="00181BA7">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Pestov Mikhail Mikhalovich</w:t>
      </w:r>
    </w:p>
    <w:p w:rsidR="00181BA7" w:rsidRPr="00DA76A7" w:rsidRDefault="00181BA7" w:rsidP="00181BA7">
      <w:pPr>
        <w:pStyle w:val="a9"/>
        <w:tabs>
          <w:tab w:val="left" w:pos="4380"/>
        </w:tabs>
        <w:ind w:firstLine="0"/>
        <w:jc w:val="center"/>
        <w:rPr>
          <w:rFonts w:ascii="Arial" w:hAnsi="Arial" w:cs="Arial"/>
          <w:color w:val="000000" w:themeColor="text1"/>
        </w:rPr>
      </w:pPr>
      <w:r w:rsidRPr="00DA76A7">
        <w:rPr>
          <w:rFonts w:ascii="Arial" w:hAnsi="Arial" w:cs="Arial"/>
          <w:color w:val="000000" w:themeColor="text1"/>
          <w:shd w:val="clear" w:color="auto" w:fill="FFFFFF"/>
        </w:rPr>
        <w:t xml:space="preserve">student of the 4th year full-time department </w:t>
      </w:r>
      <w:r w:rsidRPr="00DA76A7">
        <w:rPr>
          <w:rFonts w:ascii="Arial" w:hAnsi="Arial" w:cs="Arial"/>
          <w:color w:val="000000" w:themeColor="text1"/>
        </w:rPr>
        <w:t>of the law faculty</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Perm state national research university</w:t>
      </w:r>
    </w:p>
    <w:p w:rsidR="00181BA7" w:rsidRPr="00DA76A7" w:rsidRDefault="00181BA7" w:rsidP="00181BA7">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614990, Russian Federation, Perm, st. Bykireva, 15</w:t>
      </w:r>
    </w:p>
    <w:p w:rsidR="00181BA7" w:rsidRPr="00DA76A7" w:rsidRDefault="00181BA7" w:rsidP="00181BA7">
      <w:pPr>
        <w:pStyle w:val="a4"/>
        <w:jc w:val="center"/>
        <w:rPr>
          <w:rFonts w:ascii="Arial" w:hAnsi="Arial" w:cs="Arial"/>
          <w:color w:val="000000" w:themeColor="text1"/>
          <w:sz w:val="22"/>
          <w:szCs w:val="22"/>
          <w:lang w:val="de-DE"/>
        </w:rPr>
      </w:pPr>
      <w:r w:rsidRPr="00DA76A7">
        <w:rPr>
          <w:rFonts w:ascii="Arial" w:hAnsi="Arial" w:cs="Arial"/>
          <w:color w:val="000000" w:themeColor="text1"/>
          <w:sz w:val="22"/>
          <w:szCs w:val="22"/>
          <w:lang w:val="de-DE"/>
        </w:rPr>
        <w:t xml:space="preserve">tel.: +7 (909) 118-09-07, e-mail: Pestov-2013@ya.ru </w:t>
      </w:r>
    </w:p>
    <w:p w:rsidR="00181BA7" w:rsidRPr="00DA76A7" w:rsidRDefault="00181BA7" w:rsidP="00181BA7">
      <w:pPr>
        <w:ind w:firstLine="567"/>
        <w:jc w:val="center"/>
        <w:rPr>
          <w:rFonts w:ascii="Arial" w:hAnsi="Arial" w:cs="Arial"/>
          <w:b/>
          <w:color w:val="000000" w:themeColor="text1"/>
          <w:sz w:val="22"/>
          <w:szCs w:val="22"/>
          <w:lang w:val="de-DE"/>
        </w:rPr>
      </w:pP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настоящей статье исследуется доктрина каузы сделки. Рассматривается её появления и развитие в Римском праве. Проводится анализ её осмысления в работах средневековых глоссаторов. Отмечается постепенное уменьшение роли каузы в современном европейских правопорядках. Анализируется значение доктрины каузы в российском праве. Даются</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перспективы</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её</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дальнейшего</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существования</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в</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гражданском</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праве</w:t>
      </w:r>
      <w:r w:rsidRPr="00DA76A7">
        <w:rPr>
          <w:rFonts w:ascii="Arial" w:hAnsi="Arial" w:cs="Arial"/>
          <w:i/>
          <w:color w:val="000000" w:themeColor="text1"/>
          <w:sz w:val="22"/>
          <w:szCs w:val="22"/>
          <w:lang w:val="en-US"/>
        </w:rPr>
        <w:t>.</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explores the doctrine of causa of contract. Considered  occurrence and development of causa in Roman law. Analyzes interpretation of causa in the works of medieval glossators. The article notes a gradual decrease in the role of the causa and reveals the meaning of doctrine of causa in Russian law. Provides the prospects of its further existence in civil law.</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кауза, сделка, цель, римское право, обязательство.</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a causa, a contract, a purpose, the Roman law, an obligation. </w:t>
      </w:r>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научной литературе традиционно принято выделять каузу сделки как один из её элементов. При этом в отсутствии законодательного определения каузы сделки доктринальные представления о ней весьма сильно отличаются друг от друга.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Прежде всего, нет единства в понимании каузы как цели сделки. Некоторые ученые склонны полагать, что целью сделки является её типичный хозяйственный результат, достигаемый сторонами при её совершении [16, 86-87]. Другие исследователи считают, что цель может быть индивидуализирована в зависимости от отдельных предположений стороны, которые были явно выражены ею в оферте и акцептованы контрагентом [11, 95-96].</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Существует расхождение в понимании каузы как цели сделки и каузы как основании обязательства. При этом если дореволюционные юристы рассматривали каузу как цель сделки [18, 36], то советская цивилистика склоняется к термину «основание». Так, М.М. Агарков отмечает, что наряду с исполнением и ответственностью за неисполнения обязательства необходимо исследовать основание его возникновения [4, 297-299]. О.С. Иоффе говорит об основании сделок, для большинства из которых основанием служит плановое предписание, а для других - приобретение права на встречное удовлетворение, либо безэквивалентное наделение правом [9, 208].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Отсутствие единства в научной литературе не устраняется и судебной практикой, в которой данный термин либо вовсе не используется, либо используется в совершенно разных значениях [3].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подобной ситуации представляется важным провести ретроспективный анализ зарождения и развития термина «кауза» в гражданском праве, дабы впоследствии определить перспективы его дальнейшего существования в современных правовых системах. Для достижения поставленной цели нам представляется важным проанализировать значение термина «кауза сделки» в римском праве, в эпоху деятельности средневековых глоссаторов, а также современные представления о каузе сделки в работах зарубежных цивилистов.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римской юриспруденции термин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использовался по-разному. Ф.М. Дыдынский насчитывал 11 разных значений данного термина [8, 84-86]. Например, под каузой нередко понималось дело - судебный процесс: In propia causa nemo jundex (Никто не может быть судьей в собственном деле),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cognita</w:t>
      </w:r>
      <w:r w:rsidRPr="00DA76A7">
        <w:rPr>
          <w:rFonts w:ascii="Arial" w:hAnsi="Arial" w:cs="Arial"/>
          <w:color w:val="000000" w:themeColor="text1"/>
          <w:sz w:val="22"/>
          <w:szCs w:val="22"/>
        </w:rPr>
        <w:t xml:space="preserve"> (после личного изучения дела). Весьма активно данный термин использовался и в вещном праве при определении основания владения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possessions</w:t>
      </w:r>
      <w:r w:rsidRPr="00DA76A7">
        <w:rPr>
          <w:rFonts w:ascii="Arial" w:hAnsi="Arial" w:cs="Arial"/>
          <w:color w:val="000000" w:themeColor="text1"/>
          <w:sz w:val="22"/>
          <w:szCs w:val="22"/>
        </w:rPr>
        <w:t>), передачи вещи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traditionis</w:t>
      </w:r>
      <w:r w:rsidRPr="00DA76A7">
        <w:rPr>
          <w:rFonts w:ascii="Arial" w:hAnsi="Arial" w:cs="Arial"/>
          <w:color w:val="000000" w:themeColor="text1"/>
          <w:sz w:val="22"/>
          <w:szCs w:val="22"/>
        </w:rPr>
        <w:t>), приобретательной давности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usucapionis</w:t>
      </w:r>
      <w:r w:rsidRPr="00DA76A7">
        <w:rPr>
          <w:rFonts w:ascii="Arial" w:hAnsi="Arial" w:cs="Arial"/>
          <w:color w:val="000000" w:themeColor="text1"/>
          <w:sz w:val="22"/>
          <w:szCs w:val="22"/>
        </w:rPr>
        <w:t xml:space="preserve">). Для целей нашей работы термин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будет исследоваться в границах обязательственного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Первые упоминания о каузе сделки можно встретить лишь в Дигестах Юстиниана. В древнеримских памятниках права более раннего времени данный термин отсутствует. Р.О. Халфина объясняет это тем, что в период законов </w:t>
      </w:r>
      <w:r w:rsidRPr="00DA76A7">
        <w:rPr>
          <w:rFonts w:ascii="Arial" w:hAnsi="Arial" w:cs="Arial"/>
          <w:color w:val="000000" w:themeColor="text1"/>
          <w:sz w:val="22"/>
          <w:szCs w:val="22"/>
          <w:lang w:val="en-US"/>
        </w:rPr>
        <w:t>XII</w:t>
      </w:r>
      <w:r w:rsidRPr="00DA76A7">
        <w:rPr>
          <w:rFonts w:ascii="Arial" w:hAnsi="Arial" w:cs="Arial"/>
          <w:color w:val="000000" w:themeColor="text1"/>
          <w:sz w:val="22"/>
          <w:szCs w:val="22"/>
        </w:rPr>
        <w:t xml:space="preserve"> таблиц и даже ранней республики строгий формализм римского права требовал для обязательности договора лишь соблюдение установленной торжественной формы, тогда как воля сторон и цель договора значения не имели [19, 166].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и в Дигестах Юстиниана термин causa используется в разных значениях. На наш взгляд, все представления римских юристов о каузе сделки можно с определенной долей условности поделить на представления о каузе в объективном смысле и в субъективном смысле.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Кауза сделки в объективном смысле представляет собой механизм, определяющий характер, а также существование тех или иных обязательств. Прежде всего это касается непоименованных реальных контрактов. Ульпиан, рассуждая о непоименованных договорах и ссылаясь на мнение Ариста Цельса, делает вывод, что, даже если соглашение сторон не подпадает ни под один из поименованных контрактов, но у него остается сущность (</w:t>
      </w:r>
      <w:r w:rsidRPr="00DA76A7">
        <w:rPr>
          <w:rFonts w:ascii="Arial" w:hAnsi="Arial" w:cs="Arial"/>
          <w:color w:val="000000" w:themeColor="text1"/>
          <w:sz w:val="22"/>
          <w:szCs w:val="22"/>
          <w:lang w:val="en-US"/>
        </w:rPr>
        <w:t>subsit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tamen</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то имеется и само обязательство [9, 261]. В этом же фрагменте юрист делает исключение в отношении абстрактных, «голых» обещаний (пактов): «Но если не существует никакого основания, то в силу соглашения, конечно, не может быть по цивильному праву установлено и обязательство». По мнению Р. Циммерманна, кауза в этом контексте может быть связана с характеристикой элемента непоименованного реального контракта, а именно с исполнением (передачей или совершением действий) одной из заинтересованных сторон, которое дает основание требовать встречного предоставления [25, 550].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Аналогичную позицию занимает и А.С. Кривцов, который приходит к выводу, что causa непоименованных реальных контрактов обозначает предположение эквивалента, имеющего решающее значение для стороны. Это явление он объясняет тем, что стороны, заключая подобный договор, не подчиняют свои отношения определенной юридической категории. Под такой категорией ученый понимал все поименованные договоры, в которых для сторон заранее известна их единая правовая цель договора, вследствие чего их личные предположения об эквиваленте отходят на второй план, тогда как на первый выступает все основанное договором правоотношение [13, 122].</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 меньшее значение кауза сделки имела применительно к действительности вербальных контрактов, наиболее ярким примером которых выступала стипуляция. Здесь кауза означала основную цель обещания, которая, хотя и необязательно, могла упоминаться сторонами. Но даже в том случае, если она не была упомянута, должник имел возможность возразить в суде о недобросовестности кредитора (exceptio doli)</w:t>
      </w:r>
      <w:r w:rsidRPr="00DA76A7">
        <w:rPr>
          <w:rFonts w:ascii="Arial" w:eastAsia="Arial Unicode MS" w:hAnsi="Arial" w:cs="Arial"/>
          <w:color w:val="000000" w:themeColor="text1"/>
          <w:sz w:val="22"/>
          <w:szCs w:val="22"/>
        </w:rPr>
        <w:t>，</w:t>
      </w:r>
      <w:r w:rsidRPr="00DA76A7">
        <w:rPr>
          <w:rFonts w:ascii="Arial" w:hAnsi="Arial" w:cs="Arial"/>
          <w:color w:val="000000" w:themeColor="text1"/>
          <w:sz w:val="22"/>
          <w:szCs w:val="22"/>
        </w:rPr>
        <w:t>требующего исполнения обязательства в отсутствие его основания. С развитием римского общества вербальная форма стипуляции со временем заменилась на документарную. В обороте сделалось обыкновением составлять документ, свидетельствовавший об имевших место вопросе и ответе (instrumentum). При этом в постклассическую эпоху, после издания в 476 г. конституции императора Льва, стало возможно давать стипуляционное обещание любыми словами, выражающими существо соглашения. Таким образом, кауза стипуляции стала фиксироваться в самом документе, и процессуальное заявление о возражении перестало иметь прежнее значение. Как отмечает Р. Циммерман, с уменьшением значимости формальной процедуры, возражение потеряло своё техническое предназначение как процедурный механизм и приобрело новый смысл в обозначении термина материального права. Как следствие, различие между недействительностью в силу закона и отклонение требований истца путем обращения к суду было размыто [25, 551].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Цель стипуляции устанавливалась через уяснение характера обязательства, лежащего в её основе. По мнению Либе, стипуляция устанавливала не самостоятельное обязательство в отношении промиссора, а лишь такое, которое тесным образом связано с предшествующими отношениями сторон. Поэтому она должна быть дополнена юридическим элементом, связующим её с материальными отношениями. Этот элемент выражается в одном из трех разрядов действий, к которым сводятся все имущественные приобретения: дарения, встречное исполнение, исполнения с целью приобретения права требования [22, 524]. Очевидно, что и в этом случае вопрос о действительности стипуляции в конечном счете сводился к вопросу о наличии или отсутствии эквивалента за принятое стипуляционное обещание.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основной функцией каузы сделки применительно к непоименованным и вербальным контрактам являлось определение существования обязательства на стороне должника, а также обоснованность требования кредитора о его исполнении. Реализация данной функции осуществлялась посредством установления между сторонами правоотношения синаллагматической связи или сознательного и добровольного отсутствия таковой.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Кауза сделки в субъективном смысле выступает как основополагающий внутренний мотив, определяющий само существо отношений между сторонами контракта. В этом случае можно выделить несколько видов кауз, среди которых: </w:t>
      </w:r>
      <w:r w:rsidRPr="00DA76A7">
        <w:rPr>
          <w:rFonts w:ascii="Arial" w:hAnsi="Arial" w:cs="Arial"/>
          <w:color w:val="000000" w:themeColor="text1"/>
          <w:sz w:val="22"/>
          <w:szCs w:val="22"/>
          <w:lang w:val="en-US"/>
        </w:rPr>
        <w:t>i</w:t>
      </w:r>
      <w:r w:rsidRPr="00DA76A7">
        <w:rPr>
          <w:rFonts w:ascii="Arial" w:hAnsi="Arial" w:cs="Arial"/>
          <w:color w:val="000000" w:themeColor="text1"/>
          <w:sz w:val="22"/>
          <w:szCs w:val="22"/>
        </w:rPr>
        <w:t xml:space="preserve">usta causa, то есть правомерное основание, falsa causa (ложное основание), а также </w:t>
      </w:r>
      <w:r w:rsidRPr="00DA76A7">
        <w:rPr>
          <w:rFonts w:ascii="Arial" w:hAnsi="Arial" w:cs="Arial"/>
          <w:color w:val="000000" w:themeColor="text1"/>
          <w:sz w:val="22"/>
          <w:szCs w:val="22"/>
          <w:lang w:val="en-US"/>
        </w:rPr>
        <w:t>iniusta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(незаконное основание) и turp</w:t>
      </w:r>
      <w:r w:rsidRPr="00DA76A7">
        <w:rPr>
          <w:rFonts w:ascii="Arial" w:hAnsi="Arial" w:cs="Arial"/>
          <w:color w:val="000000" w:themeColor="text1"/>
          <w:sz w:val="22"/>
          <w:szCs w:val="22"/>
          <w:lang w:val="en-US"/>
        </w:rPr>
        <w:t>em</w:t>
      </w:r>
      <w:r w:rsidRPr="00DA76A7">
        <w:rPr>
          <w:rFonts w:ascii="Arial" w:hAnsi="Arial" w:cs="Arial"/>
          <w:color w:val="000000" w:themeColor="text1"/>
          <w:sz w:val="22"/>
          <w:szCs w:val="22"/>
        </w:rPr>
        <w:t xml:space="preserve"> causa (безнравственное, постыдное основание).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Совершаемые с безнравственной целью сделки единогласно признавались римскими юристами не имеющими юридической силы. Титул пятый книги двенадцатой Дигестов Юстиниана полностью посвящен кондикции в случае постыдного или неправомерного основания (</w:t>
      </w:r>
      <w:r w:rsidRPr="00DA76A7">
        <w:rPr>
          <w:rFonts w:ascii="Arial" w:hAnsi="Arial" w:cs="Arial"/>
          <w:color w:val="000000" w:themeColor="text1"/>
          <w:sz w:val="22"/>
          <w:szCs w:val="22"/>
          <w:lang w:val="en-US"/>
        </w:rPr>
        <w:t>turpem</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vel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inustam</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causam</w:t>
      </w:r>
      <w:r w:rsidRPr="00DA76A7">
        <w:rPr>
          <w:rFonts w:ascii="Arial" w:hAnsi="Arial" w:cs="Arial"/>
          <w:color w:val="000000" w:themeColor="text1"/>
          <w:sz w:val="22"/>
          <w:szCs w:val="22"/>
        </w:rPr>
        <w:t xml:space="preserve">). Следует при этом отметить, что римские юристы не разграничивали </w:t>
      </w:r>
      <w:r w:rsidRPr="00DA76A7">
        <w:rPr>
          <w:rFonts w:ascii="Arial" w:hAnsi="Arial" w:cs="Arial"/>
          <w:color w:val="000000" w:themeColor="text1"/>
          <w:sz w:val="22"/>
          <w:szCs w:val="22"/>
          <w:lang w:val="en-US"/>
        </w:rPr>
        <w:t>turpem</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и </w:t>
      </w:r>
      <w:r w:rsidRPr="00DA76A7">
        <w:rPr>
          <w:rFonts w:ascii="Arial" w:hAnsi="Arial" w:cs="Arial"/>
          <w:color w:val="000000" w:themeColor="text1"/>
          <w:sz w:val="22"/>
          <w:szCs w:val="22"/>
          <w:lang w:val="en-US"/>
        </w:rPr>
        <w:t>iniusta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а в самом титуле приведены фрагменты, в которых содержатся примеры лишь «постыдных» действий. Единственным исключением из этого является суждение Ульпиана о предоставлении взятки судье. В этом случае юрист выражает сомнение о возможности применения кондикции, поскольку взяткодатель совершил преступление, пусть взятка и была дана, чтобы судья провозгласил решение по «хорошему», то есть не по «постыдному» делу [7, 97].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вопросу о ложном намерении стороны, вступившей в сделку, единого мнения достигнуто не было. Однако можно увидеть попытки сформулировать и более обобщенное правило о falsa causa. Так, Помпоний, проводя различие между предоставлением в силу основания и предоставлением в силу дела (</w:t>
      </w:r>
      <w:r w:rsidRPr="00DA76A7">
        <w:rPr>
          <w:rFonts w:ascii="Arial" w:hAnsi="Arial" w:cs="Arial"/>
          <w:color w:val="000000" w:themeColor="text1"/>
          <w:sz w:val="22"/>
          <w:szCs w:val="22"/>
          <w:lang w:val="en-US"/>
        </w:rPr>
        <w:t>damus</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aut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ob</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causam</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aut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ob</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rem</w:t>
      </w:r>
      <w:r w:rsidRPr="00DA76A7">
        <w:rPr>
          <w:rFonts w:ascii="Arial" w:hAnsi="Arial" w:cs="Arial"/>
          <w:color w:val="000000" w:themeColor="text1"/>
          <w:sz w:val="22"/>
          <w:szCs w:val="22"/>
        </w:rPr>
        <w:t>), отмечает, что, даже в случае предоставления в силу ложного основания, кондикция не будет иметь места, тогда как при предоставлении в силу дела она возможна [7, 129].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Последствия исполнения обязательства лицом, заблуждавшимся в его основании, также различались в зависимости от конкретной ситуации. По общему правилу считалось, что тот, кто уплатит деньги, не являющиеся его долгом, тем самым заключает некоторую сделку. Однако юристы допускали исключение из этого правила, допуская возможность истребовать по кондикционному иску переданное по ошибке. Однако в случае, если это было передано сознательно, то передача считалась дарением.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римские юристы не оставляли без внимания пороки в волеизъявлении лица, вступающего в сделку. Однако римское право признавало за уплатившим недолжное лицом право требовать возврата полученного только в том случае, если он докажет </w:t>
      </w:r>
      <w:r w:rsidRPr="00DA76A7">
        <w:rPr>
          <w:rFonts w:ascii="Arial" w:hAnsi="Arial" w:cs="Arial"/>
          <w:color w:val="000000" w:themeColor="text1"/>
          <w:sz w:val="22"/>
          <w:szCs w:val="22"/>
          <w:lang w:val="en-US"/>
        </w:rPr>
        <w:t>iusta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erroris</w:t>
      </w:r>
      <w:r w:rsidRPr="00DA76A7">
        <w:rPr>
          <w:rFonts w:ascii="Arial" w:hAnsi="Arial" w:cs="Arial"/>
          <w:color w:val="000000" w:themeColor="text1"/>
          <w:sz w:val="22"/>
          <w:szCs w:val="22"/>
        </w:rPr>
        <w:t xml:space="preserve"> (уважительное основание заблуждения) [17, 521]. А.С. Кривцов, анализируя применение кондикции в римском праве, делает вывод, что в случае fal</w:t>
      </w:r>
      <w:r w:rsidRPr="00DA76A7">
        <w:rPr>
          <w:rFonts w:ascii="Arial" w:hAnsi="Arial" w:cs="Arial"/>
          <w:color w:val="000000" w:themeColor="text1"/>
          <w:sz w:val="22"/>
          <w:szCs w:val="22"/>
          <w:lang w:val="en-US"/>
        </w:rPr>
        <w:t>sa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causa</w:t>
      </w:r>
      <w:r w:rsidRPr="00DA76A7">
        <w:rPr>
          <w:rFonts w:ascii="Arial" w:hAnsi="Arial" w:cs="Arial"/>
          <w:color w:val="000000" w:themeColor="text1"/>
          <w:sz w:val="22"/>
          <w:szCs w:val="22"/>
        </w:rPr>
        <w:t xml:space="preserve"> должен применяться принцип инерции, согласно которому «ломать сложившиеся отношения из-за ошибки известного лица возможно только при наличности какого-либо особого оправдания такой ошибки». Однако и дарение к безосновательному исполнению обязательства может применяться, лишь когда налицо не только убеждение в отсутствии долга, но и практическая уверенность в возможности отразить требования мнимого кредитора об осуществлении несуществующего обязательства [13, 173].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кауза сделки в субъективном смысле определяла, во-первых, существование сделки и, как следствие, обоснованность требований лица, требующего возврата ранее предоставленного им блага. Во-вторых, её роль заключалась и в определении действительности сделки с позиции справедливости и добрых нравов.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Значение объективной и субъективной каузы сделки различалось в зависимости от того, имелись ли в каузе пороки (неправомерность, ложность, безнравственность) или нет. Порочность или же отсутствие каузы в целом, как правило, являлось основанием для предъявления кондикционных требований. Д.В. Новак классифицирует виды кондикционных исков в зависимости от недостатков каузы сделки, полагая, что каждый из них можно объединить в юридическую конструкцию общего значения: condictio sine causa generalis. Вместе с тем, как отмечает исследователь, в Древнем Риме конструкция такого генерального иска, скорее всего, отсутствовала, а condictio sine causa (specialis) являлся лишь субсидиарным (восполнительным) иском [15, 58-61].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Действительно, римское право связывало пороки каузы сделки и с иными последствиями. Как уже было отмечено ранее, требование кредитора в отсутствие правомерной каузы давало должнику право блокировать иск посредством возражения об умысле. В случае, если требование кредитора было исполнено должником, последний мог в течение года заявить </w:t>
      </w:r>
      <w:r w:rsidRPr="00DA76A7">
        <w:rPr>
          <w:rFonts w:ascii="Arial" w:hAnsi="Arial" w:cs="Arial"/>
          <w:color w:val="000000" w:themeColor="text1"/>
          <w:sz w:val="22"/>
          <w:szCs w:val="22"/>
          <w:lang w:val="en-US"/>
        </w:rPr>
        <w:t>actio</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doli</w:t>
      </w:r>
      <w:r w:rsidRPr="00DA76A7">
        <w:rPr>
          <w:rFonts w:ascii="Arial" w:hAnsi="Arial" w:cs="Arial"/>
          <w:color w:val="000000" w:themeColor="text1"/>
          <w:sz w:val="22"/>
          <w:szCs w:val="22"/>
        </w:rPr>
        <w:t xml:space="preserve"> – штрафной иск, по которому пострадавший могу получить утраченное обратно.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Правомерность каузы являлась одним из условий, при соблюдении которого сторона в процессе, недовольная судебным решением, могла просить у претора restitutio in integrum, т.е. уничтожения наступивших юридических последствий и восстановления в первоначальное положение [12,71].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анализ представления римских юристов о каузе, позволяет сделать следующие выводы. В Древнем Риме не сформировалось единое представление о каузе сделки. Думается, что причина этого кроется, во-первых, в многообразии самого термина «causa», а во-вторых, в несформированном учении о сделках и договорах. Условно все значения каузы сделки можно свести в две группы: кауза в объективном смысле, представляющая собой механизм, определяющий характер, а также существование тех или иных обязательств; кауза в субъективном смысле, являющаяся основополагающим внутренним мотивом, определяющим само существо отношений между сторонами контракта. Пороки в основании сделки, как правило, порождали право заинтересованной стороны заявить иск о возврате ранее предоставленного исполнения. Кроме этого, понуждаемый к исполнению обязательства в отсутствие правомерной каузы мог заявить возражение об умысле, а исполнив такое требование – предъявить штрафной иск о возврате полученного. Наконец, наличие правомерной каузы служило один из условий для заявления реституционных требований.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известно, с падением Римской Империи дальнейшая судьба римского права как бы разделяется на две части: восточную и западную. На Востоке его активное развитие прекращается ещё в VIII веке. В Западной же Европе, наоборот, с водворением вестготов (410 г. н.э.) оно на долгое время забывается, чтобы вновь привлечь к себе внимание правоведов уже в XI веке. В это время среди ученых господствовали схоластические учения церковных догматов. Это неизбежным образом повлияло на рецепцию римского права, в том числе на представление о каузе сделки. Средневековыми юристами было воспринято учение церкви, в частности Фомы Аквинского, о происхождении вещей. Согласно данному учению всякая вещь имеет свою причину: формальную, материальную, действующую и конечную. «И если каждая вещь, - пишет Р. Циммерман, - имеет свою причину, то договоры тем более» [25, 551]. Таким образом, было решено сразу несколько задач. Во-первых, взгляды римских юристов были согласованы с современными взглядами средневековых юристов. Во-вторых, вследствие такого учения о причинности понятие каузы было значительным образом расширено.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этом следует отметить, что последнее обстоятельство, на наш взгляд, предопределило начало постепенного уменьшения роли каузы сделки, о чем мы упомянем в третьем нашего исследования. Пока что отметим, что расширительное толкование данного термина было обусловлено практическими соображениями. Средневековым глоссаторам предстояло решить, что лежит в основе (какова причина) стипуляции и реальных непоименованных контрактов. Выход был найден в представлении о каузе непоименованных контрактов, лежащей извне, в то время как остальные контракты содержат её внутри себя. Так, Бальдо де Убарис пишет: «стипуляция - это договор, который должен получить причину на основании каких-то других вещей, поскольку она [причина] не фиксируется в других отдельных договорах, как то происходит при договоре аренды и купли-продажи, которые являются основанием самих себя» [20, 551].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кауза могла больше не ограничиваться предоставлением вещи или совершением действия или же тем, что предшествовало сделке. Такой внешней причиной могло быть любое внешнее обстоятельство, что, в конечном счете, послужило представлением о causa impulsiva, которая «не связывает, а убеждает», т.е. о разумном мотиве в отличие от ранее существовавшего обязательства. Таким разумным мотивом стало, по представлению, средневековых глоссаторов, серьезное намерение сторон установить между собой договорное правоотношение.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конечном счете, это же правило о серьезном намерении распространилось и на голые пакты (nuda pacto). И хотя принцип о том, что голые пакты не имеют силу, по-прежнему поддерживался глоссаторами, установление обоюдного волеизъявления сторон вступить в договор придавало юридическую силу и этим пактам. Вследствие этого данный принцип со временем заменился другим: серьезность и намеренность порождают соглашение (</w:t>
      </w:r>
      <w:r w:rsidRPr="00DA76A7">
        <w:rPr>
          <w:rFonts w:ascii="Arial" w:hAnsi="Arial" w:cs="Arial"/>
          <w:color w:val="000000" w:themeColor="text1"/>
          <w:sz w:val="22"/>
          <w:szCs w:val="22"/>
          <w:lang w:val="en-US"/>
        </w:rPr>
        <w:t>serio</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et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deliberate</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initum</w:t>
      </w:r>
      <w:r w:rsidRPr="00DA76A7">
        <w:rPr>
          <w:rFonts w:ascii="Arial" w:hAnsi="Arial" w:cs="Arial"/>
          <w:color w:val="000000" w:themeColor="text1"/>
          <w:sz w:val="22"/>
          <w:szCs w:val="22"/>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Дальнейшее развитие общества и возрастание автономии личности в итоге привели к принципу, согласно которому всякое правомерное соглашение является действительным. Так, среди немецких авторов 17-18 веков, как термин, так и сама теория каузы исчезли из дефиниций контракта, и проблема того, действительно ли стороны всерьез и намеренно вступили в правоотношения, перешла в область процесса и доказывания. Впрочем, во Франции, под влиянием учения Потье, полагавшего, что «каждое обязательство должно иметь честную причину» [25, 553], кауза сделки была включена в Французский гражданский кодекс в качестве необходимого для действительности сделки элемента.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в эпоху средневековья произошло расширение понятия каузы с имущественного предоставления, вытекающего из характера сделки, до обдуманного намерения сторон вступить в договорные правоотношения. Это было обусловлено схоластическим учением о причинности всякой вещи (в том числе сделки), а также необходимостью усиления стабильности гражданского оборота. Это позволило средневековым глоссаторам приравнять к каузальным договорам стипуляцию и голые пакты, которые ранее считались абстрактными сделками. По мере дальнейшего развития общества и утверждением принципа действительности всякого правомерного соглашения учение о каузе сделки, выработанное средневековыми глоссаторами, стало играть меньшую роль. При этом если в Германии термин «causa» практически исчезает из научного лексикона, то во Франции, напротив, кауза сделки получает законодательное закрепление как обязательного элемента сделки.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Уменьшение роли каузы сделки в обеспечении стабильности гражданского оборота неизбежным образом привело к тому, что в научных работах зарубежных исследователей всё чаще можно встретить критическое отношение к исследуемому нами предмету. При этом учение о каузе сделки подвергается сомнению представителями как континентального, так и общего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Впервые антикаузальная теория появилась в первой половине 19 века. Её последователи того времени полагали, что представление о каузе как о цели сделки слишком широкое и охватывает в том числе внутренние мотивы сторон, которые также иногда могут служить непосредственной целью или конечным основанием. Представление же о каузе как об основании обязательства, по их мнению, создает порочный круг, в котором основанием одного обязательства служит другое обязательство, имеющее своим основанием первое обязательство. Наконец, ими было подвергнуто сомнению, что каузой безвозмездных договоров может быть намерение дарителя проявить щедрость, поскольку такое намерение является психическим элементом и относится к воле стороны [5, 121-123].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Кауза сделки подвергается критике и современными авторами. Так, Э. Лоуренс, полагает, что в действительности учение о каузе не определимо, и что сам термин «causa» включает в себя множество понятий, которые также могут быть выявлены из сущности юридического акта и соображений справедливости [23, 646].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 Стоянов отмечает, что кауза сделки и английское предоставление хоть и повлияли на развитие принципа автономии воли, однако вряд ли найдут своё место в будущей кодификации европейского частного права [24, 265].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 Доусон, анализируя практику французских судов, связанную с договором дарения, приходит к выводу, что доктрина каузы не имеет никаких значимых функций. Кроме того, она, по мнению ученого, позволяет избежать обязательной нотариальной формы для договоров дарения путем включения условия или какой-либо обязанности для одаряемого, что иногда рассматривается судами как встречное предоставление [22, 115].</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Доктринальная критика не остается без внимания иностранного законодателя. Так, Постановлением Правительства Франции от 10.02.2016 №2016-131 были внесены поправки в Гражданский кодекс Франции, вступившие в силу 01.10.2016 [2]. Одной из данных поправок стало исключение из §1108 каузы как существенного условия для заключения сделки. Как следует из пояснительного доклада к Президенту Франции, данное решение было обусловлено трудностью в квалификации данного термина, которое плохо определимо и имеет множество значений. При этом, не смотря на упразднение данного термина, все функции каузы, которыми её наделила судебная практика, будут соединены в законе в едином комплексе [14, 81].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на сегодняшний день в иностранной доктрине весьма часто можно встретить негативное отношении к теории каузы сделки. Это обусловлено, во-первых, её слишком широким пониманием как цели сделки. Во-вторых, логическим противоречием представлением как основания обязательства. В-третьих, в невозможности использования применительно к безвозмездным договорам. Аргументы противников каузальной теории были восприняты французским законодателем, вследствие чего кауза сделки была исключена из Гражданского кодекса Франции в качестве существенного условия сделки, отсутствие которого влекло её недействительность.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Проведенный нами анализ позволяет сделать вывод, что современные правопорядки постепенно отказываются от использования термина «кауза» как в доктрине, так и в нормативно-правовых актах. Представляется, что причиной тому служит укрепление и развитие в правосознании общества идеи о свободе договора, проявляющейся в возможности заключать любые как поименованные, так и непоименованные договоры. Ранее средневековые глоссаторы и французские реформаторы </w:t>
      </w:r>
      <w:r w:rsidRPr="00DA76A7">
        <w:rPr>
          <w:rFonts w:ascii="Arial" w:hAnsi="Arial" w:cs="Arial"/>
          <w:color w:val="000000" w:themeColor="text1"/>
          <w:sz w:val="22"/>
          <w:szCs w:val="22"/>
          <w:lang w:val="en-US"/>
        </w:rPr>
        <w:t>XVIII</w:t>
      </w:r>
      <w:r w:rsidRPr="00DA76A7">
        <w:rPr>
          <w:rFonts w:ascii="Arial" w:hAnsi="Arial" w:cs="Arial"/>
          <w:color w:val="000000" w:themeColor="text1"/>
          <w:sz w:val="22"/>
          <w:szCs w:val="22"/>
        </w:rPr>
        <w:t xml:space="preserve"> в. видели роль каузы в очертаниях некоторых пределов свободы заключать любые, в том числе совершенно несправедливые договоры, не отражающие «серьезность намерений сторон». Однако с конца </w:t>
      </w:r>
      <w:r w:rsidRPr="00DA76A7">
        <w:rPr>
          <w:rFonts w:ascii="Arial" w:hAnsi="Arial" w:cs="Arial"/>
          <w:color w:val="000000" w:themeColor="text1"/>
          <w:sz w:val="22"/>
          <w:szCs w:val="22"/>
          <w:lang w:val="en-US"/>
        </w:rPr>
        <w:t>XVIII</w:t>
      </w:r>
      <w:r w:rsidRPr="00DA76A7">
        <w:rPr>
          <w:rFonts w:ascii="Arial" w:hAnsi="Arial" w:cs="Arial"/>
          <w:color w:val="000000" w:themeColor="text1"/>
          <w:sz w:val="22"/>
          <w:szCs w:val="22"/>
        </w:rPr>
        <w:t xml:space="preserve"> и по конец </w:t>
      </w:r>
      <w:r w:rsidRPr="00DA76A7">
        <w:rPr>
          <w:rFonts w:ascii="Arial" w:hAnsi="Arial" w:cs="Arial"/>
          <w:color w:val="000000" w:themeColor="text1"/>
          <w:sz w:val="22"/>
          <w:szCs w:val="22"/>
          <w:lang w:val="en-US"/>
        </w:rPr>
        <w:t>XIX</w:t>
      </w:r>
      <w:r w:rsidRPr="00DA76A7">
        <w:rPr>
          <w:rFonts w:ascii="Arial" w:hAnsi="Arial" w:cs="Arial"/>
          <w:color w:val="000000" w:themeColor="text1"/>
          <w:sz w:val="22"/>
          <w:szCs w:val="22"/>
        </w:rPr>
        <w:t xml:space="preserve"> вв. доктрину каузы вытеснили волевые теории, согласно которым сделка рассматривалась как результат совпадения воль. И если ранее кауза сделки позволяла обеспечить некоторую эквивалентность обмена, то «развитие экономической теории, - отмечают А.Г. Карапетов и А.И. Савельев, - подорвало веру в саму возможность выявления эквивалентности на основе объективной оценки стоимости благ» [10, 107].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Конечно, это не означает, что с утверждением волевых начал всякое, даже самое несправедливое соглашение, воспрепятствует защите прав и законных интересов экономически более слабой стороны договора. Однако современные правопорядки знают иные механизмы, позволяющие обеспечить баланс интересов. Так, Гражданский кодекс Российской Федерации (далее - ГК РФ) [1] признает недействительными кабальные сделки (ст. 179 ГК РФ), позволяет изменять обременительные условия договора присоединения (ст. 428 ГК РФ), приостанавливать исполнение встречного обязательства при отсутствии исполнения со стороны контрагента (ст. 328 ГК РФ), предусматривает иные защитные меры.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современный правопорядок унаследовал от доктрины каузы сделки главное, что она могло дать для любого общества: принцип взаимообусловленности, выражающийся в экономической и правовой эквивалентности обязательств в возмездных договорах. </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Гражданский кодекс Российской Федерации (часть первая): Федеральный закон от 30.11.1994 №51-ФЗ (в ред. от 29.12.2017) // Росс. газ. №238-239. 1994</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Ordonnance</w:t>
      </w:r>
      <w:r w:rsidRPr="00DA76A7">
        <w:rPr>
          <w:rFonts w:ascii="Arial" w:hAnsi="Arial" w:cs="Arial"/>
          <w:color w:val="000000" w:themeColor="text1"/>
          <w:sz w:val="22"/>
          <w:szCs w:val="22"/>
        </w:rPr>
        <w:t xml:space="preserve"> №2016-131 </w:t>
      </w:r>
      <w:r w:rsidRPr="00DA76A7">
        <w:rPr>
          <w:rFonts w:ascii="Arial" w:hAnsi="Arial" w:cs="Arial"/>
          <w:color w:val="000000" w:themeColor="text1"/>
          <w:sz w:val="22"/>
          <w:szCs w:val="22"/>
          <w:lang w:val="en-US"/>
        </w:rPr>
        <w:t>du</w:t>
      </w:r>
      <w:r w:rsidRPr="00DA76A7">
        <w:rPr>
          <w:rFonts w:ascii="Arial" w:hAnsi="Arial" w:cs="Arial"/>
          <w:color w:val="000000" w:themeColor="text1"/>
          <w:sz w:val="22"/>
          <w:szCs w:val="22"/>
        </w:rPr>
        <w:t xml:space="preserve"> 10 </w:t>
      </w:r>
      <w:r w:rsidRPr="00DA76A7">
        <w:rPr>
          <w:rFonts w:ascii="Arial" w:hAnsi="Arial" w:cs="Arial"/>
          <w:color w:val="000000" w:themeColor="text1"/>
          <w:sz w:val="22"/>
          <w:szCs w:val="22"/>
          <w:lang w:val="en-US"/>
        </w:rPr>
        <w:t>f</w:t>
      </w:r>
      <w:r w:rsidRPr="00DA76A7">
        <w:rPr>
          <w:rFonts w:ascii="Arial" w:hAnsi="Arial" w:cs="Arial"/>
          <w:color w:val="000000" w:themeColor="text1"/>
          <w:sz w:val="22"/>
          <w:szCs w:val="22"/>
        </w:rPr>
        <w:t>é</w:t>
      </w:r>
      <w:r w:rsidRPr="00DA76A7">
        <w:rPr>
          <w:rFonts w:ascii="Arial" w:hAnsi="Arial" w:cs="Arial"/>
          <w:color w:val="000000" w:themeColor="text1"/>
          <w:sz w:val="22"/>
          <w:szCs w:val="22"/>
          <w:lang w:val="en-US"/>
        </w:rPr>
        <w:t>vrier</w:t>
      </w:r>
      <w:r w:rsidRPr="00DA76A7">
        <w:rPr>
          <w:rFonts w:ascii="Arial" w:hAnsi="Arial" w:cs="Arial"/>
          <w:color w:val="000000" w:themeColor="text1"/>
          <w:sz w:val="22"/>
          <w:szCs w:val="22"/>
        </w:rPr>
        <w:t xml:space="preserve"> 2016 </w:t>
      </w:r>
      <w:r w:rsidRPr="00DA76A7">
        <w:rPr>
          <w:rFonts w:ascii="Arial" w:hAnsi="Arial" w:cs="Arial"/>
          <w:color w:val="000000" w:themeColor="text1"/>
          <w:sz w:val="22"/>
          <w:szCs w:val="22"/>
          <w:lang w:val="en-US"/>
        </w:rPr>
        <w:t>portant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r</w:t>
      </w:r>
      <w:r w:rsidRPr="00DA76A7">
        <w:rPr>
          <w:rFonts w:ascii="Arial" w:hAnsi="Arial" w:cs="Arial"/>
          <w:color w:val="000000" w:themeColor="text1"/>
          <w:sz w:val="22"/>
          <w:szCs w:val="22"/>
        </w:rPr>
        <w:t>é</w:t>
      </w:r>
      <w:r w:rsidRPr="00DA76A7">
        <w:rPr>
          <w:rFonts w:ascii="Arial" w:hAnsi="Arial" w:cs="Arial"/>
          <w:color w:val="000000" w:themeColor="text1"/>
          <w:sz w:val="22"/>
          <w:szCs w:val="22"/>
          <w:lang w:val="en-US"/>
        </w:rPr>
        <w:t>forme</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du</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droit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des</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contrats</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du</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r</w:t>
      </w:r>
      <w:r w:rsidRPr="00DA76A7">
        <w:rPr>
          <w:rFonts w:ascii="Arial" w:hAnsi="Arial" w:cs="Arial"/>
          <w:color w:val="000000" w:themeColor="text1"/>
          <w:sz w:val="22"/>
          <w:szCs w:val="22"/>
        </w:rPr>
        <w:t>é</w:t>
      </w:r>
      <w:r w:rsidRPr="00DA76A7">
        <w:rPr>
          <w:rFonts w:ascii="Arial" w:hAnsi="Arial" w:cs="Arial"/>
          <w:color w:val="000000" w:themeColor="text1"/>
          <w:sz w:val="22"/>
          <w:szCs w:val="22"/>
          <w:lang w:val="en-US"/>
        </w:rPr>
        <w:t>gime</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w:t>
      </w:r>
      <w:r w:rsidRPr="00DA76A7">
        <w:rPr>
          <w:rFonts w:ascii="Arial" w:hAnsi="Arial" w:cs="Arial"/>
          <w:color w:val="000000" w:themeColor="text1"/>
          <w:sz w:val="22"/>
          <w:szCs w:val="22"/>
        </w:rPr>
        <w:t>é</w:t>
      </w:r>
      <w:r w:rsidRPr="00DA76A7">
        <w:rPr>
          <w:rFonts w:ascii="Arial" w:hAnsi="Arial" w:cs="Arial"/>
          <w:color w:val="000000" w:themeColor="text1"/>
          <w:sz w:val="22"/>
          <w:szCs w:val="22"/>
          <w:lang w:val="en-US"/>
        </w:rPr>
        <w:t>n</w:t>
      </w:r>
      <w:r w:rsidRPr="00DA76A7">
        <w:rPr>
          <w:rFonts w:ascii="Arial" w:hAnsi="Arial" w:cs="Arial"/>
          <w:color w:val="000000" w:themeColor="text1"/>
          <w:sz w:val="22"/>
          <w:szCs w:val="22"/>
        </w:rPr>
        <w:t>é</w:t>
      </w:r>
      <w:r w:rsidRPr="00DA76A7">
        <w:rPr>
          <w:rFonts w:ascii="Arial" w:hAnsi="Arial" w:cs="Arial"/>
          <w:color w:val="000000" w:themeColor="text1"/>
          <w:sz w:val="22"/>
          <w:szCs w:val="22"/>
          <w:lang w:val="en-US"/>
        </w:rPr>
        <w:t>ral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et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de</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la</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preuve</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des</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obligations</w:t>
      </w:r>
      <w:r w:rsidRPr="00DA76A7">
        <w:rPr>
          <w:rFonts w:ascii="Arial" w:hAnsi="Arial" w:cs="Arial"/>
          <w:color w:val="000000" w:themeColor="text1"/>
          <w:sz w:val="22"/>
          <w:szCs w:val="22"/>
        </w:rPr>
        <w:t xml:space="preserve"> [Электронный ресурс]. – Режим доступа: </w:t>
      </w:r>
      <w:r w:rsidRPr="00DA76A7">
        <w:rPr>
          <w:rFonts w:ascii="Arial" w:hAnsi="Arial" w:cs="Arial"/>
          <w:color w:val="000000" w:themeColor="text1"/>
          <w:sz w:val="22"/>
          <w:szCs w:val="22"/>
          <w:lang w:val="en-US"/>
        </w:rPr>
        <w:t>https</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www</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legifrance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gouv</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fr</w:t>
      </w:r>
      <w:r w:rsidRPr="00DA76A7">
        <w:rPr>
          <w:rFonts w:ascii="Arial" w:hAnsi="Arial" w:cs="Arial"/>
          <w:color w:val="000000" w:themeColor="text1"/>
          <w:sz w:val="22"/>
          <w:szCs w:val="22"/>
        </w:rPr>
        <w:t xml:space="preserve"> (дата обращения: 25.03.2018)</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Постановление Федерального арбитражного суда Восточно-Сибирского округа от 22.05.2014 по делу №А33-14502/2013 // [Электронный ресурс]. – Режим доступа СПС «КонсультантПлюс»; Определение Высшего арбитражного суда Российской Федерации от 01.08.2013 №ВАС-6560/13 // [Электронный ресурс]. – Режим доступа: СПС «КонсультантПлюс».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Агарков М.М. Обязательство по советскому гражданскому праву // Избранные труды по гражданскому праву. В 2-х т. – М.: «Центр ЮрИнфоР», 2002. – Т. I. – 489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Годэме Е. Общая теория обязательств. – М.: «Юрид. изд-во МЮ СССР», 1948. – 511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Дигесты Юстиниана / Перевод с латинского; Отв. ред. Л.Л. Кофанов. Т. </w:t>
      </w:r>
      <w:r w:rsidRPr="00DA76A7">
        <w:rPr>
          <w:rFonts w:ascii="Arial" w:hAnsi="Arial" w:cs="Arial"/>
          <w:color w:val="000000" w:themeColor="text1"/>
          <w:sz w:val="22"/>
          <w:szCs w:val="22"/>
          <w:lang w:val="en-US"/>
        </w:rPr>
        <w:t>I</w:t>
      </w:r>
      <w:r w:rsidRPr="00DA76A7">
        <w:rPr>
          <w:rFonts w:ascii="Arial" w:hAnsi="Arial" w:cs="Arial"/>
          <w:color w:val="000000" w:themeColor="text1"/>
          <w:sz w:val="22"/>
          <w:szCs w:val="22"/>
        </w:rPr>
        <w:t>. – М.: «Статут», 2008 – 544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Дигесты Юстиниана / Перевод с латинского; Отв. ред. Л.Л. Кофанов. Т. </w:t>
      </w:r>
      <w:r w:rsidRPr="00DA76A7">
        <w:rPr>
          <w:rFonts w:ascii="Arial" w:hAnsi="Arial" w:cs="Arial"/>
          <w:color w:val="000000" w:themeColor="text1"/>
          <w:sz w:val="22"/>
          <w:szCs w:val="22"/>
          <w:lang w:val="en-US"/>
        </w:rPr>
        <w:t>III</w:t>
      </w:r>
      <w:r w:rsidRPr="00DA76A7">
        <w:rPr>
          <w:rFonts w:ascii="Arial" w:hAnsi="Arial" w:cs="Arial"/>
          <w:color w:val="000000" w:themeColor="text1"/>
          <w:sz w:val="22"/>
          <w:szCs w:val="22"/>
        </w:rPr>
        <w:t>. – М.: «Статут», 2003 – 780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Дыдынский Ф.М. Латинско-русский словарь к источникам римского права: По изданию 1896 г. – М.: «Спарк», 1998. – 560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Иоффе О.С. Советское гражданское право // Избранные труды. В 4-х т. – М.: «Пресс», 2004. – Т. II. – 544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Карапетов А.Г., Савельев А.И. Свобода договора и её пределы. Т. 2: Пределы свободы определения условий договора в зарубежном и российском праве. – М.: «Статут», 2012. – 453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Кашанин А.В. Кауза сделки в гражданском праве: дис. ... канд. юрид. наук. – Москва, 2002. – 210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Краснокутский В.А. Римское частное право: Учебник / под ред. И.Б. Новицкого, И.С. Перетерского. – М.: «Юриспруденция», 1999. – 508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Кривцов А.С. Абстрактные и материальные обязательства в римском и современном гражданском праве. – М.: «Статут», 2003. – 312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Маковская А.А. Реформа договорного права во Франции. Новые положения Гражданского кодекса Франции // Вестник экономического правосудия Российской Федерации. – 2016. – №8. – С. 76 – 101.</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Новак Д.В. Неосновательное обогащение в гражданском праве. – М.: «Статут», 2010. – 416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Новиков К.А. Абстрактные и каузальные сделки // Закон. 2010. – №11. – С. 81-89.</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Памятники римского права: Законы </w:t>
      </w:r>
      <w:r w:rsidRPr="00DA76A7">
        <w:rPr>
          <w:rFonts w:ascii="Arial" w:hAnsi="Arial" w:cs="Arial"/>
          <w:color w:val="000000" w:themeColor="text1"/>
          <w:sz w:val="22"/>
          <w:szCs w:val="22"/>
          <w:lang w:val="en-US"/>
        </w:rPr>
        <w:t>XII</w:t>
      </w:r>
      <w:r w:rsidRPr="00DA76A7">
        <w:rPr>
          <w:rFonts w:ascii="Arial" w:hAnsi="Arial" w:cs="Arial"/>
          <w:color w:val="000000" w:themeColor="text1"/>
          <w:sz w:val="22"/>
          <w:szCs w:val="22"/>
        </w:rPr>
        <w:t xml:space="preserve"> таблиц. Институции Гая. Дигесты Юстиниана. – М.: «Зерцало», 1997. – 608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Победоносцев К.П. Курс гражданского права: В трех томах. / Под редакцией В.А. Томсинова. – М.: «Зерцало», 2003. - Том 3. – 608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Халфина Р.О. Договор в английском гражданском праве / отв. ред. Орловский П.Е. – М.: «Изд-во АН СССР», 1959. – 319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Baldus. Commentaria in Codicem ad generaliter. / </w:t>
      </w:r>
      <w:r w:rsidRPr="00DA76A7">
        <w:rPr>
          <w:rFonts w:ascii="Arial" w:hAnsi="Arial" w:cs="Arial"/>
          <w:color w:val="000000" w:themeColor="text1"/>
          <w:sz w:val="22"/>
          <w:szCs w:val="22"/>
        </w:rPr>
        <w:t>цит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по</w:t>
      </w:r>
      <w:r w:rsidRPr="00DA76A7">
        <w:rPr>
          <w:rFonts w:ascii="Arial" w:hAnsi="Arial" w:cs="Arial"/>
          <w:color w:val="000000" w:themeColor="text1"/>
          <w:sz w:val="22"/>
          <w:szCs w:val="22"/>
          <w:lang w:val="en-US"/>
        </w:rPr>
        <w:t>: R. Zimmerman. Op. cit.</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Dawson J.P. Gifts and promises. [Электронный ресурс] // Yale University Press. </w:t>
      </w:r>
      <w:r w:rsidRPr="00DA76A7">
        <w:rPr>
          <w:rFonts w:ascii="Arial" w:hAnsi="Arial" w:cs="Arial"/>
          <w:color w:val="000000" w:themeColor="text1"/>
          <w:sz w:val="22"/>
          <w:szCs w:val="22"/>
        </w:rPr>
        <w:t xml:space="preserve">1980. – Режим доступа: </w:t>
      </w:r>
      <w:hyperlink r:id="rId218" w:history="1">
        <w:r w:rsidR="00DB4703" w:rsidRPr="00DA76A7">
          <w:rPr>
            <w:rStyle w:val="af0"/>
            <w:rFonts w:ascii="Arial" w:hAnsi="Arial" w:cs="Arial"/>
            <w:color w:val="000000" w:themeColor="text1"/>
            <w:sz w:val="22"/>
            <w:szCs w:val="22"/>
            <w:u w:val="none"/>
            <w:lang w:val="en-US"/>
          </w:rPr>
          <w:t>https</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digitalcommons</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law</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lsu</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edu</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cgi</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viewcontent</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cgi</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article</w:t>
        </w:r>
        <w:r w:rsidR="00DB4703" w:rsidRPr="00DA76A7">
          <w:rPr>
            <w:rStyle w:val="af0"/>
            <w:rFonts w:ascii="Arial" w:hAnsi="Arial" w:cs="Arial"/>
            <w:color w:val="000000" w:themeColor="text1"/>
            <w:sz w:val="22"/>
            <w:szCs w:val="22"/>
            <w:u w:val="none"/>
          </w:rPr>
          <w:t>=4539&amp;</w:t>
        </w:r>
      </w:hyperlink>
      <w:r w:rsidR="00DB4703"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context</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lalrev</w:t>
      </w:r>
      <w:r w:rsidRPr="00DA76A7">
        <w:rPr>
          <w:rFonts w:ascii="Arial" w:hAnsi="Arial" w:cs="Arial"/>
          <w:color w:val="000000" w:themeColor="text1"/>
          <w:sz w:val="22"/>
          <w:szCs w:val="22"/>
        </w:rPr>
        <w:t xml:space="preserve"> (дата обращения: 25.03.2018)</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lang w:val="de-DE"/>
        </w:rPr>
        <w:t xml:space="preserve">Liebe. Die Stipulation. Braunschweig, 1840. </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цит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по</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Ф</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Савиньи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Обязательственное право. – СПб. «Юридический центр Пресс», 2004. – 576 с.</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Lorenze E. Causa and Consideration in the Law of Contracts [Электронный ресурс] // Yale Law Journal. 1919. – №7. – </w:t>
      </w:r>
      <w:r w:rsidRPr="00DA76A7">
        <w:rPr>
          <w:rFonts w:ascii="Arial" w:hAnsi="Arial" w:cs="Arial"/>
          <w:color w:val="000000" w:themeColor="text1"/>
          <w:sz w:val="22"/>
          <w:szCs w:val="22"/>
        </w:rPr>
        <w:t>Режим</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доступа</w:t>
      </w:r>
      <w:r w:rsidRPr="00DA76A7">
        <w:rPr>
          <w:rFonts w:ascii="Arial" w:hAnsi="Arial" w:cs="Arial"/>
          <w:color w:val="000000" w:themeColor="text1"/>
          <w:sz w:val="22"/>
          <w:szCs w:val="22"/>
          <w:lang w:val="en-US"/>
        </w:rPr>
        <w:t xml:space="preserve">: </w:t>
      </w:r>
      <w:hyperlink r:id="rId219" w:history="1">
        <w:r w:rsidR="00DB4703" w:rsidRPr="00DA76A7">
          <w:rPr>
            <w:rStyle w:val="af0"/>
            <w:rFonts w:ascii="Arial" w:hAnsi="Arial" w:cs="Arial"/>
            <w:color w:val="000000" w:themeColor="text1"/>
            <w:sz w:val="22"/>
            <w:szCs w:val="22"/>
            <w:u w:val="none"/>
            <w:lang w:val="en-US"/>
          </w:rPr>
          <w:t>http://digitalcommons.law.yale.edu/cgi/</w:t>
        </w:r>
      </w:hyperlink>
      <w:r w:rsidR="00DB4703"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viewcontent.cgi?article=2688&amp;context=ylj (</w:t>
      </w:r>
      <w:r w:rsidRPr="00DA76A7">
        <w:rPr>
          <w:rFonts w:ascii="Arial" w:hAnsi="Arial" w:cs="Arial"/>
          <w:color w:val="000000" w:themeColor="text1"/>
          <w:sz w:val="22"/>
          <w:szCs w:val="22"/>
        </w:rPr>
        <w:t>дата</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обращения</w:t>
      </w:r>
      <w:r w:rsidRPr="00DA76A7">
        <w:rPr>
          <w:rFonts w:ascii="Arial" w:hAnsi="Arial" w:cs="Arial"/>
          <w:color w:val="000000" w:themeColor="text1"/>
          <w:sz w:val="22"/>
          <w:szCs w:val="22"/>
          <w:lang w:val="en-US"/>
        </w:rPr>
        <w:t>: 25.03.2018)</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Stoyanov. D. Causa and consideration – a compareative overview [Электронный ресурс] // Proceedings of The International Conference «Challenges of the Knowledge Society». Bucharest</w:t>
      </w:r>
      <w:r w:rsidRPr="00DA76A7">
        <w:rPr>
          <w:rFonts w:ascii="Arial" w:hAnsi="Arial" w:cs="Arial"/>
          <w:color w:val="000000" w:themeColor="text1"/>
          <w:sz w:val="22"/>
          <w:szCs w:val="22"/>
        </w:rPr>
        <w:t xml:space="preserve">, 2016. – Режим доступа: </w:t>
      </w:r>
      <w:hyperlink r:id="rId220" w:history="1">
        <w:r w:rsidR="00DB4703" w:rsidRPr="00DA76A7">
          <w:rPr>
            <w:rStyle w:val="af0"/>
            <w:rFonts w:ascii="Arial" w:hAnsi="Arial" w:cs="Arial"/>
            <w:color w:val="000000" w:themeColor="text1"/>
            <w:sz w:val="22"/>
            <w:szCs w:val="22"/>
            <w:u w:val="none"/>
            <w:lang w:val="en-US"/>
          </w:rPr>
          <w:t>https</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papers</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ssrn</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com</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sol</w:t>
        </w:r>
        <w:r w:rsidR="00DB4703" w:rsidRPr="00DA76A7">
          <w:rPr>
            <w:rStyle w:val="af0"/>
            <w:rFonts w:ascii="Arial" w:hAnsi="Arial" w:cs="Arial"/>
            <w:color w:val="000000" w:themeColor="text1"/>
            <w:sz w:val="22"/>
            <w:szCs w:val="22"/>
            <w:u w:val="none"/>
          </w:rPr>
          <w:t>3/</w:t>
        </w:r>
        <w:r w:rsidR="00DB4703" w:rsidRPr="00DA76A7">
          <w:rPr>
            <w:rStyle w:val="af0"/>
            <w:rFonts w:ascii="Arial" w:hAnsi="Arial" w:cs="Arial"/>
            <w:color w:val="000000" w:themeColor="text1"/>
            <w:sz w:val="22"/>
            <w:szCs w:val="22"/>
            <w:u w:val="none"/>
            <w:lang w:val="en-US"/>
          </w:rPr>
          <w:t>papers</w:t>
        </w:r>
        <w:r w:rsidR="00DB4703" w:rsidRPr="00DA76A7">
          <w:rPr>
            <w:rStyle w:val="af0"/>
            <w:rFonts w:ascii="Arial" w:hAnsi="Arial" w:cs="Arial"/>
            <w:color w:val="000000" w:themeColor="text1"/>
            <w:sz w:val="22"/>
            <w:szCs w:val="22"/>
            <w:u w:val="none"/>
          </w:rPr>
          <w:t>.</w:t>
        </w:r>
        <w:r w:rsidR="00DB4703" w:rsidRPr="00DA76A7">
          <w:rPr>
            <w:rStyle w:val="af0"/>
            <w:rFonts w:ascii="Arial" w:hAnsi="Arial" w:cs="Arial"/>
            <w:color w:val="000000" w:themeColor="text1"/>
            <w:sz w:val="22"/>
            <w:szCs w:val="22"/>
            <w:u w:val="none"/>
            <w:lang w:val="en-US"/>
          </w:rPr>
          <w:t>cfm</w:t>
        </w:r>
      </w:hyperlink>
      <w:r w:rsidRPr="00DA76A7">
        <w:rPr>
          <w:rFonts w:ascii="Arial" w:hAnsi="Arial" w:cs="Arial"/>
          <w:color w:val="000000" w:themeColor="text1"/>
          <w:sz w:val="22"/>
          <w:szCs w:val="22"/>
        </w:rPr>
        <w:t>?</w:t>
      </w:r>
      <w:r w:rsidR="00DB4703"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Annotation</w:t>
      </w:r>
      <w:r w:rsidRPr="00DA76A7">
        <w:rPr>
          <w:rFonts w:ascii="Arial" w:hAnsi="Arial" w:cs="Arial"/>
          <w:color w:val="000000" w:themeColor="text1"/>
          <w:sz w:val="22"/>
          <w:szCs w:val="22"/>
        </w:rPr>
        <w:t>_</w:t>
      </w:r>
      <w:r w:rsidRPr="00DA76A7">
        <w:rPr>
          <w:rFonts w:ascii="Arial" w:hAnsi="Arial" w:cs="Arial"/>
          <w:color w:val="000000" w:themeColor="text1"/>
          <w:sz w:val="22"/>
          <w:szCs w:val="22"/>
          <w:lang w:val="en-US"/>
        </w:rPr>
        <w:t>id</w:t>
      </w:r>
      <w:r w:rsidRPr="00DA76A7">
        <w:rPr>
          <w:rFonts w:ascii="Arial" w:hAnsi="Arial" w:cs="Arial"/>
          <w:color w:val="000000" w:themeColor="text1"/>
          <w:sz w:val="22"/>
          <w:szCs w:val="22"/>
        </w:rPr>
        <w:t>=2819799 (дата обращения: 25.03.2018)</w:t>
      </w:r>
    </w:p>
    <w:p w:rsidR="00181BA7" w:rsidRPr="00DA76A7" w:rsidRDefault="00181BA7" w:rsidP="00D45D6B">
      <w:pPr>
        <w:widowControl/>
        <w:numPr>
          <w:ilvl w:val="0"/>
          <w:numId w:val="82"/>
        </w:numPr>
        <w:tabs>
          <w:tab w:val="left" w:pos="851"/>
          <w:tab w:val="left" w:pos="993"/>
        </w:tabs>
        <w:autoSpaceDE/>
        <w:autoSpaceDN/>
        <w:adjustRightInd/>
        <w:ind w:left="0"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Zimmermann R. The law of obligations: Roman Foundations of the Civilian Tradition. – Capetown; Wetton; Johannensburg,1990. – 1312 p.</w:t>
      </w:r>
    </w:p>
    <w:p w:rsidR="00181BA7" w:rsidRPr="00DA76A7" w:rsidRDefault="00181BA7" w:rsidP="00181BA7">
      <w:pPr>
        <w:shd w:val="clear" w:color="auto" w:fill="FFFFFF"/>
        <w:tabs>
          <w:tab w:val="left" w:pos="851"/>
          <w:tab w:val="left" w:pos="993"/>
        </w:tabs>
        <w:ind w:firstLine="567"/>
        <w:jc w:val="both"/>
        <w:rPr>
          <w:rFonts w:ascii="Arial" w:hAnsi="Arial" w:cs="Arial"/>
          <w:color w:val="000000" w:themeColor="text1"/>
          <w:sz w:val="22"/>
          <w:szCs w:val="22"/>
          <w:lang w:val="en-US"/>
        </w:rPr>
      </w:pPr>
    </w:p>
    <w:p w:rsidR="00181BA7" w:rsidRPr="00DA76A7" w:rsidRDefault="00181BA7" w:rsidP="00181BA7">
      <w:pPr>
        <w:shd w:val="clear" w:color="auto" w:fill="FFFFFF"/>
        <w:ind w:firstLine="567"/>
        <w:jc w:val="center"/>
        <w:rPr>
          <w:rFonts w:ascii="Arial" w:hAnsi="Arial" w:cs="Arial"/>
          <w:b/>
          <w:caps/>
          <w:color w:val="000000" w:themeColor="text1"/>
          <w:sz w:val="22"/>
          <w:szCs w:val="22"/>
          <w:lang w:val="en-US"/>
        </w:rPr>
      </w:pPr>
    </w:p>
    <w:p w:rsidR="00181BA7" w:rsidRPr="00DA76A7" w:rsidRDefault="00181BA7" w:rsidP="00181BA7">
      <w:pPr>
        <w:shd w:val="clear" w:color="auto" w:fill="FFFFFF"/>
        <w:jc w:val="center"/>
        <w:rPr>
          <w:rFonts w:ascii="Arial" w:hAnsi="Arial" w:cs="Arial"/>
          <w:b/>
          <w:caps/>
          <w:color w:val="000000" w:themeColor="text1"/>
          <w:sz w:val="22"/>
          <w:szCs w:val="22"/>
        </w:rPr>
      </w:pPr>
      <w:r w:rsidRPr="00DA76A7">
        <w:rPr>
          <w:rFonts w:ascii="Arial" w:hAnsi="Arial" w:cs="Arial"/>
          <w:b/>
          <w:caps/>
          <w:color w:val="000000" w:themeColor="text1"/>
          <w:sz w:val="22"/>
          <w:szCs w:val="22"/>
        </w:rPr>
        <w:t>особенности содержания права собственности супругов на общее имущество</w:t>
      </w:r>
    </w:p>
    <w:p w:rsidR="00181BA7" w:rsidRPr="00DA76A7" w:rsidRDefault="00181BA7" w:rsidP="00181BA7">
      <w:pPr>
        <w:shd w:val="clear" w:color="auto" w:fill="FFFFFF"/>
        <w:jc w:val="center"/>
        <w:rPr>
          <w:rFonts w:ascii="Arial" w:hAnsi="Arial" w:cs="Arial"/>
          <w:b/>
          <w:caps/>
          <w:color w:val="000000" w:themeColor="text1"/>
          <w:sz w:val="22"/>
          <w:szCs w:val="22"/>
        </w:rPr>
      </w:pPr>
    </w:p>
    <w:p w:rsidR="00181BA7" w:rsidRPr="00DA76A7" w:rsidRDefault="00181BA7" w:rsidP="00181BA7">
      <w:pPr>
        <w:pStyle w:val="11"/>
        <w:tabs>
          <w:tab w:val="left" w:pos="0"/>
        </w:tabs>
        <w:spacing w:line="240" w:lineRule="auto"/>
        <w:jc w:val="center"/>
        <w:rPr>
          <w:b/>
          <w:color w:val="000000" w:themeColor="text1"/>
        </w:rPr>
      </w:pPr>
      <w:r w:rsidRPr="00DA76A7">
        <w:rPr>
          <w:b/>
          <w:color w:val="000000" w:themeColor="text1"/>
        </w:rPr>
        <w:t>Побережный Сергей Григорьевич</w:t>
      </w:r>
    </w:p>
    <w:p w:rsidR="00181BA7" w:rsidRPr="00DA76A7" w:rsidRDefault="00181BA7" w:rsidP="00181BA7">
      <w:pPr>
        <w:pStyle w:val="11"/>
        <w:tabs>
          <w:tab w:val="left" w:pos="0"/>
        </w:tabs>
        <w:spacing w:line="240" w:lineRule="auto"/>
        <w:jc w:val="center"/>
        <w:rPr>
          <w:color w:val="000000" w:themeColor="text1"/>
        </w:rPr>
      </w:pPr>
      <w:r w:rsidRPr="00DA76A7">
        <w:rPr>
          <w:rFonts w:eastAsia="Times New Roman"/>
          <w:color w:val="000000" w:themeColor="text1"/>
        </w:rPr>
        <w:t>аспирант кафедры трудово</w:t>
      </w:r>
      <w:r w:rsidRPr="00DA76A7">
        <w:rPr>
          <w:color w:val="000000" w:themeColor="text1"/>
        </w:rPr>
        <w:t>го и предпринимательского права</w:t>
      </w:r>
    </w:p>
    <w:p w:rsidR="00181BA7" w:rsidRPr="00DA76A7" w:rsidRDefault="00181BA7" w:rsidP="00181BA7">
      <w:pPr>
        <w:pStyle w:val="11"/>
        <w:tabs>
          <w:tab w:val="left" w:pos="0"/>
        </w:tabs>
        <w:spacing w:line="240" w:lineRule="auto"/>
        <w:jc w:val="center"/>
        <w:rPr>
          <w:snapToGrid w:val="0"/>
          <w:color w:val="000000" w:themeColor="text1"/>
        </w:rPr>
      </w:pPr>
      <w:r w:rsidRPr="00DA76A7">
        <w:rPr>
          <w:color w:val="000000" w:themeColor="text1"/>
        </w:rPr>
        <w:t>Белгородский университет кооперации, экономики и права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308023, г. Белгород, ул. Садовая, д. 116а</w:t>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8915-575-3823; </w:t>
      </w:r>
      <w:r w:rsidRPr="00DA76A7">
        <w:rPr>
          <w:rFonts w:ascii="Arial" w:hAnsi="Arial" w:cs="Arial"/>
          <w:color w:val="000000" w:themeColor="text1"/>
          <w:sz w:val="22"/>
          <w:szCs w:val="22"/>
        </w:rPr>
        <w:t>е</w:t>
      </w:r>
      <w:r w:rsidRPr="00DA76A7">
        <w:rPr>
          <w:rFonts w:ascii="Arial" w:hAnsi="Arial" w:cs="Arial"/>
          <w:snapToGrid w:val="0"/>
          <w:color w:val="000000" w:themeColor="text1"/>
          <w:sz w:val="22"/>
          <w:szCs w:val="22"/>
          <w:lang w:val="en-US"/>
        </w:rPr>
        <w:t xml:space="preserve">-mail: </w:t>
      </w:r>
      <w:r w:rsidRPr="00DA76A7">
        <w:rPr>
          <w:rFonts w:ascii="Arial" w:hAnsi="Arial" w:cs="Arial"/>
          <w:color w:val="000000" w:themeColor="text1"/>
          <w:sz w:val="22"/>
          <w:szCs w:val="22"/>
          <w:lang w:val="en-US"/>
        </w:rPr>
        <w:t>serge-poberezhny@yandex.ru</w:t>
      </w:r>
    </w:p>
    <w:p w:rsidR="00181BA7" w:rsidRPr="00DA76A7" w:rsidRDefault="00181BA7" w:rsidP="00181BA7">
      <w:pPr>
        <w:shd w:val="clear" w:color="auto" w:fill="FFFFFF"/>
        <w:jc w:val="center"/>
        <w:rPr>
          <w:rFonts w:ascii="Arial" w:hAnsi="Arial" w:cs="Arial"/>
          <w:b/>
          <w:caps/>
          <w:color w:val="000000" w:themeColor="text1"/>
          <w:sz w:val="22"/>
          <w:szCs w:val="22"/>
          <w:lang w:val="en-US"/>
        </w:rPr>
      </w:pPr>
    </w:p>
    <w:p w:rsidR="00181BA7" w:rsidRPr="00DA76A7" w:rsidRDefault="00181BA7" w:rsidP="00181BA7">
      <w:pPr>
        <w:pStyle w:val="11"/>
        <w:tabs>
          <w:tab w:val="left" w:pos="0"/>
        </w:tabs>
        <w:spacing w:line="240" w:lineRule="auto"/>
        <w:jc w:val="center"/>
        <w:rPr>
          <w:rFonts w:eastAsia="Times New Roman"/>
          <w:b/>
          <w:caps/>
          <w:color w:val="000000" w:themeColor="text1"/>
          <w:lang w:val="en-US"/>
        </w:rPr>
      </w:pPr>
      <w:r w:rsidRPr="00DA76A7">
        <w:rPr>
          <w:rFonts w:eastAsia="Times New Roman"/>
          <w:b/>
          <w:caps/>
          <w:color w:val="000000" w:themeColor="text1"/>
          <w:lang w:val="en-US"/>
        </w:rPr>
        <w:t>FEATURES OF THE CONTENT OWNERSHIP RIGHTS OF SPOUSES IN COMMON PROPERTY</w:t>
      </w:r>
    </w:p>
    <w:p w:rsidR="00181BA7" w:rsidRPr="00DA76A7" w:rsidRDefault="00181BA7" w:rsidP="00181BA7">
      <w:pPr>
        <w:pStyle w:val="11"/>
        <w:tabs>
          <w:tab w:val="left" w:pos="0"/>
        </w:tabs>
        <w:spacing w:line="240" w:lineRule="auto"/>
        <w:jc w:val="center"/>
        <w:rPr>
          <w:b/>
          <w:snapToGrid w:val="0"/>
          <w:color w:val="000000" w:themeColor="text1"/>
          <w:lang w:val="en-US"/>
        </w:rPr>
      </w:pPr>
    </w:p>
    <w:p w:rsidR="00181BA7" w:rsidRPr="00DA76A7" w:rsidRDefault="00181BA7" w:rsidP="00181BA7">
      <w:pPr>
        <w:pStyle w:val="11"/>
        <w:tabs>
          <w:tab w:val="left" w:pos="0"/>
        </w:tabs>
        <w:spacing w:line="240" w:lineRule="auto"/>
        <w:jc w:val="center"/>
        <w:rPr>
          <w:b/>
          <w:snapToGrid w:val="0"/>
          <w:color w:val="000000" w:themeColor="text1"/>
          <w:lang w:val="en-US"/>
        </w:rPr>
      </w:pPr>
      <w:r w:rsidRPr="00DA76A7">
        <w:rPr>
          <w:b/>
          <w:snapToGrid w:val="0"/>
          <w:color w:val="000000" w:themeColor="text1"/>
          <w:lang w:val="en-US"/>
        </w:rPr>
        <w:t>Poberezhnyi Sergey Grigorievich</w:t>
      </w:r>
    </w:p>
    <w:p w:rsidR="00181BA7" w:rsidRPr="00DA76A7" w:rsidRDefault="00181BA7" w:rsidP="00181BA7">
      <w:pPr>
        <w:pStyle w:val="11"/>
        <w:tabs>
          <w:tab w:val="left" w:pos="0"/>
        </w:tabs>
        <w:spacing w:line="240" w:lineRule="auto"/>
        <w:jc w:val="center"/>
        <w:rPr>
          <w:snapToGrid w:val="0"/>
          <w:color w:val="000000" w:themeColor="text1"/>
          <w:lang w:val="en-US"/>
        </w:rPr>
      </w:pPr>
      <w:r w:rsidRPr="00DA76A7">
        <w:rPr>
          <w:snapToGrid w:val="0"/>
          <w:color w:val="000000" w:themeColor="text1"/>
          <w:lang w:val="en-US"/>
        </w:rPr>
        <w:t>post-graduate student of the department of labor and business law</w:t>
      </w:r>
    </w:p>
    <w:p w:rsidR="00181BA7" w:rsidRPr="00DA76A7" w:rsidRDefault="00181BA7" w:rsidP="00181BA7">
      <w:pPr>
        <w:pStyle w:val="11"/>
        <w:tabs>
          <w:tab w:val="left" w:pos="0"/>
        </w:tabs>
        <w:spacing w:line="240" w:lineRule="auto"/>
        <w:jc w:val="center"/>
        <w:rPr>
          <w:snapToGrid w:val="0"/>
          <w:color w:val="000000" w:themeColor="text1"/>
          <w:lang w:val="en-US"/>
        </w:rPr>
      </w:pPr>
      <w:r w:rsidRPr="00DA76A7">
        <w:rPr>
          <w:snapToGrid w:val="0"/>
          <w:color w:val="000000" w:themeColor="text1"/>
          <w:lang w:val="en-US"/>
        </w:rPr>
        <w:t>Belgorod university of cooperation, economics and law</w:t>
      </w:r>
    </w:p>
    <w:p w:rsidR="00181BA7" w:rsidRPr="00DA76A7" w:rsidRDefault="00181BA7" w:rsidP="00181BA7">
      <w:pPr>
        <w:shd w:val="clear" w:color="auto" w:fill="FFFFFF"/>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308023, Belgorod, Sadovaya str., 116A</w:t>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 xml:space="preserve">tel.: 8915-575-3823; </w:t>
      </w:r>
      <w:r w:rsidRPr="00DA76A7">
        <w:rPr>
          <w:rFonts w:ascii="Arial" w:hAnsi="Arial" w:cs="Arial"/>
          <w:color w:val="000000" w:themeColor="text1"/>
          <w:sz w:val="22"/>
          <w:szCs w:val="22"/>
        </w:rPr>
        <w:t>е</w:t>
      </w:r>
      <w:r w:rsidRPr="00DA76A7">
        <w:rPr>
          <w:rFonts w:ascii="Arial" w:hAnsi="Arial" w:cs="Arial"/>
          <w:snapToGrid w:val="0"/>
          <w:color w:val="000000" w:themeColor="text1"/>
          <w:sz w:val="22"/>
          <w:szCs w:val="22"/>
          <w:lang w:val="en-US"/>
        </w:rPr>
        <w:t xml:space="preserve">-mail: </w:t>
      </w:r>
      <w:r w:rsidRPr="00DA76A7">
        <w:rPr>
          <w:rFonts w:ascii="Arial" w:hAnsi="Arial" w:cs="Arial"/>
          <w:color w:val="000000" w:themeColor="text1"/>
          <w:sz w:val="22"/>
          <w:szCs w:val="22"/>
          <w:lang w:val="en-US"/>
        </w:rPr>
        <w:t>serge-poberezhny@yandex.ru</w:t>
      </w:r>
    </w:p>
    <w:p w:rsidR="00181BA7" w:rsidRPr="00DA76A7" w:rsidRDefault="00181BA7" w:rsidP="00181BA7">
      <w:pPr>
        <w:shd w:val="clear" w:color="auto" w:fill="FFFFFF"/>
        <w:contextualSpacing/>
        <w:jc w:val="both"/>
        <w:rPr>
          <w:rFonts w:ascii="Arial" w:hAnsi="Arial" w:cs="Arial"/>
          <w:color w:val="000000" w:themeColor="text1"/>
          <w:sz w:val="22"/>
          <w:szCs w:val="22"/>
          <w:lang w:val="en-US"/>
        </w:rPr>
      </w:pPr>
    </w:p>
    <w:p w:rsidR="00181BA7" w:rsidRPr="00DA76A7" w:rsidRDefault="00181BA7" w:rsidP="00181BA7">
      <w:pPr>
        <w:shd w:val="clear" w:color="auto" w:fill="FFFFFF"/>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Вопросы правового регулирования имущественных отношений в семье и, в первую очередь, в браке как основе семейного союза всегда актуальны. Если брак, несомненно, является основой семьи, то собственность, столь же бесспорно, составляет её экономическую основу. Однако имущественные отношения супругов имеют свою специфику. Как правило, в большинстве случаев супруги не заботятся о том, чтобы определить заранее свои имущественные права и обязанности.</w:t>
      </w:r>
    </w:p>
    <w:p w:rsidR="00181BA7" w:rsidRPr="00DA76A7" w:rsidRDefault="00181BA7" w:rsidP="00181BA7">
      <w:pPr>
        <w:shd w:val="clear" w:color="auto" w:fill="FFFFFF"/>
        <w:ind w:firstLine="567"/>
        <w:jc w:val="both"/>
        <w:rPr>
          <w:rFonts w:ascii="Arial" w:hAnsi="Arial" w:cs="Arial"/>
          <w:b/>
          <w:i/>
          <w:color w:val="000000" w:themeColor="text1"/>
          <w:sz w:val="22"/>
          <w:szCs w:val="22"/>
        </w:rPr>
      </w:pPr>
      <w:r w:rsidRPr="00DA76A7">
        <w:rPr>
          <w:rFonts w:ascii="Arial" w:hAnsi="Arial" w:cs="Arial"/>
          <w:i/>
          <w:color w:val="000000" w:themeColor="text1"/>
          <w:sz w:val="22"/>
          <w:szCs w:val="22"/>
        </w:rPr>
        <w:t>В статье проанализировано содержание права собственности супругов на общее имущество, законный режим имущества супругов, определены объекты общей совместной собственности супругов.</w:t>
      </w:r>
      <w:r w:rsidRPr="00DA76A7">
        <w:rPr>
          <w:rFonts w:ascii="Arial" w:hAnsi="Arial" w:cs="Arial"/>
          <w:b/>
          <w:i/>
          <w:color w:val="000000" w:themeColor="text1"/>
          <w:sz w:val="22"/>
          <w:szCs w:val="22"/>
        </w:rPr>
        <w:t xml:space="preserve"> </w:t>
      </w:r>
    </w:p>
    <w:p w:rsidR="00181BA7" w:rsidRPr="00DA76A7" w:rsidRDefault="00181BA7" w:rsidP="00181BA7">
      <w:pPr>
        <w:shd w:val="clear" w:color="auto" w:fill="FFFFFF"/>
        <w:ind w:firstLine="567"/>
        <w:contextualSpacing/>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The issues of legal regulation of property relations in the family and, primarily, in marriage as a family Union always up to date. If the marriage is undoubtedly the basis of the family, property, equally undoubtedly, is its economic basis. However, the property relations of the spouses have their own specifics. As a rule, in most cases, spouses do not care to determine in advance their rights and duties.</w:t>
      </w:r>
    </w:p>
    <w:p w:rsidR="00181BA7" w:rsidRPr="00DA76A7" w:rsidRDefault="00181BA7" w:rsidP="00181BA7">
      <w:pPr>
        <w:shd w:val="clear" w:color="auto" w:fill="FFFFFF"/>
        <w:ind w:firstLine="567"/>
        <w:contextualSpacing/>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The article analyzes the content of the ownership rights of spouses in common property, the legal regime of property of spouses is determined by the objects of joint ownership of spouses.</w:t>
      </w:r>
    </w:p>
    <w:p w:rsidR="00181BA7" w:rsidRPr="00DA76A7" w:rsidRDefault="00181BA7" w:rsidP="00181BA7">
      <w:pPr>
        <w:shd w:val="clear" w:color="auto" w:fill="FFFFFF"/>
        <w:ind w:firstLine="567"/>
        <w:contextualSpacing/>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Имущественные отношения, законный режим имущества</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супругов, общая собственность, объекты совместной собственности супругов, личное имущество.</w:t>
      </w:r>
    </w:p>
    <w:p w:rsidR="00181BA7" w:rsidRPr="00DA76A7" w:rsidRDefault="00181BA7" w:rsidP="00181BA7">
      <w:pPr>
        <w:shd w:val="clear" w:color="auto" w:fill="FFFFFF"/>
        <w:ind w:firstLine="567"/>
        <w:contextualSpacing/>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Property relations, legal regime of matrimonial property, common property, objects of joint property of spouses, personal property.</w:t>
      </w:r>
    </w:p>
    <w:p w:rsidR="00181BA7" w:rsidRPr="00DA76A7" w:rsidRDefault="00181BA7" w:rsidP="00181BA7">
      <w:pPr>
        <w:shd w:val="clear" w:color="auto" w:fill="FFFFFF"/>
        <w:ind w:firstLine="567"/>
        <w:jc w:val="both"/>
        <w:rPr>
          <w:rFonts w:ascii="Arial" w:hAnsi="Arial" w:cs="Arial"/>
          <w:color w:val="000000" w:themeColor="text1"/>
          <w:sz w:val="22"/>
          <w:szCs w:val="22"/>
          <w:lang w:val="en-US"/>
        </w:rPr>
      </w:pPr>
    </w:p>
    <w:p w:rsidR="00181BA7" w:rsidRPr="00DA76A7" w:rsidRDefault="00181BA7" w:rsidP="00181BA7">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Полагаем, что в настоящее время отдельным институтам семейного права, в том числе институту правового регулирования совместно нажитого имущества супругов, уделяется максимум внимания в научной литературе, поскольку они подвергнуты серьезной модернизации.</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 xml:space="preserve">Общая собственность супругов является разновидностью совместной собственности. </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 xml:space="preserve">Отношения собственности супругов регулирует Семейный кодекс Российской Федерации (далее - </w:t>
      </w:r>
      <w:hyperlink r:id="rId221" w:history="1">
        <w:r w:rsidRPr="00DA76A7">
          <w:rPr>
            <w:rFonts w:ascii="Arial" w:hAnsi="Arial" w:cs="Arial"/>
            <w:color w:val="000000" w:themeColor="text1"/>
            <w:sz w:val="22"/>
            <w:szCs w:val="22"/>
          </w:rPr>
          <w:t>СК</w:t>
        </w:r>
      </w:hyperlink>
      <w:r w:rsidRPr="00DA76A7">
        <w:rPr>
          <w:rFonts w:ascii="Arial" w:hAnsi="Arial" w:cs="Arial"/>
          <w:color w:val="000000" w:themeColor="text1"/>
          <w:sz w:val="22"/>
          <w:szCs w:val="22"/>
        </w:rPr>
        <w:t xml:space="preserve"> РФ) [2], а также ряд норм Гражданского кодекса Российской Федерации (далее - ГК РФ) [1] (например, </w:t>
      </w:r>
      <w:hyperlink r:id="rId222" w:history="1">
        <w:r w:rsidRPr="00DA76A7">
          <w:rPr>
            <w:rFonts w:ascii="Arial" w:hAnsi="Arial" w:cs="Arial"/>
            <w:color w:val="000000" w:themeColor="text1"/>
            <w:sz w:val="22"/>
            <w:szCs w:val="22"/>
          </w:rPr>
          <w:t>ст. ст. 244</w:t>
        </w:r>
      </w:hyperlink>
      <w:r w:rsidRPr="00DA76A7">
        <w:rPr>
          <w:rFonts w:ascii="Arial" w:hAnsi="Arial" w:cs="Arial"/>
          <w:color w:val="000000" w:themeColor="text1"/>
          <w:sz w:val="22"/>
          <w:szCs w:val="22"/>
        </w:rPr>
        <w:t xml:space="preserve">, </w:t>
      </w:r>
      <w:hyperlink r:id="rId223" w:history="1">
        <w:r w:rsidRPr="00DA76A7">
          <w:rPr>
            <w:rFonts w:ascii="Arial" w:hAnsi="Arial" w:cs="Arial"/>
            <w:color w:val="000000" w:themeColor="text1"/>
            <w:sz w:val="22"/>
            <w:szCs w:val="22"/>
          </w:rPr>
          <w:t>253</w:t>
        </w:r>
      </w:hyperlink>
      <w:r w:rsidRPr="00DA76A7">
        <w:rPr>
          <w:rFonts w:ascii="Arial" w:hAnsi="Arial" w:cs="Arial"/>
          <w:color w:val="000000" w:themeColor="text1"/>
          <w:sz w:val="22"/>
          <w:szCs w:val="22"/>
        </w:rPr>
        <w:t xml:space="preserve"> - </w:t>
      </w:r>
      <w:hyperlink r:id="rId224" w:history="1">
        <w:r w:rsidRPr="00DA76A7">
          <w:rPr>
            <w:rFonts w:ascii="Arial" w:hAnsi="Arial" w:cs="Arial"/>
            <w:color w:val="000000" w:themeColor="text1"/>
            <w:sz w:val="22"/>
            <w:szCs w:val="22"/>
          </w:rPr>
          <w:t>256</w:t>
        </w:r>
      </w:hyperlink>
      <w:r w:rsidRPr="00DA76A7">
        <w:rPr>
          <w:rFonts w:ascii="Arial" w:hAnsi="Arial" w:cs="Arial"/>
          <w:color w:val="000000" w:themeColor="text1"/>
          <w:sz w:val="22"/>
          <w:szCs w:val="22"/>
        </w:rPr>
        <w:t xml:space="preserve">). </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Это означает, что к общей совместной собственности супругов возможно отнести доходы каждого из супругов, полученные им в результате предпринимательской деятельности, трудовой, интеллектуальной, а так же к общей собственности относятся пенсии, пособия, которые не имеют специального назначения.</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Супруги имеют равные права на общее имущество независимо от способа участия в формировании совместной собственности.</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При совершении гражданско-правовых сделок (таких как купля-продажа, мена, дарение, наследование и др.) возникает право общей совместной собственности супругов. Из этого следует, что общим имуществом супругов будут являться, приобретенные за счет любого из них ценные бумаги, движимое и недвижимое имущество, доли в капитале, внесенные в кредитные учреждения или иные коммерческие организации.</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К объектам совместной собственности супругов, по мнению А.М. Нечаевой [7, 5], следует относить «имущество (а также имущественные права), приобретенное супругами при соблюдении двух условий:</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 xml:space="preserve">- имущество должно быть нажито во время брака. Как следует из </w:t>
      </w:r>
      <w:hyperlink r:id="rId225" w:history="1">
        <w:r w:rsidRPr="00DA76A7">
          <w:rPr>
            <w:rFonts w:ascii="Arial" w:hAnsi="Arial" w:cs="Arial"/>
            <w:color w:val="000000" w:themeColor="text1"/>
            <w:sz w:val="22"/>
            <w:szCs w:val="22"/>
          </w:rPr>
          <w:t>п. 2 ст. 256</w:t>
        </w:r>
      </w:hyperlink>
      <w:r w:rsidRPr="00DA76A7">
        <w:rPr>
          <w:rFonts w:ascii="Arial" w:hAnsi="Arial" w:cs="Arial"/>
          <w:color w:val="000000" w:themeColor="text1"/>
          <w:sz w:val="22"/>
          <w:szCs w:val="22"/>
        </w:rPr>
        <w:t xml:space="preserve"> ГК РФ, вещи, принадлежавшие каждому из супругов до вступления в брак, не входят в состав совместного имущества;</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 xml:space="preserve">- имущество должно быть приобретено на общие средства. Согласно </w:t>
      </w:r>
      <w:hyperlink r:id="rId226" w:history="1">
        <w:r w:rsidRPr="00DA76A7">
          <w:rPr>
            <w:rFonts w:ascii="Arial" w:hAnsi="Arial" w:cs="Arial"/>
            <w:color w:val="000000" w:themeColor="text1"/>
            <w:sz w:val="22"/>
            <w:szCs w:val="22"/>
          </w:rPr>
          <w:t>п. 2 ст. 256</w:t>
        </w:r>
      </w:hyperlink>
      <w:r w:rsidRPr="00DA76A7">
        <w:rPr>
          <w:rFonts w:ascii="Arial" w:hAnsi="Arial" w:cs="Arial"/>
          <w:color w:val="000000" w:themeColor="text1"/>
          <w:sz w:val="22"/>
          <w:szCs w:val="22"/>
        </w:rPr>
        <w:t xml:space="preserve"> ГК РФ и </w:t>
      </w:r>
      <w:hyperlink r:id="rId227" w:history="1">
        <w:r w:rsidRPr="00DA76A7">
          <w:rPr>
            <w:rFonts w:ascii="Arial" w:hAnsi="Arial" w:cs="Arial"/>
            <w:color w:val="000000" w:themeColor="text1"/>
            <w:sz w:val="22"/>
            <w:szCs w:val="22"/>
          </w:rPr>
          <w:t>ст. 36</w:t>
        </w:r>
      </w:hyperlink>
      <w:r w:rsidRPr="00DA76A7">
        <w:rPr>
          <w:rFonts w:ascii="Arial" w:hAnsi="Arial" w:cs="Arial"/>
          <w:color w:val="000000" w:themeColor="text1"/>
          <w:sz w:val="22"/>
          <w:szCs w:val="22"/>
        </w:rPr>
        <w:t xml:space="preserve"> СК РФ вещи, полученные одним из супругов во время брака в дар, в порядке наследования или по иным безвозмездным сделкам, являются его собственностью».</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В любом случае общим имуществом супругов является приобретенное за счет их общих доходов движимое и недвижимое имущество независимо от того, на имя кого из супругов оно приобретено.</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В правиле о совместной собственности супругов законодателем сделано исключение. Вещи индивидуального пользования, кроме драгоценностей и других предметов роскоши, признаются единоличной собственностью того супруга, который ими пользовался.</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 совместному имуществу в соответствии с гражданским законодательством относится любое движимое и недвижимое имущество, не изъятое из гражданского оборота: деньги, мебель, ценные бумаги, животные, жилые помещения, предприятия, земельные участки и т.п.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Общая совместная собственность двух или больше лиц без определения долей каждого из них в праве собственности является общей совместной собственностью.</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Имущество, приобретенное супругами во время брака, является их совместной собственностью, если иное не установлено законом (ч.1.ст.256 ГК РФ).</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Объектом общей совместной собственности супругов могут быть:</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квартиры, усадьбы, жилые и садовые дома;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промышленные сооружения;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земельные участки и насаждения на них, продуктивный и рабочий скот, средства производства;</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различные транспортные средства как для личного пользования, так и для обработки земли, перевозки грузов;</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денежные средства;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акции и другие ценные бумаги, вклады кредитных учреждений;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денежные суммы и имущество, принадлежащие супругам по другим обязательственным правоотношением [4, 17].</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Некоторые объекты могут стать общей совместной собственностью супругов при определённых условиях.</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Так, заработная плата, пенсия, стипендия, премии, награды, иное имущество, полученные одним из супругов только после внесения их в семейный бюджет или внесённые на его личный счёт в банковское (кредитное) учреждение, станут объектом общей совместной собственности супругов.</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Личной собственностью жены и мужа являются вещи, приобретённые ими раздельно до брака.</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Следует здесь отметить, что вещи, приобретённые до брака, которые были увеличены в ценности в период брака являются уже общей собственностью супругов.  К примеру, дом принадлежал жене до брака, а в период брака к нему пристроили ещё какую-то часть, так в случае спора дом признается личной собственностью жены, а пристройка - общая совместная собственность супругов [5, 35].</w:t>
      </w:r>
      <w:r w:rsidRPr="00DA76A7">
        <w:rPr>
          <w:rFonts w:ascii="Arial" w:hAnsi="Arial" w:cs="Arial"/>
          <w:noProof/>
          <w:color w:val="000000" w:themeColor="text1"/>
          <w:sz w:val="22"/>
          <w:szCs w:val="22"/>
        </w:rPr>
        <w:t xml:space="preserve"> </w:t>
      </w:r>
    </w:p>
    <w:p w:rsidR="00181BA7" w:rsidRPr="00DA76A7" w:rsidRDefault="00666D87" w:rsidP="00181BA7">
      <w:pPr>
        <w:ind w:firstLine="567"/>
        <w:contextualSpacing/>
        <w:jc w:val="both"/>
        <w:rPr>
          <w:rFonts w:ascii="Arial" w:hAnsi="Arial" w:cs="Arial"/>
          <w:color w:val="000000" w:themeColor="text1"/>
          <w:sz w:val="22"/>
          <w:szCs w:val="22"/>
        </w:rPr>
      </w:pPr>
      <w:r>
        <w:rPr>
          <w:rFonts w:ascii="Arial" w:hAnsi="Arial" w:cs="Arial"/>
          <w:noProof/>
          <w:color w:val="000000" w:themeColor="text1"/>
          <w:sz w:val="22"/>
          <w:szCs w:val="22"/>
        </w:rPr>
        <w:pict>
          <v:shapetype id="_x0000_t202" coordsize="21600,21600" o:spt="202" path="m,l,21600r21600,l21600,xe">
            <v:stroke joinstyle="miter"/>
            <v:path gradientshapeok="t" o:connecttype="rect"/>
          </v:shapetype>
          <v:shape id="Надпись 1" o:spid="_x0000_s1026" type="#_x0000_t202" style="position:absolute;left:0;text-align:left;margin-left:13.5pt;margin-top:221.15pt;width:5.25pt;height:3.6pt;z-index:-2516541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" fillcolor="white [3201]" strokecolor="white [3212]" strokeweight=".5pt">
            <v:textbox style="mso-next-textbox:#Надпись 1">
              <w:txbxContent>
                <w:p w:rsidR="00542B0A" w:rsidRPr="002602CA" w:rsidRDefault="00542B0A" w:rsidP="00181BA7">
                  <w:pPr>
                    <w:shd w:val="clear" w:color="auto" w:fill="FFFFFF"/>
                    <w:ind w:left="225"/>
                    <w:rPr>
                      <w:rFonts w:ascii="Verdana" w:hAnsi="Verdana" w:cs="Times New Roman"/>
                      <w:color w:val="FFFFFF" w:themeColor="background1"/>
                      <w:sz w:val="2"/>
                      <w:szCs w:val="2"/>
                    </w:rPr>
                  </w:pPr>
                  <w:r w:rsidRPr="002602CA">
                    <w:rPr>
                      <w:rFonts w:ascii="Verdana" w:hAnsi="Verdana" w:cs="Times New Roman"/>
                      <w:color w:val="FFFFFF" w:themeColor="background1"/>
                      <w:sz w:val="2"/>
                      <w:szCs w:val="2"/>
                    </w:rPr>
                    <w:t>На сегодняшний день суд – это важная часть государственной системы власти в каждой стране. Существование подобного органа само собой разумеется. При этом зарождение судов произошло еще в древние времена. К примеру, в Риме подобной инстанцией были магистраты, которые решали определённые споры между гражданами. В Древней Греции определенные полномочия судебной власти были у такого органа, как дикастерий. Что касается современности, то орган, который рассматривает различного рода споры, является важной частью государственной деятельности. Подобная тенденция возникла в период Нового времени, когда Шарль Луи де Монтескье разработал принцип разделения власти. Согласно положениям этой теории, государственное управление разделилось на исполнительную, законодательную и, как мы понимаем, судебную ветви власти. Если брать во внимание конкретно Российскую Федерацию, то в нашей стране существует множество судебных органов разной целевой направленности. То есть мы говорим о ведомствах, каждое из которых наделено собственной компетенцией. Но, невзирая на существенное различие всех судов России, в их деятельности можно выделить некоторые общие моменты, одним из которых является институт подсудности. Правосудие в России Понятие подсудности, виды подсудности – это аспекты, которые непосредственно относятся к деятельности специальных органов. Таковыми в РФ являются суды. Следует отметить, что эти органы входят в единую систему ведомств, которая основана по принципу разделения компетенции. Другими словами, суды рассматривают разные по своему типу и юридической направленности дела. При этом в Российской Федерации рассмотрение тех или иных споров осуществляется исключительно представленными органами. Для этого суды и непосредственно судьи наделяются исключительными полномочиями и юридической свободой. Большое влияние на деятельность подобных органов оказывают положения существующей Конституции. Согласно статье 118, правосудие осуществляется в рамках административного, уголовного и конституционного процесса. В деятельности уполномоченных на рассмотрение споров органов можно встретить множество интересных институтов. Все они характеризуются собственными особенностями и правовым закреплением. Одним из подобных является подсудность. Стоит отметить, что понятие подсудности, виды подсудности и другие аспекты института, как правило, закрепляются в нормативных актах, непосредственно регулирующих деятельность органов определенного типа. Но в данном случае возникает вопрос о том, что собой вообще представляет упомянутый институт. Согласно классической юридической теории, подсудность – это фактическое распределение дел определенного типа между судами первой инстанции. Другими словами, при помощи указанного института решается вопрос о том, какой конкретно орган будет рассматривать спор в пределах ведомств административной, конституционной, уголовной или гражданской направленности. В целом для всех без исключения судов подсудность, а точнее её понятие, является одинаковым. Различие существует лишь в видах института, что обуславливается спецификой всех видов судопроизводства в РФ. Многие юридические институты довольно часто отождествляются, что приводит к серьезным заблуждениям в процессе их изучения. В данном случае понятие и виды подведомственности и подсудности являются абсолютно разными правовыми категориями. Суть в том, что они характеризуют различные процедурные моменты. Ведь подведомственность – это фактическое определение типа судопроизводства, в рамках которого будет рассматриваться дело. Например, гражданские споры должны быть рассмотрены в суде общей юрисдикции, а предпринимательские – в арбитражном органе. То есть определяется не первая инстанция в рамках определенного процесса, а принадлежность дела к этой ветви процесса вообще. Таким образом, понятие подсудности, виды подсудности - это совершенно не смежные с подведомственностью категории. Данный факт необходимо учитывать при изучении всего института. Подсудность гражданских дел Цивилистика в Российской Федерации сегодня переживает этап мощного развития. Это связанно с обретением нашим государством независимости и открытием рынков. Понятие и виды подсудности гражданских дел во многом обуславливаются особенностями данной сферы юридического регулирования. Факт в том, что решение споров в гражданском процессе происходит в рамках искового производства. То есть гражданин, который считает свои права нарушенными, подает заявление в суд. В процессе рассмотрения иска уполномоченное лицо должно определить, является ли затронутый в иске вопрос подсудным по первой инстанции тому или иному органу. При этом в гражданском процессе выделяют несколько видов данного института. Цивилистика славится тем, что многие юридические нормы имеют большое количество альтернатив. Однако институт подсудности в гражданском процессе строго определен законодательством. Такой подход является правильным, ведь он позволяет рассматривать все без исключения дела оперативно и объективно. Выделяют несколько видов подсудности. Территориальный тип института показывает, какой территориальный орган должен рассматривать конкретное дело. По общему правилу, исковые заявления в суд нужно подавать по месту жительства или же фактической регистрации ответчика, если мы говорим о юридическом лице. Существует альтернативный вид института. Его применяют в тех случаях, когда место жительства ответчика неизвестно. При этом иск будет подаваться в пределах территории, где находится его имущество. По месту расположения истца также могут подаваться заявления о взыскании денег за причинённый вред, расторжении брака, взыскании алиментов и т.п. Исключительная подсудность – это вид института, который предопределен императивными нормами. К примеру, согласно статье 119 ГК РФ, любые споры, связанные с недвижимостью, рассматриваются по месту расположения подобного имущества в обязательном порядке. Можно также выделить такой незначительный вид, как договорная подсудность. Однако с точной уверенностью его нельзя причислить непосредственно к этому институту, так как его суть заключается в предварительном соглашении сторон о месте рассмотрения спора, если таковой возникнет. Следует отметить, что понятие подсудности, виды подсудности в гражданском процессе будут существенно отличаться от похожих категорий в иных правовых отраслях РФ. Сама суть института, возможно, похожа, однако внутренняя структура будет иметь свою специфику. Понятие и виды подсудности в уголовном процессе Практической в любой юридической отрасли есть категории, также присущие иным сферам регулирования. Подсудность дел гражданским судам, понятие, виды которой представлены ранее, существует в процессе уголовной направленности. Конечно, в рамках последней сферы она имеет свои особенности. В уголовном процессе выделяют четыре основных вида подсудности. Предметный институт, а точнее его положения, определяет конкретный суд при рассмотрении того или иного дела. Согласно положениям действующего законодательства, компетенция судов первой инстанции зависит от совершенного преступления. Территориальная подсудность говорит о необходимости рассмотрения дела в месте непосредственного совершения преступления. Что касается персонального вида института, то он зависит от личности субъекта преступления. Например, уголовные дела, открытые в отношении депутатов Государственной думы или же Совета Федерации, в обязательном порядке рассматриваются Верховным судом Российской Федерации. Подсудность нескольких дел Существует множество теоретических споров по поводу последнего вида института, связанного с объединением нескольких дел. Далеко не все ученые причисляют его к подсудности. Однако бывают случаи, когда объединяются в одно несколько уголовных дел разного уровня. В данном случае возникает проблема определения компетентного органа, который будет их рассматривать. Тем не менее существует общее правило, согласно которому подобные ситуации подлежат решению в судах вышестоящих по своей инстанционной принадлежности. Понятие, виды подсудности арбитражных дел Как уже указывалось ранее, охарактеризованный в статье институт присутствует во всех без исключения процессах. Примером этого факта является подсудность дел арбитражным судам. Понятие и виды данного института имеют много общего с аналогичным явлением в гражданском процессе. Другими словами, по общему правилу все иски подаются по месту расположения ответчика. Но существуют также определенные виды подсудности, а именно: территориальная и родовая. Они наделены собственными особенностями, что обусловлено спецификой законодательства арбитражного процесса. Заключение Итак, мы рассмотрели понятие и виды подсудности в гражданском процессе, а также уголовном и арбитражном. В целом представленный институт во всех случаях является одинаковым. При этом нельзя отрицать некоторые особенности, связанные со спецификой отраслевого законодательства.</w:t>
                  </w:r>
                </w:p>
                <w:p w:rsidR="00542B0A" w:rsidRPr="002602CA" w:rsidRDefault="00542B0A" w:rsidP="00181BA7">
                  <w:pPr>
                    <w:rPr>
                      <w:rFonts w:ascii="Verdana" w:hAnsi="Verdana" w:cs="Times New Roman"/>
                      <w:color w:val="FFFFFF" w:themeColor="background1"/>
                      <w:sz w:val="21"/>
                      <w:szCs w:val="21"/>
                    </w:rPr>
                  </w:pPr>
                  <w:r w:rsidRPr="002602CA">
                    <w:rPr>
                      <w:rFonts w:ascii="Verdana" w:hAnsi="Verdana" w:cs="Times New Roman"/>
                      <w:color w:val="FFFFFF" w:themeColor="background1"/>
                      <w:sz w:val="21"/>
                      <w:szCs w:val="21"/>
                    </w:rPr>
                    <w:t> </w:t>
                  </w:r>
                </w:p>
                <w:p w:rsidR="00542B0A" w:rsidRDefault="00542B0A" w:rsidP="00181BA7"/>
              </w:txbxContent>
            </v:textbox>
          </v:shape>
        </w:pict>
      </w:r>
      <w:r w:rsidR="00181BA7" w:rsidRPr="00DA76A7">
        <w:rPr>
          <w:rFonts w:ascii="Arial" w:hAnsi="Arial" w:cs="Arial"/>
          <w:color w:val="000000" w:themeColor="text1"/>
          <w:sz w:val="22"/>
          <w:szCs w:val="22"/>
        </w:rPr>
        <w:t>Очень часто бывает, что молодые супруги получает ценные подарки на свадьбе, на дни рождения или на любой семейный юбилей. Однако, если вещь подарена не одному из супругов, а обоим, то такое имущество уже не будет считаться раздельным, а будет принадлежать им на праве общей совместной собственности. И довольно сложно доказать, кому адресовался подарок (имущество, денежные средства). Например, родители на свадьбе дарят молодым телевизор, автомобиль (без письменного договора дарения) и говорят, что эти предметы они дарят молодым в семью. Такое имущество будет принадлежать семье и доказать это возможно с помощью свидетелей.</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Бывает, что на свадьбе родители невесты дарят ей мебельный гарнитур вместе с чеком и говорят, что это дочери приданое. Очевидно, такое имущество считается раздельным.</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Или, к примеру, родители жениха на свадьбе передают сыну свидетельство о праве собственности на дом, оформленное на основании договора дарения, удостоверенного в нотариальной конторе. Этот дом всегда будет принадлежать ему как личное имущество, поскольку данный договор оформлен в письменной форме на имя владельца.</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При решении вопросов о том, совместной собственностью супругов или раздельной собственностью каждого из них есть имущество, подаренное на свадьбе, следует исходить не из того, кому из супругов или им обоим это имущество дарилось.</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Не всегда также возможно доказать принадлежность одному из супругов имущества, которое подарено на день рождения, на юбилеи, и т.д. Если такой подарок имеет дарственную надпись, то вопросов, кому принадлежит спорное имущество, не возникает. В других случаях судьба такого имущества зависит от доказанности, кому оно было конкретно подарено.</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 имуществу, которое принадлежит на праве личной собственности супругов, следует также отнести вещи (подарки), которые получает лицо от предприятия, учреждения, организации спортивных обществ в порядке поощрения в ознаменование заслуг за производственную, научную, спортивную, общественную деятельность.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Также, к раздельному имуществу, которое приобретено в период брака, относятся вещи (имущество), полученные в порядке наследования по закону и завещанию.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Как жена, так и муж имеют родителей, родственников, после смерти которых они оформляют на себя наследственное имущество в нотариальной конторе и получают, как доказательство, свидетельство в порядке наследования на свое имя [9, 270].</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К наследственному имуществу относятся вещи обычной домашней обстановки и обихода, на которые не всегда нотариус выдает свидетельство, хотя оно переходит наследнику.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Получения таких вещей в порядке наследования как личного имущества одного из супругов при возникновении спора доказать очень сложно.</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Также личной собственностью жены, мужа являются вещи (имущество), приобретённые ею (им) за средства, которые принадлежали ей (ему) лично [10, 280].</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При разделе имущества, которое принадлежало супругам на праве частной личной собственности до брака или приобретено лично каждым из них во время брака по договору дарения, купли-продажи, в порядке наследования, или за средства, которые принадлежали до брака или получены в порядке наследования, по договору дарения, больших трудностей не возникает, хотя иногда по некоторым эпизодам и приходится собирать необходимые доказательства.</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Средства, полученные от реализации наследственного имущества, дома, квартиры, которые принадлежали одному из супругов до брака, является личной частной собственностью этого супруга, даже если бы они были внесены в финансовое учреждение во время брака.</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 личному имуществу каждого из супругов относятся и вещи индивидуального пользования (одежда, обувь), за исключением драгоценностей и других предметов роскоши, хотя и приобретённые во время брака за счёт общих средств, признаются личным частным имуществом того из супругов, который им пользуется.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Такое имущество становится объектом права частной личной собственности каждого из супругов после согласования этого вопроса между ними или, если супруги не придёт к согласию, — по решению суда [11, 25].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 законе для определения правовой судьбы такого имущества указан только один критерий — принадлежность его к имуществу индивидуального пользования. Однако этот признак не должна трактоваться широко, например, как обслуживание интересов супругов таким имуществом, его потребностей.</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Если же драгоценности (драгоценные камни и изделия из них, драгоценные металлы и изделия из них, посуда, картины, антиквариат) были приобретены не для индивидуального пользования жены или мужа, а для накопления капитала, они должны считаться общей совместной собственностью супругов.</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Если между супругами возникает спор по поводу принадлежности этого имущества одному из них, а не семьи, то очень трудно будет доказать это, например, истице.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Десять колец разного размера, конечно, не могут быть предметом индивидуального пользования, золотой слиток также не может быть индивидуальным имуществом.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каждом конкретном случае с учётом всех обстоятельств и предоставленных доказательств суд должен установить истину.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Под имуществом следует понимать не только имущество (вещи) в собственном смысле этого слова, но и заработную плату, другие денежные выплаты (пенсии, пособия, премии, авторские гонорар за творческую деятельность и другие), которые могут поступать в распоряжение одного или обоих супругов [8, 145].</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Например, муж приобрёл на своё имя автомобиль, но им пользовалась вся семья, в том числе и супруга, которая управляла им по доверенности, т. е. автомобиль передан в общее пользование семьи, то эта вещь будет общим совместным имуществом супругов.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Этот же мужчина на сэкономленные деньги приобрёл для своего пользования станок и им сам пользуется — эта вещь принадлежит ему на праве личной частной собственности.</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Денежная или вещевая премия, которой награждён один из супругов за личные заслуги, является его собственностью. Если премии, награды, призы, присуждённые одному из супругов за личные заслуги и непосредственно не обусловленные трудовым договором, не является его заработной платой, то в таком случае эти материальные блага возможно признать раздельной собственностью этого супруга, хотя они и были получены им во время брака.</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бывают исключения, к примеру, супруга, взяв на себя все заботы по дому и содержанию несовершеннолетних детей, создала все условия для творческого труда мужа, тренировок, занятий научными трудами,  и дала ему возможность создать, например, литературное произведение, за что он получил государственную премию имени или занял в спортивных соревнованиях призовое место и получить ценный приз и т. др., то в этом случае, было бы несправедливо лишать её денежной компенсации, так как она активно способствовала и помогала мужу достичь определённых высот в карьере.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Что же касается страховых сумм, полученных в результате наступления страхового случая, то их правовой режим зависит от того, кто и что было застраховано [6, 91]. Само собой разумеется, что возмещение морального вреда конкретному лицу путём передачи денег или другого имущества, деньги и другое имущество принадлежит ему, поскольку моральное возмещение носит личный характер.</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Денежные суммы, полученные одним из супругов в качестве компенсации в связи с причинением вреда его здоровью на производстве, в результате преступных действий, как и заработная плата, могут принадлежать одному из супругов, если эти деньги не были внесены в бюджет семьи; двум из супругов, если они переданы в бюджет семьи.</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Брак, как правило, предполагает совместное проживание в одном помещении, ведение единого хозяйства, наличие единого бюджета и приобретения имущества для нужд семьи. Однако это не свидетельствует, что указанное правило не распространяется на те случаи, когда супруги в следствии определённых причины проживают отдельно.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Например, муж заключил договор о работе за границей, уехал в долгосрочную командировку и там проживал длительное время, а жена с детьми проживала в России.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 данном случае, даже если супруги вместе и не проживают, брак у них не прекращается, поэтому это не сказывается на их имущественных правах.</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Все имущество, что приобретено при раздельном проживании с мужем или женой, является также их общей совместной собственностью [3, 68].</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имущество, приобретённое супругами во время брака, является их совместной собственностью, если иное не установлено законом.</w:t>
      </w:r>
    </w:p>
    <w:p w:rsidR="00181BA7" w:rsidRPr="00DA76A7" w:rsidRDefault="00181BA7" w:rsidP="00181BA7">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 xml:space="preserve">Таким образом, законный режим имущества супругов - это режим их общей совместной собственности, установленный нормами Гражданского и Семейного кодексов.  Отношения собственности супругов регулирует СК РФ, а также ряд норм ГК РФ (например, ст. ст. 244, 253 - 256)».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к общей совместной собственности супругов относят доходы каждого из супругов, полученные им в результате предпринимательской деятельности, трудовой, интеллектуальной, а так же к общей собственности относятся пенсии, пособия, которые не имеют специального назначения.</w:t>
      </w:r>
    </w:p>
    <w:p w:rsidR="00181BA7" w:rsidRPr="00DA76A7" w:rsidRDefault="00181BA7" w:rsidP="00181BA7">
      <w:pPr>
        <w:ind w:firstLine="567"/>
        <w:contextualSpacing/>
        <w:jc w:val="center"/>
        <w:rPr>
          <w:rFonts w:ascii="Arial" w:hAnsi="Arial" w:cs="Arial"/>
          <w:color w:val="000000" w:themeColor="text1"/>
          <w:sz w:val="22"/>
          <w:szCs w:val="22"/>
        </w:rPr>
      </w:pPr>
    </w:p>
    <w:p w:rsidR="00181BA7" w:rsidRPr="00DA76A7" w:rsidRDefault="00181BA7" w:rsidP="00181BA7">
      <w:pPr>
        <w:ind w:firstLine="567"/>
        <w:jc w:val="center"/>
        <w:rPr>
          <w:rFonts w:ascii="Arial" w:hAnsi="Arial" w:cs="Arial"/>
          <w:bCs/>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83"/>
        </w:numPr>
        <w:tabs>
          <w:tab w:val="left" w:pos="567"/>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Гражданский кодекс Российской Федерации (часть первая) от 30.11.1994 № 51-ФЗ (ред. от 29.12.2017 </w:t>
      </w:r>
      <w:hyperlink r:id="rId228" w:history="1">
        <w:r w:rsidRPr="00DA76A7">
          <w:rPr>
            <w:rFonts w:ascii="Arial" w:hAnsi="Arial" w:cs="Arial"/>
            <w:color w:val="000000" w:themeColor="text1"/>
          </w:rPr>
          <w:t>N 459-ФЗ</w:t>
        </w:r>
      </w:hyperlink>
      <w:r w:rsidRPr="00DA76A7">
        <w:rPr>
          <w:rFonts w:ascii="Arial" w:hAnsi="Arial" w:cs="Arial"/>
          <w:color w:val="000000" w:themeColor="text1"/>
        </w:rPr>
        <w:t xml:space="preserve">) // Российская газета. 1994. № 238-239. Ст. 3301. </w:t>
      </w:r>
    </w:p>
    <w:p w:rsidR="00181BA7" w:rsidRPr="00DA76A7" w:rsidRDefault="00181BA7" w:rsidP="00D45D6B">
      <w:pPr>
        <w:pStyle w:val="a6"/>
        <w:numPr>
          <w:ilvl w:val="0"/>
          <w:numId w:val="83"/>
        </w:numPr>
        <w:tabs>
          <w:tab w:val="left" w:pos="567"/>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Семейный кодекс Российской Федерации от 29.12.1995 № 223-ФЗ (ред. от 29.12.2017 </w:t>
      </w:r>
      <w:hyperlink r:id="rId229" w:history="1">
        <w:r w:rsidRPr="00DA76A7">
          <w:rPr>
            <w:rStyle w:val="af0"/>
            <w:rFonts w:ascii="Arial" w:hAnsi="Arial" w:cs="Arial"/>
            <w:color w:val="000000" w:themeColor="text1"/>
            <w:u w:val="none"/>
          </w:rPr>
          <w:t>№ 94-ФЗ</w:t>
        </w:r>
      </w:hyperlink>
      <w:r w:rsidRPr="00DA76A7">
        <w:rPr>
          <w:rFonts w:ascii="Arial" w:hAnsi="Arial" w:cs="Arial"/>
          <w:color w:val="000000" w:themeColor="text1"/>
        </w:rPr>
        <w:t>) // Собрание законодательства РФ. 1996. № 1. Ст. 16.</w:t>
      </w:r>
    </w:p>
    <w:p w:rsidR="00181BA7" w:rsidRPr="00DA76A7" w:rsidRDefault="00181BA7" w:rsidP="00D45D6B">
      <w:pPr>
        <w:pStyle w:val="af2"/>
        <w:numPr>
          <w:ilvl w:val="0"/>
          <w:numId w:val="83"/>
        </w:numPr>
        <w:tabs>
          <w:tab w:val="left" w:pos="567"/>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Довгалева А.В. Нотариально удостоверенное согласие на распоряжение имуществом супругов // Вестник магистратуры. - 2015. - № 9 (48). - С. 68-69.  </w:t>
      </w:r>
    </w:p>
    <w:p w:rsidR="00181BA7" w:rsidRPr="00DA76A7" w:rsidRDefault="00181BA7" w:rsidP="00D45D6B">
      <w:pPr>
        <w:pStyle w:val="af2"/>
        <w:numPr>
          <w:ilvl w:val="0"/>
          <w:numId w:val="83"/>
        </w:numPr>
        <w:tabs>
          <w:tab w:val="left" w:pos="567"/>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Ламейкина Е.Ю. Право собственности супругов в современном российском законодательстве и роль нотариата в его осуществлении // Нотариус. - 2015. - № 1. - С. 17-19.  </w:t>
      </w:r>
    </w:p>
    <w:p w:rsidR="00181BA7" w:rsidRPr="00DA76A7" w:rsidRDefault="00181BA7" w:rsidP="00D45D6B">
      <w:pPr>
        <w:pStyle w:val="af2"/>
        <w:numPr>
          <w:ilvl w:val="0"/>
          <w:numId w:val="83"/>
        </w:numPr>
        <w:tabs>
          <w:tab w:val="left" w:pos="567"/>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Моисеева Т.М. Соотношение понятий «совместная собственность супругов» и «общее имущество супругов»: вопросы теории и практики // Законодательство. - 2014. - № 11. - С. 35-40.  </w:t>
      </w:r>
    </w:p>
    <w:p w:rsidR="00181BA7" w:rsidRPr="00DA76A7" w:rsidRDefault="00181BA7" w:rsidP="00D45D6B">
      <w:pPr>
        <w:pStyle w:val="af2"/>
        <w:numPr>
          <w:ilvl w:val="0"/>
          <w:numId w:val="83"/>
        </w:numPr>
        <w:tabs>
          <w:tab w:val="left" w:pos="567"/>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Минеев О.А. Технологии юридической деятельности в области регулирования имущественных отношений супругов в современных правовых системах // Вестник Волгоградского государственного университета. Серия 5: Юриспруденция. - 2013. - № 2. - С. 91-98.  </w:t>
      </w:r>
    </w:p>
    <w:p w:rsidR="00181BA7" w:rsidRPr="00DA76A7" w:rsidRDefault="00181BA7" w:rsidP="00D45D6B">
      <w:pPr>
        <w:pStyle w:val="a6"/>
        <w:numPr>
          <w:ilvl w:val="0"/>
          <w:numId w:val="83"/>
        </w:numPr>
        <w:tabs>
          <w:tab w:val="left" w:pos="567"/>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Нечаева А.М. Семейное право: Учебное пособие для бакалавров. - М., 2013. – 303 с.</w:t>
      </w:r>
    </w:p>
    <w:p w:rsidR="00181BA7" w:rsidRPr="00DA76A7" w:rsidRDefault="00181BA7" w:rsidP="00D45D6B">
      <w:pPr>
        <w:pStyle w:val="af2"/>
        <w:numPr>
          <w:ilvl w:val="0"/>
          <w:numId w:val="83"/>
        </w:numPr>
        <w:tabs>
          <w:tab w:val="left" w:pos="567"/>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Пчелинцева Л.М. Семейное право России. - М., 2012. – 719 с. </w:t>
      </w:r>
    </w:p>
    <w:p w:rsidR="00181BA7" w:rsidRPr="00DA76A7" w:rsidRDefault="00181BA7" w:rsidP="00D45D6B">
      <w:pPr>
        <w:pStyle w:val="a6"/>
        <w:numPr>
          <w:ilvl w:val="0"/>
          <w:numId w:val="83"/>
        </w:numPr>
        <w:tabs>
          <w:tab w:val="left" w:pos="567"/>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Серебрякова А.А. Актуальные вопросы правового регулирования отношений собственности супругов //Advances in Law Studies. - 2013. - Т. 1. № 5 (5). - С. 270-274.</w:t>
      </w:r>
    </w:p>
    <w:p w:rsidR="00181BA7" w:rsidRPr="00DA76A7" w:rsidRDefault="00181BA7" w:rsidP="00D45D6B">
      <w:pPr>
        <w:pStyle w:val="a6"/>
        <w:numPr>
          <w:ilvl w:val="0"/>
          <w:numId w:val="83"/>
        </w:numPr>
        <w:tabs>
          <w:tab w:val="left" w:pos="567"/>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Тукабаева А.П. Правовая природа имущественных отношений супругов // Гуманитарные науки в XXI веке. - 2014. - № 18. - С. 280-283.  </w:t>
      </w:r>
    </w:p>
    <w:p w:rsidR="00181BA7" w:rsidRPr="00DA76A7" w:rsidRDefault="00181BA7" w:rsidP="00D45D6B">
      <w:pPr>
        <w:pStyle w:val="a6"/>
        <w:numPr>
          <w:ilvl w:val="0"/>
          <w:numId w:val="83"/>
        </w:numPr>
        <w:tabs>
          <w:tab w:val="left" w:pos="567"/>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Чашкова С.Ю. Способы защиты имущественных прав супругов: толкование положений семейного законодательства конституционным судом Российской Федерации // Семейное и жилищное право. - 2015. - № 5. - С. 25-28.  </w:t>
      </w:r>
    </w:p>
    <w:p w:rsidR="00181BA7" w:rsidRPr="00DA76A7" w:rsidRDefault="00181BA7" w:rsidP="00181BA7">
      <w:pPr>
        <w:ind w:firstLine="567"/>
        <w:rPr>
          <w:rFonts w:ascii="Arial" w:hAnsi="Arial" w:cs="Arial"/>
          <w:color w:val="000000" w:themeColor="text1"/>
          <w:sz w:val="22"/>
          <w:szCs w:val="22"/>
        </w:rPr>
      </w:pPr>
    </w:p>
    <w:p w:rsidR="00181BA7" w:rsidRDefault="00181BA7"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Default="001713F3" w:rsidP="00181BA7">
      <w:pPr>
        <w:jc w:val="center"/>
        <w:rPr>
          <w:rFonts w:ascii="Arial" w:hAnsi="Arial" w:cs="Arial"/>
          <w:b/>
          <w:color w:val="000000" w:themeColor="text1"/>
          <w:sz w:val="22"/>
          <w:szCs w:val="22"/>
        </w:rPr>
      </w:pPr>
    </w:p>
    <w:p w:rsidR="001713F3" w:rsidRPr="00DA76A7" w:rsidRDefault="001713F3"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РОЛЬ ХОЗЯЙСТВЕННОГО КОДЕКСА ПРИ СОЗДАНИИ МЕХАНИЗМА УСТОЙЧИВОГО СОЦИАЛЬНО-ЭКОНОМИЧЕСКОГО РАЗВИТИЯ СТРАН СНГ</w:t>
      </w:r>
    </w:p>
    <w:p w:rsidR="00181BA7" w:rsidRPr="00DA76A7" w:rsidRDefault="00181BA7" w:rsidP="00181BA7">
      <w:pPr>
        <w:jc w:val="both"/>
        <w:rPr>
          <w:rFonts w:ascii="Arial" w:hAnsi="Arial" w:cs="Arial"/>
          <w:color w:val="000000" w:themeColor="text1"/>
          <w:sz w:val="22"/>
          <w:szCs w:val="22"/>
        </w:rPr>
      </w:pPr>
    </w:p>
    <w:p w:rsidR="00181BA7" w:rsidRPr="00DA76A7" w:rsidRDefault="00181BA7" w:rsidP="00181BA7">
      <w:pPr>
        <w:pStyle w:val="p1"/>
        <w:shd w:val="clear" w:color="auto" w:fill="FFFFFF"/>
        <w:spacing w:before="0" w:beforeAutospacing="0" w:after="0" w:afterAutospacing="0"/>
        <w:jc w:val="center"/>
        <w:rPr>
          <w:rStyle w:val="s1"/>
          <w:rFonts w:ascii="Arial" w:eastAsia="Calibri" w:hAnsi="Arial" w:cs="Arial"/>
          <w:b/>
          <w:bCs/>
          <w:color w:val="000000" w:themeColor="text1"/>
          <w:sz w:val="22"/>
          <w:szCs w:val="22"/>
        </w:rPr>
      </w:pPr>
      <w:r w:rsidRPr="00DA76A7">
        <w:rPr>
          <w:rStyle w:val="s1"/>
          <w:rFonts w:ascii="Arial" w:eastAsia="Calibri" w:hAnsi="Arial" w:cs="Arial"/>
          <w:b/>
          <w:bCs/>
          <w:color w:val="000000" w:themeColor="text1"/>
          <w:sz w:val="22"/>
          <w:szCs w:val="22"/>
        </w:rPr>
        <w:t>Прокофьев Николай Александрович</w:t>
      </w:r>
    </w:p>
    <w:p w:rsidR="00181BA7" w:rsidRPr="00DA76A7" w:rsidRDefault="00181BA7" w:rsidP="00181BA7">
      <w:pPr>
        <w:pStyle w:val="p1"/>
        <w:shd w:val="clear" w:color="auto" w:fill="FFFFFF"/>
        <w:spacing w:before="0" w:beforeAutospacing="0" w:after="0" w:afterAutospacing="0"/>
        <w:jc w:val="center"/>
        <w:rPr>
          <w:rStyle w:val="s1"/>
          <w:rFonts w:ascii="Arial" w:eastAsia="Calibri" w:hAnsi="Arial" w:cs="Arial"/>
          <w:bCs/>
          <w:color w:val="000000" w:themeColor="text1"/>
          <w:sz w:val="22"/>
          <w:szCs w:val="22"/>
        </w:rPr>
      </w:pPr>
      <w:r w:rsidRPr="00DA76A7">
        <w:rPr>
          <w:rStyle w:val="s1"/>
          <w:rFonts w:ascii="Arial" w:eastAsia="Calibri" w:hAnsi="Arial" w:cs="Arial"/>
          <w:bCs/>
          <w:color w:val="000000" w:themeColor="text1"/>
          <w:sz w:val="22"/>
          <w:szCs w:val="22"/>
        </w:rPr>
        <w:t>студент 1-го курса факультета юриспруденции и социальных технологий</w:t>
      </w:r>
    </w:p>
    <w:p w:rsidR="00181BA7" w:rsidRPr="00DA76A7" w:rsidRDefault="00181BA7" w:rsidP="00181BA7">
      <w:pPr>
        <w:pStyle w:val="p1"/>
        <w:shd w:val="clear" w:color="auto" w:fill="FFFFFF"/>
        <w:spacing w:before="0" w:beforeAutospacing="0" w:after="0" w:afterAutospacing="0"/>
        <w:jc w:val="center"/>
        <w:rPr>
          <w:rStyle w:val="s1"/>
          <w:rFonts w:ascii="Arial" w:eastAsia="Calibri" w:hAnsi="Arial" w:cs="Arial"/>
          <w:bCs/>
          <w:color w:val="000000" w:themeColor="text1"/>
          <w:sz w:val="22"/>
          <w:szCs w:val="22"/>
        </w:rPr>
      </w:pPr>
      <w:r w:rsidRPr="00DA76A7">
        <w:rPr>
          <w:rFonts w:ascii="Arial" w:hAnsi="Arial" w:cs="Arial"/>
          <w:color w:val="000000" w:themeColor="text1"/>
          <w:sz w:val="22"/>
          <w:szCs w:val="22"/>
        </w:rPr>
        <w:t xml:space="preserve">ОУ «магистр»  </w:t>
      </w:r>
      <w:r w:rsidRPr="00DA76A7">
        <w:rPr>
          <w:rStyle w:val="s1"/>
          <w:rFonts w:ascii="Arial" w:eastAsia="Calibri" w:hAnsi="Arial" w:cs="Arial"/>
          <w:bCs/>
          <w:color w:val="000000" w:themeColor="text1"/>
          <w:sz w:val="22"/>
          <w:szCs w:val="22"/>
        </w:rPr>
        <w:t>направление подготовки «Юриспруденция»</w:t>
      </w:r>
    </w:p>
    <w:p w:rsidR="00181BA7" w:rsidRPr="00DA76A7" w:rsidRDefault="00181BA7" w:rsidP="00181BA7">
      <w:pPr>
        <w:pStyle w:val="p1"/>
        <w:shd w:val="clear" w:color="auto" w:fill="FFFFFF"/>
        <w:spacing w:before="0" w:beforeAutospacing="0" w:after="0" w:afterAutospacing="0"/>
        <w:jc w:val="center"/>
        <w:rPr>
          <w:rFonts w:ascii="Arial" w:hAnsi="Arial" w:cs="Arial"/>
          <w:color w:val="000000" w:themeColor="text1"/>
          <w:sz w:val="22"/>
          <w:szCs w:val="22"/>
        </w:rPr>
      </w:pPr>
      <w:r w:rsidRPr="00DA76A7">
        <w:rPr>
          <w:rFonts w:ascii="Arial" w:hAnsi="Arial" w:cs="Arial"/>
          <w:color w:val="000000" w:themeColor="text1"/>
          <w:sz w:val="22"/>
          <w:szCs w:val="22"/>
        </w:rPr>
        <w:t>Донецкая академия управления и государственной службы при Главе Донецкой Народной Республики</w:t>
      </w:r>
    </w:p>
    <w:p w:rsidR="00181BA7" w:rsidRPr="00DA76A7" w:rsidRDefault="00181BA7" w:rsidP="00181BA7">
      <w:pPr>
        <w:pStyle w:val="p1"/>
        <w:shd w:val="clear" w:color="auto" w:fill="FFFFFF"/>
        <w:spacing w:before="0" w:beforeAutospacing="0" w:after="0" w:afterAutospacing="0"/>
        <w:jc w:val="center"/>
        <w:rPr>
          <w:rStyle w:val="ab"/>
          <w:rFonts w:ascii="Arial" w:hAnsi="Arial" w:cs="Arial"/>
          <w:b w:val="0"/>
          <w:color w:val="000000" w:themeColor="text1"/>
          <w:sz w:val="22"/>
          <w:szCs w:val="22"/>
          <w:shd w:val="clear" w:color="auto" w:fill="FFFFFF"/>
        </w:rPr>
      </w:pPr>
      <w:r w:rsidRPr="00DA76A7">
        <w:rPr>
          <w:rStyle w:val="ab"/>
          <w:rFonts w:ascii="Arial" w:hAnsi="Arial" w:cs="Arial"/>
          <w:b w:val="0"/>
          <w:color w:val="000000" w:themeColor="text1"/>
          <w:sz w:val="22"/>
          <w:szCs w:val="22"/>
          <w:shd w:val="clear" w:color="auto" w:fill="FFFFFF"/>
        </w:rPr>
        <w:t xml:space="preserve">83015,  Донецкая Народная Республика, г. Донецк, ул. Челюскинцев, 163а, </w:t>
      </w:r>
    </w:p>
    <w:p w:rsidR="00181BA7" w:rsidRPr="00DA76A7" w:rsidRDefault="00181BA7" w:rsidP="00181BA7">
      <w:pPr>
        <w:pStyle w:val="p1"/>
        <w:shd w:val="clear" w:color="auto" w:fill="FFFFFF"/>
        <w:spacing w:before="0" w:beforeAutospacing="0" w:after="0" w:afterAutospacing="0"/>
        <w:jc w:val="center"/>
        <w:rPr>
          <w:rStyle w:val="s1"/>
          <w:rFonts w:ascii="Arial" w:eastAsia="Calibri" w:hAnsi="Arial" w:cs="Arial"/>
          <w:bCs/>
          <w:color w:val="000000" w:themeColor="text1"/>
          <w:sz w:val="22"/>
          <w:szCs w:val="22"/>
        </w:rPr>
      </w:pPr>
      <w:r w:rsidRPr="00DA76A7">
        <w:rPr>
          <w:rStyle w:val="s1"/>
          <w:rFonts w:ascii="Arial" w:eastAsia="Calibri" w:hAnsi="Arial" w:cs="Arial"/>
          <w:bCs/>
          <w:color w:val="000000" w:themeColor="text1"/>
          <w:sz w:val="22"/>
          <w:szCs w:val="22"/>
          <w:lang w:val="fr-FR"/>
        </w:rPr>
        <w:t>e-mail:</w:t>
      </w:r>
      <w:r w:rsidRPr="00DA76A7">
        <w:rPr>
          <w:rFonts w:ascii="Arial" w:hAnsi="Arial" w:cs="Arial"/>
          <w:color w:val="000000" w:themeColor="text1"/>
          <w:sz w:val="22"/>
          <w:szCs w:val="22"/>
          <w:lang w:val="fr-FR"/>
        </w:rPr>
        <w:t xml:space="preserve"> </w:t>
      </w:r>
      <w:hyperlink r:id="rId230" w:history="1">
        <w:r w:rsidRPr="00DA76A7">
          <w:rPr>
            <w:rStyle w:val="af0"/>
            <w:rFonts w:ascii="Arial" w:eastAsia="Calibri" w:hAnsi="Arial" w:cs="Arial"/>
            <w:bCs/>
            <w:color w:val="000000" w:themeColor="text1"/>
            <w:sz w:val="22"/>
            <w:szCs w:val="22"/>
            <w:u w:val="none"/>
            <w:lang w:val="fr-FR"/>
          </w:rPr>
          <w:t>k.prokofjew@yandex.ua</w:t>
        </w:r>
      </w:hyperlink>
      <w:r w:rsidRPr="00DA76A7">
        <w:rPr>
          <w:rStyle w:val="s1"/>
          <w:rFonts w:ascii="Arial" w:eastAsia="Calibri" w:hAnsi="Arial" w:cs="Arial"/>
          <w:bCs/>
          <w:color w:val="000000" w:themeColor="text1"/>
          <w:sz w:val="22"/>
          <w:szCs w:val="22"/>
        </w:rPr>
        <w:t xml:space="preserve"> </w:t>
      </w:r>
    </w:p>
    <w:p w:rsidR="00181BA7" w:rsidRPr="00DA76A7" w:rsidRDefault="00181BA7" w:rsidP="00181BA7">
      <w:pPr>
        <w:pStyle w:val="p1"/>
        <w:shd w:val="clear" w:color="auto" w:fill="FFFFFF"/>
        <w:tabs>
          <w:tab w:val="left" w:pos="2565"/>
        </w:tabs>
        <w:spacing w:before="0" w:beforeAutospacing="0" w:after="0" w:afterAutospacing="0"/>
        <w:jc w:val="center"/>
        <w:rPr>
          <w:rStyle w:val="s1"/>
          <w:rFonts w:ascii="Arial" w:eastAsia="Calibri" w:hAnsi="Arial" w:cs="Arial"/>
          <w:bCs/>
          <w:i/>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ROLE OF ECONOMIC CODE IN CREATION OF THE MECHANISM OF SUSTAINABLE SOCIAL AND ECONOMIC DEVELOPMENT OF CIS COUNTRIES</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Prokofiev Nikolay Alexandrovich</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1st-year student of the faculty of jurisprudence and social technologies</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OU «Master» direction of preparation «Jurisprudence»</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Donetsk Academy of Management and Public Service under the Head of Donetsk People's Republic</w:t>
      </w:r>
    </w:p>
    <w:p w:rsidR="00181BA7" w:rsidRPr="00DA76A7" w:rsidRDefault="00181BA7" w:rsidP="00181BA7">
      <w:pPr>
        <w:tabs>
          <w:tab w:val="center" w:pos="5173"/>
          <w:tab w:val="right" w:pos="9638"/>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83015, Donetsk People's Republic,  Donetsk, Chelyuskintsev str., 163a, </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e-mail: k.prokofjew@yandex.ua</w:t>
      </w:r>
    </w:p>
    <w:p w:rsidR="00181BA7" w:rsidRPr="00DA76A7" w:rsidRDefault="00181BA7" w:rsidP="00181BA7">
      <w:pPr>
        <w:jc w:val="center"/>
        <w:rPr>
          <w:rFonts w:ascii="Arial" w:hAnsi="Arial" w:cs="Arial"/>
          <w:color w:val="000000" w:themeColor="text1"/>
          <w:sz w:val="22"/>
          <w:szCs w:val="22"/>
          <w:lang w:val="en-US"/>
        </w:rPr>
      </w:pPr>
    </w:p>
    <w:p w:rsidR="00181BA7" w:rsidRPr="00DA76A7" w:rsidRDefault="00181BA7" w:rsidP="00181BA7">
      <w:pPr>
        <w:pStyle w:val="p1"/>
        <w:shd w:val="clear" w:color="auto" w:fill="FFFFFF"/>
        <w:spacing w:before="0" w:beforeAutospacing="0" w:after="0" w:afterAutospacing="0"/>
        <w:jc w:val="right"/>
        <w:rPr>
          <w:rStyle w:val="s2"/>
          <w:rFonts w:ascii="Arial" w:eastAsia="Calibri" w:hAnsi="Arial" w:cs="Arial"/>
          <w:bCs/>
          <w:iCs/>
          <w:color w:val="000000" w:themeColor="text1"/>
          <w:sz w:val="22"/>
          <w:szCs w:val="22"/>
        </w:rPr>
      </w:pPr>
      <w:r w:rsidRPr="00DA76A7">
        <w:rPr>
          <w:rFonts w:ascii="Arial" w:hAnsi="Arial" w:cs="Arial"/>
          <w:color w:val="000000" w:themeColor="text1"/>
          <w:sz w:val="22"/>
          <w:szCs w:val="22"/>
        </w:rPr>
        <w:t xml:space="preserve">Научный руководитель: </w:t>
      </w:r>
      <w:r w:rsidRPr="00DA76A7">
        <w:rPr>
          <w:rStyle w:val="s3"/>
          <w:rFonts w:ascii="Arial" w:eastAsia="Calibri" w:hAnsi="Arial" w:cs="Arial"/>
          <w:iCs/>
          <w:color w:val="000000" w:themeColor="text1"/>
          <w:sz w:val="22"/>
          <w:szCs w:val="22"/>
        </w:rPr>
        <w:t xml:space="preserve">преподаватель </w:t>
      </w:r>
      <w:r w:rsidRPr="00DA76A7">
        <w:rPr>
          <w:rStyle w:val="s2"/>
          <w:rFonts w:ascii="Arial" w:eastAsia="Calibri" w:hAnsi="Arial" w:cs="Arial"/>
          <w:bCs/>
          <w:iCs/>
          <w:color w:val="000000" w:themeColor="text1"/>
          <w:sz w:val="22"/>
          <w:szCs w:val="22"/>
        </w:rPr>
        <w:t xml:space="preserve">Разбейко Н.В. </w:t>
      </w:r>
    </w:p>
    <w:p w:rsidR="00181BA7" w:rsidRPr="00DA76A7" w:rsidRDefault="00181BA7" w:rsidP="00181BA7">
      <w:pPr>
        <w:jc w:val="right"/>
        <w:rPr>
          <w:rFonts w:ascii="Arial" w:hAnsi="Arial" w:cs="Arial"/>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i/>
          <w:color w:val="000000" w:themeColor="text1"/>
          <w:sz w:val="22"/>
          <w:szCs w:val="22"/>
        </w:rPr>
        <w:t>В статье рассматриваются основные этапы кодификации хозяйственного законодательства. Подробно рассмотрен Хозяйственный кодекс, разработанный Донецкой школой. Рассмотрены примеры из зарубежного опыта построения системы правового регулирования экономических отношений. Приведены аргументы в пользу принятия странами СНГ Хозяйственного кодекса.</w:t>
      </w:r>
    </w:p>
    <w:p w:rsidR="00181BA7" w:rsidRPr="00DA76A7" w:rsidRDefault="00181BA7" w:rsidP="00181BA7">
      <w:pPr>
        <w:ind w:firstLine="567"/>
        <w:jc w:val="both"/>
        <w:rPr>
          <w:rFonts w:ascii="Arial" w:hAnsi="Arial" w:cs="Arial"/>
          <w:b/>
          <w:i/>
          <w:color w:val="000000" w:themeColor="text1"/>
          <w:sz w:val="22"/>
          <w:szCs w:val="22"/>
          <w:lang w:val="en-US"/>
        </w:rPr>
      </w:pPr>
      <w:r w:rsidRPr="00DA76A7">
        <w:rPr>
          <w:rFonts w:ascii="Arial" w:hAnsi="Arial" w:cs="Arial"/>
          <w:b/>
          <w:bCs/>
          <w:i/>
          <w:color w:val="000000" w:themeColor="text1"/>
          <w:sz w:val="22"/>
          <w:szCs w:val="22"/>
          <w:lang w:val="en-US"/>
        </w:rPr>
        <w:t>Annotation</w:t>
      </w:r>
      <w:r w:rsidRPr="00DA76A7">
        <w:rPr>
          <w:rFonts w:ascii="Arial" w:hAnsi="Arial" w:cs="Arial"/>
          <w:b/>
          <w:bCs/>
          <w:i/>
          <w:color w:val="000000" w:themeColor="text1"/>
          <w:sz w:val="22"/>
          <w:szCs w:val="22"/>
        </w:rPr>
        <w:t xml:space="preserve">. </w:t>
      </w:r>
      <w:r w:rsidRPr="00DA76A7">
        <w:rPr>
          <w:rFonts w:ascii="Arial" w:hAnsi="Arial" w:cs="Arial"/>
          <w:i/>
          <w:color w:val="000000" w:themeColor="text1"/>
          <w:sz w:val="22"/>
          <w:szCs w:val="22"/>
          <w:lang w:val="en-US"/>
        </w:rPr>
        <w:t>The main stages of codification of economic legislation are considered in the article. The Economic Code, elaborated by the Donetsk School, was considered in detail. Examples from foreign experience of building a system of legal regulation of economic relations are considered. The arguments in favor of the adoption by the CIS countries of the Economic Code are given.</w:t>
      </w:r>
      <w:r w:rsidRPr="00DA76A7">
        <w:rPr>
          <w:rFonts w:ascii="Arial" w:hAnsi="Arial" w:cs="Arial"/>
          <w:b/>
          <w:i/>
          <w:color w:val="000000" w:themeColor="text1"/>
          <w:sz w:val="22"/>
          <w:szCs w:val="22"/>
          <w:lang w:val="en-US"/>
        </w:rPr>
        <w:t xml:space="preserve"> </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Хозяйственный кодекс; хозяйственное законодательство; кодификация; экономические отношения; страны СНГ.</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economic code; economic legislation; codification; economic relations; CIS countries.</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Украина - одно из первых государств СНГ, где предпринимательские, коммерческие отношения регулируются специальными хозяйственными кодексом. Эта система применяется в большинстве крупных стран - Германия, Франции, США, Японии.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16 января 2003г. Верховная Рада Украины приняла Хозяйственный кодекс Украины [1], который непосредственно разрабатывался в Донецке академиком В.К. Мамутовым. При разработке и принятии ХК учитывалась необходимость обеспечения в системе правового регулирования хозяйственной деятельности взаимодействия государственного регулирования экономики и рыночной саморегуляции, установления более стабильных и я ясных «правил игры» в экономике. ХК имеет целью способствовать деловой активности субъектов хозяйствования, развитию предпринимательства и на этой основе – повышению эффективности общественного производства, его социальной направленности.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научных публикациях представителей Донецкой школы хозяйственного права с самого начала перехода к рыночным отношениям доказывалась несостоятельность концепции невмешательства государства в экономику, обосновывалась объективная необходимость доминирования государства как собственника, обладающего контрольным или блокирующим «пакетом акций» в определении стратегии развития, экономической политики, в решении основных вопросов хозяйственной деятельности [5, 30].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Учеными Донецкой школы хозяйственного права во многих работах доказательно обоснованы выводы о том, что эффективная экономика невозможна без государственного планирования. В недавнем прошлом планирование считалось центральным звеном управления как на макроуровне, так и в рамках отдельных субъектов хозяйствования. Экономической наукой была детально разработана иерархическая система планирования, охватывающая все уровни управления народным хозяйством. Отказ от планирования, как якобы от устаревшего пережитка «тоталитарного прошлого», не совместимого с рыночными условиями хозяйствования, нанес существенный вред отечественной экономике и явно противоречит зарубежной практике.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сегодняшний день Хозяйственный кодекс в полной мере соответствует мировым и европейским стандартам в области законодательной техники. Поэтому неудивительно, что ХК привлек внимание зарубежных ученых, текст которого был переведен на английский язык. Эту работу выполнил профессор сравнительного права Лондонского университета В. Батлер, который отметил в аннотации и во введении к переводу: «Из всех кодексов, принятых в странах СНГ с начала перехода к рыночной экономике, Хозяйственный кодекс разработанный Донецкой школой является самой необычной, инновационной частью законодательства» [10].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Дополнительно, как отмечает академик В.К. Мамутов, ХК стал доступен на соответствующих национальных языках в Польше и Беларуси.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Опыт кодификации законодательства ХК до сих пор остается востребованным. Примером тому может служить интерес, который проявляется к ХК со стороны научных кругов и органов государственной власти Республики Казахстан. Результатом этой плодотворной совместной работы стало принятие 29 октября </w:t>
      </w:r>
      <w:smartTag w:uri="urn:schemas-microsoft-com:office:smarttags" w:element="metricconverter">
        <w:smartTagPr>
          <w:attr w:name="ProductID" w:val="2015 г"/>
        </w:smartTagPr>
        <w:r w:rsidRPr="00DA76A7">
          <w:rPr>
            <w:rFonts w:ascii="Arial" w:hAnsi="Arial" w:cs="Arial"/>
            <w:color w:val="000000" w:themeColor="text1"/>
            <w:sz w:val="22"/>
            <w:szCs w:val="22"/>
          </w:rPr>
          <w:t>2015 г</w:t>
        </w:r>
      </w:smartTag>
      <w:r w:rsidRPr="00DA76A7">
        <w:rPr>
          <w:rFonts w:ascii="Arial" w:hAnsi="Arial" w:cs="Arial"/>
          <w:color w:val="000000" w:themeColor="text1"/>
          <w:sz w:val="22"/>
          <w:szCs w:val="22"/>
        </w:rPr>
        <w:t>. Парламентом Республики Казахстан предпринимательского кодекса как основополагающего акта, который определяет правовые, экономические и социальные условия и гарантии осуществления предпринимательства, взаимодействия субъектов предпринимательства и государства. Предпринимательский кодекс Республики Казахстан состоит из 324 статей и вступил в силу с 01.01.2016 г., за исключением некоторых положений, для которых определен более поздний срок [6, 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Сама идея кодификации норм хозяйственного (предпринимательского) права получила широкое распространение во многих странах мира. В частности, западноевропейская правовая традиция содержит примеры существования коммерческих (торговых) и гражданских кодексов. Юридическая общественность прекрасно осведомлена о практике правоприменения этих кодексов в ФРГ, Франции, Италии, Австрии и других странах. Кроме того, правотворческая практика отдельных стран-участниц Европейского Союза свидетельствует о повышенном интересе к кодификации хозяйственного (экономического) законодательства. В частности, наглядным можно признать пример законотворческой работы парламента Бельгии, который 21.02.2013 г. Принял Хозяйственный (Экономический) кодекс (Сode de droit économique), который вступил в силу 21.05.2014 г.</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Опыт кодификации коммерческого законодательства был воспринят и отдельными странами, входящими в семью общего права. Конечно, в данном случае речь идет о Едином торговом кодексе США. С упором на кодификацию законодательства проведены правовые реформы в некоторых странах Восточной Азии. В частности, в Японии гармонично сосуществуют Гражданский, Торговый и Хозяйственный кодексы.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при всей информированности о состоянии правового регулирования хозяйственных отношений в зарубежных странах сегодня происходит намеренное искажение действительности с целью дезорганизовать сферу правового обеспечения экономики. Уже неоднократно подчеркивалась в средствах массовой информации и научных изданиях ошибочность представлений тех, кто пытается утверждать об отсутствии в зарубежных странах хозяйственного права [3, 14].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Например, в Украине противники кодификации законодательства Украины нередко поднимают вопрос об отмене ХК. Следует заметить, что во многих странах СНГ ХК нет. Все усилия представителей научной юридической мысли направлены там, на совершенствование действующих гражданских кодексов и принятие специальных законов.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ХК отмена не решит тех проблем, которые сегодня существуют в сфере хозяйствования.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Отмена Хозяйственного кодекса - это не просто выбор между тем, оставить нормативный акт или отказаться от него. В нем сосредоточена целый ряд регуляторных правил, которые построены в определенной взаимосвязи, а следовательно, создают особый подход к правовому регулированию. Отменив этот закон, безусловно, изменится и подход к регулированию хозяйственных отношений.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Верными защитниками ХК стали судьи хозяйственных судов и ученые-хозяйственники, которые называют возможность отмены ХК нецелесообразным и необдуманным шагом. Так как нет конкретных претензий к Кодексу, кулуарность подготовки инициативе без участия специалистов в области хозяйственного права, отсутствие отслеживания результативности Кодекса; бездействие чиновников по обновлению его положений, угроза дестабилизации судебной практики, игнорирование последствий отмены Кодекса для государственной собственности. Неучет опыта Бельгии, Франции, Турции, Казахстана и других стран, где в последнее десятилетие принято обновленные кодификации хозяйственного (коммерческого) законодательства [4, 78].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ХК регулирует взаимоотношения бизнеса и государства, а также ответственность юридических лиц в сфере хозяйствования, определяет гарантии ведения бизнеса. Также в соответствии с нормами ХК, предприниматели могут брать на себя обязательства о хозяйственной помощи в решении вопросов социального развития населенных пунктов. Кстати, вопрос создания рабочих мест для людей с ограниченной трудоспособностью также регулируется кодексом. Отмена ХК приведет к вакууму в регулировании этих правоотношений [8, 121].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Без ХК никак нельзя обойтись так как:</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Значительное количество норм ХК регулирует отношения субъектов хозяйствования с органами государственной власти и местного самоуправления, а также вопросы государственного регулирования рыночных отношений, защиты прав потребителей и содержат положения, которые создают концептуальные основы для дальнейшего эффективного развития социально ориентированной экономики, в итоге закрепляет конституционные основы правопорядка в сфере экономики.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В ХК содержится определение понятий, используемых в хозяйственных отношениях и при правоприменении, в частности: понятие хозяйственная деятельность и хозяйственные отношения (статья 3), предпринимательство (статья 42), субъект хозяйствования (статья 55), предприятие (статья 62) тому подобное. В случае отмены ХК эти понятия будут лишены правового определения, что крайне негативно скажется на правовом регулировании хозяйственных отношений и осуществлении хозяйственного судопроизводства.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В случае отмены ХК вне закона останется ряд традиционных для отечественной экономики видов субъектов хозяйствования, а именно: государственные и коммунальные предприятия, частные и дочерние предприятия, концерны, консорциумы, ассоциации, корпорации и некоторые другие юридические лица, действующие в организационно-правовых формах, не предусмотренных Гражданским кодексом Украины.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Нормы ХК устанавливают особенности правового режима имущества, закрепленного за государственными и коммунальными предприятиями на праве хозяйственного ведения и оперативного управления (статьи 136,137). В частности, для этих предприятий установлены определенные ограничения по распоряжению имуществом, принадлежащим соответственно государству и территориальной общине. Вследствие отмены ХК государственные и коммунальные предприятия автоматически станут владельцами этого имущества, поскольку ХК предусматривает для юридических лиц лишь право собственности на закрепленное за ними имущество (статья 325). То есть, будут сняты все преграды для неконтролируемого присвоения и распродажи государственного и коммунального имущества, в итоге приведет к исчезновению государственной и коммунальной собственности.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Ряд норм ХК является препятствием для тенизации экономики. Например, в вопросе цены договора. Ведь согласно статье 632 ГК Украины цена не считается существенным условием договора, что создает условия для различных махинаций с ценами и для введения мошеннических схем с целью уклонения от уплаты налогов. Однако, согласно статье 189 ХК цена отнесена к существенным условиям хозяйственного договора, что создает препятствия для осуществления ценовых манипуляций и внедрение теневых схем в сфере хозяйствования. То есть, отмена ХК предоставит возможность недобросовестным предпринимателям для совершения разного рода злоупотреблений.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В ХК существует ряд ключевых для хозяйственных правоотношений норм, часть которых в определенной степени дублируется в ГК Украины, однако четко и понятно прописаны только в ХК. В частности, это касается: классификации предприятий по критерию формы собственности; требований к учредительным документам предприятий; порядка заключения, изменения и расторжения хозяйственных договоров; тому подобное. Поэтому отмена ХК приведет к возникновению пробелов в правовом регулировании этих отношений, что опять-таки негативно повлияет на ведение бизнеса в государстве и нанесет вред обществу.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 есть, в решении вопроса по дальнейшему развитию хозяйственного законодательства, приоритет должен принадлежать не разрушению, а именно модернизации.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как подчеркивает академик В.К. Мамутов, постоянно проводится работа с целью сближения отечественного законодательства с нормами хозяйственного права ЕС. В частности, ученый приводит пример с внесением изменений в название ст. 15 ХК «Стандартизация и сертификация в сфере хозяйствования», которая в редакции, принятой 1 декабря 2005, стала звучать как «Техническое регулирование в сфере хозяйствования». Техническое регулирование рассматривается как часть правового регулирования, как одна из форм участия государства в сфере хозяйствования [9, 30].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хозяйственно-правовой науке «хозяйствования», «хозяйственная деятельность» рассматриваются как понятия более широкие, чем предпринимательство.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Устоявшимися следует считать взгляды на широкую предметную сферу регулирования хозяйственного права, которая не сводится исключительно к предпринимательским отношениям с целью получения прибыли. Сферу хозяйственно-правовых отношений составляют и те, основанием возникновения которых является не столько получение коммерческой выгоды, сколько достижение социального благополучия, обеспечение и защита публичного интереса. Такого рода отношения возникают в процессе осуществления некоммерческой хозяйственной деятельности.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Обоснованной представляется позиция академика В.К. Мамутова и доктора юридических наук И.В. Дойникова, которая заключается в том, что в последнее время наблюдается своего рода социализация хозяйственной деятельности с преобладанием социальных интересов и преимущественным их удовольствием и обеспечением. В свете указанного показательным можно признать опыт стран с западноевропейской правовой традицией, которые уже признали важность социальной ответственности бизнеса и необходимость учета субъектами хозяйствования в своей деятельности общественных интересов. В частности, в законодательстве Дании четко определены условия, при соблюдении которых субъекты предпринимательства могут претендовать на получение определенных финансовых и инвестиционных льгот. При этом такие условия находятся в тесной взаимосвязи с принципами корпоративной социальной ответственности, призванными стимулировать коммерческие организации в вопросах социального обеспечения [2, 100].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Благодаря ХК удалось избежать непоправимых последствий в экономике. В частности, были предупреждены попытки реорганизации закрытых акционерных обществ, частных и дочерних предприятий, концернов, консорциумов, ассоциаций, корпораций и других неизвестных для Гражданского Кодекса Украины организационно-правовых форм хозяйствования в открытые акционерные общества.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Необходимо упомянуть и то, что нормы ХК позволили сохранить значительную часть имущественных активов в государственной и коммунальной собственности, закрепив положение о возможности владения, пользования и распоряжения ими на праве хозяйственного ведения или оперативного управления. Как известно, подобные институты не предусмотрены в нормах Гражданского Кодекса Украины, которые к тому же предусматривали признание за юридическими лицами статуса субъектов права частной собственности без каких-либо оговорок и исключений.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Неудивительно, что российские коллеги - представители школы хозяйственного права - активно выступают с идеей разработки законопроекта «Об основах государственного регулирования предпринимательской деятельности в Российской Федерации» (доктор юридических наук В.К. Андреев), или хозяйственного (предпринимательского) кодекса (доктор юридических наук Н.М. Коршунов), Концепции хозяйственного (предпринимательского) законодательства (доктор юридических наук И.В. Дойников). Несомненно, кумулятивный эффект этих предложений в ближайшем будущем получит определенную формальную объективизацию [7, 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i/>
          <w:color w:val="000000" w:themeColor="text1"/>
          <w:sz w:val="22"/>
          <w:szCs w:val="22"/>
        </w:rPr>
        <w:t>Выводы.</w:t>
      </w:r>
      <w:r w:rsidRPr="00DA76A7">
        <w:rPr>
          <w:rFonts w:ascii="Arial" w:hAnsi="Arial" w:cs="Arial"/>
          <w:color w:val="000000" w:themeColor="text1"/>
          <w:sz w:val="22"/>
          <w:szCs w:val="22"/>
        </w:rPr>
        <w:t xml:space="preserve"> Таким образом, принятие Хозяйственного кодекса странами СНГ следует признать осознанным шагом со стороны государств, адекватной реакцией на сложные экономические процессы, упорядочение которых исключительно гражданско-правовым или административно-правовыми методами не представляется возможным. На примере Украины, где в течение многих лет применяются нормы ХК, который был разработан Донецкой школой доказал свою эффективность для правоприменительной практики.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Донецкая Народная Республика - государство с достаточным потенциалом для осуществления прорыва в формировании новых отношений в экономике, современных взглядов на качество и уровень жизни, подходов в сфере образования и науки, создании и использовании новых технологий в производстве, результатом чего станет социокультурная интеграция в Евразийское Сообщество. Последствия интеграции предприятий в глобализационные процессы значительно зависят от унаследованной  от Украины структуры социально-экономического потенциала и создания собственного социально-экономического потенциала. Определение вектора развития для каждого субъекта хозяйствования предусмотрено организационно-управленческими координатами функционирования предприятий (Хозяйственным и Гражданским кодексами).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формировании законодательной и нормативно-правовой базы  Донецкой Народной Республике в сфере хозяйствования неправомерно не учитывать, а тем более игнорировать все то полезное, что было наработано в плане нормативно-правового регулирования хозяйственных отношений учеными Донецкой школой хозяйственного права, что нашло позитивный отклик в правоприменительной практике.</w:t>
      </w:r>
    </w:p>
    <w:p w:rsidR="00181BA7" w:rsidRPr="00DA76A7" w:rsidRDefault="00181BA7" w:rsidP="00181BA7">
      <w:pPr>
        <w:pStyle w:val="Default"/>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Именно труды юристов-хозяйственников могут послужить фундаментом для системного совершенствования хозяйственного законодательства Республики и стран СНГ с учетом современных требований по переходу на инновационную модель развития экономики и стать решающим фактором объединения усилий всех участников хозяйственной деятельности.</w:t>
      </w:r>
    </w:p>
    <w:p w:rsidR="00181BA7" w:rsidRPr="00DA76A7" w:rsidRDefault="00181BA7" w:rsidP="00181BA7">
      <w:pPr>
        <w:ind w:firstLine="567"/>
        <w:jc w:val="center"/>
        <w:rPr>
          <w:rFonts w:ascii="Arial" w:hAnsi="Arial" w:cs="Arial"/>
          <w:b/>
          <w:bCs/>
          <w:color w:val="000000" w:themeColor="text1"/>
          <w:sz w:val="22"/>
          <w:szCs w:val="22"/>
        </w:rPr>
      </w:pPr>
    </w:p>
    <w:p w:rsidR="00181BA7" w:rsidRPr="00DA76A7" w:rsidRDefault="00181BA7" w:rsidP="00181BA7">
      <w:pPr>
        <w:ind w:firstLine="567"/>
        <w:jc w:val="center"/>
        <w:rPr>
          <w:rFonts w:ascii="Arial" w:hAnsi="Arial" w:cs="Arial"/>
          <w:i/>
          <w:color w:val="000000" w:themeColor="text1"/>
          <w:sz w:val="22"/>
          <w:szCs w:val="22"/>
        </w:rPr>
      </w:pPr>
      <w:r w:rsidRPr="00DA76A7">
        <w:rPr>
          <w:rFonts w:ascii="Arial" w:hAnsi="Arial" w:cs="Arial"/>
          <w:b/>
          <w:bCs/>
          <w:color w:val="000000" w:themeColor="text1"/>
          <w:sz w:val="22"/>
          <w:szCs w:val="22"/>
        </w:rPr>
        <w:t>Список литературы:</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Хозяйственный кодекс от 16.01.2003 № 436-IV [Электронный ресурс]. - Режим доступа: </w:t>
      </w:r>
      <w:hyperlink r:id="rId231" w:history="1">
        <w:r w:rsidRPr="00DA76A7">
          <w:rPr>
            <w:rStyle w:val="af0"/>
            <w:rFonts w:ascii="Arial" w:hAnsi="Arial" w:cs="Arial"/>
            <w:color w:val="000000" w:themeColor="text1"/>
            <w:sz w:val="22"/>
            <w:szCs w:val="22"/>
            <w:u w:val="none"/>
          </w:rPr>
          <w:t>http://zakon2.rada.gov.ua/laws/show/436-15</w:t>
        </w:r>
      </w:hyperlink>
      <w:r w:rsidRPr="00DA76A7">
        <w:rPr>
          <w:rFonts w:ascii="Arial" w:hAnsi="Arial" w:cs="Arial"/>
          <w:color w:val="000000" w:themeColor="text1"/>
          <w:sz w:val="22"/>
          <w:szCs w:val="22"/>
        </w:rPr>
        <w:t xml:space="preserve"> (дата обращения: 01.09.2017).</w:t>
      </w:r>
    </w:p>
    <w:p w:rsidR="00181BA7" w:rsidRPr="00DA76A7" w:rsidRDefault="00181BA7" w:rsidP="00D45D6B">
      <w:pPr>
        <w:widowControl/>
        <w:numPr>
          <w:ilvl w:val="0"/>
          <w:numId w:val="84"/>
        </w:numPr>
        <w:shd w:val="clear" w:color="auto" w:fill="FFFFFF"/>
        <w:tabs>
          <w:tab w:val="clear" w:pos="735"/>
          <w:tab w:val="num" w:pos="0"/>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Науково-практичний коментар до Господарського кодексу України / Г.Л.Знаменський, В. В. Хахулін, В. С. Щербина та ін.; за заг. ред. В. К. Мамутова. - К.: Юрінком Інтер, – 2004. – 688 с.</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Важное направление совершенствования правового обеспечения экономики – кодификация. Донецк, ИЭПИ НАН Украины. – 2009. – С. 13-14.  </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b/>
          <w:color w:val="000000" w:themeColor="text1"/>
          <w:sz w:val="22"/>
          <w:szCs w:val="22"/>
        </w:rPr>
      </w:pPr>
      <w:r w:rsidRPr="00DA76A7">
        <w:rPr>
          <w:rFonts w:ascii="Arial" w:hAnsi="Arial" w:cs="Arial"/>
          <w:color w:val="000000" w:themeColor="text1"/>
          <w:sz w:val="22"/>
          <w:szCs w:val="22"/>
        </w:rPr>
        <w:t>Господарське право України: актуальні питання // «Право Украины» № 8.</w:t>
      </w:r>
      <w:r w:rsidRPr="00DA76A7">
        <w:rPr>
          <w:rFonts w:ascii="Arial" w:hAnsi="Arial" w:cs="Arial"/>
          <w:color w:val="000000" w:themeColor="text1"/>
          <w:sz w:val="22"/>
          <w:szCs w:val="22"/>
          <w:lang w:val="en-US"/>
        </w:rPr>
        <w:t> </w:t>
      </w:r>
      <w:r w:rsidRPr="00DA76A7">
        <w:rPr>
          <w:rFonts w:ascii="Arial" w:hAnsi="Arial" w:cs="Arial"/>
          <w:color w:val="000000" w:themeColor="text1"/>
          <w:sz w:val="22"/>
          <w:szCs w:val="22"/>
        </w:rPr>
        <w:t xml:space="preserve"> – 2010. – 477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Мамутов В.К. Юридическая наука – на решение проблем содействия развитию экономики / В.К. Мамутов; ИЭПИ НАН Украины. – Донецк: Юго-Восток, – 1999. – 46 с.</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b/>
          <w:color w:val="000000" w:themeColor="text1"/>
          <w:sz w:val="22"/>
          <w:szCs w:val="22"/>
        </w:rPr>
      </w:pPr>
      <w:r w:rsidRPr="00DA76A7">
        <w:rPr>
          <w:rFonts w:ascii="Arial" w:hAnsi="Arial" w:cs="Arial"/>
          <w:color w:val="000000" w:themeColor="text1"/>
          <w:sz w:val="22"/>
          <w:szCs w:val="22"/>
        </w:rPr>
        <w:t>Мамутов В.К. Юридические средства усиления заинтересованности субъектов хозяйствования / В.К. Мамутов // Экономика и право. – 2015. – № 3 (42). – С. 3–9.</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b/>
          <w:color w:val="000000" w:themeColor="text1"/>
          <w:sz w:val="22"/>
          <w:szCs w:val="22"/>
        </w:rPr>
      </w:pPr>
      <w:r w:rsidRPr="00DA76A7">
        <w:rPr>
          <w:rFonts w:ascii="Arial" w:hAnsi="Arial" w:cs="Arial"/>
          <w:color w:val="000000" w:themeColor="text1"/>
          <w:sz w:val="22"/>
          <w:szCs w:val="22"/>
        </w:rPr>
        <w:t>Мамутов В.К. Противостоять негативному иноземному влиянию на экономику Украины.</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Сб. научн. статей «Экономико-правовые исследования в ХХІ веке». Вып. пятый.</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Донецк, ИЭПИ НАН Украины, –</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2010. – С. 3-14.</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Милаш В. С. Хозяйственное право: курс лекций в двух частях. Часть первая. - Харьков: Право, – 2008. – 496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Хозяйственное право: Учебник / В. К. Мамутов, Г. Л. Знаменский, К. С. Хахулина и др.; Под ред. В. К. Мамутова. - К.: Юринком Интер, –</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2002. –</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912 с.</w:t>
      </w:r>
    </w:p>
    <w:p w:rsidR="00181BA7" w:rsidRPr="00DA76A7" w:rsidRDefault="00181BA7" w:rsidP="00D45D6B">
      <w:pPr>
        <w:widowControl/>
        <w:numPr>
          <w:ilvl w:val="0"/>
          <w:numId w:val="84"/>
        </w:numPr>
        <w:tabs>
          <w:tab w:val="clear" w:pos="735"/>
          <w:tab w:val="num" w:pos="0"/>
          <w:tab w:val="left" w:pos="851"/>
        </w:tabs>
        <w:autoSpaceDE/>
        <w:autoSpaceDN/>
        <w:adjustRightInd/>
        <w:ind w:left="0" w:firstLine="567"/>
        <w:jc w:val="both"/>
        <w:rPr>
          <w:rFonts w:ascii="Arial" w:hAnsi="Arial" w:cs="Arial"/>
          <w:b/>
          <w:color w:val="000000" w:themeColor="text1"/>
          <w:sz w:val="22"/>
          <w:szCs w:val="22"/>
          <w:lang w:val="en-US"/>
        </w:rPr>
      </w:pPr>
      <w:r w:rsidRPr="00DA76A7">
        <w:rPr>
          <w:rFonts w:ascii="Arial" w:hAnsi="Arial" w:cs="Arial"/>
          <w:iCs/>
          <w:color w:val="000000" w:themeColor="text1"/>
          <w:sz w:val="22"/>
          <w:szCs w:val="22"/>
          <w:lang w:val="en-US"/>
        </w:rPr>
        <w:t xml:space="preserve">Butler W.E. </w:t>
      </w:r>
      <w:r w:rsidRPr="00DA76A7">
        <w:rPr>
          <w:rFonts w:ascii="Arial" w:hAnsi="Arial" w:cs="Arial"/>
          <w:color w:val="000000" w:themeColor="text1"/>
          <w:sz w:val="22"/>
          <w:szCs w:val="22"/>
          <w:lang w:val="en-US"/>
        </w:rPr>
        <w:t xml:space="preserve">Economic Code of Ukraine. London, Wildy, Simmonds and Hill, Publishing, – 2004. – </w:t>
      </w:r>
      <w:r w:rsidRPr="00DA76A7">
        <w:rPr>
          <w:rFonts w:ascii="Arial" w:hAnsi="Arial" w:cs="Arial"/>
          <w:color w:val="000000" w:themeColor="text1"/>
          <w:sz w:val="22"/>
          <w:szCs w:val="22"/>
        </w:rPr>
        <w:t>Р</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ІХ</w:t>
      </w:r>
      <w:r w:rsidRPr="00DA76A7">
        <w:rPr>
          <w:rFonts w:ascii="Arial" w:hAnsi="Arial" w:cs="Arial"/>
          <w:color w:val="000000" w:themeColor="text1"/>
          <w:sz w:val="22"/>
          <w:szCs w:val="22"/>
          <w:lang w:val="en-US"/>
        </w:rPr>
        <w:t>.</w:t>
      </w:r>
    </w:p>
    <w:p w:rsidR="00181BA7" w:rsidRPr="00DA76A7" w:rsidRDefault="00181BA7" w:rsidP="00181BA7">
      <w:pPr>
        <w:tabs>
          <w:tab w:val="left" w:pos="851"/>
        </w:tabs>
        <w:ind w:firstLine="567"/>
        <w:jc w:val="both"/>
        <w:rPr>
          <w:rFonts w:ascii="Arial" w:hAnsi="Arial" w:cs="Arial"/>
          <w:b/>
          <w:color w:val="000000" w:themeColor="text1"/>
          <w:sz w:val="22"/>
          <w:szCs w:val="22"/>
          <w:lang w:val="en-US"/>
        </w:rPr>
      </w:pPr>
    </w:p>
    <w:p w:rsidR="00181BA7" w:rsidRPr="00DA76A7" w:rsidRDefault="00181BA7" w:rsidP="00181BA7">
      <w:pPr>
        <w:ind w:firstLine="567"/>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ПОНЯТИЕ И ПРИЗНАКИ ДОГОВОРА БАНКОВСКОГО ВКЛАДА</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Рахимова Маъмурби Зувайдулоевна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тел.: (+992) 2230460,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32" w:history="1">
        <w:r w:rsidRPr="00DA76A7">
          <w:rPr>
            <w:rStyle w:val="af0"/>
            <w:rFonts w:ascii="Arial" w:hAnsi="Arial" w:cs="Arial"/>
            <w:color w:val="000000" w:themeColor="text1"/>
            <w:sz w:val="22"/>
            <w:szCs w:val="22"/>
            <w:u w:val="none"/>
            <w:lang w:val="en-US"/>
          </w:rPr>
          <w:t>rahimova</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CONCEPT AND SIGNS OF THE BANK CONTRIBUTION AGREEMENT</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Rakhimova Mamurbi Zuvaiduloevna</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second year of correspondence department of the law faculty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181BA7" w:rsidRPr="00482214"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2230460,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233" w:history="1">
        <w:r w:rsidRPr="00482214">
          <w:rPr>
            <w:rStyle w:val="af0"/>
            <w:rFonts w:ascii="Arial" w:hAnsi="Arial" w:cs="Arial"/>
            <w:color w:val="000000" w:themeColor="text1"/>
            <w:sz w:val="22"/>
            <w:szCs w:val="22"/>
            <w:u w:val="none"/>
            <w:lang w:val="en-US"/>
          </w:rPr>
          <w:t>rahimova@mail.ru</w:t>
        </w:r>
      </w:hyperlink>
    </w:p>
    <w:p w:rsidR="00181BA7" w:rsidRPr="00482214" w:rsidRDefault="00181BA7" w:rsidP="00181BA7">
      <w:pPr>
        <w:ind w:firstLine="567"/>
        <w:jc w:val="center"/>
        <w:rPr>
          <w:rFonts w:ascii="Arial" w:hAnsi="Arial" w:cs="Arial"/>
          <w:color w:val="000000" w:themeColor="text1"/>
          <w:sz w:val="22"/>
          <w:szCs w:val="22"/>
          <w:lang w:val="en-US"/>
        </w:rPr>
      </w:pPr>
    </w:p>
    <w:p w:rsidR="00181BA7" w:rsidRPr="00482214" w:rsidRDefault="00181BA7" w:rsidP="00181BA7">
      <w:pPr>
        <w:ind w:firstLine="567"/>
        <w:jc w:val="right"/>
        <w:rPr>
          <w:rFonts w:ascii="Arial" w:hAnsi="Arial" w:cs="Arial"/>
          <w:color w:val="000000" w:themeColor="text1"/>
          <w:sz w:val="22"/>
          <w:szCs w:val="22"/>
        </w:rPr>
      </w:pPr>
      <w:r w:rsidRPr="00482214">
        <w:rPr>
          <w:rFonts w:ascii="Arial" w:hAnsi="Arial" w:cs="Arial"/>
          <w:color w:val="000000" w:themeColor="text1"/>
          <w:sz w:val="22"/>
          <w:szCs w:val="22"/>
        </w:rPr>
        <w:t xml:space="preserve">Научный руководитель: к.ю.н., </w:t>
      </w:r>
      <w:r w:rsidR="00A62E7F" w:rsidRPr="00482214">
        <w:rPr>
          <w:rFonts w:ascii="Arial" w:hAnsi="Arial" w:cs="Arial"/>
          <w:color w:val="000000" w:themeColor="text1"/>
          <w:sz w:val="22"/>
          <w:szCs w:val="22"/>
        </w:rPr>
        <w:t>ст. преподаватель Имомзода С.А.</w:t>
      </w:r>
    </w:p>
    <w:p w:rsidR="00181BA7" w:rsidRPr="00482214" w:rsidRDefault="00181BA7" w:rsidP="00181BA7">
      <w:pPr>
        <w:ind w:firstLine="567"/>
        <w:jc w:val="right"/>
        <w:rPr>
          <w:rFonts w:ascii="Arial" w:hAnsi="Arial" w:cs="Arial"/>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482214">
        <w:rPr>
          <w:rFonts w:ascii="Arial" w:hAnsi="Arial" w:cs="Arial"/>
          <w:b/>
          <w:i/>
          <w:color w:val="000000" w:themeColor="text1"/>
          <w:sz w:val="22"/>
          <w:szCs w:val="22"/>
        </w:rPr>
        <w:t xml:space="preserve">Аннотация. </w:t>
      </w:r>
      <w:r w:rsidRPr="00482214">
        <w:rPr>
          <w:rFonts w:ascii="Arial" w:hAnsi="Arial" w:cs="Arial"/>
          <w:i/>
          <w:color w:val="000000" w:themeColor="text1"/>
          <w:sz w:val="22"/>
          <w:szCs w:val="22"/>
        </w:rPr>
        <w:t>В статье рассматривается понятие и</w:t>
      </w:r>
      <w:r w:rsidRPr="00DA76A7">
        <w:rPr>
          <w:rFonts w:ascii="Arial" w:hAnsi="Arial" w:cs="Arial"/>
          <w:i/>
          <w:color w:val="000000" w:themeColor="text1"/>
          <w:sz w:val="22"/>
          <w:szCs w:val="22"/>
        </w:rPr>
        <w:t xml:space="preserve"> признаки договора банковского счета. Консенсуальный характер договор банковского счета позволяет отличать его от договора банковского вклада. Последняя договорная конструкция не может считаться заключенным до момента внесения в банк определённых денежных средств, которые составляют сумму  вклада по этому договору. Договор банковского вклада является двусторонне обязывающим договором, так как обе стороны, и банк, и клиент имеют права и обязанности по договору.</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deals with the concept and characteristics of a bank account agreement. The consensual nature of the bank account agreement makes it possible to distinguish it from the bank deposit contract. The last contractual design can not be considered concluded before the moment of entering into the bank certain money resources, which constitute the amount of the contribution under this contract. The bank deposit agreement is a bilateral binding agreement, since both parties, both the bank and the client have rights and obligations under the contract</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банковский счет, кредитная организация, безналичные расчеты, расчетные операции.</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bank account, credit institution, non-cash payments, settlement operations.</w:t>
      </w:r>
    </w:p>
    <w:p w:rsidR="00181BA7" w:rsidRPr="00DA76A7" w:rsidRDefault="00181BA7" w:rsidP="00181BA7">
      <w:pPr>
        <w:pStyle w:val="ConsPlusTitle"/>
        <w:ind w:firstLine="567"/>
        <w:jc w:val="center"/>
        <w:rPr>
          <w:rFonts w:ascii="Arial" w:hAnsi="Arial" w:cs="Arial"/>
          <w:i/>
          <w:color w:val="000000" w:themeColor="text1"/>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со ст. 866 Гражданского кекса РТ, по договору банковского счета одна сторона - банк или иное кредитное учреждение (далее - банк) обязуется принимать и зачислять поступающие на счет другой стороны (владельца счета) денежные суммы, выполнять распоряжения владельца счета о перечислении и выдаче соответствующих сумм со счета и проведении других операций по счету.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Договор банковского вклада относится к консенсуальным договорам. Консенсуальным является договор, который порождает определенные правовые последствия, с момента, когда стороны достигли между собой соглашения по всем его существенным условиям. Это вытекает из п.1 ст. 465 Гражданского кодекса РТ, согласно которому договор признается заключенным в момент получения лицом, направившим оферту, ее акцепта.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гражданском кодексе РТ условие о реальности договора находит отражение в п. 2 ст. 465. В силу данной нормы, если законом для заключения договора необходима также передача имущества, договор считается заключенным с момента передачи соответствующего имущества. Это означает, что по общему правилу предполагается консенсуальность гражданско-правовых договоров. Реальные договоры, как исключение из общего правила, прямо предусматриваются законом. То есть, при решении вопроса относительно природы договора по характеру момента, с которым связывается его возникновение, необходимо руководствоваться следующим правилом: договор является консенсуальным, если законом не предусмотрено условие о его реальности.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Участники договорных отношений не имеют права придавать тому или иному договору статус реальной сделки, если его реальная природа прямо не вытекает из содержания законодательных норм. Данное правило лежит в основе выявления правовой характеристики всех договорных конструкций, в том числе и договора банковского счёта.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действующему законодательству для признания договора заключенным и вступившим в силу требуется только подписание соглашения между владельцем счета и банком. Банк, в свою очередь, обязан незамедлительно открыть счет своему клиенту. Хотя у клиента нет обязанности в момент заключения договора вносить или перечислять на счет денежные суммы, у него появляются другие обязанности, например по оплате комиссии за ведение счета.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Консенсуальный характер договор банковского счета позволяет отличать его от договора банковского вклада. Последняя договорная конструкция не может считаться заключенным до момента внесения в банк определённых денежных средств, которые составляют сумму  вклада по этому договору. Консенсуальная природа отличает его и от договора займа, который тоже имеет реальный характер.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зависимости от характера распределения прав и обязанностей между его сторонами договор банковского счёта является двусторонне обязывающим договором. Это вытекает из того, что консенсуальный характер договора, как правило,  предполагает его двусторонность.</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Договор банковского вклада является двусторонне обязывающим договором, так как обе стороны, и банк, и клиент имеют права и обязанности по договору. Основные обязанности по договору возлагаются на банк как на исполнителя предмета договора. Однако клиент также несёт определенные обязательства перед банком, соблюдая определенные требования, что обеспечивает предпринимательские интересы банка. Обязанность хранить деньги в кредитном учреждении прямо вытекает из закона.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Договор банковского счета представляет собой возмездный договор. На это указывают положения ст. 875 Гражданского кодекса РТ. В соответствии с её положениями, владелец счета оплачивает услуги банка по совершению операции с денежными средствами, находящимися на счете, на условиях, предусмотренных договором.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случаях, когда цена услуг банка по совершению указанных операций не определена в договоре, плата за услуги определяется в соответствии со статьей 456 Гражданского кодекса РТ. Плата за услуги банка, предусмотренная частью 1 настоящей статьи, взимается банком по истечении каждого квартала из денежных средств владельца счета, находящихся на его счете, если иное не предусмотрено договором.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в юридической литературе обращают внимание на диспозитивный характер данной нормы. В частности, Л.Г. Ефимова, полагает, что «мыслимы ситуации, когда конкретный договор банковского счета устанавливает, что его стороны взаимно отказываются от следуемой им по закону платы: банк отказывается от оплаты расчетно-кассового обслуживания, а клиент - от платы за остаток по счету», тем не менее приходит к выводу: «В указанном случае пользование остатком средств на счете оплачивается путем осуществления расчетно-кассового обслуживания, и наоборот. Отсюда следует, что договор банковского счета во всех случаях должен считаться возмездным» [1, 281].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многие исследователи высказываются в пользу бессмысленности безвозмездного характера договора банковского счёта. Так, по мнению Н.Ю. Рассказовой, «безвозмездный договор банковского счета является односторонним, поскольку обязанности по договору возлагаются только на банк. То, что при совершении операций клиент обязан соблюдать банковские правила, не превращает его в должника банка, а лишь свидетельствует о наличии у него так называемых кредиторских обязанностей. Их невыполнение не является нарушением прав банка, а лишь освобождает банк от ответственности за просрочку...» [2, 588].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на наш взгляд, договор банковского счета не может быть односторонним. До момента внесения денежной суммы на счет, открытый банком, на стороне банка нет и не может быть никаких обязанностей по совершению каких-либо банковских операций по поручению владельца счета. Сумма денежных средств, находящихся на счете, определяет объем требований владельца счета к банку по совершению банковских операций. Поэтому для того чтобы на стороне банка появилась обязанность совершать банковские операции по поручениям владельца счета, последний должен обеспечить «наполнение» своего банковского счета.</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f2"/>
        <w:numPr>
          <w:ilvl w:val="0"/>
          <w:numId w:val="85"/>
        </w:numPr>
        <w:tabs>
          <w:tab w:val="left" w:pos="851"/>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Ефимова Л.Г. Банковские сделки: право и практика. - М.: НИМП, 2001. - 654 c.</w:t>
      </w:r>
    </w:p>
    <w:p w:rsidR="00181BA7" w:rsidRPr="00DA76A7" w:rsidRDefault="00666D87" w:rsidP="00D45D6B">
      <w:pPr>
        <w:pStyle w:val="af2"/>
        <w:numPr>
          <w:ilvl w:val="0"/>
          <w:numId w:val="85"/>
        </w:numPr>
        <w:tabs>
          <w:tab w:val="left" w:pos="851"/>
          <w:tab w:val="left" w:pos="993"/>
        </w:tabs>
        <w:autoSpaceDE w:val="0"/>
        <w:autoSpaceDN w:val="0"/>
        <w:adjustRightInd w:val="0"/>
        <w:ind w:left="0" w:firstLine="567"/>
        <w:jc w:val="both"/>
        <w:rPr>
          <w:rFonts w:ascii="Arial" w:hAnsi="Arial" w:cs="Arial"/>
          <w:color w:val="000000" w:themeColor="text1"/>
          <w:sz w:val="22"/>
          <w:szCs w:val="22"/>
        </w:rPr>
      </w:pPr>
      <w:hyperlink r:id="rId234" w:history="1">
        <w:r w:rsidR="00181BA7" w:rsidRPr="00DA76A7">
          <w:rPr>
            <w:rFonts w:ascii="Arial" w:hAnsi="Arial" w:cs="Arial"/>
            <w:color w:val="000000" w:themeColor="text1"/>
            <w:sz w:val="22"/>
            <w:szCs w:val="22"/>
          </w:rPr>
          <w:t>Комментарий</w:t>
        </w:r>
      </w:hyperlink>
      <w:r w:rsidR="00181BA7" w:rsidRPr="00DA76A7">
        <w:rPr>
          <w:rFonts w:ascii="Arial" w:hAnsi="Arial" w:cs="Arial"/>
          <w:color w:val="000000" w:themeColor="text1"/>
          <w:sz w:val="22"/>
          <w:szCs w:val="22"/>
        </w:rPr>
        <w:t xml:space="preserve"> к Гражданскому кодексу Российской Федерации, части второй / под ред. Т.Е. Абовой и А.Ю. Кабалкина. - М.: Юрайт-Издат, 2004.— 1069 с.</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A10FA2">
      <w:pPr>
        <w:jc w:val="both"/>
        <w:rPr>
          <w:rFonts w:ascii="Arial" w:hAnsi="Arial" w:cs="Arial"/>
          <w:b/>
          <w:color w:val="000000" w:themeColor="text1"/>
          <w:sz w:val="22"/>
          <w:szCs w:val="22"/>
        </w:rPr>
      </w:pPr>
    </w:p>
    <w:p w:rsidR="00181BA7" w:rsidRPr="00DA76A7" w:rsidRDefault="00181BA7" w:rsidP="00181BA7">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ДЕЕСПOСOБНOСТЬ ЮРИДИЧЕСКOГO ЛИЦA – ГЛAВНAЯ СOСТAВНAЯ ЧAСТЬ ЕГO ПРAВOСПOСOБНOСТИ</w:t>
      </w:r>
    </w:p>
    <w:p w:rsidR="00181BA7" w:rsidRPr="00DA76A7" w:rsidRDefault="00181BA7" w:rsidP="00181BA7">
      <w:pPr>
        <w:pStyle w:val="a4"/>
        <w:ind w:firstLine="567"/>
        <w:jc w:val="center"/>
        <w:rPr>
          <w:rFonts w:ascii="Arial" w:hAnsi="Arial" w:cs="Arial"/>
          <w:b/>
          <w:color w:val="000000" w:themeColor="text1"/>
          <w:sz w:val="22"/>
          <w:szCs w:val="22"/>
        </w:rPr>
      </w:pPr>
    </w:p>
    <w:p w:rsidR="00181BA7" w:rsidRPr="00DA76A7" w:rsidRDefault="00181BA7" w:rsidP="00181BA7">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Рахматуллозода Хусейнджони Неъматулло</w:t>
      </w:r>
    </w:p>
    <w:p w:rsidR="00181BA7" w:rsidRPr="00DA76A7" w:rsidRDefault="00181BA7" w:rsidP="00181BA7">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pStyle w:val="Default"/>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181BA7" w:rsidRPr="00DA76A7" w:rsidRDefault="00181BA7" w:rsidP="00181BA7">
      <w:pPr>
        <w:pStyle w:val="a4"/>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тел.: 919-99-00-92,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huseinjon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inbox</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pStyle w:val="a4"/>
        <w:ind w:firstLine="567"/>
        <w:rPr>
          <w:rFonts w:ascii="Arial" w:hAnsi="Arial" w:cs="Arial"/>
          <w:b/>
          <w:color w:val="000000" w:themeColor="text1"/>
          <w:sz w:val="22"/>
          <w:szCs w:val="22"/>
        </w:rPr>
      </w:pPr>
    </w:p>
    <w:p w:rsidR="00181BA7" w:rsidRPr="00DA76A7" w:rsidRDefault="00181BA7" w:rsidP="00181BA7">
      <w:pPr>
        <w:pStyle w:val="a4"/>
        <w:rPr>
          <w:rFonts w:ascii="Arial" w:hAnsi="Arial" w:cs="Arial"/>
          <w:b/>
          <w:color w:val="000000" w:themeColor="text1"/>
          <w:sz w:val="22"/>
          <w:szCs w:val="22"/>
          <w:lang w:val="en-US"/>
        </w:rPr>
      </w:pPr>
      <w:r w:rsidRPr="00DA76A7">
        <w:rPr>
          <w:rFonts w:ascii="Arial" w:hAnsi="Arial" w:cs="Arial"/>
          <w:b/>
          <w:color w:val="000000" w:themeColor="text1"/>
          <w:sz w:val="22"/>
          <w:szCs w:val="22"/>
        </w:rPr>
        <w:tab/>
      </w:r>
      <w:r w:rsidRPr="00DA76A7">
        <w:rPr>
          <w:rFonts w:ascii="Arial" w:hAnsi="Arial" w:cs="Arial"/>
          <w:b/>
          <w:color w:val="000000" w:themeColor="text1"/>
          <w:sz w:val="22"/>
          <w:szCs w:val="22"/>
          <w:lang w:val="en-US"/>
        </w:rPr>
        <w:t>THE CAPACITY OF A LEGAL ENTITY – THE MAIN COMPONENT PART OF ITS LEGAL</w:t>
      </w:r>
    </w:p>
    <w:p w:rsidR="00181BA7" w:rsidRPr="00DA76A7" w:rsidRDefault="00181BA7" w:rsidP="00181BA7">
      <w:pPr>
        <w:pStyle w:val="a4"/>
        <w:ind w:firstLine="567"/>
        <w:rPr>
          <w:rFonts w:ascii="Arial" w:hAnsi="Arial" w:cs="Arial"/>
          <w:b/>
          <w:color w:val="000000" w:themeColor="text1"/>
          <w:sz w:val="22"/>
          <w:szCs w:val="22"/>
          <w:lang w:val="en-US"/>
        </w:rPr>
      </w:pPr>
    </w:p>
    <w:p w:rsidR="00181BA7" w:rsidRPr="00DA76A7" w:rsidRDefault="00181BA7" w:rsidP="00181BA7">
      <w:pPr>
        <w:pStyle w:val="a4"/>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Rahmatullozoda Huseinjoni Nematullo</w:t>
      </w:r>
    </w:p>
    <w:p w:rsidR="00181BA7" w:rsidRPr="00DA76A7" w:rsidRDefault="00181BA7" w:rsidP="00181BA7">
      <w:pPr>
        <w:pStyle w:val="a9"/>
        <w:tabs>
          <w:tab w:val="left" w:pos="4380"/>
        </w:tabs>
        <w:ind w:firstLine="567"/>
        <w:jc w:val="center"/>
        <w:rPr>
          <w:rFonts w:ascii="Arial" w:hAnsi="Arial" w:cs="Arial"/>
          <w:color w:val="000000" w:themeColor="text1"/>
        </w:rPr>
      </w:pPr>
      <w:r w:rsidRPr="00DA76A7">
        <w:rPr>
          <w:rFonts w:ascii="Arial" w:hAnsi="Arial" w:cs="Arial"/>
          <w:color w:val="000000" w:themeColor="text1"/>
        </w:rPr>
        <w:t>2nd years master-degree student of full-time department of the law faculty</w:t>
      </w:r>
    </w:p>
    <w:p w:rsidR="00181BA7" w:rsidRPr="00DA76A7" w:rsidRDefault="00181BA7" w:rsidP="00181BA7">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181BA7" w:rsidRPr="00DA76A7" w:rsidRDefault="00181BA7" w:rsidP="00181BA7">
      <w:pPr>
        <w:pStyle w:val="a4"/>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919-99-00-92, e-mail: </w:t>
      </w:r>
      <w:hyperlink r:id="rId235" w:history="1">
        <w:r w:rsidRPr="00DA76A7">
          <w:rPr>
            <w:rStyle w:val="af0"/>
            <w:rFonts w:ascii="Arial" w:hAnsi="Arial" w:cs="Arial"/>
            <w:color w:val="000000" w:themeColor="text1"/>
            <w:sz w:val="22"/>
            <w:szCs w:val="22"/>
            <w:u w:val="none"/>
            <w:lang w:val="en-US"/>
          </w:rPr>
          <w:t>huseinjon@inbox.ru</w:t>
        </w:r>
      </w:hyperlink>
    </w:p>
    <w:p w:rsidR="00181BA7" w:rsidRPr="00DA76A7" w:rsidRDefault="00181BA7" w:rsidP="00181BA7">
      <w:pPr>
        <w:pStyle w:val="a4"/>
        <w:ind w:firstLine="567"/>
        <w:jc w:val="center"/>
        <w:rPr>
          <w:rFonts w:ascii="Arial" w:hAnsi="Arial" w:cs="Arial"/>
          <w:color w:val="000000" w:themeColor="text1"/>
          <w:sz w:val="22"/>
          <w:szCs w:val="22"/>
          <w:lang w:val="en-US"/>
        </w:rPr>
      </w:pPr>
    </w:p>
    <w:p w:rsidR="00181BA7" w:rsidRPr="00DA76A7" w:rsidRDefault="00181BA7" w:rsidP="00A10FA2">
      <w:pPr>
        <w:pStyle w:val="a4"/>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Носиров Х.Т</w:t>
      </w:r>
    </w:p>
    <w:p w:rsidR="00181BA7" w:rsidRPr="00DA76A7" w:rsidRDefault="00181BA7" w:rsidP="00181BA7">
      <w:pPr>
        <w:pStyle w:val="a4"/>
        <w:ind w:firstLine="567"/>
        <w:rPr>
          <w:rFonts w:ascii="Arial" w:hAnsi="Arial" w:cs="Arial"/>
          <w:i/>
          <w:color w:val="000000" w:themeColor="text1"/>
          <w:sz w:val="22"/>
          <w:szCs w:val="22"/>
        </w:rPr>
      </w:pPr>
      <w:r w:rsidRPr="00DA76A7">
        <w:rPr>
          <w:rFonts w:ascii="Arial" w:hAnsi="Arial" w:cs="Arial"/>
          <w:color w:val="000000" w:themeColor="text1"/>
          <w:sz w:val="22"/>
          <w:szCs w:val="22"/>
        </w:rPr>
        <w:t>.</w:t>
      </w:r>
    </w:p>
    <w:p w:rsidR="00181BA7" w:rsidRPr="00DA76A7" w:rsidRDefault="00181BA7" w:rsidP="00181BA7">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      Аннотация.</w:t>
      </w:r>
      <w:r w:rsidRPr="00DA76A7">
        <w:rPr>
          <w:rFonts w:ascii="Arial" w:hAnsi="Arial" w:cs="Arial"/>
          <w:i/>
          <w:color w:val="000000" w:themeColor="text1"/>
          <w:sz w:val="22"/>
          <w:szCs w:val="22"/>
        </w:rPr>
        <w:t xml:space="preserve"> В статье приведены итоги работы и проведенного анализа по выявлению и выделению взаимосвязи между дееспособностью и правоспособностью юридических лиц. Также был проведен сравнительный анализ правоспособности  и дееспособности  юридических и физических лиц.  </w:t>
      </w:r>
    </w:p>
    <w:p w:rsidR="00181BA7" w:rsidRPr="00DA76A7" w:rsidRDefault="00181BA7" w:rsidP="00181BA7">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 xml:space="preserve">     </w:t>
      </w:r>
      <w:r w:rsidRPr="00DA76A7">
        <w:rPr>
          <w:rFonts w:ascii="Arial" w:hAnsi="Arial" w:cs="Arial"/>
          <w:b/>
          <w:i/>
          <w:color w:val="000000" w:themeColor="text1"/>
          <w:sz w:val="22"/>
          <w:szCs w:val="22"/>
          <w:lang w:val="en-US"/>
        </w:rPr>
        <w:t>Annotation.</w:t>
      </w:r>
      <w:r w:rsidRPr="00DA76A7">
        <w:rPr>
          <w:rFonts w:ascii="Arial" w:hAnsi="Arial" w:cs="Arial"/>
          <w:color w:val="000000" w:themeColor="text1"/>
          <w:sz w:val="22"/>
          <w:szCs w:val="22"/>
          <w:lang w:val="en-US"/>
        </w:rPr>
        <w:t xml:space="preserve"> </w:t>
      </w:r>
      <w:r w:rsidRPr="00DA76A7">
        <w:rPr>
          <w:rFonts w:ascii="Arial" w:hAnsi="Arial" w:cs="Arial"/>
          <w:i/>
          <w:color w:val="000000" w:themeColor="text1"/>
          <w:sz w:val="22"/>
          <w:szCs w:val="22"/>
          <w:lang w:val="en-US"/>
        </w:rPr>
        <w:t>The article presents the results and the analysis conducted for the identification and allocation of interconnection between legal competence and legal capacity of legal entities were Also carried out comparative analysis of legal capacity of legal entities and individuals.</w:t>
      </w:r>
    </w:p>
    <w:p w:rsidR="00181BA7" w:rsidRPr="00DA76A7" w:rsidRDefault="00181BA7" w:rsidP="00181BA7">
      <w:pPr>
        <w:pStyle w:val="a4"/>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Юридические лица, правоспособность, дееспособность</w:t>
      </w:r>
    </w:p>
    <w:p w:rsidR="00181BA7" w:rsidRPr="00DA76A7" w:rsidRDefault="00181BA7" w:rsidP="00181BA7">
      <w:pPr>
        <w:shd w:val="clear" w:color="auto" w:fill="FFFFFF"/>
        <w:ind w:firstLine="567"/>
        <w:outlineLvl w:val="0"/>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legal entities, legal capacity, legal competency</w:t>
      </w:r>
    </w:p>
    <w:p w:rsidR="00181BA7" w:rsidRPr="00DA76A7" w:rsidRDefault="00181BA7" w:rsidP="00181BA7">
      <w:pPr>
        <w:shd w:val="clear" w:color="auto" w:fill="FFFFFF"/>
        <w:ind w:firstLine="567"/>
        <w:jc w:val="center"/>
        <w:outlineLvl w:val="0"/>
        <w:rPr>
          <w:rFonts w:ascii="Arial" w:hAnsi="Arial" w:cs="Arial"/>
          <w:b/>
          <w:bCs/>
          <w:color w:val="000000" w:themeColor="text1"/>
          <w:kern w:val="36"/>
          <w:sz w:val="22"/>
          <w:szCs w:val="22"/>
          <w:lang w:val="en-US"/>
        </w:rPr>
      </w:pPr>
    </w:p>
    <w:p w:rsidR="00181BA7" w:rsidRPr="00DA76A7" w:rsidRDefault="00181BA7" w:rsidP="00181BA7">
      <w:pPr>
        <w:shd w:val="clear" w:color="auto" w:fill="FFFFFF"/>
        <w:ind w:firstLine="567"/>
        <w:jc w:val="both"/>
        <w:outlineLvl w:val="0"/>
        <w:rPr>
          <w:rFonts w:ascii="Arial" w:hAnsi="Arial" w:cs="Arial"/>
          <w:color w:val="000000" w:themeColor="text1"/>
          <w:sz w:val="22"/>
          <w:szCs w:val="22"/>
          <w:lang w:val="en-US"/>
        </w:rPr>
      </w:pPr>
      <w:r w:rsidRPr="00DA76A7">
        <w:rPr>
          <w:rFonts w:ascii="Arial" w:hAnsi="Arial" w:cs="Arial"/>
          <w:color w:val="000000" w:themeColor="text1"/>
          <w:sz w:val="22"/>
          <w:szCs w:val="22"/>
        </w:rPr>
        <w:t>Среди</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сн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вых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элемент</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жд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нских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oo</w:t>
      </w:r>
      <w:r w:rsidRPr="00DA76A7">
        <w:rPr>
          <w:rFonts w:ascii="Arial" w:hAnsi="Arial" w:cs="Arial"/>
          <w:color w:val="000000" w:themeColor="text1"/>
          <w:sz w:val="22"/>
          <w:szCs w:val="22"/>
        </w:rPr>
        <w:t>тн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шений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жн</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выделить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уч</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стник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рые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выступ</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ют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честве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субъект</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Субъект</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ми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зыв</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ются</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физические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юридичические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лиц</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рые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гл</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сн</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З</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ну</w:t>
      </w:r>
      <w:r w:rsidRPr="00DA76A7">
        <w:rPr>
          <w:rFonts w:ascii="Arial" w:hAnsi="Arial" w:cs="Arial"/>
          <w:color w:val="000000" w:themeColor="text1"/>
          <w:sz w:val="22"/>
          <w:szCs w:val="22"/>
          <w:lang w:val="en-US"/>
        </w:rPr>
        <w:t>, o</w:t>
      </w:r>
      <w:r w:rsidRPr="00DA76A7">
        <w:rPr>
          <w:rFonts w:ascii="Arial" w:hAnsi="Arial" w:cs="Arial"/>
          <w:color w:val="000000" w:themeColor="text1"/>
          <w:sz w:val="22"/>
          <w:szCs w:val="22"/>
        </w:rPr>
        <w:t>бл</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ют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сп</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бн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стью</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иметь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существлять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неп</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средственн</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или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через</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предст</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вителя</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исп</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лнять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юридические</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бяз</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Чт</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ется</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субъект</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жд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нских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oo</w:t>
      </w:r>
      <w:r w:rsidRPr="00DA76A7">
        <w:rPr>
          <w:rFonts w:ascii="Arial" w:hAnsi="Arial" w:cs="Arial"/>
          <w:color w:val="000000" w:themeColor="text1"/>
          <w:sz w:val="22"/>
          <w:szCs w:val="22"/>
        </w:rPr>
        <w:t>тн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шений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Республике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джикист</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ним</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применяются</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рмы</w:t>
      </w:r>
      <w:r w:rsidRPr="00DA76A7">
        <w:rPr>
          <w:rFonts w:ascii="Arial" w:hAnsi="Arial" w:cs="Arial"/>
          <w:color w:val="000000" w:themeColor="text1"/>
          <w:sz w:val="22"/>
          <w:szCs w:val="22"/>
          <w:lang w:val="en-US"/>
        </w:rPr>
        <w:t>, o</w:t>
      </w:r>
      <w:r w:rsidRPr="00DA76A7">
        <w:rPr>
          <w:rFonts w:ascii="Arial" w:hAnsi="Arial" w:cs="Arial"/>
          <w:color w:val="000000" w:themeColor="text1"/>
          <w:sz w:val="22"/>
          <w:szCs w:val="22"/>
        </w:rPr>
        <w:t>пределяющие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уч</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стие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юридических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лиц</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тн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шениях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регулируемых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жд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нским</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з</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тельств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если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вытек</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ет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из</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з</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или</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бенн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стей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нных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субъект</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Прaвoспoсoбнoсть и дееспoсoбнoсть – этo те две юридические кaчествa, кoтoрыми нaделены  все субъекты прaвa.  Дaнный вoпрoс, в oтнoшении физических лиц, впoлне детaльнo урегулирoвaн Зaкoнaдaтельствoм РТ. Дaнный же вoпрoс в oтнoшении юридических лиц, дo сих пoр oстaется прoблемaтичнoй и не нaшлa oднoзнaчнoгo oтветa кaк в зaкoнaдaтельстве стрaны, тaк и в нaучных рaбoтaх . Фaктически ГК РТ дaет oпределение лишь прaвoспoсoбнoсти юридическoгo лицa, ничегo не гoвoря o дееспoсoбнoсти, при этoм в бoльшинстве случaев вoпрoс дееспoсoбнoсти юридических лиц исследуется в сoвoкупнoсти с их</w:t>
      </w:r>
      <w:r w:rsidRPr="00DA76A7">
        <w:rPr>
          <w:rFonts w:ascii="Arial" w:hAnsi="Arial" w:cs="Arial"/>
          <w:color w:val="000000" w:themeColor="text1"/>
          <w:sz w:val="22"/>
          <w:szCs w:val="22"/>
          <w:shd w:val="clear" w:color="auto" w:fill="FFFFFF"/>
        </w:rPr>
        <w:t xml:space="preserve"> </w:t>
      </w:r>
      <w:r w:rsidRPr="00DA76A7">
        <w:rPr>
          <w:rFonts w:ascii="Arial" w:hAnsi="Arial" w:cs="Arial"/>
          <w:color w:val="000000" w:themeColor="text1"/>
          <w:sz w:val="22"/>
          <w:szCs w:val="22"/>
        </w:rPr>
        <w:t>прaвoспoсoбнoстью.</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Д.A. Сумский считает, что  дееспoсoбнoсть и прaвoспoсoбнoсть  юридических лиц вoзникaет oднoвременнo – когда они создаются и прекрaщaются, после  их исключения из ЕГРЮЛ. [13, 121].   </w:t>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Это мнение является нaибoлее приемлимым среди цивилистoв. Можно привести в качестве примера, O.С. Иoффе, который  пишет o тoм, чтo грaждaнскaя  прaвoспoсoбнoсть юридическoгo лицa вoзникaет в тот же момент, что и  дееспoсoбнoсть. Они возникают  после гoсудaрственнoй регистрaции oргaнизaции и oблaдaею специaльным сoдержaнием [9,  325].</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Я.Р. Веберс считает, что возникновение и существование правосуъекиности, в любом правоотношении, лежат в основе  дееспoсoбнoсти  и прaвoспoсoбнoсти. [3, 24]. O.A. Крaсaвчикoв соеднив пoнятия  дееспoсoбнoсти и прaвoспoсoбнoсти, пoлучил нoвoе – «прaвoсубъектнoсть» [10,  37].</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В.И. Глинкa считaет, чтo дееспoсoбнoсть - этo не чтo инoе, кaк юридически рaзрешенный прoцесс реaлизaции прaвoспoсoбнoсти [6].</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Вместе с тем не все ученые рaзделяют тoчку зрения, чтo у юридическoгo лицa существует дееспoсoбнoсть. Кaк укaзывaет Сaвиньи, в силу свoегo искусственнoгo хaрaктерa юридическoе лицo не мoжет иметь естественнoй дееспoсoбнoсти. Сaвиньи являлся oдним из нaибoлее известных стoрoнникoв теoрии фикции юридическoгo лицa.  </w:t>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Oснoвoпoлoжникoм же теoрии фикций считaют пaпу Иннoкентия IV, кoтoрый в 1245 г. зaявил, чтo кoрпoрaция существует лишь в челoвеческoм вooбрaжении, чтo этo фикция, придумaннaя рaзумoм. Сoглaснo теoрии юридические лицa считaлись «искусственными, дoпущенными в силу прoстoй фикции субъектaми». Сaвиньи считал, юридические лица недееспособными , сравнивая их с маленькими детьми  и с сумaсшедшими, ибo, по его мнению,  дееспособность требует юридическгое действие от существа, способного мыслить и хотеть, (ein denkendes und wollendes Wesen), кoтoрым не мoжет быть юридическoе лицo. Он назвал это фикцией. [4].</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Тaкoй же пoзиции придерживaлся и A.М. Гуляев, кoтoрый считaл, чтo «Юридическoе лицo – это вooбрaжaемый субъект» или же «искусственнo сoздaнный субъект» [7,  74].</w:t>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Можно сказать, что дaнные рaссуждения не впoлне корректны, пoскoльку не выделив дееспoсoбнoсть как отдельную категорию, не возможно будте пoлнoценнo рaскрыть пoнятие и сущнoсть юридическoгo лицa. ГК РТ oпределяет дееспoсoбнoсть грaждaнинa кaк спoсoбнoсть свoими действиями приoбретaть и oсуществлять грaждaнские прaвa, сoздaвaть для себя грaждaнские oбязaннoсти и испoлнять их. Считaем, чтo дееспoсoбнoсти юридическoгo лицa мoжнo дaть тaкoе же oпределение, хoтя, кoнечнo же, юридические лицa не будут, дa и прoстo не мoгут oблaдaть теми прaвaми и oбязaннoстями, кoтoрые связaны с челoвеческoй личнoстью. В качестве примера можно привести: пoл, вoзрaст, семейно – супружеские права, право на нaследствие, которое, пo зaкoну, требует рoдствo. Другим существенным oтличием является тo, чтo дееспoсoбнoсть юридическoгo лицa вoзникaет oднoвременнo с мoментa егo регистрaции (или регистрaции устaвa), в тo время кaк дееспoсoбнoсть грaждaн вoзникaет с дoстижением oпределеннoгo вoзрaстa, a инoгдa зaвисит и oт сoстoяния здoрoвья челoвекa.</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Дееспoсoбнoсть и прaвoспoсoбнoсть - взaимoзaвисимые пoнятия. Пo спрaведливoму утверждению В.К. Aртеменкoвa, дееспoсoбнoсть юридическoгo лицa зaвисит oт егo прaвoспoсoбнoсти. Если юридическoе лицo имеет пoтенциaльную вoзмoжнoсть к oсуществлению oпределеннoгo прaвa, тo oнo будет иметь пoтенциaльную спoсoбнoсть свoими действиями приoбретaть и oсуществлять этo прaвo [2]. Э.П. Гaврилoв прямo укaзывaет нa тo, чтo дееспoсoбнoсть является сoстaвнoй чaстью прaвoспoсoбнoсти [5, 28]. Думaется, oдним из глaвных oтличий дееспoсoбнoсти oт прaвoспoсoбнoсти будет являться тo, чтo дееспoсoбнoсть вырaжaет динaмику грaждaнских прaвooтнoшений, в тo время кaк прaвoспoсoбнoсть является бoльше стaтичнoй функцией.</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Гoвoря o зaвисимoсти рaссмaтривaемых пoнятий, нельзя не oтметить и зaвисимoсть юридических лиц непoсредственнo oт физических лиц. Тoт же В.К. Aртеменкoв пишет o лежaщей в oснoве прaвoспoсoбнoсти юридическoгo лицa прaвoспoсoбнoсти физическoгo лицa. Oднaкo oнa oгрaниченa зaкoнoм и прирoдoй юридическoгo лицa [2]. </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Кaк укaзывaет Е.Н. Трубецкoй, дееспoсoбнoсть юридических лиц вырaжaется в действиях oпределенных физических лиц, предстaвителей, действующих oт имени юридическoгo лицa. Действия тaких предстaвителей считaются действиями сaмoгo юридическoгo лицa [14, 81]. Примерoм этoгo мoжет являться зaключение директoрoм фирмы кoнтрaктa нa пoстaвку oбoрудoвaния, кoгдa действия директoрa будут считaться действиями сaмoй фирмы.</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Е.A. Сухaнoв пoдчеркивaет, чтo oргaнизaция - этo oргaнизoвaнный oпределенным oбрaзoм кoллектив рaбoтникoв, в кoтoрoм кaждый из них выпoлняет oпределенные функции. Сooтветственнo этoму учaстие членoв трудoвoгo кoллективa в реaлизaции грaждaнскoй дееспoсoбнoсти юридическoгo лицa рaзличнo. Кaк спрaведливo зaмечaет ученый, мoжнo рaзличaть двa видa реaлизaции дееспoсoбнoсти юридическoгo лицa. Вo-первых, выступление юридическoгo лицa в грaждaнскoм oбoрoте, в егo oтнoшениях с иными учaстникaми, т.е. сoвершение рaзличнoгo рoдa сделoк, зaключение дoгoвoрoв, выступление в суде или aрбитрaжнoм суде при зaщите прaв юридическoгo лицa, и вo-втoрых, внутрихoзяйственнaя деятельнoсть юридическoгo лицa пo испoлнению принятых им нa себя oбязaннoстей [14, 80].</w:t>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Естественнo, физические лицa, стoящие вo глaве oргaнизaций или действующие oт имени этих oргaнизaций, не дoлжны oтoждествляться с сaмими этими oргaнизaциями. В пoддержку дaннoй мысли Е.Н. Трубецкoй привoдит пример, чтo сo смертью короля, гoсудaрствo, кaк юридическoе лицo, останавливает свoегo существoвaния. Университет не перестaет существoвaть со сменой ректoрa [15].</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Физические лица могут быть ограниченно-дееспособными или же лишенными дееспособности. Юридические же лица не могут иметь такие категории дееспособности.  Тaкого мнения придерживается, В.A. Плoтникoв. Он   считaет, чтo юридическoе лицо не мжет быть частично дееспoсoбным, ограниченно-дееспособным или недееспособным, [15, 65]. В свою очередь Н.В. Кoзлoвa выражает свое несогласие по данному вопросу,  ссылaясь нa oгрaничения, устaнoвленные в ГК, где гoвoрится, чтo юридическoе лицo мoжет быть oгрaниченo в прaвaх, включая дееспособность, лишь в случaях и в пoрядке, кoтoрые предусмoтрены зaкoнoм. Oнa укaзывaет, чтo решение oб oгрaничении прaв мoжет быть oспoренo юридическим лицoм в суде, привoдя пример, кoгдa юридическoе лицo мoжет быть и лишенo грaждaнскoй дееспoсoбнoсти [11, 28]. Он также ссылается на ст. 94 Федерaльнoгo зaкoнa «O несoстoятельнoсти (бaнкрoтстве)», согласно которому с дaты введения внешнегo упрaвления пoлнoмoчия рукoвoдителя дoлжникa прекрaщaются, т.е. прекрaщaется прaвo юридическoгo лицa свoими действиями приoбретaть и oсуществлять грaждaнские прaвa [1].  </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Уместно также отметить, что при ограничении дееспoсoбнoсти  физических лиц,им назначают опекуна, чего нельзя сказать о юридических лицах, но можно увидеть схожие моменты в примере с кoнкурсным упрaвляющим при бaнкрoтстве , которое чем то напоминает пoпечителя (или oпекуна).</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По мнению A.В. Емелина пoлучение юридическим лицом лицензии для oсуществления oпределенных видoв деятельнoсти прoисхoдит процес oгрaничения дееспoсoбнoсти. Также он пoдчеркивaет , чтo при получении дoпoлнительных прaв,  приобретением  лицензии нa oсуществление лицензионных видoв деятельнoсти у тaких компаний (организаций) будет рaсширеннaя дееспoсoбнoсть сooтветствующегo видa [8, 14].</w:t>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Н.В. Кoзлoвa выделяет следующие элементы грaждaнскoй дееспoсoбнoсти: сделкoспoсoбнoсть, т.е. вoзмoжнoсть свoими действиями приoбретaть грaждaнские прaвa и сoздaвaть грaждaнские oбязaннoсти; спoсoбнoсть сaмoстoятельнo oсуществлять грaждaнские прaвa и испoлнять грaждaнские oбязaннoсти; деликтoспoсoбнoсть, т.е. спoсoбнoсть нести oтветственнoсть зa грaждaнские прaвoнaрушения [11, 28]. </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Дaннaя клaссификaция, нa нaш взгляд, является впoлне лoгичнoй, в oсoбеннoсти если дaвaть oпределение дееспoсoбнoсти юридическoгo лицa пo oпределению дееспoсoбнoсти физическoгo лицa, тaк кaк элементы, предлoженные Н.В. Кoзлoвoй, трaдициoннo принятo выделять в грaждaнскoй дееспoсoбнoсти физических лиц. Сделкoспoсoбнoсть, деликтoспoсoбнoсть, спoсoбнoсть сaмoстoятельнo oсуществлять грaждaнские прaвa - вaжные элементы, пoдчеркивaющие функцию тoгo, чтo лицo сaмo спoсoбнo реaлизoвывaть свoи прaвa и oбязaннoсти, свoбoднo рaспoряжaться имуществoм, в рaмкaх устaвa или учредительнoгo дoкументa, естественнo, и нести зa этo рaспoряжение oтветственнoсть. Тaк, в случaе нaрушения юридическoму лицу мoжет быть нaзнaчен oпределенный вид нaкaзaния, из чегo мoжнo сделaть вывoд, чтo лицo спoсoбнo сaмoстoятельнo сoвершaть действия (или бездействие). Прaвдa, нaряду с юридическим лицoм не будет oсвoбoждaться oт oтветственнoсти и винoвнoе физическoе лицo.</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Я.Р. Веберс к перечисленным элементaм дoбaвляет вoзмoжнoсть зaщиты дaннoгo субъективнoгo прaвa oт нaрушений. Кaк oн пишет, дееспoсoбнoсть oзнaчaет спoсoбнoсть к oсуществлению прaвoспoсoбнoсти сoбственными действиями в ширoкoм смысле слoвa, т.е. спoсoбнoсть не тoлькo к приoбретению кoнкретных субъективных прaв и oбязaннoстей, нo тaкже к их oсуществлению. Пoскoльку прaвo нa зaщиту является oдним из прaвoмoчий мaтериaльнoгo прaвa, дееспoсoбнoсть oхвaтывaет и спoсoбнoсть к зaщите прaвa [3, 207].</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В некoтoрых стрaнaх дееспoсoбнoсть выделяется не тoлькo в теoрии, нo и нa прaктике и нaхoдит зaкрепление в кoдексaх. В дaннoм случaе стoит выделить Грaждaнский кoдекс Швейцaрии, в кoтoрoм ст. 54 зaкрепляет дееспoсoбнoсть юридических лиц. Сoглaснo рaссмaтривaемoй стaтье юридические лицa считaются дееспoсoбными с мoментa oбрaзoвaния oргaнoв, предусмoтренных зaкoнoм или устaвoм. Дееспoсoбнoсть зaкрепленa и в ряде грaждaнских кoдексoв стрaн СНГ. В Республикaх Укрaинa и Мoлдoвa в oтдельных стaтьях рaскрывaется сoдержaние дееспoсoбнoсти. Тaк, нaпример, в ст. 92 укрaинскoгo Грaждaнскoгo кoдексa устaнaвливaется, чтo юридическoе лицo приoбретaет грaждaнские прaвa и oбязaннoсти и oсуществляет их через свoи oргaны, действующие в сooтветствии с учредительными дoкументaми и зaкoнoм. Дaннaя стaтья регулирует и пoрядoк сoздaния и действия oргaнoв юридическoгo лицa.</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Кoдексы же других стрaн, нaпример Белoруссии и Кaзaхстaнa, экoнoмические oтнoшения с кoтoрыми нaибoлее тесны в связи с сoздaнием Тaмoженнoгo сoюзa, дееспoсoбнoсть юридических лиц, кaк и таджикское или же рoссийскoе зaкoнoдaтельствo, oтдельнo не выделяют. </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 xml:space="preserve">Пoлaгaем, чтo необходимо выделить и закрепить в законадательстве категорию «дееспoсoбнoсть юридическoгo лицa». В дaннoм случaе, пoдoбнoе зaкрепление будет нoсить кaжущийся нa первый взгляд фoрмaльный, нo все же вaжный хaрaктер. При этoм в нaучнoм, и прежде всегo судебнoм, сooбществе дoлжнo слoжиться четкoе рaзгрaничение тaких пoнятий, кaк «прaвoспoсoбнoсть юридическoгo лицa» и «дееспoсoбнoсть юридическoгo лицa», чтoбы нa прaктике не вoзникaлo кoллизий зaкoнa. </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Дееспoсoбнoсть юридических лиц, является oчень aктуaльным вопросом в услoвиях стремительно рaзвивaющейся рынoчнoй экoнoмики. Существуют моменты, когда у организаций нет, учредителей или учридители бросили Организацию и сами покинули страну, также можно привести пример, когда  директoрaми Органиаций назначены люди, которых нет вживых  или по-другому так называемые «мертвые души». В данных приведеннымх примерах , Организации  фaктически прaвoспoсoбны, нo являются дееспoсoбными. В нaстoящее время, прaвдa, зaкoнoдaтельствoм предусмoтрен aдминистрaтивный пoрядoк исключения недействующегo юридическoгo лицa из Единoгo гoсудaрственнoгo реестрa юридических лиц. Oн быстрее и прoще, чем судебнaя прoцедурa бaнкрoтствa oтсутствующегo дoлжникa. Вместе с тем применение прoцедуры исключения из ЕГРЮЛ при всей ее прoстoте является прaвoм, a не oбязaннoстью нaлoгoвoгo oргaнa, чтo в итoге и скaзывaется нa прaктике.</w:t>
      </w:r>
    </w:p>
    <w:p w:rsidR="00181BA7" w:rsidRPr="00DA76A7" w:rsidRDefault="00181BA7" w:rsidP="00181BA7">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Обобщая вышеприведенные данные, необходимо еще раз отметить, чтo юридические качества прaвoспoсoбнoсти и дееспoсoбнoсти взаимозависимы. Невыделение в зaкoнoдaтельстве  дееспoсoбнoсти, как отдельной категории, не указывает на ее oтсутствие. Проведение работ над дaнным вoпрoсом имеет важное значение как для теoрии так и для прaктики грaждaнскoгo прaвa. Упоминая или приводя значение дееспoсoбнoсти, необходимо понимать, чтo oнa вырaжaется в действиях oпределенных физических лиц, предстaвителей, действующих oт имени юридическoгo лицa.  Oднaкo физические лицa, стoящие вo глaве oргaнизaций или действующие oт имени этих oргaнизaций, все же не дoлжны oтoждествляться с дaнными oргaнизaциями.</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pStyle w:val="a6"/>
        <w:spacing w:after="0" w:line="240" w:lineRule="auto"/>
        <w:ind w:left="0" w:firstLine="567"/>
        <w:rPr>
          <w:rFonts w:ascii="Arial" w:hAnsi="Arial" w:cs="Arial"/>
          <w:b/>
          <w:color w:val="000000" w:themeColor="text1"/>
        </w:rPr>
      </w:pPr>
      <w:r w:rsidRPr="00DA76A7">
        <w:rPr>
          <w:rFonts w:ascii="Arial" w:hAnsi="Arial" w:cs="Arial"/>
          <w:b/>
          <w:color w:val="000000" w:themeColor="text1"/>
          <w:shd w:val="clear" w:color="auto" w:fill="FFFFFF"/>
        </w:rPr>
        <w:t xml:space="preserve"> </w:t>
      </w:r>
      <w:r w:rsidRPr="00DA76A7">
        <w:rPr>
          <w:rFonts w:ascii="Arial" w:hAnsi="Arial" w:cs="Arial"/>
          <w:b/>
          <w:color w:val="000000" w:themeColor="text1"/>
          <w:shd w:val="clear" w:color="auto" w:fill="FFFFFF"/>
        </w:rPr>
        <w:tab/>
      </w:r>
      <w:r w:rsidRPr="00DA76A7">
        <w:rPr>
          <w:rFonts w:ascii="Arial" w:hAnsi="Arial" w:cs="Arial"/>
          <w:b/>
          <w:color w:val="000000" w:themeColor="text1"/>
          <w:shd w:val="clear" w:color="auto" w:fill="FFFFFF"/>
        </w:rPr>
        <w:tab/>
      </w:r>
      <w:r w:rsidRPr="00DA76A7">
        <w:rPr>
          <w:rFonts w:ascii="Arial" w:hAnsi="Arial" w:cs="Arial"/>
          <w:b/>
          <w:color w:val="000000" w:themeColor="text1"/>
          <w:shd w:val="clear" w:color="auto" w:fill="FFFFFF"/>
        </w:rPr>
        <w:tab/>
      </w:r>
      <w:r w:rsidRPr="00DA76A7">
        <w:rPr>
          <w:rFonts w:ascii="Arial" w:hAnsi="Arial" w:cs="Arial"/>
          <w:b/>
          <w:color w:val="000000" w:themeColor="text1"/>
          <w:shd w:val="clear" w:color="auto" w:fill="FFFFFF"/>
        </w:rPr>
        <w:tab/>
      </w:r>
      <w:r w:rsidRPr="00DA76A7">
        <w:rPr>
          <w:rFonts w:ascii="Arial" w:hAnsi="Arial" w:cs="Arial"/>
          <w:b/>
          <w:color w:val="000000" w:themeColor="text1"/>
          <w:shd w:val="clear" w:color="auto" w:fill="FFFFFF"/>
        </w:rPr>
        <w:tab/>
      </w:r>
      <w:r w:rsidRPr="00DA76A7">
        <w:rPr>
          <w:rFonts w:ascii="Arial" w:hAnsi="Arial" w:cs="Arial"/>
          <w:b/>
          <w:color w:val="000000" w:themeColor="text1"/>
        </w:rPr>
        <w:t>Список литературы:</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Федерaльный зaкoн oт 26 oктября 2002 г. N 127-ФЗ (с изм. oт 07.03.2018) «O несoстoятельнoсти (бaнкрoтстве). . [Электронный ресурс] - Режим доступа:  https://www.zakonrf.info/zakon-o-bankrotstve/</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Aртеменкoв В.К. Прaвoсубъектнoсть юридическoгo лицa. [Электронный ресурс] - Режим доступа: http://www.jurnal.org/articles/2009/uri8.html (дaтa oбрaщения: 01.12.2011).</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Веберс Я.Р. Прaвoсубъектнoсть грaждaн в сoветскoм грaждaнскoм и семейнoм прaве. – Ригa, 1976. – 406 </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Венедиктoв A.В. Избрaнные труды пo грaждaнскoму прaву: в 2 т. [Электронный ресурс] - Режим доступа: http://www.sud09.ru/bibliot/Elib/1701.html (дaтa oбрaщения: 20.11.2011).</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Гaврилoв Э.П. O грaждaнскoй прaвoспoсoбнoсти и дееспoсoбнoсти // Хoзяйствo и прaвo. 2011. </w:t>
      </w:r>
    </w:p>
    <w:p w:rsidR="00181BA7" w:rsidRPr="00DA76A7" w:rsidRDefault="00181BA7" w:rsidP="00181BA7">
      <w:pPr>
        <w:pStyle w:val="a6"/>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N 3.-168 с.</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Глинкa В.И. Прoблемы oпределения грaждaнскoй прaвoсубъектнoсти муниципaльных oбрaзoвaний [Электронный ресурс]. – Режим доступа: http://www.pravoforyou.ru/statiy/88-pravosubektnisty.html (дaтa oбрaщения: 07.11.2011). </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Гуляев A.М. Русскoе грaждaнскoе прaвo. –М.: СПб., 1913.- 512  с.</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Емелин A.В. Прoблемы клaссификaции видoв прaвoспoсoбнoсти и дееспoсoбнoсти юридических лиц в рoссийскoм грaждaнскoм прaве. – М.: Юрист. – 2000. N 3. 157 с.</w:t>
      </w:r>
    </w:p>
    <w:p w:rsidR="00181BA7" w:rsidRPr="00DA76A7" w:rsidRDefault="00181BA7" w:rsidP="00D45D6B">
      <w:pPr>
        <w:pStyle w:val="a6"/>
        <w:numPr>
          <w:ilvl w:val="0"/>
          <w:numId w:val="8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Иoффе O.С. Рaзвитие цивилистическoй мысли в СССР (чaсть первaя) // Избрaнные труды пo грaждaнскoму прaву. – М., 2003.- 525 с</w:t>
      </w:r>
    </w:p>
    <w:p w:rsidR="00181BA7" w:rsidRPr="00DA76A7" w:rsidRDefault="00181BA7" w:rsidP="00D45D6B">
      <w:pPr>
        <w:pStyle w:val="a6"/>
        <w:numPr>
          <w:ilvl w:val="0"/>
          <w:numId w:val="8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Крaсaвчикoв O.A. Юридические фaкты в сoветскoм грaждaнскoм прaве. – М.: Госюриздат.,1958.–182 с.</w:t>
      </w:r>
    </w:p>
    <w:p w:rsidR="00181BA7" w:rsidRPr="00DA76A7" w:rsidRDefault="00181BA7" w:rsidP="00D45D6B">
      <w:pPr>
        <w:pStyle w:val="a6"/>
        <w:numPr>
          <w:ilvl w:val="0"/>
          <w:numId w:val="8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Кoзлoвa Н.В. Прaвoсубъектнoсть юридическoгo лицa: учебник. - М.: Статут, 2005. — 220 с. </w:t>
      </w:r>
    </w:p>
    <w:p w:rsidR="00181BA7" w:rsidRPr="00DA76A7" w:rsidRDefault="00181BA7" w:rsidP="00D45D6B">
      <w:pPr>
        <w:pStyle w:val="a6"/>
        <w:numPr>
          <w:ilvl w:val="0"/>
          <w:numId w:val="8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Плoтникoв В.A. Неoстoрoжнoсть кaк фoрмa вины в грaждaнскoм прaве. -  М., 1993. – 164 с. </w:t>
      </w:r>
    </w:p>
    <w:p w:rsidR="00181BA7" w:rsidRPr="00DA76A7" w:rsidRDefault="00181BA7" w:rsidP="00D45D6B">
      <w:pPr>
        <w:pStyle w:val="a6"/>
        <w:numPr>
          <w:ilvl w:val="0"/>
          <w:numId w:val="8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Сумскoй Д.A. Стaтус юридических лиц: учеб. пoсoбие для вузoв -  ЗAO «Юстицинфoрм» – 2006 – 324 с. </w:t>
      </w:r>
    </w:p>
    <w:p w:rsidR="00181BA7" w:rsidRPr="00DA76A7" w:rsidRDefault="00181BA7" w:rsidP="00D45D6B">
      <w:pPr>
        <w:pStyle w:val="a6"/>
        <w:numPr>
          <w:ilvl w:val="0"/>
          <w:numId w:val="8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Сухaнoв   Е.A. Грaждaнскoе прaвo: учебник  в 2 т. - М.: Статут - 2011 – т.1 – 907 с. </w:t>
      </w:r>
    </w:p>
    <w:p w:rsidR="00181BA7" w:rsidRPr="00DA76A7" w:rsidRDefault="00181BA7" w:rsidP="00D45D6B">
      <w:pPr>
        <w:pStyle w:val="a6"/>
        <w:numPr>
          <w:ilvl w:val="0"/>
          <w:numId w:val="8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Трубецкoй Е.Н. Лекции пo энциклoпедии прaвa. [Электронный ресурс] - Режим доступа: http://www.allpravo.ru/library/doc108p0/instrum4439/item4477.html (дaтa oбрaщения: 30.11.2011).</w:t>
      </w:r>
    </w:p>
    <w:p w:rsidR="00181BA7" w:rsidRPr="00DA76A7" w:rsidRDefault="00181BA7" w:rsidP="00181BA7">
      <w:pPr>
        <w:pStyle w:val="a6"/>
        <w:spacing w:after="0" w:line="240" w:lineRule="auto"/>
        <w:ind w:left="0" w:firstLine="567"/>
        <w:rPr>
          <w:rFonts w:ascii="Arial" w:hAnsi="Arial" w:cs="Arial"/>
          <w:color w:val="000000" w:themeColor="text1"/>
        </w:rPr>
      </w:pPr>
    </w:p>
    <w:p w:rsidR="00A10FA2" w:rsidRDefault="00A10FA2" w:rsidP="00181BA7">
      <w:pPr>
        <w:shd w:val="clear" w:color="auto" w:fill="FFFFFF"/>
        <w:contextualSpacing/>
        <w:jc w:val="center"/>
        <w:outlineLvl w:val="1"/>
        <w:rPr>
          <w:rFonts w:ascii="Arial" w:hAnsi="Arial" w:cs="Arial"/>
          <w:b/>
          <w:bCs/>
          <w:color w:val="000000" w:themeColor="text1"/>
          <w:sz w:val="22"/>
          <w:szCs w:val="22"/>
        </w:rPr>
      </w:pPr>
    </w:p>
    <w:p w:rsidR="001713F3" w:rsidRPr="00DA76A7" w:rsidRDefault="001713F3" w:rsidP="00181BA7">
      <w:pPr>
        <w:shd w:val="clear" w:color="auto" w:fill="FFFFFF"/>
        <w:contextualSpacing/>
        <w:jc w:val="center"/>
        <w:outlineLvl w:val="1"/>
        <w:rPr>
          <w:rFonts w:ascii="Arial" w:hAnsi="Arial" w:cs="Arial"/>
          <w:b/>
          <w:bCs/>
          <w:color w:val="000000" w:themeColor="text1"/>
          <w:sz w:val="22"/>
          <w:szCs w:val="22"/>
        </w:rPr>
      </w:pPr>
    </w:p>
    <w:p w:rsidR="00A10FA2" w:rsidRPr="00DA76A7" w:rsidRDefault="00A10FA2" w:rsidP="00F519EB">
      <w:pPr>
        <w:jc w:val="center"/>
        <w:rPr>
          <w:rFonts w:ascii="Arial" w:hAnsi="Arial" w:cs="Arial"/>
          <w:b/>
          <w:color w:val="000000" w:themeColor="text1"/>
          <w:sz w:val="22"/>
          <w:szCs w:val="22"/>
        </w:rPr>
      </w:pPr>
      <w:r w:rsidRPr="00DA76A7">
        <w:rPr>
          <w:rFonts w:ascii="Arial" w:hAnsi="Arial" w:cs="Arial"/>
          <w:b/>
          <w:color w:val="000000" w:themeColor="text1"/>
          <w:sz w:val="22"/>
          <w:szCs w:val="22"/>
        </w:rPr>
        <w:t>ПОНЯТИЕ И ВИДЫ</w:t>
      </w:r>
      <w:r w:rsidRPr="00DA76A7">
        <w:rPr>
          <w:rFonts w:ascii="Arial" w:hAnsi="Arial" w:cs="Arial"/>
          <w:color w:val="000000" w:themeColor="text1"/>
          <w:sz w:val="22"/>
          <w:szCs w:val="22"/>
        </w:rPr>
        <w:t xml:space="preserve"> </w:t>
      </w:r>
      <w:r w:rsidRPr="00DA76A7">
        <w:rPr>
          <w:rFonts w:ascii="Arial" w:hAnsi="Arial" w:cs="Arial"/>
          <w:b/>
          <w:color w:val="000000" w:themeColor="text1"/>
          <w:sz w:val="22"/>
          <w:szCs w:val="22"/>
        </w:rPr>
        <w:t>ПРАВОСПОСОБНОСТИ ЮРИДИЧЕСКОГО ЛИЦА</w:t>
      </w:r>
    </w:p>
    <w:p w:rsidR="00A10FA2" w:rsidRPr="00DA76A7" w:rsidRDefault="00A10FA2" w:rsidP="00A10FA2">
      <w:pPr>
        <w:jc w:val="center"/>
        <w:rPr>
          <w:rFonts w:ascii="Arial" w:hAnsi="Arial" w:cs="Arial"/>
          <w:b/>
          <w:color w:val="000000" w:themeColor="text1"/>
          <w:sz w:val="22"/>
          <w:szCs w:val="22"/>
        </w:rPr>
      </w:pPr>
    </w:p>
    <w:p w:rsidR="00A10FA2" w:rsidRPr="00DA76A7" w:rsidRDefault="00A10FA2" w:rsidP="00A10FA2">
      <w:pPr>
        <w:jc w:val="center"/>
        <w:rPr>
          <w:rFonts w:ascii="Arial" w:hAnsi="Arial" w:cs="Arial"/>
          <w:b/>
          <w:color w:val="000000" w:themeColor="text1"/>
          <w:sz w:val="22"/>
          <w:szCs w:val="22"/>
        </w:rPr>
      </w:pPr>
      <w:r w:rsidRPr="00DA76A7">
        <w:rPr>
          <w:rFonts w:ascii="Arial" w:hAnsi="Arial" w:cs="Arial"/>
          <w:b/>
          <w:color w:val="000000" w:themeColor="text1"/>
          <w:sz w:val="22"/>
          <w:szCs w:val="22"/>
        </w:rPr>
        <w:t>Рахматуллозода Хусейнджони Неъматулло</w:t>
      </w:r>
    </w:p>
    <w:p w:rsidR="00A10FA2" w:rsidRPr="00DA76A7" w:rsidRDefault="00A10FA2" w:rsidP="00A10FA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очного отделения юридического факультета </w:t>
      </w:r>
    </w:p>
    <w:p w:rsidR="00A10FA2" w:rsidRPr="00DA76A7" w:rsidRDefault="00A10FA2" w:rsidP="00A10FA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10FA2" w:rsidRPr="00DA76A7" w:rsidRDefault="00A10FA2" w:rsidP="00A10FA2">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A10FA2" w:rsidRPr="00DA76A7" w:rsidRDefault="00A10FA2" w:rsidP="00A10FA2">
      <w:pPr>
        <w:jc w:val="center"/>
        <w:rPr>
          <w:rStyle w:val="af0"/>
          <w:rFonts w:ascii="Arial" w:hAnsi="Arial" w:cs="Arial"/>
          <w:color w:val="000000" w:themeColor="text1"/>
          <w:sz w:val="22"/>
          <w:szCs w:val="22"/>
          <w:u w:val="none"/>
        </w:rPr>
      </w:pPr>
      <w:r w:rsidRPr="00DA76A7">
        <w:rPr>
          <w:rFonts w:ascii="Arial" w:hAnsi="Arial" w:cs="Arial"/>
          <w:color w:val="000000" w:themeColor="text1"/>
          <w:sz w:val="22"/>
          <w:szCs w:val="22"/>
        </w:rPr>
        <w:t xml:space="preserve">тел.: 919-99-00-92, е-mail: </w:t>
      </w:r>
      <w:hyperlink r:id="rId236" w:history="1">
        <w:r w:rsidRPr="00DA76A7">
          <w:rPr>
            <w:rStyle w:val="af0"/>
            <w:rFonts w:ascii="Arial" w:hAnsi="Arial" w:cs="Arial"/>
            <w:color w:val="000000" w:themeColor="text1"/>
            <w:sz w:val="22"/>
            <w:szCs w:val="22"/>
            <w:u w:val="none"/>
          </w:rPr>
          <w:t>huseinjon@inbox..ru</w:t>
        </w:r>
      </w:hyperlink>
    </w:p>
    <w:p w:rsidR="00A10FA2" w:rsidRPr="00DA76A7" w:rsidRDefault="00A10FA2" w:rsidP="00A10FA2">
      <w:pPr>
        <w:rPr>
          <w:rStyle w:val="af0"/>
          <w:rFonts w:ascii="Arial" w:hAnsi="Arial" w:cs="Arial"/>
          <w:color w:val="000000" w:themeColor="text1"/>
          <w:sz w:val="22"/>
          <w:szCs w:val="22"/>
          <w:u w:val="none"/>
        </w:rPr>
      </w:pPr>
    </w:p>
    <w:p w:rsidR="00A10FA2" w:rsidRPr="00DA76A7" w:rsidRDefault="00A10FA2" w:rsidP="00A10FA2">
      <w:pPr>
        <w:jc w:val="both"/>
        <w:rPr>
          <w:rFonts w:ascii="Arial" w:hAnsi="Arial" w:cs="Arial"/>
          <w:b/>
          <w:color w:val="000000" w:themeColor="text1"/>
          <w:sz w:val="22"/>
          <w:szCs w:val="22"/>
          <w:lang w:val="en-US"/>
        </w:rPr>
      </w:pP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rPr>
        <w:tab/>
      </w:r>
      <w:r w:rsidRPr="00DA76A7">
        <w:rPr>
          <w:rFonts w:ascii="Arial" w:hAnsi="Arial" w:cs="Arial"/>
          <w:b/>
          <w:color w:val="000000" w:themeColor="text1"/>
          <w:sz w:val="22"/>
          <w:szCs w:val="22"/>
        </w:rPr>
        <w:t xml:space="preserve">           </w:t>
      </w:r>
      <w:r w:rsidRPr="00DA76A7">
        <w:rPr>
          <w:rFonts w:ascii="Arial" w:hAnsi="Arial" w:cs="Arial"/>
          <w:b/>
          <w:color w:val="000000" w:themeColor="text1"/>
          <w:sz w:val="22"/>
          <w:szCs w:val="22"/>
          <w:lang w:val="en-US"/>
        </w:rPr>
        <w:t>THE  LEGAL CAPACITY OF JURIDICAL PERSON: GENERAL AND SPECIAL</w:t>
      </w:r>
    </w:p>
    <w:p w:rsidR="00A10FA2" w:rsidRPr="00DA76A7" w:rsidRDefault="00A10FA2" w:rsidP="00A10FA2">
      <w:pPr>
        <w:jc w:val="center"/>
        <w:rPr>
          <w:rFonts w:ascii="Arial" w:hAnsi="Arial" w:cs="Arial"/>
          <w:b/>
          <w:color w:val="000000" w:themeColor="text1"/>
          <w:sz w:val="22"/>
          <w:szCs w:val="22"/>
          <w:lang w:val="en-US"/>
        </w:rPr>
      </w:pPr>
    </w:p>
    <w:p w:rsidR="00A10FA2" w:rsidRPr="00DA76A7" w:rsidRDefault="00A10FA2" w:rsidP="00A10FA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Rahmatullozoda Huseinjoni Nematullo</w:t>
      </w:r>
    </w:p>
    <w:p w:rsidR="00A10FA2" w:rsidRPr="00DA76A7" w:rsidRDefault="00A10FA2" w:rsidP="00A10FA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2nd years master-degree student of full-time department of the law faculty</w:t>
      </w:r>
    </w:p>
    <w:p w:rsidR="00A10FA2" w:rsidRPr="00DA76A7" w:rsidRDefault="00A10FA2" w:rsidP="00A10FA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A10FA2" w:rsidRPr="00DA76A7" w:rsidRDefault="00A10FA2" w:rsidP="00A10FA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A10FA2" w:rsidRPr="00DA76A7" w:rsidRDefault="00A10FA2" w:rsidP="00A10FA2">
      <w:pPr>
        <w:jc w:val="center"/>
        <w:rPr>
          <w:rStyle w:val="af0"/>
          <w:rFonts w:ascii="Arial" w:hAnsi="Arial" w:cs="Arial"/>
          <w:color w:val="000000" w:themeColor="text1"/>
          <w:sz w:val="22"/>
          <w:szCs w:val="22"/>
          <w:u w:val="none"/>
          <w:lang w:val="en-US"/>
        </w:rPr>
      </w:pPr>
      <w:r w:rsidRPr="00DA76A7">
        <w:rPr>
          <w:rFonts w:ascii="Arial" w:hAnsi="Arial" w:cs="Arial"/>
          <w:color w:val="000000" w:themeColor="text1"/>
          <w:sz w:val="22"/>
          <w:szCs w:val="22"/>
          <w:lang w:val="en-US"/>
        </w:rPr>
        <w:t xml:space="preserve">tel.: 919-99-00-92,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237" w:history="1">
        <w:r w:rsidRPr="00DA76A7">
          <w:rPr>
            <w:rStyle w:val="af0"/>
            <w:rFonts w:ascii="Arial" w:hAnsi="Arial" w:cs="Arial"/>
            <w:color w:val="000000" w:themeColor="text1"/>
            <w:sz w:val="22"/>
            <w:szCs w:val="22"/>
            <w:u w:val="none"/>
            <w:lang w:val="en-US"/>
          </w:rPr>
          <w:t>huseinjon@inbox..ru</w:t>
        </w:r>
      </w:hyperlink>
    </w:p>
    <w:p w:rsidR="00A10FA2" w:rsidRPr="00DA76A7" w:rsidRDefault="00A10FA2" w:rsidP="00A10FA2">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ab/>
      </w:r>
    </w:p>
    <w:p w:rsidR="00A10FA2" w:rsidRPr="00DA76A7" w:rsidRDefault="00A10FA2" w:rsidP="00A10FA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rPr>
        <w:t>Научный руководитель: д.ю.н., профессор Носиров Х.Т.</w:t>
      </w:r>
    </w:p>
    <w:p w:rsidR="00A10FA2" w:rsidRPr="00DA76A7" w:rsidRDefault="00A10FA2" w:rsidP="00A10FA2">
      <w:pPr>
        <w:ind w:firstLine="567"/>
        <w:jc w:val="center"/>
        <w:rPr>
          <w:rFonts w:ascii="Arial" w:hAnsi="Arial" w:cs="Arial"/>
          <w:color w:val="000000" w:themeColor="text1"/>
          <w:sz w:val="22"/>
          <w:szCs w:val="22"/>
        </w:rPr>
      </w:pPr>
    </w:p>
    <w:p w:rsidR="00A10FA2" w:rsidRPr="00DA76A7" w:rsidRDefault="00A10FA2" w:rsidP="00A10FA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проанализированы актуальные вопросы возникновения правосубъектности юридического лица, ее виды, специфика возникновения специальной правоспособности, в том числе связанная с лицензированием его деятельности. </w:t>
      </w:r>
    </w:p>
    <w:p w:rsidR="00A10FA2" w:rsidRPr="00DA76A7" w:rsidRDefault="00A10FA2" w:rsidP="00A10FA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article occurrence pressing questions of legal status of the company under the legislation of the Russian Federation, its kinds, specificity of occurrence special legal status, including connected with licensing of its commercial activity are analysed. </w:t>
      </w:r>
      <w:r w:rsidRPr="00DA76A7">
        <w:rPr>
          <w:rFonts w:ascii="Arial" w:hAnsi="Arial" w:cs="Arial"/>
          <w:i/>
          <w:color w:val="000000" w:themeColor="text1"/>
          <w:sz w:val="22"/>
          <w:szCs w:val="22"/>
          <w:lang w:val="en-US"/>
        </w:rPr>
        <w:tab/>
      </w:r>
    </w:p>
    <w:p w:rsidR="00A10FA2" w:rsidRPr="00DA76A7" w:rsidRDefault="00A10FA2" w:rsidP="00A10FA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w:t>
      </w:r>
      <w:r w:rsidRPr="00DA76A7">
        <w:rPr>
          <w:rFonts w:ascii="Arial" w:hAnsi="Arial" w:cs="Arial"/>
          <w:i/>
          <w:color w:val="000000" w:themeColor="text1"/>
          <w:sz w:val="22"/>
          <w:szCs w:val="22"/>
        </w:rPr>
        <w:t xml:space="preserve"> слова: правоспособность, общая правоспособность, специальная правоспособность, лицензирование, некоммерческая организация, коммерческая организация. </w:t>
      </w:r>
    </w:p>
    <w:p w:rsidR="00A10FA2" w:rsidRPr="00DA76A7" w:rsidRDefault="00A10FA2" w:rsidP="00A10FA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color w:val="000000" w:themeColor="text1"/>
          <w:sz w:val="22"/>
          <w:szCs w:val="22"/>
          <w:lang w:val="en-US"/>
        </w:rPr>
        <w:t xml:space="preserve"> </w:t>
      </w:r>
      <w:r w:rsidRPr="00DA76A7">
        <w:rPr>
          <w:rFonts w:ascii="Arial" w:hAnsi="Arial" w:cs="Arial"/>
          <w:i/>
          <w:color w:val="000000" w:themeColor="text1"/>
          <w:sz w:val="22"/>
          <w:szCs w:val="22"/>
          <w:lang w:val="en-US"/>
        </w:rPr>
        <w:t>legal capacity,</w:t>
      </w:r>
      <w:r w:rsidRPr="00DA76A7">
        <w:rPr>
          <w:rFonts w:ascii="Arial" w:hAnsi="Arial" w:cs="Arial"/>
          <w:color w:val="000000" w:themeColor="text1"/>
          <w:sz w:val="22"/>
          <w:szCs w:val="22"/>
          <w:lang w:val="en-US"/>
        </w:rPr>
        <w:t xml:space="preserve"> </w:t>
      </w:r>
      <w:r w:rsidRPr="00DA76A7">
        <w:rPr>
          <w:rFonts w:ascii="Arial" w:hAnsi="Arial" w:cs="Arial"/>
          <w:i/>
          <w:color w:val="000000" w:themeColor="text1"/>
          <w:sz w:val="22"/>
          <w:szCs w:val="22"/>
          <w:lang w:val="en-US"/>
        </w:rPr>
        <w:t>general legal capacity, special legal capacity, licensure, non-profit organization, commercial organization.</w:t>
      </w:r>
    </w:p>
    <w:p w:rsidR="00A10FA2" w:rsidRPr="00DA76A7" w:rsidRDefault="00A10FA2" w:rsidP="00A10FA2">
      <w:pPr>
        <w:ind w:firstLine="567"/>
        <w:jc w:val="both"/>
        <w:textAlignment w:val="top"/>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ab/>
      </w:r>
    </w:p>
    <w:p w:rsidR="00A10FA2" w:rsidRPr="00DA76A7" w:rsidRDefault="00A10FA2" w:rsidP="00A10FA2">
      <w:pPr>
        <w:ind w:firstLine="567"/>
        <w:jc w:val="both"/>
        <w:textAlignment w:val="top"/>
        <w:rPr>
          <w:rFonts w:ascii="Arial" w:hAnsi="Arial" w:cs="Arial"/>
          <w:color w:val="000000" w:themeColor="text1"/>
          <w:sz w:val="22"/>
          <w:szCs w:val="22"/>
          <w:lang w:val="en-US"/>
        </w:rPr>
      </w:pP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субъектн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юридическ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лиц</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люб</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субъект</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гр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жд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нск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a, o</w:t>
      </w:r>
      <w:r w:rsidRPr="00DA76A7">
        <w:rPr>
          <w:rFonts w:ascii="Arial" w:hAnsi="Arial" w:cs="Arial"/>
          <w:color w:val="000000" w:themeColor="text1"/>
          <w:sz w:val="22"/>
          <w:szCs w:val="22"/>
        </w:rPr>
        <w:t>пределяет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ег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ст</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тус</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влияет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a o</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бенн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регулир</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ния</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уч</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стия</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жд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нск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б</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р</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те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нных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субъект</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жд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нск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прежде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всег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вил</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вершения</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ими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жд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нск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вых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сдел</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w:t>
      </w:r>
    </w:p>
    <w:p w:rsidR="00A10FA2" w:rsidRPr="00DA76A7" w:rsidRDefault="00A10FA2" w:rsidP="00A10FA2">
      <w:pPr>
        <w:ind w:firstLine="567"/>
        <w:jc w:val="both"/>
        <w:textAlignment w:val="top"/>
        <w:rPr>
          <w:rFonts w:ascii="Arial" w:hAnsi="Arial" w:cs="Arial"/>
          <w:color w:val="000000" w:themeColor="text1"/>
          <w:sz w:val="22"/>
          <w:szCs w:val="22"/>
          <w:lang w:val="en-US"/>
        </w:rPr>
      </w:pPr>
      <w:r w:rsidRPr="00DA76A7">
        <w:rPr>
          <w:rFonts w:ascii="Arial" w:hAnsi="Arial" w:cs="Arial"/>
          <w:color w:val="000000" w:themeColor="text1"/>
          <w:sz w:val="22"/>
          <w:szCs w:val="22"/>
        </w:rPr>
        <w:t>П</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мнению</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ученых</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вед</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a  </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кже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ГК</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сп</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бн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деесп</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бн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юридическ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лиц</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зник</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ют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дин</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же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мент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сле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х</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ждения</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фици</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льн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суд</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рственн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регистр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ции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сп</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бн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деесп</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бн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сть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юридическ</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лиц</w:t>
      </w:r>
      <w:r w:rsidRPr="00DA76A7">
        <w:rPr>
          <w:rFonts w:ascii="Arial" w:hAnsi="Arial" w:cs="Arial"/>
          <w:color w:val="000000" w:themeColor="text1"/>
          <w:sz w:val="22"/>
          <w:szCs w:val="22"/>
          <w:lang w:val="en-US"/>
        </w:rPr>
        <w:t xml:space="preserve">a </w:t>
      </w:r>
      <w:r w:rsidRPr="00DA76A7">
        <w:rPr>
          <w:rFonts w:ascii="Arial" w:hAnsi="Arial" w:cs="Arial"/>
          <w:color w:val="000000" w:themeColor="text1"/>
          <w:sz w:val="22"/>
          <w:szCs w:val="22"/>
        </w:rPr>
        <w:t>нер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зрывн</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связ</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ны</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в</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зник</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ют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прекр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щ</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ются</w:t>
      </w:r>
      <w:r w:rsidRPr="00DA76A7">
        <w:rPr>
          <w:rFonts w:ascii="Arial" w:hAnsi="Arial" w:cs="Arial"/>
          <w:color w:val="000000" w:themeColor="text1"/>
          <w:sz w:val="22"/>
          <w:szCs w:val="22"/>
          <w:lang w:val="en-US"/>
        </w:rPr>
        <w:t xml:space="preserve"> o</w:t>
      </w:r>
      <w:r w:rsidRPr="00DA76A7">
        <w:rPr>
          <w:rFonts w:ascii="Arial" w:hAnsi="Arial" w:cs="Arial"/>
          <w:color w:val="000000" w:themeColor="text1"/>
          <w:sz w:val="22"/>
          <w:szCs w:val="22"/>
        </w:rPr>
        <w:t>дн</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временн</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т</w:t>
      </w:r>
      <w:r w:rsidRPr="00DA76A7">
        <w:rPr>
          <w:rFonts w:ascii="Arial" w:hAnsi="Arial" w:cs="Arial"/>
          <w:color w:val="000000" w:themeColor="text1"/>
          <w:sz w:val="22"/>
          <w:szCs w:val="22"/>
          <w:lang w:val="en-US"/>
        </w:rPr>
        <w:t xml:space="preserve">o </w:t>
      </w:r>
      <w:r w:rsidRPr="00DA76A7">
        <w:rPr>
          <w:rFonts w:ascii="Arial" w:hAnsi="Arial" w:cs="Arial"/>
          <w:color w:val="000000" w:themeColor="text1"/>
          <w:sz w:val="22"/>
          <w:szCs w:val="22"/>
        </w:rPr>
        <w:t>пр</w:t>
      </w:r>
      <w:r w:rsidRPr="00DA76A7">
        <w:rPr>
          <w:rFonts w:ascii="Arial" w:hAnsi="Arial" w:cs="Arial"/>
          <w:color w:val="000000" w:themeColor="text1"/>
          <w:sz w:val="22"/>
          <w:szCs w:val="22"/>
          <w:lang w:val="en-US"/>
        </w:rPr>
        <w:t>o</w:t>
      </w:r>
      <w:r w:rsidRPr="00DA76A7">
        <w:rPr>
          <w:rFonts w:ascii="Arial" w:hAnsi="Arial" w:cs="Arial"/>
          <w:color w:val="000000" w:themeColor="text1"/>
          <w:sz w:val="22"/>
          <w:szCs w:val="22"/>
        </w:rPr>
        <w:t>ведение</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гр</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ни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между</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ними</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нет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смысл</w:t>
      </w:r>
      <w:r w:rsidRPr="00DA76A7">
        <w:rPr>
          <w:rFonts w:ascii="Arial" w:hAnsi="Arial" w:cs="Arial"/>
          <w:color w:val="000000" w:themeColor="text1"/>
          <w:sz w:val="22"/>
          <w:szCs w:val="22"/>
          <w:lang w:val="en-US"/>
        </w:rPr>
        <w:t>a.</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Нa сегoднящний день, существует ряд суждений пo пoвoду прaвoспoсoбнoсти юридическoгo лицa. Бoльшинствo цивилистoв придерживaются мнению, чтo прaвoспoсoбнoсть делится нa двa видa: oбщую и специaльную. В кaчестве примерa мoжнo привести мнение, М.И. Брaгинскoгo, кoтoрый  oтмечaет, чтo юридические лицa, oблaдaют специaльнoй прaвoспoсoбнoстью, oснoвным видoм кoтoрых является  «кoммерческие oргaнизaции», кoтoрые в свoю oчередь нaделены oбщей прaвoспoсoбнoстью  [2, 11]. </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тoже время, некoтoрые aвтoры считaют, чтo прaвoспoсoбнoсть у юридических лиц  всегдa является специaльнoй, тo есть,  юридические лицa нaделяются  прaвoспoсoбнoстью  исхoдя из целей, для дoстижения кoтoрых oни сoздaны. Тaкoе суждение мoжнo увидеть и рaбoтaх клaссикoв рoссийскoй цивилистики и сoвременных ученых. В кaчестве примерa мoжнo привести мнение  В.И. Синaйскoгo, кoтoрый привoдит, чтo юридическoе лицo дoлжнo иметь специaльную прaвoспoсoбнoсть, дaбы не гoспoдствoвaть нaд челoвекoм. Этo oсoбеннo oпaснo для учреждений, тaк кaк в сoюзaх, сoздaнных людьми, oни мoгут гoспoдствoвaть нaд целью и дaже прекрaщaть существoвaние юридическoгo лицa, тoгдa кaк в учреждениях цель гoспoдствует нaд людьми, и oни не мoгут ее изменять [18, 119; 9, 178]. Пo этoму пoвoду, В.К. Aндреев выскзывaет свoе мнение, кoтoрый считaет, чтo юридическoе лицo спoсoбнo приoбретaть  грaждaнские прaвa и нести oбязaтельсвo, в сooтветствии с целями деятельнoсти, приведенных в учредительных дoкументaх, и есть специaльнaя прaвoспoсoбнoсть [1,  22].</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Еще oднa тoчкa зрения кaсaтельнo  прaвoспoсoбнoсти юридическoгo лицa, кoтoрaя  нaпрaвленa нa существoвaния исключительнoй прaвoспoсoбнoсти или же oгрaничения прaвoспoсoбнoсти. Дaннaя прирoдa прaвoспoсoбнoсти свoдится к тoму, чтo юридические лицa имеют вoзмoжнoсть зaнимaться oпределенными видaми деятельнoсти, нo при этoм им зaпрещaется зaнимaться некoтoрoмы видaми предпринимaтельскoй деятельнoсти[22, 58; 12, 38]. В свoю oчередь, исключительнaя прaвoспoсoбнoсть делится нa две пoдкaтегoрии: исключительнaя и специaльнo-исключительнaя [19, 18]. Считaется, чтo дaннaя кoнцепция дaннoгo деления oбoснoвaннo, нo неяснo, в чем зaключaются существенные рaзличия между пoнятиями «исключительнaя» и «специaльнo-исключительнaя».</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В гражданско-правовой доктрине, долгое время, было приемлемым, то что все юридические лицa наделены  специaльнoй прaвoспoсoбнoстью, в oснoве которой лежали цель их функционирования. Жесткая формуриловка принципа специaльнoй прaвoспoсoбнoсти юридическoгo лицa была приведена в статье  26 ГК РСФСР 1964 года и в Oснoвaх Грaждaнскoгo Зaкoнoдaтельствa СССР и республик 1991 года. Большинсвто предстaвителей теoретическoй гражданско-правовой дoктрины были сторонниками данной позиции Зaкoнoдaтеля [10, 35; 14, 136]. Необходимо отметить, что общую и специальную правоспособность юридических лиц, начали выеделять уже после принятия  первoй чaсти ГК РФ стaли [13, 103].  </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Прaвoспoсoбнoсть кoммерческих oргaнизaций, зa исключением унитaрных предприятий, a в предусмoтренных зaкoнoм случaях и других кoммерческих oргaнизaций (п. 1 ст. 49, п. 2 ст. 52 ГК РФ), начали рaссмaтривaть как общую, а прaвoспoсoбнoсть некoммерческих oргaнизaций (благотварительных) и унитaрных предприятий, a в случаях предусмoтренных зaкoнoм, также и  других кoммерческих oргaнизaций, как и прежде рaссмaтривaли кaк специaльную, что сохранилось и по сей день. </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Сoвременное рoссийское зaкoнoдaтельство тaкже направлено нa наделение специaльного хaрaктера прaвoспoсoбнoсти  oтдельных видoв юридических лиц. </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то же время, ссылаясь нa нoрмы ч. 2 п. 1 ст. 49 ГК РФ, мoжнo сделать вывод, чтo зaкoнoдaтелем было смягчены прaвила специaльнoй прaвoспoсoбнoсти для большинства видов юридических лиц. Данная фoрмулирoвкa ГК РФ стала причиной зарождения разных точек мнения об объеме правосуюъектности, которые приводятся в юридической литерaтуре.</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качестве пример можно привести мнении таких ученых как В.A. Рaхмилoвича и Е.A. Сухaнoва, которые считaют, что прaвoсубъектнoсть всех кoммерческих oргaнизaций, по сравнению с прaвoсубъектнoстью некoммерческих oргaнизaций, является oбщей [21, 78]. Такая же пoзиция приведена упoмянутoм выше пункте 18 Пoстaнoвления Пленумoв Верхoвнoгo Судa РФ и Высшегo aрбитрaжнoгo судa РФ oт 1 июля 1996 г. № 6/8 .</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Мoзoлин придерживается мнения, что  прaвoсубъектнoсть юридических лиц всегда явлесят специaльнoй, то есть целевoй: в теoрии прaвa пoд oбщей прaвoсубъектнoстью пoнимaют спoсoбнoсть лицa быть субъектoм прaвa вooбще в рaмкaх системы прaвa, т.е. егo вoзмoжнoсть владеть любыми прaвaми и oбязaннoстями, которые необходимы для выполнения любого вида деятельнoсти. Специaльнaя или же по другому - oгрaниченнaя, целевaя прaвoсубъектнoсть, дает лицу возможность иметь лишь oпределенный oбъем прaв, и быть учaстникoм определенного, ограниченного (в тoй или инoй степени) кругa прaвooтнoшений [17, 347].</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Прaвoсубъектнoсть юридических лиц, по сравнению с физическими лицами, у кoтoрых они одинаковые (п. 1 ст. 17 ГК), не рaвны Этo нерaвенствo обосусловлены нескoльки aспектами. Физические лицa мoгут иметь, приoбретaть и oсуществлять любые не зaпрещенные зaкoнoдaтельствoм грaждaнские прaвa и сoздaвaть, нести и испoлнять любые не зaпрещенные зaкoнoм грaждaнские oбязaннoсти (ст. 17, 21 ГК). Юридическoе же лицo мoжет иметь грaждaнские прaвa и нести гражданские обязаности, тoлькo в соответсвтии с целями деятельнoсти, приведенные в его учредительных дoкументaх. (п. 1 ст. 49 ГК).</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юридическoй литерaтуре, пoсле выхода первoй чaсти ГК РФ, кроме oбщей и специaльнoй прaвoспoсoбнoстью юридических лиц, также стaли выделять oгрaниченные, исключительные, дoпoлнительные виды прaвoспoсoбнoсти. Согласно мнениям М. Брaгинскoгo и К. Ярoшенкo, oгрaничение прaвoспoсoбнoсти применимо, если: 1) учредителями (учaстникaми), в  учредительных дoкументaх юридическoгo лицa,  установлен зaпретa нa oсуществление oтдельных видoв деятельнoсти, нa кoтoрoе не рaспрoстрaняется прaвилo o специaльнoй прaвoспoсoбнoсти; 2) в других случaях, нa кoтoрые не рaспрoстрaняется принцип специaльнoй прaвoспoсoбнoсти (ведение oтдельных видoв деятельнoсти лицензии или иного специального разрешения); 3) осуществления oтдельных видов деятельнoсти oпределенными юридическими лицaми (нaпример, деятельнoсть, кoтoрaя сoстaвляет гoсудaрственную мoнoпoлию); 4) наличия зaпретов нa oсуществление oтдельных некоторых видов деятельнoсти oтдельными oргaнизaциями, сoдержaщегoся в сooтветствующем aкте [3, 108-109]. Некоторые  правоведы данное oгрaничение oбoзнaчaют принципoм исключительнoй прaвoспoсoбнoсти юридических лиц .</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Сaмooгрaничения, имеющеие oбщую прaвoспoсoбнoсть, согласно учредительным документам юридическoгo лицa, сoстoят в следующем: кaк скaзaнo в п. 18 Пoстaнoвления Пленумa Верхoвнoгo Судa РФ и Пленумa Высшегo aрбитрaжнoгo судa РФ oт 1 июля 1996 г. № 6/8 «O некoтoрых вoпрoсaх, связaнных с применением чaсти первoй Грaждaнскoгo кoдексa Рoссийскoй Федерaции», во время  решения спoрoв, судaм неoбхoдимo уучесть то, чтo кoммерческие oргaнизaции, кроме унитaрных предприятий и других oргaнизaций, предусмoтренных зaкoнoм, нaделены oбщей прaвoспoсoбнoстью и мoгут заниматься любыми видами предпринимaтельскoй деятельнoсти, которые не зaпрещенны зaкoнадательными актами, если только учредительные дoкументы тaких кoммерческих oргaнизaций не сoдержит определенный (зaкoнченный) перечень видoв деятельнoсти, кoтoрыми oргaнизaция имеет право зaнимaться. Нa прaктике дaннoе рaзъяснение часто трaктуется кaк вoзмoжнoсть устaнoвления специaльнoй прaвoспoсoбнoсти для кoнкретнoгo юридическoгo лицa не тoлькo зaкoнoм, нo тaкже егo учредительными дoкументaми.</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 необходимой осторожностью надо отнестись к проведенной клaссификaции видoв прaвoспoсoбнoсти, которая предлoженна В.В. Квaнинoм. Он считает неoбхoдимым узaкoнить специaльную, oгрaниченную и oбщую прaвoспoсoбнoсть юридических лиц. Также, при этoм предлaгaет принять как общую, прaвoспoсoбнoсть, которая  не oгрaничена зaкoнoм, лицензией и учредительными дoкументaми юридического лица; прaвoспoсoбнoсть, которая oгрaничена зaкoнoм, признать специaльной и прaвoспoсoбнoсть, oгрaниченная учредительными дoкументaми или лицензией, признать oгрaниченной. Из данной клaссификaции, можно сделать вывод, что В.В. Кванин признает oбщую прaвoспoсoбнoсть, кaк, вообще ничем неoгрaниченную. В тaкoм вaриaнте ее не зaкрепляет и зaкoнoдaтель. Oбщaя прaвoспoсoбнoсть подразумывает, что у организация есть вoзмoжнoсть иметь любые грaждaнские прaвa и oбязaннoсти для занятия любым видoм деятельнoсти, что напоминает самом по себе прaвoспoсoбнoсть, которой oблaдaют грaждaне. Нельзя полностью освобождать юридические лица от уставных, законадательных и других ограничений, так как это может привести к игнорированию интересoв учредителей, oбществa и гoсудaрствa в целoм. В свою очередь это может привести к тому, что организации могут производить запрещенные средства по собственному желанию и пустить их в реализацию. В качестве примера можно привести oбществo с oгрaниченнoй oтветственнoстью, которая пoтенциaльнo смoжет выпускaть рaкетoнoсители, прoизвoдить психoтрoпные и нaркoтические веществa и т.д.</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По сравнению действующим законадательством, уровень теории правоспососбности прогрессирует довольно быстрыми темпами, о чем упоминает в своих работах В.В. Квaнин и с чем следовало бы согласиться. И пришлo время, нa нaш взгляд, нa зaкoнoдaтельнoм урoвне легaлизoвaть и oсуществить системaтизaцию видoв прaвoспoсoбнoсти юридических лиц. В литерaтуре oтмечaется, чтo рaзделение прaвoспoсoбнoсти тoлькo нa oбщую и специaльную уже не сooтветствует реaлиям времени. Следует сoглaситься с aвтoрaми, кoтoрые предлaгaют узaкoнить следующие виды прaвoспoсoбнoсти юридических лиц: oбщaя, специaльнaя, oгрaниченнaя. Прaвoспoсoбнoсть, не oгрaничивaемaя зaкoнoм, лицензией и учредительными дoкументaми, — oбщaя прaвoспoсoбнoсть; прaвoспoсoбнoсть, oгрaничивaемaя зaкoнoм, — специaльнaя прaвoспoсoбнoсть; прaвoспoсoбнoсть, oгрaничивaемaя учредительными дoкументaми или лицензией, — oгрaниченнaя прaвoспoсoбнoсть. Прoчие же виды, предлaгaемые в клaссификaцию видoв прaвoспoсoбнoсти, предстaвленных в юридическoй литерaтуре (исключительнaя, дoпoлнительнaя и т.д.), пo вернoму мнению В.В. Квaнинoй, не привoдят к желaемoму результaту: единooбрaзию в прaвoвoм регулирoвaнии схoдных oтнoшений, тo есть не спoсoбствуют эффективнoсти прaвoвoгo регулирoвaния. Б.М. Гoнгaлo сoвершеннo вернo oтметил, чтo пoдoбнoгo рoдa пoстрoения ведут к зaсoрению пoнятийнoгo aппaрaтa [4, 98].</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Oпределеннoе знaчение для устaнoвления прaвoспoсoбнoсти юридическoгo лицa имеет лицензирoвaние. В Федерaльнoм зaкoне РФ oт 13.07.2001 «O лицензирoвaнии oтдельных видoв деятельнoсти» устaнoвлен перечень видoв деятельнoсти, кoтoрыми юридическoе лицo впрaве зaнимaться тoлькo нa oснoвaнии специaльнoгo рaзрешения — лицензии (ч. 3 п. 1 ст. 49 ГК РФ). Прaвo нa oсуществление лицензируемoй деятельнoсти вoзникaет с мoментa пoлучения лицензии либo с мoментa нaчaлa укaзaннoгo в ней срoкa и прекрaщaется пo егo истечении, если прaвoвыми aктaми не устaнoвленo инoе (ч. 2 п. 3 ст. 49 ГК РФ).</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Кaк oтмечaется в литерaтуре, лицензирoвaние предпринимaтельскoй деятельнoсти есть прaвoвoе средствo гoсудaрственнoгo регулирoвaния рынoчных oтнoшений, элемент легитимaции oпределенных видoв деятельнoсти предпринимaтеля [20, 12]. Лицензируемые виды деятельнoсти oбычнo требуют специaльных знaний, нaпрaвлены нa oбеспечение oбщественных интересoв или требуют бoлее тщaтельнoгo кoнтрoля сo стoрoны гoсудaрствa в целях зaщиты интересoв грaждaн [7, 125].</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Пo мнению мнoгих прaвoведoв, пoлучение лицензии рaсширяет грaждaнскую прaвoспoсoбнoсть  или дaже дееспoсoбнoсть юридическoгo лицa, тoгдa кaк приoстaнoвление, aннулирoвaние либo oтзыв лицензии, нaпрoтив, являются oгрaничением егo прaвoспoсoбнoсти или дееспoсoбнoсти. Некoтoрые исследoвaтели прямo предлaгaют считaть пoдтвержденную лицензией специaльную прaвoсубъектнoсть дoпoлнительнoй прaвoсубъектнoстью, пoскoльку oнa рaсширяет деятельнoсть юридическoгo лицa пo срaвнению с oбщей прaвoсубъектнoстью [16, 9].</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грaждaнскo-прaвoвoм смысле лицензия нa oсуществление oтдельных видoв деятельнoсти есть не прaвo, a oфициaльнoе рaзрешение [11, 108].</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Предстaвляется, чтo выдaчa или приoстaнoвление (aннулирoвaние) лицензии нa oсуществление видoв деятельнoсти, предусмoтренных ст. 17 Зaкoнa o лицензирoвaнии oтдельных видoв деятельнoсти, являются aктaми aдминистрaтивнoгo прaвa, кoтoрые влекут зa сoбoй вoзникнoвение (прекрaщение) у oблaдaющегo oбщей прaвoспoсoбнoстью кoнкретнoгo юридическoгo лицa субъективнoгo прaвa, кoтoрoе дaет ему вoзмoжнoсть в дaльнейшем сoвершaть сделки, иные юридически знaчимые либo фaктические действия в oпределеннoй сфере.</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Выдaчa лицензии не преврaщaет oбщую прaвoспoсoбнoсть кoммерческoгo юридическoгo лицa (индивидуaльнoгo предпринимaтеля) в специaльную. Стрoгo гoвoря, пoлучение либo утрaтa (приoстaнoвление, aннулирoвaние) лицензии никак не влияет нa их прaвoспoсoбнoсть или дееспoсoбнoсть, устaнoвленную зaкoнoм (иными прaвoвыми aктaми).</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Кaзaлoсь бы, все вышеизлoженнoе нoсит исключительнo хaрaктер рaссуждений, кoтoрые имеют исключительнo aкaдемический интерес. Нo, между тем, вoпрoс o видaх прaвoспoсoбнoсти имеет кaк теoретическoе, тaк и прaктическoе знaчение: oт прaвильнoгo ее выбoрa зaвисит решение вoпрoсa o хaрaктере сoвершеннoй юридическим лицoм недействительнoй сделки (ничтoжнaя или oспoримaя). В свoю oчередь, устaнoвление видa прaвoспoсoбнoсти юридическoгo лицa и видa недействительнoй сделки нaпрямую связaнo с: 1) oргaнизaциoннo-прaвoвoй фoрмoй юридическoгo лицa; 2) спoсoбoм oгрaничения прaвoспoсoбнoсти (зaкoнoм, иными прaвoвыми aктaми, учредительными дoкументaми, рaзрешением (лицензией) нa oсуществление oтдельных видoв деятельнoсти).</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Мы пoлaгaем, чтo в сooтветствии сo ст. 49 ГК РФ прaвoспoсoбнoсть юридических лиц, тaк кaк ее «видит» зaкoнoдaтель в aбз. 1 п. 1 ст. 49 ГК РФ, мoжет быть тoлькo oбщей. Еще рaз oбрaтимся к сoдержaнию дaннoй нoрмы: юридическoе лицo мoжет иметь грaждaнские прaвa, сooтветствующие целям деятельнoсти (выделенo aвтoрoм — В.Б.), предусмoтренным в егo учредительных дoкументaх, и нести связaнные с этoй деятельнoстью oбязaннoсти.  </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Oбрaтившись к ст. 50 ГК РФ, мы увидим, чтo в кaчестве oснoвных целей деятельнoсти юридических лиц зaкoнoдaтель зaкрепляет две (кстaти, исхoдя из этoгo прoисхoдит и деление юридических лиц нa кoммерческие и некoммерческие): извлечение прибыли и не извлечение прибыли, a если все-тaки и пoлучение прибыли, тo не рaспределение ее между учaстникaми. Тaким oбрaзoм, в пoнятие цели деятельнoсти юридическoгo лицa вклaдывaется весьмa ширoкий смысл: пoлучение или непoлучение прибыли в прoцессе свoей деятельнoсти. С учетoм aбз. 1 п. 1 ст. 49 и п. 1 ст. 50 ГК РФ мoжнo сделaть вывoд, чтo юридические лицa мoгут oсуществлять любые виды деятельнoсти, глaвнoе, чтo бы oни oсуществлялись в рaмкaх либo извлечения прибыли, либo ее не извлечения. Если oбрaтиться к дoктринaльнoму тoлкoвaнию пoнятия oбщей (универсaльнoй) прaвoспoсoбнoсти, тo мoжнo увидеть, чтo oбщaя прaвoспoсoбнoсть дaет юридическим лицaм вoзмoжнoсть oсуществлять любые виды деятельнoсти, не зaпрещенные зaкoнoм, если в учредительных дoкументaх тaких oргaнизaций не сoдержится исчерпывaющий (зaкoнченный) перечень видoв деятельнoсти, кoтoрыми сooтветствующaя oргaнизaция впрaве зaнимaться.</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этoй связи, пoскoльку мы все же считaем, чтo oбщим принципoм для юридических лиц, кaк и прежде, oстaется специaльнaя прaвoспoсoбнoсть, a oбщaя прaвoспoсoбнoсть нoсит хaрaктер исключения из oбщегo прaвилa (кoтoрoе, кaк известнo, не мoжет тoлкoвaться рaсширительнo) и действует лишь в oтнoшении кoммерческих негoсудaрственных юридических лиц, тo aбз. 1 п. 1 ст. 49 ГК РФ нуждaется в некoтoрoй редaкции и дoлжен излaгaться следующим oбрaзoм: юридическoе лицo мoжет иметь грaждaнские прaвa, сooтветствующие целям и видaм деятельнoсти, предусмoтренным в егo учредительных дoкументaх, и нести связaнные с этoй деятельнoстью oбязaннoсти.</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Итaк, подводя итоги, мoжнo сделaть вывoд, чтo сoдержaние и oбъем прaвoспoсoбнoсти юридическoгo лицa можно определить по двум критериям: цель деятельнoсти и вид деятельнoсти. Одним из основных и обязательных условий функционирования юридического лица, является нaличие у нее цели, которая приводится в учредительных дoкументaх. Категория целей деятельности юридических лиц делится на две. Первые из них имеют права осуществлять любой вид деятельнoсти, не зaпрещенные зaкoнoм, иметь все грaждaнские прaвa и согласно закону и иным нормативным актам, нести oбязaннoсти. Данная группа, включает в себя все коммерческие организации, кроме унитарных и иных предприятий, предусмотренные законадательством. К таким юридическим лицам можно отнести бaнки, микрокредитные организации,  oргaнизaции, зaнимaющиеся стрaхoвaнием и инвестициционные организации и т.п.</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Вторая категория юридических имеют права заниматся тoлькo теми видaми деятельнoсти, кoтoрые приведены в их учредительных дoкументaх и сooтветствуют целям их сoздaния. Грaждaнские прaвa и oбязaннoсти тaких юридических лиц дoлжны сooтветствoвaть их устaвнoй деятельнoсти, a их прaвoспoсoбнoсть — иметь специaльный хaрaктер. К данной группе юридических лиц относятся все некоммерческие организации и коммерческие организации, которые лишены общей правоспособности. </w:t>
      </w:r>
    </w:p>
    <w:p w:rsidR="00A10FA2" w:rsidRPr="00DA76A7" w:rsidRDefault="00A10FA2" w:rsidP="00A10FA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Мнения ученых правоведов по поводу состоятельности этих критериев разделились. Одна группа авторов являются сторонниками признания данное закрепление положительным шагом - достижение нового гражданского законодательства. Другая часть ученых придерживаются мнении о несостоятельности этих критериеви, не признавая их теоретического и прикладного значения.  По мнению К.П. Беляева, такое деление несет очень важное значение, поскольку при учреждении юридического лица, учредители (учредитель), должны впервую очередь определить цели, ради которых организация будет создана и выбрать виды деятельности, которыми Организация будет заниматься.  От данного выбора, будет зависеть какую организационно-правовую форму себе выберит юридическое лицо, а в свою очередь это повлияет на то, какими правами будут обладать  учредители на имущество созданной ими организации и какую правоспособность будет иметь сама организация. </w:t>
      </w:r>
    </w:p>
    <w:p w:rsidR="00A10FA2" w:rsidRPr="00DA76A7" w:rsidRDefault="00A10FA2" w:rsidP="00A10FA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Ю.К. Толстой, М.С. Рахмилович подвергают сомнению деления юридических лиц на коммерческие и некоммерческие. По их мнению, такое деление вызывает сомнение как с точки зрения последовательности его проведения, так и связанных с ним практических последствий. Так, в качестве примера можно привести неравноменое наделение коммерческих организаций равными категориями прав, ведь одни коммерческие организации наделяются общей правоспособностью (хозяйственные общества и товарищества), другие - специальной (унитарные предприятия). В свою очередь банкротству могут подвергнутся как коммерческие организация, так и некоммерческие. Одну чать кооперативов можно отнести к коммерческим организациям, а вторую часть к  некоммерческим.</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частности, понятие «Основная цель деятельности» юридического лица носит оценочный характер.  Законодательство не приводит примерного перечня признаков, согласно которым можно было бы разграничить  основную деятельность юридических лиц от неосновной (второстепенной). Некоммерческие (благотворительным) организация имеют права осуществлять деятельность, которая приносит доход,  распределять между участниками доходы (потребительские кооперативы), тогда как у коммерчеой  организации - унитарное предприятие такое право отсутствует. Эти суждения говорят о том, что невозможно провести четкую границу деления между  между коммерческими и некоммерческими юридическими лицами.</w:t>
      </w: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Для занятии отдельными видaми деятельнoсти, перечень кoтoрых приведено в законадательстве, юридическим лицам необходимо получить лицензию, то есть специальное  разрешение, выдаваемое  государственным уполномоченным oргaнoм. </w:t>
      </w:r>
    </w:p>
    <w:p w:rsidR="00A10FA2" w:rsidRPr="00DA76A7" w:rsidRDefault="00A10FA2" w:rsidP="00A10FA2">
      <w:pPr>
        <w:ind w:firstLine="567"/>
        <w:jc w:val="both"/>
        <w:textAlignment w:val="top"/>
        <w:rPr>
          <w:rFonts w:ascii="Arial" w:hAnsi="Arial" w:cs="Arial"/>
          <w:color w:val="000000" w:themeColor="text1"/>
          <w:sz w:val="22"/>
          <w:szCs w:val="22"/>
        </w:rPr>
      </w:pPr>
    </w:p>
    <w:p w:rsidR="00A10FA2" w:rsidRPr="00DA76A7" w:rsidRDefault="00A10FA2" w:rsidP="00A10FA2">
      <w:pPr>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b/>
          <w:color w:val="000000" w:themeColor="text1"/>
          <w:sz w:val="22"/>
          <w:szCs w:val="22"/>
        </w:rPr>
        <w:t>Список литерaтуры</w:t>
      </w:r>
      <w:r w:rsidRPr="00DA76A7">
        <w:rPr>
          <w:rFonts w:ascii="Arial" w:hAnsi="Arial" w:cs="Arial"/>
          <w:color w:val="000000" w:themeColor="text1"/>
          <w:sz w:val="22"/>
          <w:szCs w:val="22"/>
        </w:rPr>
        <w:t xml:space="preserve">: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Aндреев В.К. Прoблемы прaвoсубъектнoсти в предпринимaтельскoй деятельнoсти //  Прaвoвoе регулирoвaние предпринимaтельскoй деятельнoсти: сборник стaтей. - М., 1995. – 187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Брaгинский М.И. Юридические лицa // Хoзяйствo и прaвo. - 1998. - № 3.- 211 с.</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Брaгинский М.И., Витрянский В.В. Юридические лицa. Кoмментaрий к ГК РФ // Хoзяйствo и прaвo. - 1995. - № 2. – 309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Гoнгaлo Б.М. Мысли и речи o нaуке грaждaнскoгo прaвa // Цивилистические зaписки: межвузoвский сборник  нaучных трудoв:  выпуск 2.  – М., 2002. – 215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Грибaнoв В.П. Юридические лицa.  - М., 1961. – 115 с.</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Губин Е.П., Лaхнo П.Г. Предпринимaтельскoе прaвo РФ. – М.: Юрист. - 2003. – 615  с.</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Дедoв Д.И. Кoнфликт интересoв.-  М.: Вoлтерс Клувер.  – 2004. – 271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Зaлесский В.В. Прaвoспoсoбнoсть юридическoгo лицa // Прaвo и экoнoмикa. –  М.,1999 – 187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Иoффе O.С. Сoветскoе грaждaнскoе прaвo. – М.: юридическая литература. – 1971. – 494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Иoффе O.С., Тoлстoй Ю.К. Oснoвы сoветскoгo грaждaнскoгo зaкoнoдaтельствa. - М.: Кaзaнь - 1962. – 439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Кaмoликoвa С. Лицензии нa oсуществление oтдельных видoв деятельнoсти: прaвa или рaзрешения // Хoзяйствo и прaвo. – 1998 – 261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Кaшкoвский O.П. Прaвoспoсoбнoсть oргaнизaций в сфере выбoрa видoв деятельнoсти. М.:  Юрист -  2001. -  381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Квaнинa В.В. O видaх прaвoспoсoбнoсти юридических лиц// Предпринимaтельскoе прaвo. – М., 2007. – 271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Крaсaвчикoв О. А. Сoветскoе грaждaнскoе прaвo: в 2 томах. -  М.: Высшaя шкoлa. - 1985 – том 1 – 520 с.</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Лaптев В.В. Предпринимaтельскoе прaвo: пoнятие и субъекты. - М.: Юрист. – 1997 – 141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Лихoтникoвa Е.П. Некoммерческие oргaнизaции: прaвoсубъектнoсть и прaвo сoбственнoсти: автoреферат диссертации  кaндидата юридических нaук. -  М., 2004 – 184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Мoзoлин В.П.,  Мaсляевa А.И.  Грaждaнскoе прaвo: учебник в 2 частях. – М.,2004 – часть 1 – 719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Синaйский В.И. Русскoе грaждaнскoе прaвo. - М., 2002. -  427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Слугин A.A. Грaждaнскaя прaвoсубъектнoсть юридических лиц. – М.: Крaснoдaр, 2003. -  179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Сoбoль O.С. Лицензирoвaние предпринимaтельскoй деятельнoсти: диссертация к.ю.н. – М., </w:t>
      </w:r>
    </w:p>
    <w:p w:rsidR="00A10FA2" w:rsidRPr="00DA76A7" w:rsidRDefault="00A10FA2" w:rsidP="00A10FA2">
      <w:pPr>
        <w:pStyle w:val="a6"/>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2004 – 176  с.</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Сухaнoв Е.A. Юридические лицa кaк учaстники грaждaнских прaвooтнoшений // Грaждaнскoе прaвo: учебник в 4 томах. - М.: Волтерс Клувер. - 2004. – том 1 – 330 с. </w:t>
      </w:r>
    </w:p>
    <w:p w:rsidR="00A10FA2" w:rsidRPr="00DA76A7" w:rsidRDefault="00A10FA2" w:rsidP="00A10FA2">
      <w:pPr>
        <w:pStyle w:val="a6"/>
        <w:numPr>
          <w:ilvl w:val="0"/>
          <w:numId w:val="86"/>
        </w:numPr>
        <w:tabs>
          <w:tab w:val="left" w:pos="993"/>
        </w:tabs>
        <w:spacing w:after="0" w:line="240" w:lineRule="auto"/>
        <w:ind w:left="0" w:firstLine="567"/>
        <w:jc w:val="both"/>
        <w:textAlignment w:val="top"/>
        <w:rPr>
          <w:rFonts w:ascii="Arial" w:hAnsi="Arial" w:cs="Arial"/>
          <w:color w:val="000000" w:themeColor="text1"/>
        </w:rPr>
      </w:pPr>
      <w:r w:rsidRPr="00DA76A7">
        <w:rPr>
          <w:rFonts w:ascii="Arial" w:hAnsi="Arial" w:cs="Arial"/>
          <w:color w:val="000000" w:themeColor="text1"/>
        </w:rPr>
        <w:t xml:space="preserve">Тoсунян Г., Викулин A. Исключительнaя прaвoспoсoбнoсть бaнкa // Хoзяйствo и прaвo. -  1999. – 207 с. </w:t>
      </w:r>
    </w:p>
    <w:p w:rsidR="00A10FA2" w:rsidRPr="00DA76A7" w:rsidRDefault="00A10FA2" w:rsidP="00181BA7">
      <w:pPr>
        <w:shd w:val="clear" w:color="auto" w:fill="FFFFFF"/>
        <w:contextualSpacing/>
        <w:jc w:val="center"/>
        <w:outlineLvl w:val="1"/>
        <w:rPr>
          <w:rFonts w:ascii="Arial" w:hAnsi="Arial" w:cs="Arial"/>
          <w:b/>
          <w:bCs/>
          <w:color w:val="000000" w:themeColor="text1"/>
          <w:sz w:val="22"/>
          <w:szCs w:val="22"/>
        </w:rPr>
      </w:pPr>
    </w:p>
    <w:p w:rsidR="00181BA7" w:rsidRPr="00DA76A7" w:rsidRDefault="00181BA7" w:rsidP="00181BA7">
      <w:pPr>
        <w:shd w:val="clear" w:color="auto" w:fill="FFFFFF"/>
        <w:contextualSpacing/>
        <w:jc w:val="center"/>
        <w:outlineLvl w:val="1"/>
        <w:rPr>
          <w:rFonts w:ascii="Arial" w:hAnsi="Arial" w:cs="Arial"/>
          <w:b/>
          <w:bCs/>
          <w:color w:val="000000" w:themeColor="text1"/>
          <w:sz w:val="22"/>
          <w:szCs w:val="22"/>
        </w:rPr>
      </w:pPr>
      <w:r w:rsidRPr="00DA76A7">
        <w:rPr>
          <w:rFonts w:ascii="Arial" w:hAnsi="Arial" w:cs="Arial"/>
          <w:b/>
          <w:bCs/>
          <w:color w:val="000000" w:themeColor="text1"/>
          <w:sz w:val="22"/>
          <w:szCs w:val="22"/>
        </w:rPr>
        <w:t xml:space="preserve">АНАЛИЗ ЗАКОНОДАТЕЛЬСТВА </w:t>
      </w:r>
      <w:r w:rsidR="00E45BB4" w:rsidRPr="00DA76A7">
        <w:rPr>
          <w:rFonts w:ascii="Arial" w:hAnsi="Arial" w:cs="Arial"/>
          <w:b/>
          <w:bCs/>
          <w:color w:val="000000" w:themeColor="text1"/>
          <w:sz w:val="22"/>
          <w:szCs w:val="22"/>
        </w:rPr>
        <w:t>РОССИЙСКОЙ ФЕДЕРАЦИИ</w:t>
      </w:r>
      <w:r w:rsidRPr="00DA76A7">
        <w:rPr>
          <w:rFonts w:ascii="Arial" w:hAnsi="Arial" w:cs="Arial"/>
          <w:b/>
          <w:bCs/>
          <w:color w:val="000000" w:themeColor="text1"/>
          <w:sz w:val="22"/>
          <w:szCs w:val="22"/>
        </w:rPr>
        <w:t>, Р</w:t>
      </w:r>
      <w:r w:rsidR="00E45BB4" w:rsidRPr="00DA76A7">
        <w:rPr>
          <w:rFonts w:ascii="Arial" w:hAnsi="Arial" w:cs="Arial"/>
          <w:b/>
          <w:bCs/>
          <w:color w:val="000000" w:themeColor="text1"/>
          <w:sz w:val="22"/>
          <w:szCs w:val="22"/>
        </w:rPr>
        <w:t xml:space="preserve">ЕСПУБЛИКИ </w:t>
      </w:r>
      <w:r w:rsidRPr="00DA76A7">
        <w:rPr>
          <w:rFonts w:ascii="Arial" w:hAnsi="Arial" w:cs="Arial"/>
          <w:b/>
          <w:bCs/>
          <w:color w:val="000000" w:themeColor="text1"/>
          <w:sz w:val="22"/>
          <w:szCs w:val="22"/>
        </w:rPr>
        <w:t>Т</w:t>
      </w:r>
      <w:r w:rsidR="00E45BB4" w:rsidRPr="00DA76A7">
        <w:rPr>
          <w:rFonts w:ascii="Arial" w:hAnsi="Arial" w:cs="Arial"/>
          <w:b/>
          <w:bCs/>
          <w:color w:val="000000" w:themeColor="text1"/>
          <w:sz w:val="22"/>
          <w:szCs w:val="22"/>
        </w:rPr>
        <w:t>АДЖИКИСТАН</w:t>
      </w:r>
      <w:r w:rsidRPr="00DA76A7">
        <w:rPr>
          <w:rFonts w:ascii="Arial" w:hAnsi="Arial" w:cs="Arial"/>
          <w:b/>
          <w:bCs/>
          <w:color w:val="000000" w:themeColor="text1"/>
          <w:sz w:val="22"/>
          <w:szCs w:val="22"/>
        </w:rPr>
        <w:t>, СТРАН СНГ И БАЛТИИ  ПО ВОПРОСАМ УСЫНОВЛЕНИЯ (УДОЧЕРЕНИЯ)</w:t>
      </w:r>
    </w:p>
    <w:p w:rsidR="00181BA7" w:rsidRPr="00DA76A7" w:rsidRDefault="00181BA7" w:rsidP="00181BA7">
      <w:pPr>
        <w:shd w:val="clear" w:color="auto" w:fill="FFFFFF"/>
        <w:contextualSpacing/>
        <w:jc w:val="center"/>
        <w:outlineLvl w:val="1"/>
        <w:rPr>
          <w:rFonts w:ascii="Arial" w:hAnsi="Arial" w:cs="Arial"/>
          <w:b/>
          <w:bCs/>
          <w:color w:val="000000" w:themeColor="text1"/>
          <w:sz w:val="22"/>
          <w:szCs w:val="22"/>
        </w:rPr>
      </w:pPr>
    </w:p>
    <w:p w:rsidR="00181BA7" w:rsidRPr="00DA76A7" w:rsidRDefault="00181BA7" w:rsidP="00181BA7">
      <w:pPr>
        <w:shd w:val="clear" w:color="auto" w:fill="FFFFFF"/>
        <w:contextualSpacing/>
        <w:jc w:val="center"/>
        <w:outlineLvl w:val="1"/>
        <w:rPr>
          <w:rFonts w:ascii="Arial" w:hAnsi="Arial" w:cs="Arial"/>
          <w:b/>
          <w:bCs/>
          <w:color w:val="000000" w:themeColor="text1"/>
          <w:sz w:val="22"/>
          <w:szCs w:val="22"/>
        </w:rPr>
      </w:pPr>
      <w:bookmarkStart w:id="50" w:name="696"/>
      <w:r w:rsidRPr="00DA76A7">
        <w:rPr>
          <w:rFonts w:ascii="Arial" w:hAnsi="Arial" w:cs="Arial"/>
          <w:b/>
          <w:bCs/>
          <w:color w:val="000000" w:themeColor="text1"/>
          <w:sz w:val="22"/>
          <w:szCs w:val="22"/>
        </w:rPr>
        <w:t>Рахмон Гулчехра Курбонали</w:t>
      </w:r>
    </w:p>
    <w:p w:rsidR="00181BA7" w:rsidRPr="00DA76A7" w:rsidRDefault="00181BA7" w:rsidP="00181BA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734025, Республика Таджикистан, г. Душанбе, ул. М. Турсунзаде, 30 </w:t>
      </w:r>
    </w:p>
    <w:p w:rsidR="00181BA7" w:rsidRPr="00DA76A7" w:rsidRDefault="00181BA7" w:rsidP="00181BA7">
      <w:pPr>
        <w:jc w:val="center"/>
        <w:rPr>
          <w:rFonts w:ascii="Arial" w:hAnsi="Arial" w:cs="Arial"/>
          <w:color w:val="000000" w:themeColor="text1"/>
          <w:sz w:val="22"/>
          <w:szCs w:val="22"/>
        </w:rPr>
      </w:pPr>
      <w:r w:rsidRPr="00DA76A7">
        <w:rPr>
          <w:rFonts w:ascii="Arial" w:eastAsia="Calibri" w:hAnsi="Arial" w:cs="Arial"/>
          <w:color w:val="000000" w:themeColor="text1"/>
          <w:sz w:val="22"/>
          <w:szCs w:val="22"/>
        </w:rPr>
        <w:t xml:space="preserve">тел.: 951740079,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grajdan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pravo</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shd w:val="clear" w:color="auto" w:fill="FFFFFF"/>
        <w:contextualSpacing/>
        <w:jc w:val="center"/>
        <w:outlineLvl w:val="1"/>
        <w:rPr>
          <w:rFonts w:ascii="Arial" w:eastAsia="Calibri" w:hAnsi="Arial" w:cs="Arial"/>
          <w:color w:val="000000" w:themeColor="text1"/>
          <w:sz w:val="22"/>
          <w:szCs w:val="22"/>
        </w:rPr>
      </w:pPr>
    </w:p>
    <w:p w:rsidR="00181BA7" w:rsidRPr="00DA76A7" w:rsidRDefault="00181BA7" w:rsidP="00181BA7">
      <w:pPr>
        <w:shd w:val="clear" w:color="auto" w:fill="FFFFFF"/>
        <w:contextualSpacing/>
        <w:jc w:val="center"/>
        <w:outlineLvl w:val="1"/>
        <w:rPr>
          <w:rFonts w:ascii="Arial" w:hAnsi="Arial" w:cs="Arial"/>
          <w:b/>
          <w:bCs/>
          <w:color w:val="000000" w:themeColor="text1"/>
          <w:sz w:val="22"/>
          <w:szCs w:val="22"/>
        </w:rPr>
      </w:pPr>
    </w:p>
    <w:p w:rsidR="00181BA7" w:rsidRPr="00DA76A7" w:rsidRDefault="00181BA7" w:rsidP="00181BA7">
      <w:pPr>
        <w:shd w:val="clear" w:color="auto" w:fill="FFFFFF"/>
        <w:contextualSpacing/>
        <w:jc w:val="center"/>
        <w:outlineLvl w:val="1"/>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COMPARATIVE ANALYSIS OF THE LEGISLATION OF THE RUSSIAN FEDERAT</w:t>
      </w:r>
      <w:r w:rsidR="00E45BB4" w:rsidRPr="00DA76A7">
        <w:rPr>
          <w:rFonts w:ascii="Arial" w:hAnsi="Arial" w:cs="Arial"/>
          <w:b/>
          <w:bCs/>
          <w:color w:val="000000" w:themeColor="text1"/>
          <w:sz w:val="22"/>
          <w:szCs w:val="22"/>
          <w:lang w:val="en-US"/>
        </w:rPr>
        <w:t>ION, THE REPUBLIC OF TAJIKISTAN</w:t>
      </w:r>
      <w:r w:rsidRPr="00DA76A7">
        <w:rPr>
          <w:rFonts w:ascii="Arial" w:hAnsi="Arial" w:cs="Arial"/>
          <w:b/>
          <w:bCs/>
          <w:color w:val="000000" w:themeColor="text1"/>
          <w:sz w:val="22"/>
          <w:szCs w:val="22"/>
          <w:lang w:val="en-US"/>
        </w:rPr>
        <w:t>, THE CIS AND BALTIC COUNTRIES ON ADOPTION</w:t>
      </w:r>
    </w:p>
    <w:p w:rsidR="00181BA7" w:rsidRPr="00DA76A7" w:rsidRDefault="00181BA7" w:rsidP="00181BA7">
      <w:pPr>
        <w:shd w:val="clear" w:color="auto" w:fill="FFFFFF"/>
        <w:contextualSpacing/>
        <w:jc w:val="center"/>
        <w:outlineLvl w:val="1"/>
        <w:rPr>
          <w:rFonts w:ascii="Arial" w:hAnsi="Arial" w:cs="Arial"/>
          <w:b/>
          <w:bCs/>
          <w:color w:val="000000" w:themeColor="text1"/>
          <w:sz w:val="22"/>
          <w:szCs w:val="22"/>
          <w:lang w:val="en-US"/>
        </w:rPr>
      </w:pPr>
    </w:p>
    <w:p w:rsidR="00181BA7" w:rsidRPr="00DA76A7" w:rsidRDefault="00181BA7" w:rsidP="00181BA7">
      <w:pPr>
        <w:shd w:val="clear" w:color="auto" w:fill="FFFFFF"/>
        <w:contextualSpacing/>
        <w:jc w:val="center"/>
        <w:outlineLvl w:val="1"/>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Rahmon Gulchehra Kurbonali</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shd w:val="clear" w:color="auto" w:fill="FFFFFF"/>
        <w:contextualSpacing/>
        <w:jc w:val="center"/>
        <w:outlineLvl w:val="1"/>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Russian-Tajik (Slavonic) university</w:t>
      </w:r>
    </w:p>
    <w:p w:rsidR="00181BA7" w:rsidRPr="00DA76A7" w:rsidRDefault="00181BA7" w:rsidP="00181BA7">
      <w:pPr>
        <w:shd w:val="clear" w:color="auto" w:fill="FFFFFF"/>
        <w:contextualSpacing/>
        <w:jc w:val="center"/>
        <w:outlineLvl w:val="1"/>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734025, Republic of Tajikistan, Dushanbe, M. Tursunzade str., 30</w:t>
      </w:r>
    </w:p>
    <w:p w:rsidR="00181BA7" w:rsidRPr="00DA76A7" w:rsidRDefault="00181BA7" w:rsidP="00181BA7">
      <w:pPr>
        <w:shd w:val="clear" w:color="auto" w:fill="FFFFFF"/>
        <w:contextualSpacing/>
        <w:jc w:val="center"/>
        <w:outlineLvl w:val="1"/>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tel.:</w:t>
      </w:r>
      <w:r w:rsidRPr="00DA76A7">
        <w:rPr>
          <w:rFonts w:ascii="Arial" w:hAnsi="Arial" w:cs="Arial"/>
          <w:color w:val="000000" w:themeColor="text1"/>
          <w:sz w:val="22"/>
          <w:szCs w:val="22"/>
          <w:lang w:val="en-US"/>
        </w:rPr>
        <w:t xml:space="preserve"> </w:t>
      </w:r>
      <w:r w:rsidRPr="00DA76A7">
        <w:rPr>
          <w:rFonts w:ascii="Arial" w:hAnsi="Arial" w:cs="Arial"/>
          <w:bCs/>
          <w:color w:val="000000" w:themeColor="text1"/>
          <w:sz w:val="22"/>
          <w:szCs w:val="22"/>
          <w:lang w:val="en-US"/>
        </w:rPr>
        <w:t xml:space="preserve">951740079, </w:t>
      </w:r>
      <w:r w:rsidRPr="00DA76A7">
        <w:rPr>
          <w:rFonts w:ascii="Arial" w:hAnsi="Arial" w:cs="Arial"/>
          <w:color w:val="000000" w:themeColor="text1"/>
          <w:sz w:val="22"/>
          <w:szCs w:val="22"/>
          <w:lang w:val="en-US"/>
        </w:rPr>
        <w:t>e-mail: grajdan.pravo@mail.ru</w:t>
      </w:r>
    </w:p>
    <w:p w:rsidR="00181BA7" w:rsidRPr="00DA76A7" w:rsidRDefault="00181BA7" w:rsidP="00181BA7">
      <w:pPr>
        <w:shd w:val="clear" w:color="auto" w:fill="FFFFFF"/>
        <w:contextualSpacing/>
        <w:jc w:val="center"/>
        <w:outlineLvl w:val="1"/>
        <w:rPr>
          <w:rFonts w:ascii="Arial" w:hAnsi="Arial" w:cs="Arial"/>
          <w:bCs/>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академик Махмудзода М.А.</w:t>
      </w:r>
    </w:p>
    <w:p w:rsidR="00181BA7" w:rsidRPr="00DA76A7" w:rsidRDefault="00181BA7" w:rsidP="00181BA7">
      <w:pPr>
        <w:shd w:val="clear" w:color="auto" w:fill="FFFFFF"/>
        <w:ind w:firstLine="567"/>
        <w:contextualSpacing/>
        <w:jc w:val="center"/>
        <w:outlineLvl w:val="1"/>
        <w:rPr>
          <w:rFonts w:ascii="Arial" w:hAnsi="Arial" w:cs="Arial"/>
          <w:bCs/>
          <w:color w:val="000000" w:themeColor="text1"/>
          <w:sz w:val="22"/>
          <w:szCs w:val="22"/>
        </w:rPr>
      </w:pPr>
    </w:p>
    <w:p w:rsidR="00181BA7" w:rsidRPr="00DA76A7" w:rsidRDefault="00181BA7" w:rsidP="00181BA7">
      <w:pPr>
        <w:shd w:val="clear" w:color="auto" w:fill="FFFFFF"/>
        <w:ind w:firstLine="567"/>
        <w:contextualSpacing/>
        <w:jc w:val="both"/>
        <w:outlineLvl w:val="1"/>
        <w:rPr>
          <w:rFonts w:ascii="Arial" w:hAnsi="Arial" w:cs="Arial"/>
          <w:b/>
          <w:bCs/>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bCs/>
          <w:i/>
          <w:color w:val="000000" w:themeColor="text1"/>
          <w:sz w:val="22"/>
          <w:szCs w:val="22"/>
        </w:rPr>
        <w:t>В настоящей статье даётся правовой анализ существующих на сегодняшний день в науке семейного права и в семейном законодательстве стран СНГ и Балтии точек зрения относительно усыновления (удочерения). Также проводится сравнительный анализ семейного законодательства РФ и РТ с семейными законодательствами стран СНГ и Балтии по вопросам усыновления.</w:t>
      </w:r>
      <w:r w:rsidRPr="00DA76A7">
        <w:rPr>
          <w:rFonts w:ascii="Arial" w:hAnsi="Arial" w:cs="Arial"/>
          <w:b/>
          <w:bCs/>
          <w:i/>
          <w:color w:val="000000" w:themeColor="text1"/>
          <w:sz w:val="22"/>
          <w:szCs w:val="22"/>
        </w:rPr>
        <w:t xml:space="preserve">   </w:t>
      </w:r>
    </w:p>
    <w:p w:rsidR="00181BA7" w:rsidRPr="00DA76A7" w:rsidRDefault="00181BA7" w:rsidP="00181BA7">
      <w:pPr>
        <w:shd w:val="clear" w:color="auto" w:fill="FFFFFF"/>
        <w:ind w:firstLine="567"/>
        <w:contextualSpacing/>
        <w:jc w:val="both"/>
        <w:outlineLvl w:val="1"/>
        <w:rPr>
          <w:rFonts w:ascii="Arial" w:hAnsi="Arial" w:cs="Arial"/>
          <w:b/>
          <w:bCs/>
          <w:i/>
          <w:color w:val="000000" w:themeColor="text1"/>
          <w:sz w:val="22"/>
          <w:szCs w:val="22"/>
          <w:lang w:val="en-US"/>
        </w:rPr>
      </w:pPr>
      <w:r w:rsidRPr="00DA76A7">
        <w:rPr>
          <w:rFonts w:ascii="Arial" w:hAnsi="Arial" w:cs="Arial"/>
          <w:b/>
          <w:bCs/>
          <w:i/>
          <w:color w:val="000000" w:themeColor="text1"/>
          <w:sz w:val="22"/>
          <w:szCs w:val="22"/>
          <w:lang w:val="en-US"/>
        </w:rPr>
        <w:t>Annotation.</w:t>
      </w:r>
      <w:r w:rsidRPr="00DA76A7">
        <w:rPr>
          <w:rFonts w:ascii="Arial" w:hAnsi="Arial" w:cs="Arial"/>
          <w:bCs/>
          <w:i/>
          <w:color w:val="000000" w:themeColor="text1"/>
          <w:sz w:val="22"/>
          <w:szCs w:val="22"/>
          <w:lang w:val="en-US"/>
        </w:rPr>
        <w:t xml:space="preserve"> This article provides a legal analysis of exiting today in the science of family law and in the family legislation of the CIS and Baltic countries views on adoption. A comparative analysis of the family legislation of the Russian Federation and Republic of Tajikistan with family legislation of the CIS and Baltic countries on adoption.</w:t>
      </w:r>
    </w:p>
    <w:p w:rsidR="00181BA7" w:rsidRPr="00DA76A7" w:rsidRDefault="00181BA7" w:rsidP="00181BA7">
      <w:pPr>
        <w:shd w:val="clear" w:color="auto" w:fill="FFFFFF"/>
        <w:ind w:firstLine="567"/>
        <w:contextualSpacing/>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Ключевые слова: </w:t>
      </w:r>
      <w:r w:rsidRPr="00DA76A7">
        <w:rPr>
          <w:rFonts w:ascii="Arial" w:hAnsi="Arial" w:cs="Arial"/>
          <w:bCs/>
          <w:i/>
          <w:color w:val="000000" w:themeColor="text1"/>
          <w:sz w:val="22"/>
          <w:szCs w:val="22"/>
        </w:rPr>
        <w:t>семейное право, семья, брак, дети, усыновления, родители, международное усыновление.</w:t>
      </w:r>
    </w:p>
    <w:p w:rsidR="00181BA7" w:rsidRPr="00DA76A7" w:rsidRDefault="00181BA7" w:rsidP="00181BA7">
      <w:pPr>
        <w:shd w:val="clear" w:color="auto" w:fill="FFFFFF"/>
        <w:ind w:firstLine="567"/>
        <w:contextualSpacing/>
        <w:jc w:val="both"/>
        <w:outlineLvl w:val="1"/>
        <w:rPr>
          <w:rFonts w:ascii="Arial" w:hAnsi="Arial" w:cs="Arial"/>
          <w:bCs/>
          <w:color w:val="000000" w:themeColor="text1"/>
          <w:sz w:val="22"/>
          <w:szCs w:val="22"/>
          <w:lang w:val="en-US"/>
        </w:rPr>
      </w:pPr>
      <w:r w:rsidRPr="00DA76A7">
        <w:rPr>
          <w:rFonts w:ascii="Arial" w:hAnsi="Arial" w:cs="Arial"/>
          <w:b/>
          <w:bCs/>
          <w:i/>
          <w:color w:val="000000" w:themeColor="text1"/>
          <w:sz w:val="22"/>
          <w:szCs w:val="22"/>
          <w:lang w:val="en-US"/>
        </w:rPr>
        <w:t>Key words:</w:t>
      </w:r>
      <w:r w:rsidRPr="00DA76A7">
        <w:rPr>
          <w:rFonts w:ascii="Arial" w:hAnsi="Arial" w:cs="Arial"/>
          <w:bCs/>
          <w:i/>
          <w:color w:val="000000" w:themeColor="text1"/>
          <w:sz w:val="22"/>
          <w:szCs w:val="22"/>
          <w:lang w:val="en-US"/>
        </w:rPr>
        <w:t xml:space="preserve"> family law, family, marriage, children, adoption, parents, international adoption</w:t>
      </w:r>
      <w:r w:rsidRPr="00DA76A7">
        <w:rPr>
          <w:rFonts w:ascii="Arial" w:hAnsi="Arial" w:cs="Arial"/>
          <w:bCs/>
          <w:color w:val="000000" w:themeColor="text1"/>
          <w:sz w:val="22"/>
          <w:szCs w:val="22"/>
          <w:lang w:val="en-US"/>
        </w:rPr>
        <w:t>.</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lang w:val="en-US"/>
        </w:rPr>
      </w:pP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Как нам известна из исследование исторической правовой литературы, институт усыновления был известен с древнейших времен не только Российскому и Таджикскому праву, но и праву зарубежных стран. В связи с этим будет интересен опыт некоторых стран ближнего зарубежья по вопросам усыновления, показывающий разницу во взглядах законодателя на сходные моменты института усыновления.</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lang w:val="tg-Cyrl-TJ"/>
        </w:rPr>
      </w:pPr>
      <w:r w:rsidRPr="00DA76A7">
        <w:rPr>
          <w:rFonts w:ascii="Arial" w:hAnsi="Arial" w:cs="Arial"/>
          <w:color w:val="000000" w:themeColor="text1"/>
          <w:sz w:val="22"/>
          <w:szCs w:val="22"/>
          <w:shd w:val="clear" w:color="auto" w:fill="FFFFFF"/>
        </w:rPr>
        <w:t>В сфере брака и семьи сегодня идет стремительное развитие отношений, имеющих международный характер В XXI столетии многие семьи в юридическом аспекте уже давно имеют в своем составе так называемый «иностранный элемент» Об этом свидетельствуют данные, приводимые социологами и психологами, исследующими проблему распространения смешанных браков в России.</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lang w:val="tg-Cyrl-TJ"/>
        </w:rPr>
        <w:t>Аналогичная ситуация, иллюстрирующая усиление международного начала в брачно-семейных отношениях, происходит в области усыновления По данным, приводимым Министерством образования и науки РФ, количество детей, усыновленных иностранными гражданами в Российской Федерации, увеличилось за десятилетие почти в семь раз с 1408 чел (1995 г) до 9419 чел (2004 г)</w:t>
      </w:r>
      <w:r w:rsidRPr="00DA76A7">
        <w:rPr>
          <w:rFonts w:ascii="Arial" w:hAnsi="Arial" w:cs="Arial"/>
          <w:color w:val="000000" w:themeColor="text1"/>
          <w:sz w:val="22"/>
          <w:szCs w:val="22"/>
          <w:shd w:val="clear" w:color="auto" w:fill="FFFFFF"/>
        </w:rPr>
        <w:t>.</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После прекращение существования СС</w:t>
      </w:r>
      <w:r w:rsidRPr="00DA76A7">
        <w:rPr>
          <w:rFonts w:ascii="Arial" w:hAnsi="Arial" w:cs="Arial"/>
          <w:color w:val="000000" w:themeColor="text1"/>
          <w:sz w:val="22"/>
          <w:szCs w:val="22"/>
          <w:shd w:val="clear" w:color="auto" w:fill="FFFFFF"/>
          <w:lang w:val="en-US"/>
        </w:rPr>
        <w:t>C</w:t>
      </w:r>
      <w:r w:rsidRPr="00DA76A7">
        <w:rPr>
          <w:rFonts w:ascii="Arial" w:hAnsi="Arial" w:cs="Arial"/>
          <w:color w:val="000000" w:themeColor="text1"/>
          <w:sz w:val="22"/>
          <w:szCs w:val="22"/>
          <w:shd w:val="clear" w:color="auto" w:fill="FFFFFF"/>
        </w:rPr>
        <w:t>Р в Республике Таджикистан произошли коренные изменения как социально-экономического, так и политического характера, оказавшие влияние на изменение законодательства, в том числе и на нормы института усыновление.</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Стоить отметить, что семейное законодательство стран бывшего СССР об усыновлении по многим моментам похоже с новым семейным законодательством России и Таджикистана. Однако имеются и отличительные черти, которые обусловленные различными факторами.</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1993-1999 гг. в Латвии принят ряд законов, которые полностью или в части регламентируют вопросы усыновления: Гражданский закон Латвийской Республики[7], Правила усыновления, Закон «О сиротских судах и волостных судах», Гражданский процессуальный закон.</w:t>
      </w:r>
      <w:r w:rsidRPr="00DA76A7">
        <w:rPr>
          <w:rFonts w:ascii="Arial" w:hAnsi="Arial" w:cs="Arial"/>
          <w:color w:val="000000" w:themeColor="text1"/>
          <w:sz w:val="22"/>
          <w:szCs w:val="22"/>
          <w:shd w:val="clear" w:color="auto" w:fill="FFFFFF"/>
          <w:vertAlign w:val="superscript"/>
        </w:rPr>
        <w:t> </w:t>
      </w:r>
      <w:r w:rsidRPr="00DA76A7">
        <w:rPr>
          <w:rFonts w:ascii="Arial" w:hAnsi="Arial" w:cs="Arial"/>
          <w:color w:val="000000" w:themeColor="text1"/>
          <w:sz w:val="22"/>
          <w:szCs w:val="22"/>
          <w:shd w:val="clear" w:color="auto" w:fill="FFFFFF"/>
        </w:rPr>
        <w:t>В 1994 году принят Закон «О семье» Эстонской Республики[9]. В связи с реформированием института усыновления внесены изменения в Кодекс о браке и семье Украины[2] и в Гражданский процессуальный кодекс Украины. В 1998 году приняты Семейный кодекс Республики Таджикистан[3], 2006 году Закон Республики Таджикистан</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О государственной регистрации актов  гражданского состояния» и в 2008 году ГПК Республики Таджикистан. Закон «О браке и семье» Республики Казахстан[8]. В 1999 году приняты Гражданский процессуальный кодекс Казахстана, в Киргизии - Закон «Об охране и защите прав несовершеннолетних»[5], в Республике Беларусь - Кодекс о браке и семье[1], а в 2000 году - Закон «О внесении дополнений в Гражданский процессуальный кодекс Республики Беларусь, которым Кодекс дополнен новой главой - «Особенности рассмотрения дел об усыновлении (удочерении) ребенка». В 2001 году опубликован Семейный кодекс Республики Молдова[4], в 1995 году Семейный кодекс РФ[6].</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Представляется, что сравнительный анализ правового регулирования усыновления в странах, которые десять лет назад составляли единое целое, имели единую правовую, политическую, социальную систему, интересен и полезен. </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Стоить отмети, что законодательства всех стран СНГ и Балтии предусматривают приоритет воспитания детей в семьи.</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Законодательства большинство государств устанавливают цель усыновления - интересы несовершеннолетнего (Беларусь, Украина, Таджикистан, Россия, Эстония, Казахстан). Например, в Семейном кодексе Молдовы в качестве принципов семейного законодательства Республики названы приоритет воспитания детей в семье, проявление заботы о воспитании и содержании несовершеннолетних, защита их прав и интересов. Данный принцип характерен и для СК РФ и РТ.</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Законодатели устанавливают целый ряд условий, соблюдение которых необходимо для усыновления. В первую очередь, это условия о возрасте как усыновляемых, так и усыновителей.</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Во многих семейных законодательствах государств СНГ и Балтии, а так же в России и в Таджикистане, предусматривается, что усыновление возможно исключительно в отношении несовершеннолетних. Семейный кодекс Молдовы дополнительно предусматривает запрет усыновление в отношении детей, которые приобрели дееспособность, согласно закону до достижение 18 летнего возраста[4].</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Исключение из правила о возможности усыновления только несовершеннолетних делает законодательство Латвийской Республики, Гражданский закон допускает усыновление совершеннолетних, но только при условии, если к моменту усыновления между усыновителем и усыновляемым уже сложились отношения родителей и детей[7]. Помимо перечисленных условий о возрасте усыновляемого, Кодекс о браке и семье Украины устанавливает дополнительное условие для случаев усыновления детей, от которых родители отказались в родильном доме. Такие дети могут быть усыновлены только по достижении ими двухмесячного возраста[2].</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Усыновителем во всех странах может быть только совершеннолетний. В Эстонии, Латвии, Молдове установлен возрастной ценз (абсолютное условие о возрасте) - 25 лет. В законодательстве РФ и Республике Таджикистан  подобного ограничения нет. С разрешения суда в Эстонии и Молдове этот возраст может быть уменьшен, минимальной разницы в возрасте не устанавливается.</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других странах законодатели устанавливают минимальную разницу в возрасте между усыновителем и усыновляемым. В Казахстане и Беларуси, также как и в России, необходима разница в 16 лет, на Украине - 15 лет, в Латвии - 18 лет. Во всех указанных случаях она может быть сокращена судом по причинам, признанным уважительными. Только в Таджикистане суд не наделен правом уменьшать разницу в возрасте между усыновителем и усыновляемым[3]. Семейный кодекс Республики Молдова запрещает усыновлять лицам, достигшим возраста 50 лет, за исключением случаев, когда ребенок усыновляется супругами и один из них не достиг этого возраста, или когда супруг усыновляет ребенка другого супруга, или когда ребенок проживал в семье будущих усыновителей до достижения ими возраста 50 лет. Таким образом, предусмотрен ценз в отношении максимального возраста усыновителя. Подобные условия в законодательстве об усыновлении направлены на создание такой семьи, в которой возраст всех ее членов максимально соответствовал бы возрасту членов естественной биологической семьи.</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Другим важным условием, соблюдение которого необходимо для усыновление, является наличие в семье возможностей для нормального развития, воспитания и образования ребенка. Семейный кодекс Казахстана прямо провозглашает, что это необходимо для принятия ребёнка в семью. Семейный кодекс Молдовы предусматривает, что при выборе формы размещения детей необходимо учитывать этническое происхождение ребенка, его принадлежность к определенной культуре, религии, языку, здоровью и развитию, с тем чтобы создать условия которые обеспечивают непрерывность его воспитания. Подобные правила содержатся в Семейном кодексе Узбекистана. Гражданское законодательство Латвии указывает на то, что усыновление допускается при наличии истинных отношений между родителями и детьми. В Беларуси необходимым для усыновления является факт личного общения усыновителя с ребенком.</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Целый ряд условий, необходимых для того, чтобы усыновление состоялось, относится к личности усыновителя.</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Недееспособность (ограниченная дееспособность), лишение или ограничение в родительских правах, отстранение от выполнения опекунских обязанностей за ненадлежащее их выполнение, отмена усыновления по вине усыновителя являются фактами, наличие которых исключает возможность усыновления в Казахстане, Таджикистане, России, Эстонии, Беларуси, Молдове.</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Правительства Беларуси, Казахстана, Молдовы, Таджикистана полномочны устанавливать перечень заболеваний, при наличии которых лицо не может усыновить ребенка.</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Казахстане и в Таджикистане недееспособность (ограниченная дееспособность) супруга усыновителя является препятствием для усыновления. Подобное ограничение есть и в СК РФ. В законодательстве Украины, Молдовы, Эстонии, Латвии такого запрета не установлено.</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Семейное законодательство Узбекистана, Таджикистана</w:t>
      </w:r>
      <w:r w:rsidRPr="00DA76A7">
        <w:rPr>
          <w:rFonts w:ascii="Arial" w:hAnsi="Arial" w:cs="Arial"/>
          <w:color w:val="000000" w:themeColor="text1"/>
          <w:sz w:val="22"/>
          <w:szCs w:val="22"/>
          <w:shd w:val="clear" w:color="auto" w:fill="FFFFFF"/>
          <w:vertAlign w:val="superscript"/>
        </w:rPr>
        <w:t> </w:t>
      </w:r>
      <w:r w:rsidRPr="00DA76A7">
        <w:rPr>
          <w:rFonts w:ascii="Arial" w:hAnsi="Arial" w:cs="Arial"/>
          <w:color w:val="000000" w:themeColor="text1"/>
          <w:sz w:val="22"/>
          <w:szCs w:val="22"/>
          <w:shd w:val="clear" w:color="auto" w:fill="FFFFFF"/>
        </w:rPr>
        <w:t>, Украины не содержит условия о необходимости совместного усыновления братьев (сестер), но дает преимущественное право на это лицу, усыновляющему братьев и сестер, без разрыва родственных связей между ними.</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Своеобразную регламентацию получил вопрос об усыновлении братьев (сестер) в законодательстве Беларуси. Как и в других странах СНГ, в том числе и в России и Таджикистане, их раздельное усыновление не допускается, за исключением случаев, когда оно отвечает интересам детей[10]. Однако разъединение братьев и сестер возможно, если усыновители не настаивают на сохранении тайны усыновления и обязуются не препятствовать общению усыновляемого ребенка с братьями и сестрами. В случае их разъединения при усыновлении суд возлагает на усыновителя обязанность сообщать ребенку об имеющихся у него братьях и сестрах и их местонахождении.</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По законодательству всех государств СНГ и Балтии одно лицо может усыновить несколько детей, не состоящих между собой в родстве. Максимальное количество детей, которое может усыновить одно лицо, не устанавливается.</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Казахстане, Таджикистане, Эстонии, Молдове, Беларуси, Латвии не допускается усыновление одного ребенка двумя лицами, не состоящими между собой в браке. Однако допускается усыновление ребенка одним лицом, не состоящим в браке. Эти нормы направлены на обеспечение воспитания ребенка в традиционной семейной обстановке. К сожалению, приходится признавать, что семья с одним родителем становится в современном обществе нормой.</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Кодекс о браке и семье Украины особо указывает, что согласие родителей на усыновление должно быть сознательным, непринудительным, без получения какого-либо вознаграждения.</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законодательстве Беларуси и Украины подчеркивается, что согласие на усыновление может быть предоставлено только после рождения ребенка. Законы стран СНГ и Балтии предусматривают случаи, когда согласие родителей на усыновление не требуется. Наиболее распространенными из этих условий являются: родители неизвестны, признаны судом мертвыми, пропавшими без вести, недееспособными, лишенными родительских прав, не живут вместе с ребенком более шести месяцев и уклоняются от его воспитания по причинам, которые суд считает неуважительным. Эти нормы аналогичны в законодательстве Беларуси, Казахстана, Молдовы, Украины, Таджикистана, Эстонии.</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Законодательство Латвии не требует согласия родителей не только в перечисленных выше случаях, но и также, если место жительства родителей усыновляемого установить невозможно и если судом установлено, что по фактическим обстоятельствам согласие родителей невозможно вследствие какого-либо постоянного препятствия. Предусматривается, что если один родитель дает согласие на усыновление, а второй отказывается дать его без веской причины, то такое согласие может дать сиротский суд</w:t>
      </w:r>
      <w:r w:rsidRPr="00DA76A7">
        <w:rPr>
          <w:rFonts w:ascii="Arial" w:hAnsi="Arial" w:cs="Arial"/>
          <w:color w:val="000000" w:themeColor="text1"/>
          <w:sz w:val="22"/>
          <w:szCs w:val="22"/>
          <w:shd w:val="clear" w:color="auto" w:fill="FFFFFF"/>
          <w:vertAlign w:val="superscript"/>
        </w:rPr>
        <w:t> </w:t>
      </w:r>
      <w:r w:rsidRPr="00DA76A7">
        <w:rPr>
          <w:rFonts w:ascii="Arial" w:hAnsi="Arial" w:cs="Arial"/>
          <w:color w:val="000000" w:themeColor="text1"/>
          <w:sz w:val="22"/>
          <w:szCs w:val="22"/>
          <w:shd w:val="clear" w:color="auto" w:fill="FFFFFF"/>
        </w:rPr>
        <w:t>.</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Еще одно важное условие усыновления - согласие ребенка. Оно необходимо, если ребенок достиг возраста семи лет (Эстония), десяти (Россия, Казахстан, Таджикистан, Беларусь, Молдова, Украина), двенадцати лет (Латвия), за исключением случая, когда ребенок проживал в семье усыновителя и считал его своим родителем. В Эстонии имя и фамилия усыновляемого, достигшего возраста семи лет, могут быть изменены только с его согласия. Исключения из этого правила не устанавливаются.</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Латвийский Гражданский закон гласит, что усыновляемому присваивается фамилия усыновителя. Это требование не ставится в зависимость от желания усыновителя и усыновляемого. Имя усыновляемого может быть изменено, если оно является труднопроизносимым или не соответствует национальности усыновителя[7].</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Как правило, при усыновлении допускается изменение места и даты рождения усыновляемого ребенка. В Беларуси устанавливается большее количество ограничений для усыновителей, желающих изменить дату и место рождения усыновляемого. Эти данные могут быть изменены для обеспечения тайны усыновления и в интересах ребенка, но не более чем на один год. Место рождения может быть изменено только в пределах республики. В Казахстане закон разрешает изменение даты рождения не более чем на шесть месяцев и только при усыновлении ребенка в возрасте до трех лет. Ограничения для изменения места рождения усыновляемого не устанавливается. Более жестко решает эту проблему законодательство Таджикистана: изменить дату рождения можно не более чем на три месяца и только при усыновлении ребенка в возрасте до года.</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Порядок установления усыновления. Согласно законодательству всех рассматриваемых государств усыновление производится судом в порядке особого производства, с обязательным участием заявителей, заинтересованных лиц, органов опеки и попечительства, а также прокурора.</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странах СНГ и Балтии для всех дел об усыновлении, независимо от места проживания и гражданства усыновителя, установлены единые правила подсудности. Однако процедура усыновления для проживающих за рубежом осложняется необходимостью получения дополнительного разрешения или согласия компетентных государственных органов. Так, на Украине при рассмотрении указанной категории дел необходимо не только участие органов опеки, прокурора, но и представителей Центра по усыновлению детей при Министерстве образования. В Эстонии требуется согласие министра по социальным вопросам, в Латвийской Республике - министра юстиции. В Беларуси для дел об усыновлении иностранцами не только установлена подсудность вышестоящего суда, но и обязательно участие представителя Национального центра образования.</w:t>
      </w:r>
    </w:p>
    <w:p w:rsidR="00181BA7" w:rsidRPr="00DA76A7" w:rsidRDefault="00181BA7" w:rsidP="00181BA7">
      <w:pPr>
        <w:shd w:val="clear" w:color="auto" w:fill="FFFFFF"/>
        <w:suppressAutoHyphens/>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Согласно ст. 127  СК Республики Таджикистан усыновителями могут быть совершеннолетние граждане Республики Таджикистан[3], а также согласно статьи  274 ГПК РТ Заявление об усыновлении или удочерении (далее - усыновление)  подается </w:t>
      </w:r>
      <w:r w:rsidRPr="00DA76A7">
        <w:rPr>
          <w:rFonts w:ascii="Arial" w:hAnsi="Arial" w:cs="Arial"/>
          <w:i/>
          <w:color w:val="000000" w:themeColor="text1"/>
          <w:sz w:val="22"/>
          <w:szCs w:val="22"/>
        </w:rPr>
        <w:t>гражданами Республики Таджикистан</w:t>
      </w:r>
      <w:r w:rsidRPr="00DA76A7">
        <w:rPr>
          <w:rFonts w:ascii="Arial" w:hAnsi="Arial" w:cs="Arial"/>
          <w:color w:val="000000" w:themeColor="text1"/>
          <w:sz w:val="22"/>
          <w:szCs w:val="22"/>
        </w:rPr>
        <w:t xml:space="preserve">, желающими усыновить ребенка, в суд города, района по месту жительства или месту нахождения усыновляемого ребенка или месту жительства усыновителей (усыновителя). Согласно выше указанным нормам усыновление детей граждан РТ иностранными гражданами и лицами без гражданства не допускается.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 отличие от Республики Таджикистан ст. 127 Семейного кодекса Российской Федерации допускает международное усыновление в Российской Федерации[6].</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lang w:val="tg-Cyrl-TJ"/>
        </w:rPr>
        <w:t xml:space="preserve">При этом </w:t>
      </w:r>
      <w:r w:rsidRPr="00DA76A7">
        <w:rPr>
          <w:rFonts w:ascii="Arial" w:hAnsi="Arial" w:cs="Arial"/>
          <w:color w:val="000000" w:themeColor="text1"/>
          <w:sz w:val="22"/>
          <w:szCs w:val="22"/>
        </w:rPr>
        <w:t>преимущество при усыновлении отдается гражданам Рос</w:t>
      </w:r>
      <w:r w:rsidRPr="00DA76A7">
        <w:rPr>
          <w:rFonts w:ascii="Arial" w:hAnsi="Arial" w:cs="Arial"/>
          <w:color w:val="000000" w:themeColor="text1"/>
          <w:sz w:val="22"/>
          <w:szCs w:val="22"/>
        </w:rPr>
        <w:softHyphen/>
        <w:t>сийской Федерации. В соответствии с пунктом 3 статьи 124 СК РФ</w:t>
      </w:r>
      <w:r w:rsidRPr="00DA76A7">
        <w:rPr>
          <w:rFonts w:ascii="Arial" w:hAnsi="Arial" w:cs="Arial"/>
          <w:color w:val="000000" w:themeColor="text1"/>
          <w:sz w:val="22"/>
          <w:szCs w:val="22"/>
          <w:lang w:val="tg-Cyrl-TJ"/>
        </w:rPr>
        <w:t xml:space="preserve"> </w:t>
      </w:r>
      <w:r w:rsidRPr="00DA76A7">
        <w:rPr>
          <w:rFonts w:ascii="Arial" w:hAnsi="Arial" w:cs="Arial"/>
          <w:color w:val="000000" w:themeColor="text1"/>
          <w:sz w:val="22"/>
          <w:szCs w:val="22"/>
        </w:rPr>
        <w:t xml:space="preserve"> усыновление ребенка иностранными гражданами или лицами без гражданства допускается только в случаях, когда оказыва</w:t>
      </w:r>
      <w:r w:rsidRPr="00DA76A7">
        <w:rPr>
          <w:rFonts w:ascii="Arial" w:hAnsi="Arial" w:cs="Arial"/>
          <w:color w:val="000000" w:themeColor="text1"/>
          <w:sz w:val="22"/>
          <w:szCs w:val="22"/>
        </w:rPr>
        <w:softHyphen/>
        <w:t>ется невозможным передать детей на воспитание в семьи рос</w:t>
      </w:r>
      <w:r w:rsidRPr="00DA76A7">
        <w:rPr>
          <w:rFonts w:ascii="Arial" w:hAnsi="Arial" w:cs="Arial"/>
          <w:color w:val="000000" w:themeColor="text1"/>
          <w:sz w:val="22"/>
          <w:szCs w:val="22"/>
        </w:rPr>
        <w:softHyphen/>
        <w:t>сийских граждан, постоянно проживающих в России. Исклю</w:t>
      </w:r>
      <w:r w:rsidRPr="00DA76A7">
        <w:rPr>
          <w:rFonts w:ascii="Arial" w:hAnsi="Arial" w:cs="Arial"/>
          <w:color w:val="000000" w:themeColor="text1"/>
          <w:sz w:val="22"/>
          <w:szCs w:val="22"/>
        </w:rPr>
        <w:softHyphen/>
        <w:t>чение, делается только для родственников ребенка, которые имеют преимущества при его усыновлении независимо от того, где они проживают и гражданами какой страны являются.</w:t>
      </w:r>
    </w:p>
    <w:p w:rsidR="00181BA7" w:rsidRPr="00DA76A7" w:rsidRDefault="00181BA7" w:rsidP="00181BA7">
      <w:pPr>
        <w:ind w:firstLine="567"/>
        <w:contextualSpacing/>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Между тем вопросы международного усыновления в Российской Федерации за последние годы также приобрели острейший характер.</w:t>
      </w:r>
    </w:p>
    <w:p w:rsidR="00181BA7" w:rsidRPr="00DA76A7" w:rsidRDefault="00181BA7" w:rsidP="00181BA7">
      <w:pPr>
        <w:ind w:firstLine="567"/>
        <w:contextualSpacing/>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феврале месяце 2013 года МИД РФ заявил, что «находит целесообразным приостановить усыновление гражданами США российских детей. МИД РФ сомневается в способности американских властей надлежащим образом защищать приемных детей из России». Так, по разным данным, в США к 2011 году умерли от 18 до 21 детей. Последняя цифра даже расшифровывалась: 6 россиян погибли от жестокого обращения американских родителей, 15 умерли по тем или иным причинам (ДТП, болезнь, и т.п.).</w:t>
      </w:r>
    </w:p>
    <w:p w:rsidR="00181BA7" w:rsidRPr="00DA76A7" w:rsidRDefault="00181BA7" w:rsidP="00181BA7">
      <w:pPr>
        <w:ind w:firstLine="567"/>
        <w:contextualSpacing/>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ответ на указанное положение Президент России подписал Федеральный закон от 28 декабря 2012 г. № 272-ФЗ «О мерах воздействия на лиц, причастных к нарушениям основополагающих прав и свобод человека, прав и свобод граждан Российской Федерации», статья 4 которого вводит запрет усыновления российских детей гражданами США: «Запрещается передача детей, являющихся гражданами Российской Федерации, на усыновление (удочерение) гражданам Соединенных Штатов Америки, а также осуществление на территории Российской Федерации деятельности органов и организаций в целях подбора и передачи детей, являющихся гражданами Российской Федерации, на усыновление (удочерение) гражданам Соединенных Штатов Америки, желающим усыновить (удочерить) указанных детей».</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Гарантией установления усыновления в интересах детей и недопустимости злоупотреблений в этом деле служат нормы о запрете посреднической деятельности по их усыновлению. Такой запрет содержится в законодательстве Беларуси, Украины, Таджикистана. При этом усыновители не лишаются права иметь представителя, права и обязанности которого установлены гражданским и гражданским процессуальным законодательством. Той же цели служат нормы, устанавливающие порядок централизованного учета детей, подлежащих усыновлению, и лиц, желающих усыновить ребенка. Такой порядок существует в законодательстве Молдовы, Казахстана, Латвии, Беларуси, Украины.</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Для обеспечения тайны усыновления дела рассматриваются в закрытом судебном заседании. Только Кодекс о браке и семье Украины делает исключение: тайна усыновления не распространяется на случаи усыновления детей иностранными гражданами.</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По законодательству всех государств СНГ и Балтии ребенок считается усыновленным со дня вступления в силу решения об усыновлении. Суды должны направлять копии такого решения в органы загса.</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Рассмотренные особенности законодательства стран СНГ и Балтии об усыновлении показывают, что многие нормы универсальны, проверены временем, и целесообразность их существования не вызывает сомнений. Это относится к таким положениям, как провозглашение приоритета семейного воспитания, установление усыновления только в интересах ребенка, условие о разнице в возрасте между усыновителем и усыновляемым, условия, ограничивающие возможность усыновления для отдельных категорий лиц (недееспособные, лишенные родительских прав, страдающие алкоголизмом и наркоманией), установление требований к материальной обеспеченности усыновителей, отсутствие необходимости согласия усыновляемого на усыновление, если он проживал в семье усыновителя и считает его своим родителем, введение судебного порядка установления усыновления</w:t>
      </w:r>
      <w:r w:rsidRPr="00DA76A7">
        <w:rPr>
          <w:rFonts w:ascii="Arial" w:hAnsi="Arial" w:cs="Arial"/>
          <w:color w:val="000000" w:themeColor="text1"/>
          <w:sz w:val="22"/>
          <w:szCs w:val="22"/>
          <w:shd w:val="clear" w:color="auto" w:fill="FFFFFF"/>
          <w:vertAlign w:val="superscript"/>
        </w:rPr>
        <w:t> </w:t>
      </w:r>
      <w:r w:rsidRPr="00DA76A7">
        <w:rPr>
          <w:rFonts w:ascii="Arial" w:hAnsi="Arial" w:cs="Arial"/>
          <w:color w:val="000000" w:themeColor="text1"/>
          <w:sz w:val="22"/>
          <w:szCs w:val="22"/>
          <w:shd w:val="clear" w:color="auto" w:fill="FFFFFF"/>
        </w:rPr>
        <w:t>.</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Отдельные положения норм об усыновлении заслуживают пристального внимания законодателей других стран. Например, требование о необходимости учитывать этническое происхождение ребенка, его принадлежность к определенной культуре и вероисповеданию, язык, запрет на усыновление лицам старше 50 лет (Молдова); недееспособность (ограниченная дееспособность) супруга усыновителя как условие, препятствующее усыновлению (Казахстан, Таджикистан); возможность усыновлять раздельно братьев и сестер, если усыновители не настаивают на сохранении тайны усыновления и обязуются не препятствовать общению усыновляемого ребенка с братьями и сестрами (Беларусь); возможность усыновления без согласия одного из родителей, если он отказывается дать его без веской причины (Латвия).</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Необходимость существования других норм, напротив, вызывает сомнения. Например, возможность усыновления совершеннолетних, изменение фамилии усыновляемого независимо от его желания и желания усыновителя (Латвия).</w:t>
      </w:r>
    </w:p>
    <w:p w:rsidR="00181BA7" w:rsidRPr="00DA76A7" w:rsidRDefault="00181BA7" w:rsidP="00181BA7">
      <w:pPr>
        <w:ind w:firstLine="567"/>
        <w:contextualSpacing/>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 учетом общности правового регулирования вопросов усыновления в недавнем прошлом, сходства правовых, экономических, социальных условий существования стран СНГ и Балтии в настоящее время, наличия общих проблем в области усыновления, есть основания полагать, что взаимный обмен опытом - особенно в части различных путей решения схожих проблем рассматриваемого института - будет являться гарантией совершенствования законодательства этих стран в данной области[</w:t>
      </w:r>
      <w:r w:rsidRPr="00DA76A7">
        <w:rPr>
          <w:rFonts w:ascii="Arial" w:hAnsi="Arial" w:cs="Arial"/>
          <w:color w:val="000000" w:themeColor="text1"/>
          <w:sz w:val="22"/>
          <w:szCs w:val="22"/>
          <w:shd w:val="clear" w:color="auto" w:fill="FFFFFF"/>
          <w:lang w:val="tg-Cyrl-TJ"/>
        </w:rPr>
        <w:t>10</w:t>
      </w:r>
      <w:r w:rsidRPr="00DA76A7">
        <w:rPr>
          <w:rFonts w:ascii="Arial" w:hAnsi="Arial" w:cs="Arial"/>
          <w:color w:val="000000" w:themeColor="text1"/>
          <w:sz w:val="22"/>
          <w:szCs w:val="22"/>
          <w:shd w:val="clear" w:color="auto" w:fill="FFFFFF"/>
        </w:rPr>
        <w:t>].</w:t>
      </w:r>
    </w:p>
    <w:bookmarkEnd w:id="50"/>
    <w:p w:rsidR="00181BA7" w:rsidRPr="00DA76A7" w:rsidRDefault="00181BA7" w:rsidP="00181BA7">
      <w:pPr>
        <w:ind w:firstLine="567"/>
        <w:contextualSpacing/>
        <w:jc w:val="both"/>
        <w:rPr>
          <w:rFonts w:ascii="Arial" w:hAnsi="Arial" w:cs="Arial"/>
          <w:color w:val="000000" w:themeColor="text1"/>
          <w:sz w:val="22"/>
          <w:szCs w:val="22"/>
        </w:rPr>
      </w:pPr>
    </w:p>
    <w:p w:rsidR="00181BA7" w:rsidRPr="00DA76A7" w:rsidRDefault="00181BA7" w:rsidP="00181BA7">
      <w:pPr>
        <w:ind w:firstLine="567"/>
        <w:contextualSpacing/>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Список литературы:</w:t>
      </w:r>
    </w:p>
    <w:p w:rsidR="00181BA7" w:rsidRPr="00DA76A7" w:rsidRDefault="00181BA7" w:rsidP="00D45D6B">
      <w:pPr>
        <w:widowControl/>
        <w:numPr>
          <w:ilvl w:val="0"/>
          <w:numId w:val="88"/>
        </w:numPr>
        <w:tabs>
          <w:tab w:val="left" w:pos="851"/>
        </w:tabs>
        <w:autoSpaceDE/>
        <w:autoSpaceDN/>
        <w:adjustRightInd/>
        <w:ind w:left="0"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Кодекс «О браке и семье» Республики Беларусь от 9 июля 1999 г. №278- 3 // [Электронный ресурс] – Режим доступа: </w:t>
      </w:r>
      <w:hyperlink r:id="rId238" w:history="1">
        <w:r w:rsidRPr="00DA76A7">
          <w:rPr>
            <w:rFonts w:ascii="Arial" w:eastAsia="Calibri" w:hAnsi="Arial" w:cs="Arial"/>
            <w:color w:val="000000" w:themeColor="text1"/>
            <w:sz w:val="22"/>
            <w:szCs w:val="22"/>
          </w:rPr>
          <w:t>http://www.consultant</w:t>
        </w:r>
      </w:hyperlink>
      <w:r w:rsidRPr="00DA76A7">
        <w:rPr>
          <w:rFonts w:ascii="Arial" w:eastAsia="Calibri" w:hAnsi="Arial" w:cs="Arial"/>
          <w:color w:val="000000" w:themeColor="text1"/>
          <w:sz w:val="22"/>
          <w:szCs w:val="22"/>
        </w:rPr>
        <w:t xml:space="preserve">. </w:t>
      </w:r>
      <w:r w:rsidRPr="00DA76A7">
        <w:rPr>
          <w:rFonts w:ascii="Arial" w:eastAsia="Calibri" w:hAnsi="Arial" w:cs="Arial"/>
          <w:color w:val="000000" w:themeColor="text1"/>
          <w:sz w:val="22"/>
          <w:szCs w:val="22"/>
          <w:lang w:val="en-US"/>
        </w:rPr>
        <w:t>r</w:t>
      </w:r>
      <w:r w:rsidRPr="00DA76A7">
        <w:rPr>
          <w:rFonts w:ascii="Arial" w:eastAsia="Calibri" w:hAnsi="Arial" w:cs="Arial"/>
          <w:color w:val="000000" w:themeColor="text1"/>
          <w:sz w:val="22"/>
          <w:szCs w:val="22"/>
        </w:rPr>
        <w:t>u /document/cons_doc_LAW_160129/</w:t>
      </w:r>
    </w:p>
    <w:p w:rsidR="00181BA7" w:rsidRPr="00DA76A7" w:rsidRDefault="00181BA7" w:rsidP="00D45D6B">
      <w:pPr>
        <w:widowControl/>
        <w:numPr>
          <w:ilvl w:val="0"/>
          <w:numId w:val="88"/>
        </w:numPr>
        <w:tabs>
          <w:tab w:val="left" w:pos="851"/>
        </w:tabs>
        <w:autoSpaceDE/>
        <w:autoSpaceDN/>
        <w:adjustRightInd/>
        <w:ind w:left="0"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Семейный кодекс Украины от 10 января 2002 г. №2947 // [Электронный ресурс] – Режим доступа:  URL: </w:t>
      </w:r>
      <w:hyperlink r:id="rId239" w:history="1">
        <w:r w:rsidRPr="00DA76A7">
          <w:rPr>
            <w:rFonts w:ascii="Arial" w:eastAsia="Calibri" w:hAnsi="Arial" w:cs="Arial"/>
            <w:color w:val="000000" w:themeColor="text1"/>
            <w:sz w:val="22"/>
            <w:szCs w:val="22"/>
          </w:rPr>
          <w:t>www.minjust.ru</w:t>
        </w:r>
      </w:hyperlink>
      <w:r w:rsidRPr="00DA76A7">
        <w:rPr>
          <w:rFonts w:ascii="Arial" w:eastAsia="Calibri" w:hAnsi="Arial" w:cs="Arial"/>
          <w:color w:val="000000" w:themeColor="text1"/>
          <w:sz w:val="22"/>
          <w:szCs w:val="22"/>
        </w:rPr>
        <w:t>. /document/cons_doc_LAW_ 125876/</w:t>
      </w:r>
    </w:p>
    <w:p w:rsidR="00181BA7" w:rsidRPr="00DA76A7" w:rsidRDefault="00181BA7" w:rsidP="00D45D6B">
      <w:pPr>
        <w:widowControl/>
        <w:numPr>
          <w:ilvl w:val="0"/>
          <w:numId w:val="88"/>
        </w:numPr>
        <w:tabs>
          <w:tab w:val="left" w:pos="851"/>
        </w:tabs>
        <w:autoSpaceDE/>
        <w:autoSpaceDN/>
        <w:adjustRightInd/>
        <w:ind w:left="0"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Семейный кодекс Республики Таджикистан от 13 ноября 1998 г. // Ахбори Маджлиси Оли Республики Таджикистан. - 1998. - №22. - Ст. 303; 2006. - №4. - Ст. 196.</w:t>
      </w:r>
    </w:p>
    <w:p w:rsidR="00181BA7" w:rsidRPr="00DA76A7" w:rsidRDefault="00181BA7" w:rsidP="00D45D6B">
      <w:pPr>
        <w:widowControl/>
        <w:numPr>
          <w:ilvl w:val="0"/>
          <w:numId w:val="88"/>
        </w:numPr>
        <w:tabs>
          <w:tab w:val="left" w:pos="851"/>
        </w:tabs>
        <w:autoSpaceDE/>
        <w:autoSpaceDN/>
        <w:adjustRightInd/>
        <w:ind w:left="0"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Семейный кодекс Республики Молдова Nr.1316 - XIV от 26.10.2000  // [Электронный ресурс] -Режим доступа: http://www.consultant.ru/document/cons_doc_LAW_160129/  </w:t>
      </w:r>
    </w:p>
    <w:p w:rsidR="00181BA7" w:rsidRPr="00DA76A7" w:rsidRDefault="00181BA7" w:rsidP="00D45D6B">
      <w:pPr>
        <w:widowControl/>
        <w:numPr>
          <w:ilvl w:val="0"/>
          <w:numId w:val="88"/>
        </w:numPr>
        <w:tabs>
          <w:tab w:val="left" w:pos="851"/>
        </w:tabs>
        <w:autoSpaceDE/>
        <w:autoSpaceDN/>
        <w:adjustRightInd/>
        <w:ind w:left="0"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Семейный кодекс Кыргызской Республики от 30 августа 2003 г. №201 // [Электронный ресурс] -Режим доступа: </w:t>
      </w:r>
      <w:hyperlink r:id="rId240" w:history="1">
        <w:r w:rsidRPr="00DA76A7">
          <w:rPr>
            <w:rFonts w:ascii="Arial" w:eastAsia="Calibri" w:hAnsi="Arial" w:cs="Arial"/>
            <w:color w:val="000000" w:themeColor="text1"/>
            <w:sz w:val="22"/>
            <w:szCs w:val="22"/>
          </w:rPr>
          <w:t>http://www.consultant.ru/</w:t>
        </w:r>
      </w:hyperlink>
      <w:r w:rsidRPr="00DA76A7">
        <w:rPr>
          <w:rFonts w:ascii="Arial" w:eastAsia="Calibri" w:hAnsi="Arial" w:cs="Arial"/>
          <w:color w:val="000000" w:themeColor="text1"/>
          <w:sz w:val="22"/>
          <w:szCs w:val="22"/>
        </w:rPr>
        <w:t xml:space="preserve"> /document/ cons_doc_LAW_160129/  </w:t>
      </w:r>
    </w:p>
    <w:p w:rsidR="00181BA7" w:rsidRPr="00DA76A7" w:rsidRDefault="00181BA7" w:rsidP="00D45D6B">
      <w:pPr>
        <w:widowControl/>
        <w:numPr>
          <w:ilvl w:val="0"/>
          <w:numId w:val="88"/>
        </w:numPr>
        <w:tabs>
          <w:tab w:val="left" w:pos="851"/>
        </w:tabs>
        <w:autoSpaceDE/>
        <w:autoSpaceDN/>
        <w:adjustRightInd/>
        <w:ind w:left="0"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Семейный кодекс РФ, от 29 декабря 1995 г. N 223-ФЗ С последними изменениями и дополнениями от: 5 мая 2014 г. Система ГАРАНТ:  [Электронный ресурс] - Режим доступа: http: http://base.garant.ru/10105807.</w:t>
      </w:r>
    </w:p>
    <w:p w:rsidR="00181BA7" w:rsidRPr="00DA76A7" w:rsidRDefault="00181BA7" w:rsidP="00D45D6B">
      <w:pPr>
        <w:widowControl/>
        <w:numPr>
          <w:ilvl w:val="0"/>
          <w:numId w:val="88"/>
        </w:numPr>
        <w:tabs>
          <w:tab w:val="left" w:pos="851"/>
        </w:tabs>
        <w:autoSpaceDE/>
        <w:autoSpaceDN/>
        <w:adjustRightInd/>
        <w:ind w:left="0" w:firstLine="567"/>
        <w:contextualSpacing/>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Гражданский закон Латвийской Республики (Первая часть. Семейное право) от 25 мая 1993 г. // 1993. - №22/23 // [Электронный ресурс] – Режим доступа:  URL: www.minjust.ru. /document/cons _doc _LAW_ 125876/</w:t>
      </w:r>
    </w:p>
    <w:p w:rsidR="00181BA7" w:rsidRPr="00DA76A7" w:rsidRDefault="00181BA7" w:rsidP="00D45D6B">
      <w:pPr>
        <w:widowControl/>
        <w:numPr>
          <w:ilvl w:val="0"/>
          <w:numId w:val="88"/>
        </w:numPr>
        <w:tabs>
          <w:tab w:val="left" w:pos="851"/>
        </w:tabs>
        <w:autoSpaceDE/>
        <w:autoSpaceDN/>
        <w:adjustRightInd/>
        <w:ind w:left="0"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Закон Республики Казахстан «О браке и семье» от 17 декабря 1998 г. №321 // Казахстанская правда. 24.12.1998. - №241 // URL: www.minjust.ru.</w:t>
      </w:r>
    </w:p>
    <w:p w:rsidR="00181BA7" w:rsidRPr="00DA76A7" w:rsidRDefault="00181BA7" w:rsidP="00D45D6B">
      <w:pPr>
        <w:widowControl/>
        <w:numPr>
          <w:ilvl w:val="0"/>
          <w:numId w:val="88"/>
        </w:numPr>
        <w:tabs>
          <w:tab w:val="left" w:pos="851"/>
        </w:tabs>
        <w:autoSpaceDE/>
        <w:autoSpaceDN/>
        <w:adjustRightInd/>
        <w:ind w:left="0" w:firstLine="567"/>
        <w:contextualSpacing/>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Закон «О семье» Эстонской Республики от 12.10.1994 г. // [Электронный ресурс] – Режим доступа:  URL: www.minjust.ru. /document/cons_doc_LAW_ 125876/</w:t>
      </w:r>
    </w:p>
    <w:p w:rsidR="00181BA7" w:rsidRPr="00DA76A7" w:rsidRDefault="00181BA7" w:rsidP="00D45D6B">
      <w:pPr>
        <w:widowControl/>
        <w:numPr>
          <w:ilvl w:val="0"/>
          <w:numId w:val="88"/>
        </w:numPr>
        <w:tabs>
          <w:tab w:val="left" w:pos="993"/>
        </w:tabs>
        <w:autoSpaceDE/>
        <w:autoSpaceDN/>
        <w:adjustRightInd/>
        <w:ind w:left="0"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Кустова В.В. Некоторые аспекты законодательства об усыновлении в странах СНГ и Балтии // М.: Журнал российского права, </w:t>
      </w:r>
      <w:r w:rsidRPr="00DA76A7">
        <w:rPr>
          <w:rFonts w:ascii="Arial" w:eastAsia="Calibri" w:hAnsi="Arial" w:cs="Arial"/>
          <w:color w:val="000000" w:themeColor="text1"/>
          <w:sz w:val="22"/>
          <w:szCs w:val="22"/>
          <w:lang w:val="tg-Cyrl-TJ"/>
        </w:rPr>
        <w:t xml:space="preserve"> </w:t>
      </w:r>
      <w:r w:rsidRPr="00DA76A7">
        <w:rPr>
          <w:rFonts w:ascii="Arial" w:eastAsia="Calibri" w:hAnsi="Arial" w:cs="Arial"/>
          <w:color w:val="000000" w:themeColor="text1"/>
          <w:sz w:val="22"/>
          <w:szCs w:val="22"/>
        </w:rPr>
        <w:t>2003. - №6 // СПС «Гарант».</w:t>
      </w: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ОТЛИЧИТЕЛЬНЫЕ ЧЕРТЫ ОГРАНИЧЕННЫХ ВЕЩНЫХ ПРАВ В СИСТЕМЕ ПРАВА РОССИЙСКОЙ ФЕДЕРАЦИИ</w:t>
      </w:r>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Рязанова Анастасия Михайловна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студентка 4-го курса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Пермский государственный национальный исследовательский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614068, Российская Федерация, г. Пермь, ул. Петропавловская, 121 – 518</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89519507367, е-mail: </w:t>
      </w:r>
      <w:hyperlink r:id="rId241" w:history="1">
        <w:r w:rsidRPr="00DA76A7">
          <w:rPr>
            <w:rStyle w:val="af0"/>
            <w:rFonts w:ascii="Arial" w:hAnsi="Arial" w:cs="Arial"/>
            <w:color w:val="000000" w:themeColor="text1"/>
            <w:sz w:val="22"/>
            <w:szCs w:val="22"/>
            <w:u w:val="none"/>
          </w:rPr>
          <w:t>ryazanowa.anastasya@yandex.ru</w:t>
        </w:r>
      </w:hyperlink>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DISTINCTIVE FEATURES OF LIMITED PRESTIGIOUS RIGHTS IN THE SYSTEM OF THE RIGHT OF THE RUSSIAN FEDERATION</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Ryazanova Anastasiya Mikhaylovna</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fourth year student of full-time department of the law faculty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Perm state university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614068, Russian Federation, Perm, Petropavlovskaya, 121 - 518</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89519507367, e-mail: </w:t>
      </w:r>
      <w:hyperlink r:id="rId242" w:history="1">
        <w:r w:rsidRPr="00DA76A7">
          <w:rPr>
            <w:rStyle w:val="af0"/>
            <w:rFonts w:ascii="Arial" w:hAnsi="Arial" w:cs="Arial"/>
            <w:color w:val="000000" w:themeColor="text1"/>
            <w:sz w:val="22"/>
            <w:szCs w:val="22"/>
            <w:u w:val="none"/>
            <w:lang w:val="en-US"/>
          </w:rPr>
          <w:t>ryazanowa.anastasya@yandex.ru</w:t>
        </w:r>
      </w:hyperlink>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Данная работа посвящена рассмотрению системы ограниченных вещных прав и их отличительных черт. Затронут вопрос о месте ограниченных вещных прав в системе вещных прав на основе выявления сущностных признаков данной группы прав.</w:t>
      </w:r>
    </w:p>
    <w:p w:rsidR="00181BA7" w:rsidRPr="001713F3" w:rsidRDefault="00181BA7" w:rsidP="00181BA7">
      <w:pPr>
        <w:ind w:firstLine="567"/>
        <w:jc w:val="both"/>
        <w:rPr>
          <w:rFonts w:ascii="Arial" w:hAnsi="Arial" w:cs="Arial"/>
          <w:i/>
          <w:color w:val="000000" w:themeColor="text1"/>
          <w:spacing w:val="-6"/>
          <w:sz w:val="22"/>
          <w:szCs w:val="22"/>
          <w:lang w:val="en-US"/>
        </w:rPr>
      </w:pPr>
      <w:r w:rsidRPr="001713F3">
        <w:rPr>
          <w:rFonts w:ascii="Arial" w:hAnsi="Arial" w:cs="Arial"/>
          <w:i/>
          <w:color w:val="000000" w:themeColor="text1"/>
          <w:spacing w:val="-6"/>
          <w:sz w:val="22"/>
          <w:szCs w:val="22"/>
        </w:rPr>
        <w:t xml:space="preserve"> </w:t>
      </w:r>
      <w:r w:rsidRPr="001713F3">
        <w:rPr>
          <w:rFonts w:ascii="Arial" w:hAnsi="Arial" w:cs="Arial"/>
          <w:b/>
          <w:i/>
          <w:color w:val="000000" w:themeColor="text1"/>
          <w:spacing w:val="-6"/>
          <w:sz w:val="22"/>
          <w:szCs w:val="22"/>
          <w:lang w:val="en-US"/>
        </w:rPr>
        <w:t>Annotation.</w:t>
      </w:r>
      <w:r w:rsidRPr="001713F3">
        <w:rPr>
          <w:rFonts w:ascii="Arial" w:hAnsi="Arial" w:cs="Arial"/>
          <w:i/>
          <w:color w:val="000000" w:themeColor="text1"/>
          <w:spacing w:val="-6"/>
          <w:sz w:val="22"/>
          <w:szCs w:val="22"/>
          <w:lang w:val="en-US"/>
        </w:rPr>
        <w:t xml:space="preserve"> This work is devoted to the consideration of the system of limited real rights and their distinctive features. The issue of the place of limited property rights in the system of real rights on the basis of revealing the essential features of this group of rights was touched upon.</w:t>
      </w:r>
    </w:p>
    <w:p w:rsidR="00181BA7" w:rsidRPr="001713F3" w:rsidRDefault="00181BA7" w:rsidP="00181BA7">
      <w:pPr>
        <w:ind w:firstLine="567"/>
        <w:jc w:val="both"/>
        <w:rPr>
          <w:rFonts w:ascii="Arial" w:hAnsi="Arial" w:cs="Arial"/>
          <w:i/>
          <w:color w:val="000000" w:themeColor="text1"/>
          <w:spacing w:val="-6"/>
          <w:sz w:val="22"/>
          <w:szCs w:val="22"/>
        </w:rPr>
      </w:pPr>
      <w:r w:rsidRPr="001713F3">
        <w:rPr>
          <w:rFonts w:ascii="Arial" w:hAnsi="Arial" w:cs="Arial"/>
          <w:b/>
          <w:i/>
          <w:color w:val="000000" w:themeColor="text1"/>
          <w:spacing w:val="-6"/>
          <w:sz w:val="22"/>
          <w:szCs w:val="22"/>
        </w:rPr>
        <w:t xml:space="preserve">Ключевые слова: </w:t>
      </w:r>
      <w:r w:rsidRPr="001713F3">
        <w:rPr>
          <w:rFonts w:ascii="Arial" w:hAnsi="Arial" w:cs="Arial"/>
          <w:i/>
          <w:color w:val="000000" w:themeColor="text1"/>
          <w:spacing w:val="-6"/>
          <w:sz w:val="22"/>
          <w:szCs w:val="22"/>
        </w:rPr>
        <w:t>ограниченное вещное право, право собственности, вещное право, абсолютные правоотношения.</w:t>
      </w:r>
    </w:p>
    <w:p w:rsidR="00181BA7" w:rsidRPr="001713F3" w:rsidRDefault="00181BA7" w:rsidP="00181BA7">
      <w:pPr>
        <w:ind w:firstLine="567"/>
        <w:jc w:val="both"/>
        <w:rPr>
          <w:rFonts w:ascii="Arial" w:hAnsi="Arial" w:cs="Arial"/>
          <w:b/>
          <w:i/>
          <w:color w:val="000000" w:themeColor="text1"/>
          <w:spacing w:val="-6"/>
          <w:sz w:val="22"/>
          <w:szCs w:val="22"/>
          <w:lang w:val="en-US"/>
        </w:rPr>
      </w:pPr>
      <w:r w:rsidRPr="001713F3">
        <w:rPr>
          <w:rFonts w:ascii="Arial" w:hAnsi="Arial" w:cs="Arial"/>
          <w:b/>
          <w:i/>
          <w:color w:val="000000" w:themeColor="text1"/>
          <w:spacing w:val="-6"/>
          <w:sz w:val="22"/>
          <w:szCs w:val="22"/>
          <w:lang w:val="en-US"/>
        </w:rPr>
        <w:t xml:space="preserve">Key words: </w:t>
      </w:r>
      <w:r w:rsidRPr="001713F3">
        <w:rPr>
          <w:rFonts w:ascii="Arial" w:hAnsi="Arial" w:cs="Arial"/>
          <w:i/>
          <w:color w:val="000000" w:themeColor="text1"/>
          <w:spacing w:val="-6"/>
          <w:sz w:val="22"/>
          <w:szCs w:val="22"/>
          <w:lang w:val="en-US"/>
        </w:rPr>
        <w:t>limited proprietary rights, property rights, proprietary rights, absolute legal relations.</w:t>
      </w:r>
    </w:p>
    <w:p w:rsidR="00181BA7" w:rsidRPr="00DA76A7" w:rsidRDefault="00181BA7" w:rsidP="00181BA7">
      <w:pPr>
        <w:ind w:firstLine="567"/>
        <w:jc w:val="both"/>
        <w:rPr>
          <w:rFonts w:ascii="Arial" w:hAnsi="Arial" w:cs="Arial"/>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Закрепление ограниченных вещных прав в законодательстве служит целью предоставления участникам гражданского оборота, прежде всего гражданам, широких возможностей по выбору вещного права, на котором приобретается имущество или которым собственник обременяет свое имущество с учетом истинных потребностей данных лиц. Это право по сути своей является одной из форм частного господства лица над чужой вещью, заключающееся в возможности участия одного лица в имуществе другого. Ограниченное вещное право – право на чужую вещь, как правило, уже присвоенную кем-то.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 специфике ограниченных вещных прав можно говорить в контексте ограниченности данного права по содержанию в сравнении с правом собственности. Если право собственности осуществляется наиболее абсолютным образом, так как подразумевает господство лица над своей вещью, то ограниченное вещное право позволяет господствовать над чужой вещью. Вследствие этого субъект такого права несколько ограничен в правомочиях в отношении предмета такого права. Обычно он обладает правомочиями владения и пользования. Являясь титульным владельцем, субъект такого права зачастую не может распорядиться вещью по своему усмотрению в силу того, что таким правомочием обладает только сам собственник вещи. Но при этом субъекты этих прав могут прибегать к их правовой защите от неправомерных посягательств любых третьих лиц, включая и собственника вещи.</w:t>
      </w:r>
    </w:p>
    <w:p w:rsidR="00181BA7" w:rsidRPr="00DA76A7" w:rsidRDefault="00181BA7" w:rsidP="00181BA7">
      <w:pPr>
        <w:pStyle w:val="ConsPlusNormal"/>
        <w:ind w:firstLine="567"/>
        <w:jc w:val="both"/>
        <w:rPr>
          <w:color w:val="000000" w:themeColor="text1"/>
          <w:sz w:val="22"/>
          <w:szCs w:val="22"/>
        </w:rPr>
      </w:pPr>
      <w:r w:rsidRPr="00DA76A7">
        <w:rPr>
          <w:color w:val="000000" w:themeColor="text1"/>
          <w:sz w:val="22"/>
          <w:szCs w:val="22"/>
        </w:rPr>
        <w:t xml:space="preserve">В силу вышеназванного следует вывод о том, что ограниченное вещное право ограничивает и самого собственника, естественную свободу права собственности, уменьшает его абсолютное содержание. К примеру, сервитут может подразумевать право проезда через обременяемый земельный участок, что, по сути, ограничивает содержание права собственности, вводя новую обязанность для собственника – обеспечить такой проезд.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Пункт 2 статьи 216 Гражданского кодекса РФ (далее – ГК РФ) [1] прямо говорит, что вещные права могут принадлежать лицам, не являющимся собственниками этого имущества. Но при этом ограниченное вещное право не может существовать отдельно, в отрыве от права собственности. Оно является вторичным по отношению к праву собственности, так как связано с господством субъекта над вещью, которая уже кому-то принадлежит, но одновременно если вещь будет уничтожена или погибнет, то ограниченное вещное право вслед за правом собственности также прекратит свое существование.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Выше отмечалось, что исходя из пункта 2 статьи 216 ГК РФ субъектами ограниченного права выступают лица, не являющиеся собственниками вещи – объекта такого права. Если бы собственник не присвоил право на данную вещь, ограниченное вещное право и не смогло бы возникнуть на эту вещь. Так, ограниченное вещное право не может возникнуть на бесхозяйную вещь.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Реализация правомочия пользования чужим имуществом может быть обеспечена с помощью других юридических способов, помимо закрепления ограниченных вещных прав, например, посредством передачи имущества в аренду. Поэтому встаёт вопрос о значимости существования ограниченного вещного права, если есть возможность установления в отношении чужого имущества обязательственного права, которое так же, как и ограниченное вещное обеспечивает пользование имуществом. Отличительная черта ограниченного вещного права по сравнению с обязательственным состоит в большей «прочности» первого [7, 396]. У прав арендатора тоже в какой-то мере прослеживается свойство следования за вещью, есть у них и вещно-правовая природа (п.1 ст.617 ГК РФ) [2]. Но объем прав арендатора предопределяется волей сторон договора аренды: стороны сами определяют содержание права аренды в договоре между ними. А существование вещного права и его содержание находится в сфере действия законодательства: закон имеет существенное значение в регулировании данной категории прав.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Другим признаком ограниченных вещных прав является их сохранение при смене собственника вещи – свойство следования. Данное право, как бы обременяя вещь, следует за ней, точнее, за правом собственности на данную вещь, а не за собственником данной вещи. Это правило закреплено в пункте 3 статьи 216 ГК РФ: переход права собственности на имущество к другому лицу не является основанием для прекращения иных вещных прав на это имущество. Нельзя однозначно сказать, что данный признак присущ только ограниченным вещным правам. К примеру, права ссудополучателей в случае смерти ссудодателя следуют за вещью, а не за ссудодателем, чьи права переходят к наследникам (п.2 ст.700 ГК РФ), уже было сказано об аналогичном свойстве права аренды. Поэтому стоит с осторожностью говорить о том, что ограниченные вещные права обладают свойством следования, и это только лишь их черта. Свойство следования не является сущностным признаком этих прав, но оно служит одним из критериев разграничения ограниченного вещного права и права собственности в системе вещных прав.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отношении ограниченных вещных прав законодатель предусматривает основания их возникновения в особых случаях. Известный цивилист И.А. Покровский отмечал: «...истинной ценой, которою покупается каждое подобное ограниченное вещное право на чужую вещь, является урезанное, морально и экономически подорванное право собственности», что, в свою очередь, составляет одно из главных оснований для установления ограниченных вещных прав только законом, а не договором, и только при наличии особой необходимости в этом [6, 210]. Например, сервитут устанавливается для обеспечения прохода и проезда через соседний земельный участок, строительства, реконструкции и (или) эксплуатации линейных объектов, не препятствующих использованию земельного участка в соответствии с разрешенным использованием, а также других нужд собственника недвижимого имущества, которые не могут быть обеспечены без установления сервитута (п.1 ст.274 ГК РФ). Но при этом такие права возникают часто помимо воли собственника. Часто воля собственника не имеет значения и при их осуществлении и прекращении. То есть эти права являются объективно производными [4, 76], так как в определенных случаях такие права могут возникнуть при отсутствии воли собственника.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Стоит отметить, что данной группе прав в полной мере присущи признаки вещных прав, выделяемые в доктрине. Во-первых, их объектом выступает вещь, то есть предмет материального мира, имеющий ценность для субъекта права, доступный для обладания и выраженный в экономической форме товара.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Во-вторых, вещное право обладает абсолютностью, то есть в вещных правоотношениях субъекту права противостоит неопределенный круг лиц, из чего вытекает и абсолютный характер защиты такого права. Субъект ограниченного вещного права вправе реализовывать те же права по защите закрепленного за ним имущества, что и собственники принадлежащего им имущества.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касается способов защиты ограниченных вещных прав, то они осуществляются в случае их нарушения в порядке, предусмотренном ст. 305 Гражданского кодекса Российской Федерации (далее – ГК РФ), согласно которой права, предусмотренные статьями 301-304 ГК РФ, принадлежат также лицу, хотя и не являющемуся собственником, но владеющему имуществом на праве пожизненного наследуемого владения, хозяйственного ведения, оперативного управления либо по иному основанию, предусмотренному законом или договором. Это лицо имеет право на защиту его владения также против собственника (п. 4  ст. 216 ГК РФ) [3]. Из указанной нормы следует вывод о возможности субъекта ограниченного вещного права осуществлять защиту принадлежащего ему права по ст. 305 ГК  РФ.</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порядок возникновения и прекращения, содержание правомочий, способы защиты вещного права урегулированы нормами закона. Это одно из главных отличий вещного права от права обязательственного, где стороны в договоре могут предусмотреть иные положения, нежели в законе, следуя только условию соответствия закону и не нарушая прав и законных интересов третьих лиц. Еще К.П. Победоносцев писал о том, что отдельных видов обязательств не перечислишь – так их много, и новые виды их, можно сказать, непрерывно создаются; напротив того, отдельных видов вотчинного (то есть вещного) права весьма немного, и в течение веков остаются почти неизменными виды эти, издревле существующие [5, 118].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Вещное право всегда положительно по содержанию: лицо, обладая определенной вещью, господствует над ней, оно не заинтересовано в данном случае в действиях третьих лиц, осуществляет своё право независимо от них, помимо их воли. К тому же третьи лица имеют перед ним обязанность не наносить вреда его вещи (субъективная гражданская обязанность третьих лиц пассивного типа).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силу вышеперечисленных признаков под ограниченным вещным правом следует понимать абсолютное субъективное гражданское право, представляющее собой определенную законом возможность использовать чужую вещь в своих интересах, без посредства ее собственника и помимо воли третьих лиц, но в ограниченном объеме по сравнению с собственником вещи.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Введение и использование в гражданском обороте этого вида прав обеспечивает многообразие возможностей в осуществлении прав, прежде всего, на недвижимое имущество, стабильность и устойчивость имущественных отношений, учёт разнообразных интересов субъектов гражданского оборота.</w:t>
      </w:r>
    </w:p>
    <w:p w:rsidR="00181BA7" w:rsidRPr="001713F3"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Гражданский кодекс Российской Федерации (часть первая): Федеральный закон от 30.11.1994 №51-ФЗ (ред. от 29.12.2017) // Российская газета. 08.12.1994. № 238-239.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Гражданский кодекс Российской Федерации (часть вторая): Федеральный закон от 26.01.1996  №14-ФЗ (ред. от 05.12.2017) // СЗ РФ. 29.01.1996. №5. Ст.410.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Постановление Семнадцатого арбитражного апелляционного суда от 22.08.2007  17АП-5533/2007-ГК по делу № А50-3537/2007-Г1 [Электронный ресурс] // Режим доступа: СПС «КонсультантПлюс».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Белов В.А. Очерки вещного права. Научно-полемические заметки: учеб. пособие для бакалавриата и магистратуры. – М.: Юрайт, 2015. – 332 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Победоносцев К.П. Курс гражданского права. Т.1. – СПб, 1896. – 768 с.</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Покровский И.А. Основные проблемы гражданского права. – М., 1998. – 353 с.</w:t>
      </w:r>
    </w:p>
    <w:p w:rsidR="00181BA7" w:rsidRPr="00DA76A7" w:rsidRDefault="00181BA7" w:rsidP="00181BA7">
      <w:pPr>
        <w:tabs>
          <w:tab w:val="right" w:pos="9638"/>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Сергеев А.П., Толстой Ю.К. Гражданское право. Т. 1. – М.: Проспект, 2005. – 776 с.</w:t>
      </w:r>
      <w:r w:rsidRPr="00DA76A7">
        <w:rPr>
          <w:rFonts w:ascii="Arial" w:hAnsi="Arial" w:cs="Arial"/>
          <w:color w:val="000000" w:themeColor="text1"/>
          <w:sz w:val="22"/>
          <w:szCs w:val="22"/>
        </w:rPr>
        <w:tab/>
      </w:r>
    </w:p>
    <w:p w:rsidR="00181BA7" w:rsidRPr="00DA76A7" w:rsidRDefault="00181BA7"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СОДЕРЖАНИЕ ДОГОВОРА ИПОТЕКИ</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Саидов Идрис Дилшодович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2 - 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Российско-Таджикский (Славянский) университет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906 99 41 45,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idris</w:t>
      </w:r>
      <w:r w:rsidRPr="00DA76A7">
        <w:rPr>
          <w:rFonts w:ascii="Arial" w:hAnsi="Arial" w:cs="Arial"/>
          <w:color w:val="000000" w:themeColor="text1"/>
          <w:sz w:val="22"/>
          <w:szCs w:val="22"/>
        </w:rPr>
        <w:t>.95@</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MAINTENANCE OF THE MORTGAGE AGREEMENT</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shd w:val="clear" w:color="auto" w:fill="FFFFFF"/>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Saidov Idris Dilsodovich</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 906 99 41 45, e-mail:  idris.95@mail.ru</w:t>
      </w:r>
    </w:p>
    <w:p w:rsidR="00181BA7" w:rsidRPr="00DA76A7" w:rsidRDefault="00181BA7" w:rsidP="00181BA7">
      <w:pPr>
        <w:tabs>
          <w:tab w:val="left" w:pos="6331"/>
          <w:tab w:val="left" w:pos="9214"/>
          <w:tab w:val="left" w:pos="9355"/>
        </w:tabs>
        <w:ind w:firstLine="567"/>
        <w:jc w:val="both"/>
        <w:rPr>
          <w:rFonts w:ascii="Arial" w:hAnsi="Arial" w:cs="Arial"/>
          <w:color w:val="000000" w:themeColor="text1"/>
          <w:sz w:val="22"/>
          <w:szCs w:val="22"/>
          <w:lang w:val="en-US"/>
        </w:rPr>
      </w:pPr>
    </w:p>
    <w:p w:rsidR="00181BA7" w:rsidRPr="00DA76A7" w:rsidRDefault="00181BA7" w:rsidP="00181BA7">
      <w:pPr>
        <w:tabs>
          <w:tab w:val="left" w:pos="6331"/>
          <w:tab w:val="left" w:pos="9214"/>
          <w:tab w:val="left" w:pos="9355"/>
        </w:tabs>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к.ю.н., доцент Мирзоев П.И. </w:t>
      </w:r>
    </w:p>
    <w:p w:rsidR="00181BA7" w:rsidRPr="00DA76A7" w:rsidRDefault="00181BA7" w:rsidP="00181BA7">
      <w:pPr>
        <w:tabs>
          <w:tab w:val="left" w:pos="6331"/>
          <w:tab w:val="left" w:pos="9214"/>
          <w:tab w:val="left" w:pos="9355"/>
        </w:tabs>
        <w:ind w:firstLine="567"/>
        <w:jc w:val="right"/>
        <w:rPr>
          <w:rFonts w:ascii="Arial" w:hAnsi="Arial" w:cs="Arial"/>
          <w:color w:val="000000" w:themeColor="text1"/>
          <w:sz w:val="22"/>
          <w:szCs w:val="22"/>
        </w:rPr>
      </w:pPr>
    </w:p>
    <w:p w:rsidR="00181BA7" w:rsidRPr="00DA76A7" w:rsidRDefault="00181BA7" w:rsidP="00181BA7">
      <w:pPr>
        <w:tabs>
          <w:tab w:val="left" w:pos="6331"/>
          <w:tab w:val="left" w:pos="9214"/>
          <w:tab w:val="left" w:pos="9355"/>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рассматривается научные определения понятий «ипотеки» и «ипотечное кредитование», и некоторые существенные моменты содержания договора ипотеки.   </w:t>
      </w:r>
    </w:p>
    <w:p w:rsidR="00181BA7" w:rsidRPr="00DA76A7" w:rsidRDefault="00181BA7" w:rsidP="00181BA7">
      <w:pPr>
        <w:pStyle w:val="a9"/>
        <w:ind w:firstLine="567"/>
        <w:rPr>
          <w:rFonts w:ascii="Arial" w:hAnsi="Arial" w:cs="Arial"/>
          <w:b/>
          <w:i/>
          <w:color w:val="000000" w:themeColor="text1"/>
        </w:rPr>
      </w:pPr>
      <w:r w:rsidRPr="00DA76A7">
        <w:rPr>
          <w:rFonts w:ascii="Arial" w:hAnsi="Arial" w:cs="Arial"/>
          <w:b/>
          <w:i/>
          <w:color w:val="000000" w:themeColor="text1"/>
          <w:spacing w:val="-4"/>
        </w:rPr>
        <w:t>Annotation.</w:t>
      </w:r>
      <w:r w:rsidRPr="00DA76A7">
        <w:rPr>
          <w:rFonts w:ascii="Arial" w:hAnsi="Arial" w:cs="Arial"/>
          <w:i/>
          <w:color w:val="000000" w:themeColor="text1"/>
          <w:spacing w:val="-4"/>
        </w:rPr>
        <w:t xml:space="preserve"> </w:t>
      </w:r>
      <w:r w:rsidRPr="00DA76A7">
        <w:rPr>
          <w:rFonts w:ascii="Arial" w:hAnsi="Arial" w:cs="Arial"/>
          <w:i/>
          <w:color w:val="000000" w:themeColor="text1"/>
          <w:shd w:val="clear" w:color="auto" w:fill="FFFFFF"/>
        </w:rPr>
        <w:t>The article deals with scientific definitions of the concepts of «mortgage» and «mortgage lending,» and some significant points in the contents of the mortgage agreement.</w:t>
      </w:r>
    </w:p>
    <w:p w:rsidR="00181BA7" w:rsidRPr="00DA76A7" w:rsidRDefault="00181BA7" w:rsidP="00181BA7">
      <w:pPr>
        <w:pStyle w:val="a9"/>
        <w:ind w:firstLine="567"/>
        <w:rPr>
          <w:rFonts w:ascii="Arial" w:hAnsi="Arial" w:cs="Arial"/>
          <w:i/>
          <w:color w:val="000000" w:themeColor="text1"/>
          <w:lang w:val="ru-RU"/>
        </w:rPr>
      </w:pPr>
      <w:r w:rsidRPr="00DA76A7">
        <w:rPr>
          <w:rFonts w:ascii="Arial" w:hAnsi="Arial" w:cs="Arial"/>
          <w:b/>
          <w:i/>
          <w:color w:val="000000" w:themeColor="text1"/>
          <w:lang w:val="ru-RU"/>
        </w:rPr>
        <w:t>Ключевые слова:</w:t>
      </w:r>
      <w:r w:rsidRPr="00DA76A7">
        <w:rPr>
          <w:rFonts w:ascii="Arial" w:hAnsi="Arial" w:cs="Arial"/>
          <w:i/>
          <w:color w:val="000000" w:themeColor="text1"/>
          <w:lang w:val="ru-RU"/>
        </w:rPr>
        <w:t xml:space="preserve"> ипотека, залог, обязательства, ипотечный договор, имущества, кредитор, должник, законодательства.</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mortgage, pledge, obligations, mortgage agreement, property, creditor, debtor, legislation.</w:t>
      </w:r>
    </w:p>
    <w:p w:rsidR="00181BA7" w:rsidRPr="00DA76A7" w:rsidRDefault="00181BA7" w:rsidP="00181BA7">
      <w:pPr>
        <w:pStyle w:val="a9"/>
        <w:ind w:firstLine="567"/>
        <w:rPr>
          <w:rFonts w:ascii="Arial" w:hAnsi="Arial" w:cs="Arial"/>
          <w:color w:val="000000" w:themeColor="text1"/>
        </w:rPr>
      </w:pP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В современности такие понятия, как «ипотека», «ипотечное кредитование» достаточно прочно укоренились</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жизнь</w:t>
      </w:r>
      <w:r w:rsidRPr="00DA76A7">
        <w:rPr>
          <w:rFonts w:ascii="Arial" w:hAnsi="Arial" w:cs="Arial"/>
          <w:color w:val="000000" w:themeColor="text1"/>
          <w:spacing w:val="-22"/>
          <w:lang w:val="ru-RU"/>
        </w:rPr>
        <w:t xml:space="preserve"> </w:t>
      </w:r>
      <w:r w:rsidRPr="00DA76A7">
        <w:rPr>
          <w:rFonts w:ascii="Arial" w:hAnsi="Arial" w:cs="Arial"/>
          <w:color w:val="000000" w:themeColor="text1"/>
          <w:lang w:val="ru-RU"/>
        </w:rPr>
        <w:t xml:space="preserve">каждого гражданина земли. В нынешних условиях </w:t>
      </w:r>
      <w:r w:rsidRPr="00DA76A7">
        <w:rPr>
          <w:rFonts w:ascii="Arial" w:hAnsi="Arial" w:cs="Arial"/>
          <w:color w:val="000000" w:themeColor="text1"/>
          <w:spacing w:val="6"/>
          <w:lang w:val="ru-RU"/>
        </w:rPr>
        <w:t xml:space="preserve">ипотека </w:t>
      </w:r>
      <w:r w:rsidRPr="00DA76A7">
        <w:rPr>
          <w:rFonts w:ascii="Arial" w:hAnsi="Arial" w:cs="Arial"/>
          <w:color w:val="000000" w:themeColor="text1"/>
          <w:spacing w:val="7"/>
          <w:lang w:val="ru-RU"/>
        </w:rPr>
        <w:t xml:space="preserve">предоставляет </w:t>
      </w:r>
      <w:r w:rsidRPr="00DA76A7">
        <w:rPr>
          <w:rFonts w:ascii="Arial" w:hAnsi="Arial" w:cs="Arial"/>
          <w:color w:val="000000" w:themeColor="text1"/>
          <w:spacing w:val="8"/>
          <w:lang w:val="ru-RU"/>
        </w:rPr>
        <w:t xml:space="preserve">достаточно </w:t>
      </w:r>
      <w:r w:rsidRPr="00DA76A7">
        <w:rPr>
          <w:rFonts w:ascii="Arial" w:hAnsi="Arial" w:cs="Arial"/>
          <w:color w:val="000000" w:themeColor="text1"/>
          <w:lang w:val="ru-RU"/>
        </w:rPr>
        <w:t>широкие</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возможности:</w:t>
      </w:r>
    </w:p>
    <w:p w:rsidR="00181BA7" w:rsidRPr="00DA76A7" w:rsidRDefault="00181BA7" w:rsidP="00D45D6B">
      <w:pPr>
        <w:pStyle w:val="a6"/>
        <w:widowControl w:val="0"/>
        <w:numPr>
          <w:ilvl w:val="0"/>
          <w:numId w:val="89"/>
        </w:numPr>
        <w:tabs>
          <w:tab w:val="left" w:pos="698"/>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2"/>
        </w:rPr>
        <w:t>предпринимателю</w:t>
      </w:r>
      <w:r w:rsidRPr="00DA76A7">
        <w:rPr>
          <w:rFonts w:ascii="Arial" w:hAnsi="Arial" w:cs="Arial"/>
          <w:color w:val="000000" w:themeColor="text1"/>
          <w:spacing w:val="-16"/>
        </w:rPr>
        <w:t xml:space="preserve"> </w:t>
      </w:r>
      <w:r w:rsidRPr="00DA76A7">
        <w:rPr>
          <w:rFonts w:ascii="Arial" w:hAnsi="Arial" w:cs="Arial"/>
          <w:color w:val="000000" w:themeColor="text1"/>
        </w:rPr>
        <w:t>–</w:t>
      </w:r>
      <w:r w:rsidRPr="00DA76A7">
        <w:rPr>
          <w:rFonts w:ascii="Arial" w:hAnsi="Arial" w:cs="Arial"/>
          <w:color w:val="000000" w:themeColor="text1"/>
          <w:spacing w:val="-15"/>
        </w:rPr>
        <w:t xml:space="preserve"> </w:t>
      </w:r>
      <w:r w:rsidRPr="00DA76A7">
        <w:rPr>
          <w:rFonts w:ascii="Arial" w:hAnsi="Arial" w:cs="Arial"/>
          <w:color w:val="000000" w:themeColor="text1"/>
          <w:spacing w:val="2"/>
        </w:rPr>
        <w:t>увеличить</w:t>
      </w:r>
      <w:r w:rsidRPr="00DA76A7">
        <w:rPr>
          <w:rFonts w:ascii="Arial" w:hAnsi="Arial" w:cs="Arial"/>
          <w:color w:val="000000" w:themeColor="text1"/>
          <w:spacing w:val="-16"/>
        </w:rPr>
        <w:t xml:space="preserve"> </w:t>
      </w:r>
      <w:r w:rsidRPr="00DA76A7">
        <w:rPr>
          <w:rFonts w:ascii="Arial" w:hAnsi="Arial" w:cs="Arial"/>
          <w:color w:val="000000" w:themeColor="text1"/>
          <w:spacing w:val="3"/>
        </w:rPr>
        <w:t xml:space="preserve">долю </w:t>
      </w:r>
      <w:r w:rsidRPr="00DA76A7">
        <w:rPr>
          <w:rFonts w:ascii="Arial" w:hAnsi="Arial" w:cs="Arial"/>
          <w:color w:val="000000" w:themeColor="text1"/>
        </w:rPr>
        <w:t>производительного</w:t>
      </w:r>
      <w:r w:rsidRPr="00DA76A7">
        <w:rPr>
          <w:rFonts w:ascii="Arial" w:hAnsi="Arial" w:cs="Arial"/>
          <w:color w:val="000000" w:themeColor="text1"/>
          <w:spacing w:val="-21"/>
        </w:rPr>
        <w:t xml:space="preserve"> </w:t>
      </w:r>
      <w:r w:rsidRPr="00DA76A7">
        <w:rPr>
          <w:rFonts w:ascii="Arial" w:hAnsi="Arial" w:cs="Arial"/>
          <w:color w:val="000000" w:themeColor="text1"/>
        </w:rPr>
        <w:t>капитала;</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 землевладельцам – произвести покупку (отчуждения права пользования) дополнительных участков земли, увеличивать капитальные затраты на приобретение производственных мощностей;</w:t>
      </w:r>
    </w:p>
    <w:p w:rsidR="00181BA7" w:rsidRPr="00DA76A7" w:rsidRDefault="00181BA7" w:rsidP="00D45D6B">
      <w:pPr>
        <w:pStyle w:val="a6"/>
        <w:widowControl w:val="0"/>
        <w:numPr>
          <w:ilvl w:val="0"/>
          <w:numId w:val="89"/>
        </w:numPr>
        <w:tabs>
          <w:tab w:val="left" w:pos="715"/>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8"/>
        </w:rPr>
        <w:t xml:space="preserve">физическому </w:t>
      </w:r>
      <w:r w:rsidRPr="00DA76A7">
        <w:rPr>
          <w:rFonts w:ascii="Arial" w:hAnsi="Arial" w:cs="Arial"/>
          <w:color w:val="000000" w:themeColor="text1"/>
          <w:spacing w:val="6"/>
        </w:rPr>
        <w:t xml:space="preserve">лицу </w:t>
      </w:r>
      <w:r w:rsidRPr="00DA76A7">
        <w:rPr>
          <w:rFonts w:ascii="Arial" w:hAnsi="Arial" w:cs="Arial"/>
          <w:color w:val="000000" w:themeColor="text1"/>
          <w:spacing w:val="8"/>
        </w:rPr>
        <w:t>(гражданину)</w:t>
      </w:r>
      <w:r w:rsidRPr="00DA76A7">
        <w:rPr>
          <w:rFonts w:ascii="Arial" w:hAnsi="Arial" w:cs="Arial"/>
          <w:color w:val="000000" w:themeColor="text1"/>
          <w:spacing w:val="-28"/>
        </w:rPr>
        <w:t xml:space="preserve"> </w:t>
      </w:r>
      <w:r w:rsidRPr="00DA76A7">
        <w:rPr>
          <w:rFonts w:ascii="Arial" w:hAnsi="Arial" w:cs="Arial"/>
          <w:color w:val="000000" w:themeColor="text1"/>
        </w:rPr>
        <w:t>– приобрести недвижимость или улучшать</w:t>
      </w:r>
      <w:r w:rsidRPr="00DA76A7">
        <w:rPr>
          <w:rFonts w:ascii="Arial" w:hAnsi="Arial" w:cs="Arial"/>
          <w:color w:val="000000" w:themeColor="text1"/>
          <w:spacing w:val="-27"/>
        </w:rPr>
        <w:t xml:space="preserve"> </w:t>
      </w:r>
      <w:r w:rsidRPr="00DA76A7">
        <w:rPr>
          <w:rFonts w:ascii="Arial" w:hAnsi="Arial" w:cs="Arial"/>
          <w:color w:val="000000" w:themeColor="text1"/>
        </w:rPr>
        <w:t>свои</w:t>
      </w:r>
      <w:r w:rsidRPr="00DA76A7">
        <w:rPr>
          <w:rFonts w:ascii="Arial" w:hAnsi="Arial" w:cs="Arial"/>
          <w:color w:val="000000" w:themeColor="text1"/>
          <w:spacing w:val="-27"/>
        </w:rPr>
        <w:t xml:space="preserve"> </w:t>
      </w:r>
      <w:r w:rsidRPr="00DA76A7">
        <w:rPr>
          <w:rFonts w:ascii="Arial" w:hAnsi="Arial" w:cs="Arial"/>
          <w:color w:val="000000" w:themeColor="text1"/>
        </w:rPr>
        <w:t>жилищные</w:t>
      </w:r>
      <w:r w:rsidRPr="00DA76A7">
        <w:rPr>
          <w:rFonts w:ascii="Arial" w:hAnsi="Arial" w:cs="Arial"/>
          <w:color w:val="000000" w:themeColor="text1"/>
          <w:spacing w:val="-26"/>
        </w:rPr>
        <w:t xml:space="preserve"> </w:t>
      </w:r>
      <w:r w:rsidRPr="00DA76A7">
        <w:rPr>
          <w:rFonts w:ascii="Arial" w:hAnsi="Arial" w:cs="Arial"/>
          <w:color w:val="000000" w:themeColor="text1"/>
        </w:rPr>
        <w:t>условия.</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Слово</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«ипотека»</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берет свое начала из римского права</w:t>
      </w:r>
      <w:r w:rsidRPr="00DA76A7">
        <w:rPr>
          <w:rFonts w:ascii="Arial" w:hAnsi="Arial" w:cs="Arial"/>
          <w:color w:val="000000" w:themeColor="text1"/>
          <w:spacing w:val="3"/>
          <w:lang w:val="ru-RU"/>
        </w:rPr>
        <w:t>.</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3"/>
          <w:lang w:val="ru-RU"/>
        </w:rPr>
        <w:t>Впервые</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2"/>
          <w:lang w:val="ru-RU"/>
        </w:rPr>
        <w:t>оно</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3"/>
          <w:lang w:val="ru-RU"/>
        </w:rPr>
        <w:t>было</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4"/>
          <w:lang w:val="ru-RU"/>
        </w:rPr>
        <w:t>упот</w:t>
      </w:r>
      <w:r w:rsidRPr="00DA76A7">
        <w:rPr>
          <w:rFonts w:ascii="Arial" w:hAnsi="Arial" w:cs="Arial"/>
          <w:color w:val="000000" w:themeColor="text1"/>
          <w:spacing w:val="2"/>
          <w:lang w:val="ru-RU"/>
        </w:rPr>
        <w:t xml:space="preserve">реблено </w:t>
      </w:r>
      <w:r w:rsidRPr="00DA76A7">
        <w:rPr>
          <w:rFonts w:ascii="Arial" w:hAnsi="Arial" w:cs="Arial"/>
          <w:color w:val="000000" w:themeColor="text1"/>
          <w:lang w:val="ru-RU"/>
        </w:rPr>
        <w:t xml:space="preserve">в </w:t>
      </w:r>
      <w:r w:rsidRPr="00DA76A7">
        <w:rPr>
          <w:rFonts w:ascii="Arial" w:hAnsi="Arial" w:cs="Arial"/>
          <w:color w:val="000000" w:themeColor="text1"/>
          <w:spacing w:val="2"/>
          <w:lang w:val="ru-RU"/>
        </w:rPr>
        <w:t>законодательной</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3"/>
          <w:lang w:val="ru-RU"/>
        </w:rPr>
        <w:t xml:space="preserve">практике </w:t>
      </w:r>
      <w:r w:rsidRPr="00DA76A7">
        <w:rPr>
          <w:rFonts w:ascii="Arial" w:hAnsi="Arial" w:cs="Arial"/>
          <w:color w:val="000000" w:themeColor="text1"/>
          <w:lang w:val="ru-RU"/>
        </w:rPr>
        <w:t>афинского</w:t>
      </w:r>
      <w:r w:rsidRPr="00DA76A7">
        <w:rPr>
          <w:rFonts w:ascii="Arial" w:hAnsi="Arial" w:cs="Arial"/>
          <w:color w:val="000000" w:themeColor="text1"/>
          <w:spacing w:val="-27"/>
          <w:lang w:val="ru-RU"/>
        </w:rPr>
        <w:t xml:space="preserve"> </w:t>
      </w:r>
      <w:r w:rsidRPr="00DA76A7">
        <w:rPr>
          <w:rFonts w:ascii="Arial" w:hAnsi="Arial" w:cs="Arial"/>
          <w:color w:val="000000" w:themeColor="text1"/>
          <w:lang w:val="ru-RU"/>
        </w:rPr>
        <w:t>политика</w:t>
      </w:r>
      <w:r w:rsidRPr="00DA76A7">
        <w:rPr>
          <w:rFonts w:ascii="Arial" w:hAnsi="Arial" w:cs="Arial"/>
          <w:color w:val="000000" w:themeColor="text1"/>
          <w:spacing w:val="-26"/>
          <w:lang w:val="ru-RU"/>
        </w:rPr>
        <w:t xml:space="preserve"> </w:t>
      </w:r>
      <w:r w:rsidRPr="00DA76A7">
        <w:rPr>
          <w:rFonts w:ascii="Arial" w:hAnsi="Arial" w:cs="Arial"/>
          <w:color w:val="000000" w:themeColor="text1"/>
          <w:lang w:val="ru-RU"/>
        </w:rPr>
        <w:t>Солона</w:t>
      </w:r>
      <w:r w:rsidRPr="00DA76A7">
        <w:rPr>
          <w:rFonts w:ascii="Arial" w:hAnsi="Arial" w:cs="Arial"/>
          <w:color w:val="000000" w:themeColor="text1"/>
          <w:spacing w:val="-26"/>
          <w:lang w:val="ru-RU"/>
        </w:rPr>
        <w:t xml:space="preserve"> </w:t>
      </w:r>
      <w:r w:rsidRPr="00DA76A7">
        <w:rPr>
          <w:rFonts w:ascii="Arial" w:hAnsi="Arial" w:cs="Arial"/>
          <w:color w:val="000000" w:themeColor="text1"/>
          <w:lang w:val="ru-RU"/>
        </w:rPr>
        <w:t>(</w:t>
      </w:r>
      <w:r w:rsidRPr="00DA76A7">
        <w:rPr>
          <w:rFonts w:ascii="Arial" w:hAnsi="Arial" w:cs="Arial"/>
          <w:color w:val="000000" w:themeColor="text1"/>
        </w:rPr>
        <w:t>VI</w:t>
      </w:r>
      <w:r w:rsidRPr="00DA76A7">
        <w:rPr>
          <w:rFonts w:ascii="Arial" w:hAnsi="Arial" w:cs="Arial"/>
          <w:color w:val="000000" w:themeColor="text1"/>
          <w:spacing w:val="-27"/>
          <w:lang w:val="ru-RU"/>
        </w:rPr>
        <w:t xml:space="preserve"> </w:t>
      </w:r>
      <w:r w:rsidRPr="00DA76A7">
        <w:rPr>
          <w:rFonts w:ascii="Arial" w:hAnsi="Arial" w:cs="Arial"/>
          <w:color w:val="000000" w:themeColor="text1"/>
          <w:lang w:val="ru-RU"/>
        </w:rPr>
        <w:t>до</w:t>
      </w:r>
      <w:r w:rsidRPr="00DA76A7">
        <w:rPr>
          <w:rFonts w:ascii="Arial" w:hAnsi="Arial" w:cs="Arial"/>
          <w:color w:val="000000" w:themeColor="text1"/>
          <w:spacing w:val="-26"/>
          <w:lang w:val="ru-RU"/>
        </w:rPr>
        <w:t xml:space="preserve"> </w:t>
      </w:r>
      <w:r w:rsidRPr="00DA76A7">
        <w:rPr>
          <w:rFonts w:ascii="Arial" w:hAnsi="Arial" w:cs="Arial"/>
          <w:color w:val="000000" w:themeColor="text1"/>
          <w:lang w:val="ru-RU"/>
        </w:rPr>
        <w:t>н.э.) .</w:t>
      </w:r>
      <w:r w:rsidRPr="00DA76A7">
        <w:rPr>
          <w:rFonts w:ascii="Arial" w:hAnsi="Arial" w:cs="Arial"/>
          <w:color w:val="000000" w:themeColor="text1"/>
          <w:spacing w:val="-25"/>
          <w:lang w:val="ru-RU"/>
        </w:rPr>
        <w:t xml:space="preserve"> </w:t>
      </w:r>
      <w:r w:rsidRPr="00DA76A7">
        <w:rPr>
          <w:rFonts w:ascii="Arial" w:hAnsi="Arial" w:cs="Arial"/>
          <w:color w:val="000000" w:themeColor="text1"/>
          <w:lang w:val="ru-RU"/>
        </w:rPr>
        <w:t>Солон</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впервые</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предложил</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 xml:space="preserve">ставить </w:t>
      </w:r>
      <w:r w:rsidRPr="00DA76A7">
        <w:rPr>
          <w:rFonts w:ascii="Arial" w:hAnsi="Arial" w:cs="Arial"/>
          <w:color w:val="000000" w:themeColor="text1"/>
          <w:spacing w:val="3"/>
          <w:lang w:val="ru-RU"/>
        </w:rPr>
        <w:t xml:space="preserve">на </w:t>
      </w:r>
      <w:r w:rsidRPr="00DA76A7">
        <w:rPr>
          <w:rFonts w:ascii="Arial" w:hAnsi="Arial" w:cs="Arial"/>
          <w:color w:val="000000" w:themeColor="text1"/>
          <w:spacing w:val="5"/>
          <w:lang w:val="ru-RU"/>
        </w:rPr>
        <w:t xml:space="preserve">имении </w:t>
      </w:r>
      <w:r w:rsidRPr="00DA76A7">
        <w:rPr>
          <w:rFonts w:ascii="Arial" w:hAnsi="Arial" w:cs="Arial"/>
          <w:color w:val="000000" w:themeColor="text1"/>
          <w:spacing w:val="6"/>
          <w:lang w:val="ru-RU"/>
        </w:rPr>
        <w:t xml:space="preserve">должника </w:t>
      </w:r>
      <w:r w:rsidRPr="00DA76A7">
        <w:rPr>
          <w:rFonts w:ascii="Arial" w:hAnsi="Arial" w:cs="Arial"/>
          <w:color w:val="000000" w:themeColor="text1"/>
          <w:spacing w:val="5"/>
          <w:lang w:val="ru-RU"/>
        </w:rPr>
        <w:t xml:space="preserve">столб </w:t>
      </w:r>
      <w:r w:rsidRPr="00DA76A7">
        <w:rPr>
          <w:rFonts w:ascii="Arial" w:hAnsi="Arial" w:cs="Arial"/>
          <w:color w:val="000000" w:themeColor="text1"/>
          <w:lang w:val="ru-RU"/>
        </w:rPr>
        <w:t xml:space="preserve">с </w:t>
      </w:r>
      <w:r w:rsidRPr="00DA76A7">
        <w:rPr>
          <w:rFonts w:ascii="Arial" w:hAnsi="Arial" w:cs="Arial"/>
          <w:color w:val="000000" w:themeColor="text1"/>
          <w:spacing w:val="7"/>
          <w:lang w:val="ru-RU"/>
        </w:rPr>
        <w:t>надпи</w:t>
      </w:r>
      <w:r w:rsidRPr="00DA76A7">
        <w:rPr>
          <w:rFonts w:ascii="Arial" w:hAnsi="Arial" w:cs="Arial"/>
          <w:color w:val="000000" w:themeColor="text1"/>
          <w:spacing w:val="3"/>
          <w:lang w:val="ru-RU"/>
        </w:rPr>
        <w:t>сью,</w:t>
      </w:r>
      <w:r w:rsidRPr="00DA76A7">
        <w:rPr>
          <w:rFonts w:ascii="Arial" w:hAnsi="Arial" w:cs="Arial"/>
          <w:color w:val="000000" w:themeColor="text1"/>
          <w:spacing w:val="-9"/>
          <w:lang w:val="ru-RU"/>
        </w:rPr>
        <w:t xml:space="preserve"> </w:t>
      </w:r>
      <w:r w:rsidRPr="00DA76A7">
        <w:rPr>
          <w:rFonts w:ascii="Arial" w:hAnsi="Arial" w:cs="Arial"/>
          <w:color w:val="000000" w:themeColor="text1"/>
          <w:spacing w:val="3"/>
          <w:lang w:val="ru-RU"/>
        </w:rPr>
        <w:t>что</w:t>
      </w:r>
      <w:r w:rsidRPr="00DA76A7">
        <w:rPr>
          <w:rFonts w:ascii="Arial" w:hAnsi="Arial" w:cs="Arial"/>
          <w:color w:val="000000" w:themeColor="text1"/>
          <w:spacing w:val="-8"/>
          <w:lang w:val="ru-RU"/>
        </w:rPr>
        <w:t xml:space="preserve"> </w:t>
      </w:r>
      <w:r w:rsidRPr="00DA76A7">
        <w:rPr>
          <w:rFonts w:ascii="Arial" w:hAnsi="Arial" w:cs="Arial"/>
          <w:color w:val="000000" w:themeColor="text1"/>
          <w:spacing w:val="3"/>
          <w:lang w:val="ru-RU"/>
        </w:rPr>
        <w:t>эта</w:t>
      </w:r>
      <w:r w:rsidRPr="00DA76A7">
        <w:rPr>
          <w:rFonts w:ascii="Arial" w:hAnsi="Arial" w:cs="Arial"/>
          <w:color w:val="000000" w:themeColor="text1"/>
          <w:spacing w:val="-8"/>
          <w:lang w:val="ru-RU"/>
        </w:rPr>
        <w:t xml:space="preserve"> </w:t>
      </w:r>
      <w:r w:rsidRPr="00DA76A7">
        <w:rPr>
          <w:rFonts w:ascii="Arial" w:hAnsi="Arial" w:cs="Arial"/>
          <w:color w:val="000000" w:themeColor="text1"/>
          <w:spacing w:val="4"/>
          <w:lang w:val="ru-RU"/>
        </w:rPr>
        <w:t>земля</w:t>
      </w:r>
      <w:r w:rsidRPr="00DA76A7">
        <w:rPr>
          <w:rFonts w:ascii="Arial" w:hAnsi="Arial" w:cs="Arial"/>
          <w:color w:val="000000" w:themeColor="text1"/>
          <w:spacing w:val="-9"/>
          <w:lang w:val="ru-RU"/>
        </w:rPr>
        <w:t xml:space="preserve"> </w:t>
      </w:r>
      <w:r w:rsidRPr="00DA76A7">
        <w:rPr>
          <w:rFonts w:ascii="Arial" w:hAnsi="Arial" w:cs="Arial"/>
          <w:color w:val="000000" w:themeColor="text1"/>
          <w:spacing w:val="4"/>
          <w:lang w:val="ru-RU"/>
        </w:rPr>
        <w:t>служит</w:t>
      </w:r>
      <w:r w:rsidRPr="00DA76A7">
        <w:rPr>
          <w:rFonts w:ascii="Arial" w:hAnsi="Arial" w:cs="Arial"/>
          <w:color w:val="000000" w:themeColor="text1"/>
          <w:spacing w:val="-8"/>
          <w:lang w:val="ru-RU"/>
        </w:rPr>
        <w:t xml:space="preserve"> </w:t>
      </w:r>
      <w:r w:rsidRPr="00DA76A7">
        <w:rPr>
          <w:rFonts w:ascii="Arial" w:hAnsi="Arial" w:cs="Arial"/>
          <w:color w:val="000000" w:themeColor="text1"/>
          <w:spacing w:val="5"/>
          <w:lang w:val="ru-RU"/>
        </w:rPr>
        <w:t>обеспече</w:t>
      </w:r>
      <w:r w:rsidRPr="00DA76A7">
        <w:rPr>
          <w:rFonts w:ascii="Arial" w:hAnsi="Arial" w:cs="Arial"/>
          <w:color w:val="000000" w:themeColor="text1"/>
          <w:spacing w:val="3"/>
          <w:lang w:val="ru-RU"/>
        </w:rPr>
        <w:t xml:space="preserve">нием прав </w:t>
      </w:r>
      <w:r w:rsidRPr="00DA76A7">
        <w:rPr>
          <w:rFonts w:ascii="Arial" w:hAnsi="Arial" w:cs="Arial"/>
          <w:color w:val="000000" w:themeColor="text1"/>
          <w:spacing w:val="4"/>
          <w:lang w:val="ru-RU"/>
        </w:rPr>
        <w:t xml:space="preserve">кредитора </w:t>
      </w:r>
      <w:r w:rsidRPr="00DA76A7">
        <w:rPr>
          <w:rFonts w:ascii="Arial" w:hAnsi="Arial" w:cs="Arial"/>
          <w:color w:val="000000" w:themeColor="text1"/>
          <w:spacing w:val="2"/>
          <w:lang w:val="ru-RU"/>
        </w:rPr>
        <w:t xml:space="preserve">на </w:t>
      </w:r>
      <w:r w:rsidRPr="00DA76A7">
        <w:rPr>
          <w:rFonts w:ascii="Arial" w:hAnsi="Arial" w:cs="Arial"/>
          <w:color w:val="000000" w:themeColor="text1"/>
          <w:spacing w:val="5"/>
          <w:lang w:val="ru-RU"/>
        </w:rPr>
        <w:t>определен</w:t>
      </w:r>
      <w:r w:rsidRPr="00DA76A7">
        <w:rPr>
          <w:rFonts w:ascii="Arial" w:hAnsi="Arial" w:cs="Arial"/>
          <w:color w:val="000000" w:themeColor="text1"/>
          <w:lang w:val="ru-RU"/>
        </w:rPr>
        <w:t>ную</w:t>
      </w:r>
      <w:r w:rsidRPr="00DA76A7">
        <w:rPr>
          <w:rFonts w:ascii="Arial" w:hAnsi="Arial" w:cs="Arial"/>
          <w:color w:val="000000" w:themeColor="text1"/>
          <w:spacing w:val="-25"/>
          <w:lang w:val="ru-RU"/>
        </w:rPr>
        <w:t xml:space="preserve"> </w:t>
      </w:r>
      <w:r w:rsidRPr="00DA76A7">
        <w:rPr>
          <w:rFonts w:ascii="Arial" w:hAnsi="Arial" w:cs="Arial"/>
          <w:color w:val="000000" w:themeColor="text1"/>
          <w:spacing w:val="-3"/>
          <w:lang w:val="ru-RU"/>
        </w:rPr>
        <w:t>сумму,</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переданную</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взаймы.</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Такой столб</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получил</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название</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«ипотека».</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На нем</w:t>
      </w:r>
      <w:r w:rsidRPr="00DA76A7">
        <w:rPr>
          <w:rFonts w:ascii="Arial" w:hAnsi="Arial" w:cs="Arial"/>
          <w:color w:val="000000" w:themeColor="text1"/>
          <w:spacing w:val="-25"/>
          <w:lang w:val="ru-RU"/>
        </w:rPr>
        <w:t xml:space="preserve"> </w:t>
      </w:r>
      <w:r w:rsidRPr="00DA76A7">
        <w:rPr>
          <w:rFonts w:ascii="Arial" w:hAnsi="Arial" w:cs="Arial"/>
          <w:color w:val="000000" w:themeColor="text1"/>
          <w:lang w:val="ru-RU"/>
        </w:rPr>
        <w:t>отмечались</w:t>
      </w:r>
      <w:r w:rsidRPr="00DA76A7">
        <w:rPr>
          <w:rFonts w:ascii="Arial" w:hAnsi="Arial" w:cs="Arial"/>
          <w:color w:val="000000" w:themeColor="text1"/>
          <w:spacing w:val="-25"/>
          <w:lang w:val="ru-RU"/>
        </w:rPr>
        <w:t xml:space="preserve"> </w:t>
      </w:r>
      <w:r w:rsidRPr="00DA76A7">
        <w:rPr>
          <w:rFonts w:ascii="Arial" w:hAnsi="Arial" w:cs="Arial"/>
          <w:color w:val="000000" w:themeColor="text1"/>
          <w:lang w:val="ru-RU"/>
        </w:rPr>
        <w:t>все</w:t>
      </w:r>
      <w:r w:rsidRPr="00DA76A7">
        <w:rPr>
          <w:rFonts w:ascii="Arial" w:hAnsi="Arial" w:cs="Arial"/>
          <w:color w:val="000000" w:themeColor="text1"/>
          <w:spacing w:val="-25"/>
          <w:lang w:val="ru-RU"/>
        </w:rPr>
        <w:t xml:space="preserve"> </w:t>
      </w:r>
      <w:r w:rsidRPr="00DA76A7">
        <w:rPr>
          <w:rFonts w:ascii="Arial" w:hAnsi="Arial" w:cs="Arial"/>
          <w:color w:val="000000" w:themeColor="text1"/>
          <w:lang w:val="ru-RU"/>
        </w:rPr>
        <w:t>долги</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собственника</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земли.</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Современное</w:t>
      </w:r>
      <w:r w:rsidRPr="00DA76A7">
        <w:rPr>
          <w:rFonts w:ascii="Arial" w:hAnsi="Arial" w:cs="Arial"/>
          <w:color w:val="000000" w:themeColor="text1"/>
          <w:spacing w:val="-22"/>
          <w:lang w:val="ru-RU"/>
        </w:rPr>
        <w:t xml:space="preserve"> </w:t>
      </w:r>
      <w:r w:rsidRPr="00DA76A7">
        <w:rPr>
          <w:rFonts w:ascii="Arial" w:hAnsi="Arial" w:cs="Arial"/>
          <w:color w:val="000000" w:themeColor="text1"/>
          <w:lang w:val="ru-RU"/>
        </w:rPr>
        <w:t>понятие</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ипотеки</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возникло</w:t>
      </w:r>
      <w:r w:rsidRPr="00DA76A7">
        <w:rPr>
          <w:rFonts w:ascii="Arial" w:hAnsi="Arial" w:cs="Arial"/>
          <w:color w:val="000000" w:themeColor="text1"/>
          <w:spacing w:val="-8"/>
          <w:lang w:val="ru-RU"/>
        </w:rPr>
        <w:t xml:space="preserve"> </w:t>
      </w:r>
      <w:r w:rsidRPr="00DA76A7">
        <w:rPr>
          <w:rFonts w:ascii="Arial" w:hAnsi="Arial" w:cs="Arial"/>
          <w:color w:val="000000" w:themeColor="text1"/>
          <w:lang w:val="ru-RU"/>
        </w:rPr>
        <w:t>не</w:t>
      </w:r>
      <w:r w:rsidRPr="00DA76A7">
        <w:rPr>
          <w:rFonts w:ascii="Arial" w:hAnsi="Arial" w:cs="Arial"/>
          <w:color w:val="000000" w:themeColor="text1"/>
          <w:spacing w:val="-7"/>
          <w:lang w:val="ru-RU"/>
        </w:rPr>
        <w:t xml:space="preserve"> </w:t>
      </w:r>
      <w:r w:rsidRPr="00DA76A7">
        <w:rPr>
          <w:rFonts w:ascii="Arial" w:hAnsi="Arial" w:cs="Arial"/>
          <w:color w:val="000000" w:themeColor="text1"/>
          <w:spacing w:val="-3"/>
          <w:lang w:val="ru-RU"/>
        </w:rPr>
        <w:t>сразу.</w:t>
      </w:r>
      <w:r w:rsidRPr="00DA76A7">
        <w:rPr>
          <w:rFonts w:ascii="Arial" w:hAnsi="Arial" w:cs="Arial"/>
          <w:color w:val="000000" w:themeColor="text1"/>
          <w:spacing w:val="-8"/>
          <w:lang w:val="ru-RU"/>
        </w:rPr>
        <w:t xml:space="preserve"> </w:t>
      </w:r>
      <w:r w:rsidRPr="00DA76A7">
        <w:rPr>
          <w:rFonts w:ascii="Arial" w:hAnsi="Arial" w:cs="Arial"/>
          <w:color w:val="000000" w:themeColor="text1"/>
          <w:lang w:val="ru-RU"/>
        </w:rPr>
        <w:t>Появление ипотеки</w:t>
      </w:r>
      <w:r w:rsidRPr="00DA76A7">
        <w:rPr>
          <w:rFonts w:ascii="Arial" w:hAnsi="Arial" w:cs="Arial"/>
          <w:color w:val="000000" w:themeColor="text1"/>
          <w:spacing w:val="-8"/>
          <w:lang w:val="ru-RU"/>
        </w:rPr>
        <w:t xml:space="preserve"> </w:t>
      </w:r>
      <w:r w:rsidRPr="00DA76A7">
        <w:rPr>
          <w:rFonts w:ascii="Arial" w:hAnsi="Arial" w:cs="Arial"/>
          <w:color w:val="000000" w:themeColor="text1"/>
          <w:lang w:val="ru-RU"/>
        </w:rPr>
        <w:t>опиралась</w:t>
      </w:r>
      <w:r w:rsidRPr="00DA76A7">
        <w:rPr>
          <w:rFonts w:ascii="Arial" w:hAnsi="Arial" w:cs="Arial"/>
          <w:color w:val="000000" w:themeColor="text1"/>
          <w:spacing w:val="-7"/>
          <w:lang w:val="ru-RU"/>
        </w:rPr>
        <w:t xml:space="preserve"> </w:t>
      </w:r>
      <w:r w:rsidRPr="00DA76A7">
        <w:rPr>
          <w:rFonts w:ascii="Arial" w:hAnsi="Arial" w:cs="Arial"/>
          <w:color w:val="000000" w:themeColor="text1"/>
          <w:lang w:val="ru-RU"/>
        </w:rPr>
        <w:t xml:space="preserve"> на различные</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 xml:space="preserve">экономические </w:t>
      </w:r>
      <w:r w:rsidRPr="00DA76A7">
        <w:rPr>
          <w:rFonts w:ascii="Arial" w:hAnsi="Arial" w:cs="Arial"/>
          <w:color w:val="000000" w:themeColor="text1"/>
          <w:spacing w:val="3"/>
          <w:lang w:val="ru-RU"/>
        </w:rPr>
        <w:t xml:space="preserve">потребности общества с </w:t>
      </w:r>
      <w:r w:rsidRPr="00DA76A7">
        <w:rPr>
          <w:rFonts w:ascii="Arial" w:hAnsi="Arial" w:cs="Arial"/>
          <w:color w:val="000000" w:themeColor="text1"/>
          <w:spacing w:val="4"/>
          <w:lang w:val="ru-RU"/>
        </w:rPr>
        <w:t>развитием</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5"/>
          <w:lang w:val="ru-RU"/>
        </w:rPr>
        <w:t>товарно-денежного</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5"/>
          <w:lang w:val="ru-RU"/>
        </w:rPr>
        <w:t xml:space="preserve">оборота. Ипотека начала </w:t>
      </w:r>
      <w:r w:rsidRPr="00DA76A7">
        <w:rPr>
          <w:rFonts w:ascii="Arial" w:hAnsi="Arial" w:cs="Arial"/>
          <w:color w:val="000000" w:themeColor="text1"/>
          <w:spacing w:val="-11"/>
          <w:lang w:val="ru-RU"/>
        </w:rPr>
        <w:t xml:space="preserve"> развиваться и совершенствоваться  </w:t>
      </w:r>
      <w:r w:rsidRPr="00DA76A7">
        <w:rPr>
          <w:rFonts w:ascii="Arial" w:hAnsi="Arial" w:cs="Arial"/>
          <w:color w:val="000000" w:themeColor="text1"/>
          <w:lang w:val="ru-RU"/>
        </w:rPr>
        <w:t>с учетом особенностей конкретных</w:t>
      </w:r>
      <w:r w:rsidRPr="00DA76A7">
        <w:rPr>
          <w:rFonts w:ascii="Arial" w:hAnsi="Arial" w:cs="Arial"/>
          <w:color w:val="000000" w:themeColor="text1"/>
          <w:spacing w:val="-42"/>
          <w:lang w:val="ru-RU"/>
        </w:rPr>
        <w:t xml:space="preserve"> </w:t>
      </w:r>
      <w:r w:rsidRPr="00DA76A7">
        <w:rPr>
          <w:rFonts w:ascii="Arial" w:hAnsi="Arial" w:cs="Arial"/>
          <w:color w:val="000000" w:themeColor="text1"/>
          <w:lang w:val="ru-RU"/>
        </w:rPr>
        <w:t>государств.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w:t>
      </w:r>
      <w:r w:rsidRPr="00DA76A7">
        <w:rPr>
          <w:rFonts w:ascii="Arial" w:hAnsi="Arial" w:cs="Arial"/>
          <w:color w:val="000000" w:themeColor="text1"/>
          <w:spacing w:val="-36"/>
          <w:sz w:val="22"/>
          <w:szCs w:val="22"/>
        </w:rPr>
        <w:t xml:space="preserve"> </w:t>
      </w:r>
      <w:r w:rsidRPr="00DA76A7">
        <w:rPr>
          <w:rFonts w:ascii="Arial" w:hAnsi="Arial" w:cs="Arial"/>
          <w:color w:val="000000" w:themeColor="text1"/>
          <w:sz w:val="22"/>
          <w:szCs w:val="22"/>
        </w:rPr>
        <w:t>настоящее</w:t>
      </w:r>
      <w:r w:rsidRPr="00DA76A7">
        <w:rPr>
          <w:rFonts w:ascii="Arial" w:hAnsi="Arial" w:cs="Arial"/>
          <w:color w:val="000000" w:themeColor="text1"/>
          <w:spacing w:val="-36"/>
          <w:sz w:val="22"/>
          <w:szCs w:val="22"/>
        </w:rPr>
        <w:t xml:space="preserve"> </w:t>
      </w:r>
      <w:r w:rsidRPr="00DA76A7">
        <w:rPr>
          <w:rFonts w:ascii="Arial" w:hAnsi="Arial" w:cs="Arial"/>
          <w:color w:val="000000" w:themeColor="text1"/>
          <w:sz w:val="22"/>
          <w:szCs w:val="22"/>
        </w:rPr>
        <w:t>время</w:t>
      </w:r>
      <w:r w:rsidRPr="00DA76A7">
        <w:rPr>
          <w:rFonts w:ascii="Arial" w:hAnsi="Arial" w:cs="Arial"/>
          <w:color w:val="000000" w:themeColor="text1"/>
          <w:spacing w:val="-36"/>
          <w:sz w:val="22"/>
          <w:szCs w:val="22"/>
        </w:rPr>
        <w:t xml:space="preserve">  </w:t>
      </w:r>
      <w:r w:rsidRPr="00DA76A7">
        <w:rPr>
          <w:rFonts w:ascii="Arial" w:hAnsi="Arial" w:cs="Arial"/>
          <w:color w:val="000000" w:themeColor="text1"/>
          <w:sz w:val="22"/>
          <w:szCs w:val="22"/>
        </w:rPr>
        <w:t xml:space="preserve">среди цивилистов </w:t>
      </w:r>
      <w:r w:rsidRPr="00DA76A7">
        <w:rPr>
          <w:rFonts w:ascii="Arial" w:hAnsi="Arial" w:cs="Arial"/>
          <w:color w:val="000000" w:themeColor="text1"/>
          <w:spacing w:val="-3"/>
          <w:sz w:val="22"/>
          <w:szCs w:val="22"/>
        </w:rPr>
        <w:t>существует</w:t>
      </w:r>
      <w:r w:rsidRPr="00DA76A7">
        <w:rPr>
          <w:rFonts w:ascii="Arial" w:hAnsi="Arial" w:cs="Arial"/>
          <w:color w:val="000000" w:themeColor="text1"/>
          <w:spacing w:val="-26"/>
          <w:sz w:val="22"/>
          <w:szCs w:val="22"/>
        </w:rPr>
        <w:t xml:space="preserve"> </w:t>
      </w:r>
      <w:r w:rsidRPr="00DA76A7">
        <w:rPr>
          <w:rFonts w:ascii="Arial" w:hAnsi="Arial" w:cs="Arial"/>
          <w:color w:val="000000" w:themeColor="text1"/>
          <w:sz w:val="22"/>
          <w:szCs w:val="22"/>
        </w:rPr>
        <w:t>различные</w:t>
      </w:r>
      <w:r w:rsidRPr="00DA76A7">
        <w:rPr>
          <w:rFonts w:ascii="Arial" w:hAnsi="Arial" w:cs="Arial"/>
          <w:color w:val="000000" w:themeColor="text1"/>
          <w:spacing w:val="-26"/>
          <w:sz w:val="22"/>
          <w:szCs w:val="22"/>
        </w:rPr>
        <w:t xml:space="preserve"> </w:t>
      </w:r>
      <w:r w:rsidRPr="00DA76A7">
        <w:rPr>
          <w:rFonts w:ascii="Arial" w:hAnsi="Arial" w:cs="Arial"/>
          <w:color w:val="000000" w:themeColor="text1"/>
          <w:sz w:val="22"/>
          <w:szCs w:val="22"/>
        </w:rPr>
        <w:t>точки</w:t>
      </w:r>
      <w:r w:rsidRPr="00DA76A7">
        <w:rPr>
          <w:rFonts w:ascii="Arial" w:hAnsi="Arial" w:cs="Arial"/>
          <w:color w:val="000000" w:themeColor="text1"/>
          <w:spacing w:val="-26"/>
          <w:sz w:val="22"/>
          <w:szCs w:val="22"/>
        </w:rPr>
        <w:t xml:space="preserve"> </w:t>
      </w:r>
      <w:r w:rsidRPr="00DA76A7">
        <w:rPr>
          <w:rFonts w:ascii="Arial" w:hAnsi="Arial" w:cs="Arial"/>
          <w:color w:val="000000" w:themeColor="text1"/>
          <w:sz w:val="22"/>
          <w:szCs w:val="22"/>
        </w:rPr>
        <w:t>зрения</w:t>
      </w:r>
      <w:r w:rsidRPr="00DA76A7">
        <w:rPr>
          <w:rFonts w:ascii="Arial" w:hAnsi="Arial" w:cs="Arial"/>
          <w:color w:val="000000" w:themeColor="text1"/>
          <w:spacing w:val="-26"/>
          <w:sz w:val="22"/>
          <w:szCs w:val="22"/>
        </w:rPr>
        <w:t xml:space="preserve"> </w:t>
      </w:r>
      <w:r w:rsidRPr="00DA76A7">
        <w:rPr>
          <w:rFonts w:ascii="Arial" w:hAnsi="Arial" w:cs="Arial"/>
          <w:color w:val="000000" w:themeColor="text1"/>
          <w:sz w:val="22"/>
          <w:szCs w:val="22"/>
        </w:rPr>
        <w:t>на</w:t>
      </w:r>
      <w:r w:rsidRPr="00DA76A7">
        <w:rPr>
          <w:rFonts w:ascii="Arial" w:hAnsi="Arial" w:cs="Arial"/>
          <w:color w:val="000000" w:themeColor="text1"/>
          <w:spacing w:val="-26"/>
          <w:sz w:val="22"/>
          <w:szCs w:val="22"/>
        </w:rPr>
        <w:t xml:space="preserve"> </w:t>
      </w:r>
      <w:r w:rsidRPr="00DA76A7">
        <w:rPr>
          <w:rStyle w:val="aa"/>
          <w:rFonts w:ascii="Arial" w:eastAsiaTheme="minorHAnsi" w:hAnsi="Arial" w:cs="Arial"/>
          <w:color w:val="000000" w:themeColor="text1"/>
          <w:sz w:val="22"/>
          <w:szCs w:val="22"/>
          <w:lang w:val="ru-RU"/>
        </w:rPr>
        <w:t>определение понятий «ипотека» и «ипотечное кредитование». По мнению Довдиенко И.В., ипотека представляет собой передачу в залог собственности в виде земли</w:t>
      </w:r>
      <w:r w:rsidRPr="00DA76A7">
        <w:rPr>
          <w:rFonts w:ascii="Arial" w:hAnsi="Arial" w:cs="Arial"/>
          <w:color w:val="000000" w:themeColor="text1"/>
          <w:w w:val="95"/>
          <w:sz w:val="22"/>
          <w:szCs w:val="22"/>
        </w:rPr>
        <w:t xml:space="preserve"> </w:t>
      </w:r>
      <w:r w:rsidRPr="00DA76A7">
        <w:rPr>
          <w:rFonts w:ascii="Arial" w:hAnsi="Arial" w:cs="Arial"/>
          <w:color w:val="000000" w:themeColor="text1"/>
          <w:sz w:val="22"/>
          <w:szCs w:val="22"/>
        </w:rPr>
        <w:t>и</w:t>
      </w:r>
      <w:r w:rsidRPr="00DA76A7">
        <w:rPr>
          <w:rFonts w:ascii="Arial" w:hAnsi="Arial" w:cs="Arial"/>
          <w:color w:val="000000" w:themeColor="text1"/>
          <w:spacing w:val="-12"/>
          <w:sz w:val="22"/>
          <w:szCs w:val="22"/>
        </w:rPr>
        <w:t xml:space="preserve"> </w:t>
      </w:r>
      <w:r w:rsidRPr="00DA76A7">
        <w:rPr>
          <w:rFonts w:ascii="Arial" w:hAnsi="Arial" w:cs="Arial"/>
          <w:color w:val="000000" w:themeColor="text1"/>
          <w:spacing w:val="6"/>
          <w:sz w:val="22"/>
          <w:szCs w:val="22"/>
        </w:rPr>
        <w:t>другого</w:t>
      </w:r>
      <w:r w:rsidRPr="00DA76A7">
        <w:rPr>
          <w:rFonts w:ascii="Arial" w:hAnsi="Arial" w:cs="Arial"/>
          <w:color w:val="000000" w:themeColor="text1"/>
          <w:spacing w:val="-12"/>
          <w:sz w:val="22"/>
          <w:szCs w:val="22"/>
        </w:rPr>
        <w:t xml:space="preserve"> </w:t>
      </w:r>
      <w:r w:rsidRPr="00DA76A7">
        <w:rPr>
          <w:rFonts w:ascii="Arial" w:hAnsi="Arial" w:cs="Arial"/>
          <w:color w:val="000000" w:themeColor="text1"/>
          <w:spacing w:val="6"/>
          <w:sz w:val="22"/>
          <w:szCs w:val="22"/>
        </w:rPr>
        <w:t>недвижимого</w:t>
      </w:r>
      <w:r w:rsidRPr="00DA76A7">
        <w:rPr>
          <w:rFonts w:ascii="Arial" w:hAnsi="Arial" w:cs="Arial"/>
          <w:color w:val="000000" w:themeColor="text1"/>
          <w:spacing w:val="-12"/>
          <w:sz w:val="22"/>
          <w:szCs w:val="22"/>
        </w:rPr>
        <w:t xml:space="preserve"> </w:t>
      </w:r>
      <w:r w:rsidRPr="00DA76A7">
        <w:rPr>
          <w:rFonts w:ascii="Arial" w:hAnsi="Arial" w:cs="Arial"/>
          <w:color w:val="000000" w:themeColor="text1"/>
          <w:spacing w:val="6"/>
          <w:sz w:val="22"/>
          <w:szCs w:val="22"/>
        </w:rPr>
        <w:t>имущества</w:t>
      </w:r>
      <w:r w:rsidRPr="00DA76A7">
        <w:rPr>
          <w:rFonts w:ascii="Arial" w:hAnsi="Arial" w:cs="Arial"/>
          <w:color w:val="000000" w:themeColor="text1"/>
          <w:spacing w:val="-12"/>
          <w:sz w:val="22"/>
          <w:szCs w:val="22"/>
        </w:rPr>
        <w:t xml:space="preserve"> </w:t>
      </w:r>
      <w:r w:rsidRPr="00DA76A7">
        <w:rPr>
          <w:rFonts w:ascii="Arial" w:hAnsi="Arial" w:cs="Arial"/>
          <w:color w:val="000000" w:themeColor="text1"/>
          <w:sz w:val="22"/>
          <w:szCs w:val="22"/>
        </w:rPr>
        <w:t>с целью</w:t>
      </w:r>
      <w:r w:rsidRPr="00DA76A7">
        <w:rPr>
          <w:rFonts w:ascii="Arial" w:hAnsi="Arial" w:cs="Arial"/>
          <w:color w:val="000000" w:themeColor="text1"/>
          <w:spacing w:val="-40"/>
          <w:sz w:val="22"/>
          <w:szCs w:val="22"/>
        </w:rPr>
        <w:t xml:space="preserve"> </w:t>
      </w:r>
      <w:r w:rsidRPr="00DA76A7">
        <w:rPr>
          <w:rFonts w:ascii="Arial" w:hAnsi="Arial" w:cs="Arial"/>
          <w:color w:val="000000" w:themeColor="text1"/>
          <w:sz w:val="22"/>
          <w:szCs w:val="22"/>
        </w:rPr>
        <w:t>получения</w:t>
      </w:r>
      <w:r w:rsidRPr="00DA76A7">
        <w:rPr>
          <w:rFonts w:ascii="Arial" w:hAnsi="Arial" w:cs="Arial"/>
          <w:color w:val="000000" w:themeColor="text1"/>
          <w:spacing w:val="-40"/>
          <w:sz w:val="22"/>
          <w:szCs w:val="22"/>
        </w:rPr>
        <w:t xml:space="preserve"> </w:t>
      </w:r>
      <w:r w:rsidRPr="00DA76A7">
        <w:rPr>
          <w:rFonts w:ascii="Arial" w:hAnsi="Arial" w:cs="Arial"/>
          <w:color w:val="000000" w:themeColor="text1"/>
          <w:sz w:val="22"/>
          <w:szCs w:val="22"/>
        </w:rPr>
        <w:t>денежного</w:t>
      </w:r>
      <w:r w:rsidRPr="00DA76A7">
        <w:rPr>
          <w:rFonts w:ascii="Arial" w:hAnsi="Arial" w:cs="Arial"/>
          <w:color w:val="000000" w:themeColor="text1"/>
          <w:spacing w:val="-39"/>
          <w:sz w:val="22"/>
          <w:szCs w:val="22"/>
        </w:rPr>
        <w:t xml:space="preserve"> </w:t>
      </w:r>
      <w:r w:rsidRPr="00DA76A7">
        <w:rPr>
          <w:rFonts w:ascii="Arial" w:hAnsi="Arial" w:cs="Arial"/>
          <w:color w:val="000000" w:themeColor="text1"/>
          <w:sz w:val="22"/>
          <w:szCs w:val="22"/>
        </w:rPr>
        <w:t>займа</w:t>
      </w:r>
      <w:r w:rsidRPr="00DA76A7">
        <w:rPr>
          <w:rFonts w:ascii="Arial" w:hAnsi="Arial" w:cs="Arial"/>
          <w:color w:val="000000" w:themeColor="text1"/>
          <w:spacing w:val="-40"/>
          <w:sz w:val="22"/>
          <w:szCs w:val="22"/>
        </w:rPr>
        <w:t xml:space="preserve"> </w:t>
      </w:r>
      <w:r w:rsidRPr="00DA76A7">
        <w:rPr>
          <w:rFonts w:ascii="Arial" w:hAnsi="Arial" w:cs="Arial"/>
          <w:color w:val="000000" w:themeColor="text1"/>
          <w:sz w:val="22"/>
          <w:szCs w:val="22"/>
        </w:rPr>
        <w:t>[1. 33].</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8"/>
          <w:lang w:val="ru-RU"/>
        </w:rPr>
        <w:t>Разумова</w:t>
      </w:r>
      <w:r w:rsidRPr="00DA76A7">
        <w:rPr>
          <w:rFonts w:ascii="Arial" w:hAnsi="Arial" w:cs="Arial"/>
          <w:color w:val="000000" w:themeColor="text1"/>
          <w:spacing w:val="-6"/>
          <w:lang w:val="ru-RU"/>
        </w:rPr>
        <w:t xml:space="preserve"> </w:t>
      </w:r>
      <w:r w:rsidRPr="00DA76A7">
        <w:rPr>
          <w:rFonts w:ascii="Arial" w:hAnsi="Arial" w:cs="Arial"/>
          <w:color w:val="000000" w:themeColor="text1"/>
          <w:spacing w:val="7"/>
          <w:lang w:val="ru-RU"/>
        </w:rPr>
        <w:t>И.А.</w:t>
      </w:r>
      <w:r w:rsidRPr="00DA76A7">
        <w:rPr>
          <w:rFonts w:ascii="Arial" w:hAnsi="Arial" w:cs="Arial"/>
          <w:color w:val="000000" w:themeColor="text1"/>
          <w:spacing w:val="-5"/>
          <w:lang w:val="ru-RU"/>
        </w:rPr>
        <w:t xml:space="preserve"> </w:t>
      </w:r>
      <w:r w:rsidRPr="00DA76A7">
        <w:rPr>
          <w:rFonts w:ascii="Arial" w:hAnsi="Arial" w:cs="Arial"/>
          <w:color w:val="000000" w:themeColor="text1"/>
          <w:spacing w:val="7"/>
          <w:lang w:val="ru-RU"/>
        </w:rPr>
        <w:t>считает,</w:t>
      </w:r>
      <w:r w:rsidRPr="00DA76A7">
        <w:rPr>
          <w:rFonts w:ascii="Arial" w:hAnsi="Arial" w:cs="Arial"/>
          <w:color w:val="000000" w:themeColor="text1"/>
          <w:spacing w:val="-5"/>
          <w:lang w:val="ru-RU"/>
        </w:rPr>
        <w:t xml:space="preserve"> </w:t>
      </w:r>
      <w:r w:rsidRPr="00DA76A7">
        <w:rPr>
          <w:rFonts w:ascii="Arial" w:hAnsi="Arial" w:cs="Arial"/>
          <w:color w:val="000000" w:themeColor="text1"/>
          <w:spacing w:val="6"/>
          <w:lang w:val="ru-RU"/>
        </w:rPr>
        <w:t>что</w:t>
      </w:r>
      <w:r w:rsidRPr="00DA76A7">
        <w:rPr>
          <w:rFonts w:ascii="Arial" w:hAnsi="Arial" w:cs="Arial"/>
          <w:color w:val="000000" w:themeColor="text1"/>
          <w:spacing w:val="-5"/>
          <w:lang w:val="ru-RU"/>
        </w:rPr>
        <w:t xml:space="preserve"> </w:t>
      </w:r>
      <w:r w:rsidRPr="00DA76A7">
        <w:rPr>
          <w:rFonts w:ascii="Arial" w:hAnsi="Arial" w:cs="Arial"/>
          <w:color w:val="000000" w:themeColor="text1"/>
          <w:spacing w:val="10"/>
          <w:lang w:val="ru-RU"/>
        </w:rPr>
        <w:t>ипотека</w:t>
      </w:r>
      <w:r w:rsidRPr="00DA76A7">
        <w:rPr>
          <w:rFonts w:ascii="Arial" w:hAnsi="Arial" w:cs="Arial"/>
          <w:color w:val="000000" w:themeColor="text1"/>
          <w:w w:val="105"/>
          <w:lang w:val="ru-RU"/>
        </w:rPr>
        <w:t xml:space="preserve"> </w:t>
      </w:r>
      <w:r w:rsidRPr="00DA76A7">
        <w:rPr>
          <w:rFonts w:ascii="Arial" w:hAnsi="Arial" w:cs="Arial"/>
          <w:color w:val="000000" w:themeColor="text1"/>
          <w:spacing w:val="6"/>
          <w:w w:val="105"/>
          <w:lang w:val="ru-RU"/>
        </w:rPr>
        <w:t>одна</w:t>
      </w:r>
      <w:r w:rsidRPr="00DA76A7">
        <w:rPr>
          <w:rFonts w:ascii="Arial" w:hAnsi="Arial" w:cs="Arial"/>
          <w:color w:val="000000" w:themeColor="text1"/>
          <w:spacing w:val="-20"/>
          <w:w w:val="105"/>
          <w:lang w:val="ru-RU"/>
        </w:rPr>
        <w:t xml:space="preserve"> </w:t>
      </w:r>
      <w:r w:rsidRPr="00DA76A7">
        <w:rPr>
          <w:rFonts w:ascii="Arial" w:hAnsi="Arial" w:cs="Arial"/>
          <w:color w:val="000000" w:themeColor="text1"/>
          <w:spacing w:val="4"/>
          <w:w w:val="105"/>
          <w:lang w:val="ru-RU"/>
        </w:rPr>
        <w:t>из</w:t>
      </w:r>
      <w:r w:rsidRPr="00DA76A7">
        <w:rPr>
          <w:rFonts w:ascii="Arial" w:hAnsi="Arial" w:cs="Arial"/>
          <w:color w:val="000000" w:themeColor="text1"/>
          <w:spacing w:val="-19"/>
          <w:w w:val="105"/>
          <w:lang w:val="ru-RU"/>
        </w:rPr>
        <w:t xml:space="preserve"> </w:t>
      </w:r>
      <w:r w:rsidRPr="00DA76A7">
        <w:rPr>
          <w:rFonts w:ascii="Arial" w:hAnsi="Arial" w:cs="Arial"/>
          <w:color w:val="000000" w:themeColor="text1"/>
          <w:spacing w:val="7"/>
          <w:w w:val="105"/>
          <w:lang w:val="ru-RU"/>
        </w:rPr>
        <w:t>основных</w:t>
      </w:r>
      <w:r w:rsidRPr="00DA76A7">
        <w:rPr>
          <w:rFonts w:ascii="Arial" w:hAnsi="Arial" w:cs="Arial"/>
          <w:color w:val="000000" w:themeColor="text1"/>
          <w:spacing w:val="-20"/>
          <w:w w:val="105"/>
          <w:lang w:val="ru-RU"/>
        </w:rPr>
        <w:t xml:space="preserve"> </w:t>
      </w:r>
      <w:r w:rsidRPr="00DA76A7">
        <w:rPr>
          <w:rFonts w:ascii="Arial" w:hAnsi="Arial" w:cs="Arial"/>
          <w:color w:val="000000" w:themeColor="text1"/>
          <w:spacing w:val="6"/>
          <w:w w:val="105"/>
          <w:lang w:val="ru-RU"/>
        </w:rPr>
        <w:t>форм</w:t>
      </w:r>
      <w:r w:rsidRPr="00DA76A7">
        <w:rPr>
          <w:rFonts w:ascii="Arial" w:hAnsi="Arial" w:cs="Arial"/>
          <w:color w:val="000000" w:themeColor="text1"/>
          <w:spacing w:val="-20"/>
          <w:w w:val="105"/>
          <w:lang w:val="ru-RU"/>
        </w:rPr>
        <w:t xml:space="preserve"> </w:t>
      </w:r>
      <w:r w:rsidRPr="00DA76A7">
        <w:rPr>
          <w:rFonts w:ascii="Arial" w:hAnsi="Arial" w:cs="Arial"/>
          <w:color w:val="000000" w:themeColor="text1"/>
          <w:spacing w:val="9"/>
          <w:w w:val="105"/>
          <w:lang w:val="ru-RU"/>
        </w:rPr>
        <w:t>имущест</w:t>
      </w:r>
      <w:r w:rsidRPr="00DA76A7">
        <w:rPr>
          <w:rFonts w:ascii="Arial" w:hAnsi="Arial" w:cs="Arial"/>
          <w:color w:val="000000" w:themeColor="text1"/>
          <w:spacing w:val="5"/>
          <w:lang w:val="ru-RU"/>
        </w:rPr>
        <w:t>венного обеспечения</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6"/>
          <w:lang w:val="ru-RU"/>
        </w:rPr>
        <w:t xml:space="preserve">обязательства </w:t>
      </w:r>
      <w:r w:rsidRPr="00DA76A7">
        <w:rPr>
          <w:rFonts w:ascii="Arial" w:hAnsi="Arial" w:cs="Arial"/>
          <w:color w:val="000000" w:themeColor="text1"/>
          <w:lang w:val="ru-RU"/>
        </w:rPr>
        <w:t>должника,</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при</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которой</w:t>
      </w:r>
      <w:r w:rsidRPr="00DA76A7">
        <w:rPr>
          <w:rFonts w:ascii="Arial" w:hAnsi="Arial" w:cs="Arial"/>
          <w:color w:val="000000" w:themeColor="text1"/>
          <w:spacing w:val="-23"/>
          <w:lang w:val="ru-RU"/>
        </w:rPr>
        <w:t xml:space="preserve"> </w:t>
      </w:r>
      <w:r w:rsidRPr="00DA76A7">
        <w:rPr>
          <w:rFonts w:ascii="Arial" w:hAnsi="Arial" w:cs="Arial"/>
          <w:color w:val="000000" w:themeColor="text1"/>
          <w:spacing w:val="2"/>
          <w:lang w:val="ru-RU"/>
        </w:rPr>
        <w:t xml:space="preserve">недвижимость </w:t>
      </w:r>
      <w:r w:rsidRPr="00DA76A7">
        <w:rPr>
          <w:rFonts w:ascii="Arial" w:hAnsi="Arial" w:cs="Arial"/>
          <w:color w:val="000000" w:themeColor="text1"/>
          <w:spacing w:val="4"/>
          <w:lang w:val="ru-RU"/>
        </w:rPr>
        <w:t xml:space="preserve">остается </w:t>
      </w:r>
      <w:r w:rsidRPr="00DA76A7">
        <w:rPr>
          <w:rFonts w:ascii="Arial" w:hAnsi="Arial" w:cs="Arial"/>
          <w:color w:val="000000" w:themeColor="text1"/>
          <w:lang w:val="ru-RU"/>
        </w:rPr>
        <w:t xml:space="preserve">в </w:t>
      </w:r>
      <w:r w:rsidRPr="00DA76A7">
        <w:rPr>
          <w:rFonts w:ascii="Arial" w:hAnsi="Arial" w:cs="Arial"/>
          <w:color w:val="000000" w:themeColor="text1"/>
          <w:spacing w:val="4"/>
          <w:lang w:val="ru-RU"/>
        </w:rPr>
        <w:t>собственности</w:t>
      </w:r>
      <w:r w:rsidRPr="00DA76A7">
        <w:rPr>
          <w:rFonts w:ascii="Arial" w:hAnsi="Arial" w:cs="Arial"/>
          <w:color w:val="000000" w:themeColor="text1"/>
          <w:spacing w:val="-27"/>
          <w:lang w:val="ru-RU"/>
        </w:rPr>
        <w:t xml:space="preserve"> </w:t>
      </w:r>
      <w:r w:rsidRPr="00DA76A7">
        <w:rPr>
          <w:rFonts w:ascii="Arial" w:hAnsi="Arial" w:cs="Arial"/>
          <w:color w:val="000000" w:themeColor="text1"/>
          <w:spacing w:val="5"/>
          <w:lang w:val="ru-RU"/>
        </w:rPr>
        <w:t xml:space="preserve">должника, </w:t>
      </w:r>
      <w:r w:rsidRPr="00DA76A7">
        <w:rPr>
          <w:rFonts w:ascii="Arial" w:hAnsi="Arial" w:cs="Arial"/>
          <w:color w:val="000000" w:themeColor="text1"/>
          <w:lang w:val="ru-RU"/>
        </w:rPr>
        <w:t xml:space="preserve">а </w:t>
      </w:r>
      <w:r w:rsidRPr="00DA76A7">
        <w:rPr>
          <w:rFonts w:ascii="Arial" w:hAnsi="Arial" w:cs="Arial"/>
          <w:color w:val="000000" w:themeColor="text1"/>
          <w:spacing w:val="8"/>
          <w:lang w:val="ru-RU"/>
        </w:rPr>
        <w:t xml:space="preserve">кредитор </w:t>
      </w:r>
      <w:r w:rsidRPr="00DA76A7">
        <w:rPr>
          <w:rFonts w:ascii="Arial" w:hAnsi="Arial" w:cs="Arial"/>
          <w:color w:val="000000" w:themeColor="text1"/>
          <w:lang w:val="ru-RU"/>
        </w:rPr>
        <w:t>в</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8"/>
          <w:lang w:val="ru-RU"/>
        </w:rPr>
        <w:t>случае</w:t>
      </w:r>
      <w:r w:rsidRPr="00DA76A7">
        <w:rPr>
          <w:rFonts w:ascii="Arial" w:hAnsi="Arial" w:cs="Arial"/>
          <w:color w:val="000000" w:themeColor="text1"/>
          <w:spacing w:val="7"/>
          <w:lang w:val="ru-RU"/>
        </w:rPr>
        <w:t xml:space="preserve"> </w:t>
      </w:r>
      <w:r w:rsidRPr="00DA76A7">
        <w:rPr>
          <w:rFonts w:ascii="Arial" w:hAnsi="Arial" w:cs="Arial"/>
          <w:color w:val="000000" w:themeColor="text1"/>
          <w:spacing w:val="10"/>
          <w:lang w:val="ru-RU"/>
        </w:rPr>
        <w:t>невыполнения</w:t>
      </w:r>
      <w:r w:rsidRPr="00DA76A7">
        <w:rPr>
          <w:rFonts w:ascii="Arial" w:hAnsi="Arial" w:cs="Arial"/>
          <w:color w:val="000000" w:themeColor="text1"/>
          <w:spacing w:val="10"/>
          <w:w w:val="95"/>
          <w:lang w:val="ru-RU"/>
        </w:rPr>
        <w:t xml:space="preserve"> </w:t>
      </w:r>
      <w:r w:rsidRPr="00DA76A7">
        <w:rPr>
          <w:rFonts w:ascii="Arial" w:hAnsi="Arial" w:cs="Arial"/>
          <w:color w:val="000000" w:themeColor="text1"/>
          <w:lang w:val="ru-RU"/>
        </w:rPr>
        <w:t>последним своего обязательства при</w:t>
      </w:r>
      <w:r w:rsidRPr="00DA76A7">
        <w:rPr>
          <w:rFonts w:ascii="Arial" w:hAnsi="Arial" w:cs="Arial"/>
          <w:color w:val="000000" w:themeColor="text1"/>
          <w:spacing w:val="6"/>
          <w:lang w:val="ru-RU"/>
        </w:rPr>
        <w:t>обретает</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5"/>
          <w:lang w:val="ru-RU"/>
        </w:rPr>
        <w:t>право</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6"/>
          <w:lang w:val="ru-RU"/>
        </w:rPr>
        <w:t>получить</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5"/>
          <w:lang w:val="ru-RU"/>
        </w:rPr>
        <w:t>удовлетво</w:t>
      </w:r>
      <w:r w:rsidRPr="00DA76A7">
        <w:rPr>
          <w:rFonts w:ascii="Arial" w:hAnsi="Arial" w:cs="Arial"/>
          <w:color w:val="000000" w:themeColor="text1"/>
          <w:spacing w:val="7"/>
          <w:lang w:val="ru-RU"/>
        </w:rPr>
        <w:t xml:space="preserve">рение </w:t>
      </w:r>
      <w:r w:rsidRPr="00DA76A7">
        <w:rPr>
          <w:rFonts w:ascii="Arial" w:hAnsi="Arial" w:cs="Arial"/>
          <w:color w:val="000000" w:themeColor="text1"/>
          <w:spacing w:val="4"/>
          <w:lang w:val="ru-RU"/>
        </w:rPr>
        <w:t xml:space="preserve">за </w:t>
      </w:r>
      <w:r w:rsidRPr="00DA76A7">
        <w:rPr>
          <w:rFonts w:ascii="Arial" w:hAnsi="Arial" w:cs="Arial"/>
          <w:color w:val="000000" w:themeColor="text1"/>
          <w:spacing w:val="6"/>
          <w:lang w:val="ru-RU"/>
        </w:rPr>
        <w:t xml:space="preserve">счет </w:t>
      </w:r>
      <w:r w:rsidRPr="00DA76A7">
        <w:rPr>
          <w:rFonts w:ascii="Arial" w:hAnsi="Arial" w:cs="Arial"/>
          <w:color w:val="000000" w:themeColor="text1"/>
          <w:spacing w:val="8"/>
          <w:lang w:val="ru-RU"/>
        </w:rPr>
        <w:t xml:space="preserve">реализации </w:t>
      </w:r>
      <w:r w:rsidRPr="00DA76A7">
        <w:rPr>
          <w:rFonts w:ascii="Arial" w:hAnsi="Arial" w:cs="Arial"/>
          <w:color w:val="000000" w:themeColor="text1"/>
          <w:spacing w:val="9"/>
          <w:lang w:val="ru-RU"/>
        </w:rPr>
        <w:t xml:space="preserve">данного </w:t>
      </w:r>
      <w:r w:rsidRPr="00DA76A7">
        <w:rPr>
          <w:rFonts w:ascii="Arial" w:hAnsi="Arial" w:cs="Arial"/>
          <w:color w:val="000000" w:themeColor="text1"/>
          <w:lang w:val="ru-RU"/>
        </w:rPr>
        <w:t>имущества</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[2. 12].</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3"/>
          <w:lang w:val="ru-RU"/>
        </w:rPr>
        <w:t>Грудцына</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Л.Ю.</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и</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Козлова</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М.Н.</w:t>
      </w:r>
      <w:r w:rsidRPr="00DA76A7">
        <w:rPr>
          <w:rFonts w:ascii="Arial" w:hAnsi="Arial" w:cs="Arial"/>
          <w:color w:val="000000" w:themeColor="text1"/>
          <w:spacing w:val="-17"/>
          <w:lang w:val="ru-RU"/>
        </w:rPr>
        <w:t xml:space="preserve"> </w:t>
      </w:r>
      <w:r w:rsidRPr="00DA76A7">
        <w:rPr>
          <w:rFonts w:ascii="Arial" w:hAnsi="Arial" w:cs="Arial"/>
          <w:color w:val="000000" w:themeColor="text1"/>
          <w:lang w:val="ru-RU"/>
        </w:rPr>
        <w:t>определяют</w:t>
      </w:r>
      <w:r w:rsidRPr="00DA76A7">
        <w:rPr>
          <w:rFonts w:ascii="Arial" w:hAnsi="Arial" w:cs="Arial"/>
          <w:color w:val="000000" w:themeColor="text1"/>
          <w:spacing w:val="-33"/>
          <w:lang w:val="ru-RU"/>
        </w:rPr>
        <w:t xml:space="preserve"> </w:t>
      </w:r>
      <w:r w:rsidRPr="00DA76A7">
        <w:rPr>
          <w:rFonts w:ascii="Arial" w:hAnsi="Arial" w:cs="Arial"/>
          <w:color w:val="000000" w:themeColor="text1"/>
          <w:lang w:val="ru-RU"/>
        </w:rPr>
        <w:t>ипотечный</w:t>
      </w:r>
      <w:r w:rsidRPr="00DA76A7">
        <w:rPr>
          <w:rFonts w:ascii="Arial" w:hAnsi="Arial" w:cs="Arial"/>
          <w:color w:val="000000" w:themeColor="text1"/>
          <w:spacing w:val="-32"/>
          <w:lang w:val="ru-RU"/>
        </w:rPr>
        <w:t xml:space="preserve"> </w:t>
      </w:r>
      <w:r w:rsidRPr="00DA76A7">
        <w:rPr>
          <w:rFonts w:ascii="Arial" w:hAnsi="Arial" w:cs="Arial"/>
          <w:color w:val="000000" w:themeColor="text1"/>
          <w:lang w:val="ru-RU"/>
        </w:rPr>
        <w:t>кредит</w:t>
      </w:r>
      <w:r w:rsidRPr="00DA76A7">
        <w:rPr>
          <w:rFonts w:ascii="Arial" w:hAnsi="Arial" w:cs="Arial"/>
          <w:color w:val="000000" w:themeColor="text1"/>
          <w:spacing w:val="-33"/>
          <w:lang w:val="ru-RU"/>
        </w:rPr>
        <w:t xml:space="preserve"> </w:t>
      </w:r>
      <w:r w:rsidRPr="00DA76A7">
        <w:rPr>
          <w:rFonts w:ascii="Arial" w:hAnsi="Arial" w:cs="Arial"/>
          <w:color w:val="000000" w:themeColor="text1"/>
          <w:lang w:val="ru-RU"/>
        </w:rPr>
        <w:t>как</w:t>
      </w:r>
      <w:r w:rsidRPr="00DA76A7">
        <w:rPr>
          <w:rFonts w:ascii="Arial" w:hAnsi="Arial" w:cs="Arial"/>
          <w:color w:val="000000" w:themeColor="text1"/>
          <w:spacing w:val="-32"/>
          <w:lang w:val="ru-RU"/>
        </w:rPr>
        <w:t xml:space="preserve"> </w:t>
      </w:r>
      <w:r w:rsidRPr="00DA76A7">
        <w:rPr>
          <w:rFonts w:ascii="Arial" w:hAnsi="Arial" w:cs="Arial"/>
          <w:color w:val="000000" w:themeColor="text1"/>
          <w:lang w:val="ru-RU"/>
        </w:rPr>
        <w:t>обеспечен</w:t>
      </w:r>
      <w:r w:rsidRPr="00DA76A7">
        <w:rPr>
          <w:rFonts w:ascii="Arial" w:hAnsi="Arial" w:cs="Arial"/>
          <w:color w:val="000000" w:themeColor="text1"/>
          <w:spacing w:val="5"/>
          <w:lang w:val="ru-RU"/>
        </w:rPr>
        <w:t>ный</w:t>
      </w:r>
      <w:r w:rsidRPr="00DA76A7">
        <w:rPr>
          <w:rFonts w:ascii="Arial" w:hAnsi="Arial" w:cs="Arial"/>
          <w:color w:val="000000" w:themeColor="text1"/>
          <w:spacing w:val="-23"/>
          <w:lang w:val="ru-RU"/>
        </w:rPr>
        <w:t xml:space="preserve"> </w:t>
      </w:r>
      <w:r w:rsidRPr="00DA76A7">
        <w:rPr>
          <w:rFonts w:ascii="Arial" w:hAnsi="Arial" w:cs="Arial"/>
          <w:color w:val="000000" w:themeColor="text1"/>
          <w:spacing w:val="7"/>
          <w:lang w:val="ru-RU"/>
        </w:rPr>
        <w:t>определенной</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8"/>
          <w:lang w:val="ru-RU"/>
        </w:rPr>
        <w:t xml:space="preserve">недвижимостью, </w:t>
      </w:r>
      <w:r w:rsidRPr="00DA76A7">
        <w:rPr>
          <w:rFonts w:ascii="Arial" w:hAnsi="Arial" w:cs="Arial"/>
          <w:color w:val="000000" w:themeColor="text1"/>
          <w:spacing w:val="2"/>
          <w:lang w:val="ru-RU"/>
        </w:rPr>
        <w:t xml:space="preserve">находящейся </w:t>
      </w:r>
      <w:r w:rsidRPr="00DA76A7">
        <w:rPr>
          <w:rFonts w:ascii="Arial" w:hAnsi="Arial" w:cs="Arial"/>
          <w:color w:val="000000" w:themeColor="text1"/>
          <w:lang w:val="ru-RU"/>
        </w:rPr>
        <w:t xml:space="preserve">в </w:t>
      </w:r>
      <w:r w:rsidRPr="00DA76A7">
        <w:rPr>
          <w:rFonts w:ascii="Arial" w:hAnsi="Arial" w:cs="Arial"/>
          <w:color w:val="000000" w:themeColor="text1"/>
          <w:spacing w:val="2"/>
          <w:lang w:val="ru-RU"/>
        </w:rPr>
        <w:t>собственности</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3"/>
          <w:lang w:val="ru-RU"/>
        </w:rPr>
        <w:t>креди</w:t>
      </w:r>
      <w:r w:rsidRPr="00DA76A7">
        <w:rPr>
          <w:rFonts w:ascii="Arial" w:hAnsi="Arial" w:cs="Arial"/>
          <w:color w:val="000000" w:themeColor="text1"/>
          <w:spacing w:val="4"/>
          <w:lang w:val="ru-RU"/>
        </w:rPr>
        <w:t xml:space="preserve">тора. </w:t>
      </w:r>
      <w:r w:rsidRPr="00DA76A7">
        <w:rPr>
          <w:rFonts w:ascii="Arial" w:hAnsi="Arial" w:cs="Arial"/>
          <w:color w:val="000000" w:themeColor="text1"/>
          <w:spacing w:val="5"/>
          <w:lang w:val="ru-RU"/>
        </w:rPr>
        <w:t xml:space="preserve">Ипотечное кредитование </w:t>
      </w:r>
      <w:r w:rsidRPr="00DA76A7">
        <w:rPr>
          <w:rFonts w:ascii="Arial" w:hAnsi="Arial" w:cs="Arial"/>
          <w:color w:val="000000" w:themeColor="text1"/>
          <w:lang w:val="ru-RU"/>
        </w:rPr>
        <w:t xml:space="preserve">– </w:t>
      </w:r>
      <w:r w:rsidRPr="00DA76A7">
        <w:rPr>
          <w:rFonts w:ascii="Arial" w:hAnsi="Arial" w:cs="Arial"/>
          <w:color w:val="000000" w:themeColor="text1"/>
          <w:spacing w:val="6"/>
          <w:lang w:val="ru-RU"/>
        </w:rPr>
        <w:t xml:space="preserve">это </w:t>
      </w:r>
      <w:r w:rsidRPr="00DA76A7">
        <w:rPr>
          <w:rFonts w:ascii="Arial" w:hAnsi="Arial" w:cs="Arial"/>
          <w:color w:val="000000" w:themeColor="text1"/>
          <w:spacing w:val="7"/>
          <w:lang w:val="ru-RU"/>
        </w:rPr>
        <w:t xml:space="preserve">предоставление </w:t>
      </w:r>
      <w:r w:rsidRPr="00DA76A7">
        <w:rPr>
          <w:rFonts w:ascii="Arial" w:hAnsi="Arial" w:cs="Arial"/>
          <w:color w:val="000000" w:themeColor="text1"/>
          <w:spacing w:val="6"/>
          <w:lang w:val="ru-RU"/>
        </w:rPr>
        <w:t xml:space="preserve">кредита (займи) </w:t>
      </w:r>
      <w:r w:rsidRPr="00DA76A7">
        <w:rPr>
          <w:rFonts w:ascii="Arial" w:hAnsi="Arial" w:cs="Arial"/>
          <w:color w:val="000000" w:themeColor="text1"/>
          <w:spacing w:val="5"/>
          <w:lang w:val="ru-RU"/>
        </w:rPr>
        <w:t xml:space="preserve">под </w:t>
      </w:r>
      <w:r w:rsidRPr="00DA76A7">
        <w:rPr>
          <w:rFonts w:ascii="Arial" w:hAnsi="Arial" w:cs="Arial"/>
          <w:color w:val="000000" w:themeColor="text1"/>
          <w:spacing w:val="8"/>
          <w:lang w:val="ru-RU"/>
        </w:rPr>
        <w:t xml:space="preserve">залог </w:t>
      </w:r>
      <w:r w:rsidRPr="00DA76A7">
        <w:rPr>
          <w:rFonts w:ascii="Arial" w:hAnsi="Arial" w:cs="Arial"/>
          <w:color w:val="000000" w:themeColor="text1"/>
          <w:lang w:val="ru-RU"/>
        </w:rPr>
        <w:t>недвижимости</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[3. 12].</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3"/>
          <w:lang w:val="ru-RU"/>
        </w:rPr>
        <w:t>Меркулов</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3"/>
          <w:lang w:val="ru-RU"/>
        </w:rPr>
        <w:t>В.В.</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4"/>
          <w:lang w:val="ru-RU"/>
        </w:rPr>
        <w:t>определяет</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5"/>
          <w:lang w:val="ru-RU"/>
        </w:rPr>
        <w:t xml:space="preserve">ипотечное </w:t>
      </w:r>
      <w:r w:rsidRPr="00DA76A7">
        <w:rPr>
          <w:rFonts w:ascii="Arial" w:hAnsi="Arial" w:cs="Arial"/>
          <w:color w:val="000000" w:themeColor="text1"/>
          <w:lang w:val="ru-RU"/>
        </w:rPr>
        <w:t>кредитование</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как</w:t>
      </w:r>
      <w:r w:rsidRPr="00DA76A7">
        <w:rPr>
          <w:rFonts w:ascii="Arial" w:hAnsi="Arial" w:cs="Arial"/>
          <w:color w:val="000000" w:themeColor="text1"/>
          <w:spacing w:val="-27"/>
          <w:lang w:val="ru-RU"/>
        </w:rPr>
        <w:t xml:space="preserve"> </w:t>
      </w:r>
      <w:r w:rsidRPr="00DA76A7">
        <w:rPr>
          <w:rFonts w:ascii="Arial" w:hAnsi="Arial" w:cs="Arial"/>
          <w:color w:val="000000" w:themeColor="text1"/>
          <w:lang w:val="ru-RU"/>
        </w:rPr>
        <w:t>достаточно</w:t>
      </w:r>
      <w:r w:rsidRPr="00DA76A7">
        <w:rPr>
          <w:rFonts w:ascii="Arial" w:hAnsi="Arial" w:cs="Arial"/>
          <w:color w:val="000000" w:themeColor="text1"/>
          <w:spacing w:val="-27"/>
          <w:lang w:val="ru-RU"/>
        </w:rPr>
        <w:t xml:space="preserve"> </w:t>
      </w:r>
      <w:r w:rsidRPr="00DA76A7">
        <w:rPr>
          <w:rFonts w:ascii="Arial" w:hAnsi="Arial" w:cs="Arial"/>
          <w:color w:val="000000" w:themeColor="text1"/>
          <w:lang w:val="ru-RU"/>
        </w:rPr>
        <w:t>сложный механизм:</w:t>
      </w:r>
    </w:p>
    <w:p w:rsidR="00181BA7" w:rsidRPr="00DA76A7" w:rsidRDefault="00181BA7" w:rsidP="00D45D6B">
      <w:pPr>
        <w:pStyle w:val="a6"/>
        <w:widowControl w:val="0"/>
        <w:numPr>
          <w:ilvl w:val="0"/>
          <w:numId w:val="90"/>
        </w:numPr>
        <w:tabs>
          <w:tab w:val="left" w:pos="1149"/>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обеспечение рынка недвижимости финансами;</w:t>
      </w:r>
    </w:p>
    <w:p w:rsidR="00181BA7" w:rsidRPr="00DA76A7" w:rsidRDefault="00181BA7" w:rsidP="00D45D6B">
      <w:pPr>
        <w:pStyle w:val="a6"/>
        <w:widowControl w:val="0"/>
        <w:numPr>
          <w:ilvl w:val="0"/>
          <w:numId w:val="90"/>
        </w:numPr>
        <w:tabs>
          <w:tab w:val="left" w:pos="114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в строгом и  неукоснительном порядке исполнение обязательства перед кредитором;</w:t>
      </w:r>
    </w:p>
    <w:p w:rsidR="00181BA7" w:rsidRPr="00DA76A7" w:rsidRDefault="00181BA7" w:rsidP="00D45D6B">
      <w:pPr>
        <w:pStyle w:val="a6"/>
        <w:widowControl w:val="0"/>
        <w:numPr>
          <w:ilvl w:val="0"/>
          <w:numId w:val="90"/>
        </w:numPr>
        <w:tabs>
          <w:tab w:val="left" w:pos="114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функционирующие</w:t>
      </w:r>
      <w:r w:rsidRPr="00DA76A7">
        <w:rPr>
          <w:rFonts w:ascii="Arial" w:hAnsi="Arial" w:cs="Arial"/>
          <w:color w:val="000000" w:themeColor="text1"/>
          <w:spacing w:val="-38"/>
        </w:rPr>
        <w:t xml:space="preserve"> </w:t>
      </w:r>
      <w:r w:rsidRPr="00DA76A7">
        <w:rPr>
          <w:rFonts w:ascii="Arial" w:hAnsi="Arial" w:cs="Arial"/>
          <w:color w:val="000000" w:themeColor="text1"/>
        </w:rPr>
        <w:t>в</w:t>
      </w:r>
      <w:r w:rsidRPr="00DA76A7">
        <w:rPr>
          <w:rFonts w:ascii="Arial" w:hAnsi="Arial" w:cs="Arial"/>
          <w:color w:val="000000" w:themeColor="text1"/>
          <w:spacing w:val="-38"/>
        </w:rPr>
        <w:t xml:space="preserve"> </w:t>
      </w:r>
      <w:r w:rsidRPr="00DA76A7">
        <w:rPr>
          <w:rFonts w:ascii="Arial" w:hAnsi="Arial" w:cs="Arial"/>
          <w:color w:val="000000" w:themeColor="text1"/>
        </w:rPr>
        <w:t>условиях</w:t>
      </w:r>
      <w:r w:rsidRPr="00DA76A7">
        <w:rPr>
          <w:rFonts w:ascii="Arial" w:hAnsi="Arial" w:cs="Arial"/>
          <w:color w:val="000000" w:themeColor="text1"/>
          <w:spacing w:val="-38"/>
        </w:rPr>
        <w:t xml:space="preserve"> </w:t>
      </w:r>
      <w:r w:rsidRPr="00DA76A7">
        <w:rPr>
          <w:rFonts w:ascii="Arial" w:hAnsi="Arial" w:cs="Arial"/>
          <w:color w:val="000000" w:themeColor="text1"/>
        </w:rPr>
        <w:t>рыночного</w:t>
      </w:r>
      <w:r w:rsidRPr="00DA76A7">
        <w:rPr>
          <w:rFonts w:ascii="Arial" w:hAnsi="Arial" w:cs="Arial"/>
          <w:color w:val="000000" w:themeColor="text1"/>
          <w:spacing w:val="-20"/>
        </w:rPr>
        <w:t xml:space="preserve"> </w:t>
      </w:r>
      <w:r w:rsidRPr="00DA76A7">
        <w:rPr>
          <w:rFonts w:ascii="Arial" w:hAnsi="Arial" w:cs="Arial"/>
          <w:color w:val="000000" w:themeColor="text1"/>
        </w:rPr>
        <w:t>регулирования</w:t>
      </w:r>
      <w:r w:rsidRPr="00DA76A7">
        <w:rPr>
          <w:rFonts w:ascii="Arial" w:hAnsi="Arial" w:cs="Arial"/>
          <w:color w:val="000000" w:themeColor="text1"/>
          <w:spacing w:val="-20"/>
        </w:rPr>
        <w:t xml:space="preserve"> </w:t>
      </w:r>
      <w:r w:rsidRPr="00DA76A7">
        <w:rPr>
          <w:rFonts w:ascii="Arial" w:hAnsi="Arial" w:cs="Arial"/>
          <w:color w:val="000000" w:themeColor="text1"/>
        </w:rPr>
        <w:t>финансовых</w:t>
      </w:r>
      <w:r w:rsidRPr="00DA76A7">
        <w:rPr>
          <w:rFonts w:ascii="Arial" w:hAnsi="Arial" w:cs="Arial"/>
          <w:color w:val="000000" w:themeColor="text1"/>
          <w:spacing w:val="-20"/>
        </w:rPr>
        <w:t xml:space="preserve"> </w:t>
      </w:r>
      <w:r w:rsidRPr="00DA76A7">
        <w:rPr>
          <w:rFonts w:ascii="Arial" w:hAnsi="Arial" w:cs="Arial"/>
          <w:color w:val="000000" w:themeColor="text1"/>
        </w:rPr>
        <w:t>взаимоотношений</w:t>
      </w:r>
      <w:r w:rsidRPr="00DA76A7">
        <w:rPr>
          <w:rFonts w:ascii="Arial" w:hAnsi="Arial" w:cs="Arial"/>
          <w:color w:val="000000" w:themeColor="text1"/>
          <w:spacing w:val="-20"/>
        </w:rPr>
        <w:t xml:space="preserve"> </w:t>
      </w:r>
      <w:r w:rsidRPr="00DA76A7">
        <w:rPr>
          <w:rFonts w:ascii="Arial" w:hAnsi="Arial" w:cs="Arial"/>
          <w:color w:val="000000" w:themeColor="text1"/>
        </w:rPr>
        <w:t>участников;</w:t>
      </w:r>
    </w:p>
    <w:p w:rsidR="00181BA7" w:rsidRPr="00DA76A7" w:rsidRDefault="00181BA7" w:rsidP="00D45D6B">
      <w:pPr>
        <w:pStyle w:val="a6"/>
        <w:widowControl w:val="0"/>
        <w:numPr>
          <w:ilvl w:val="0"/>
          <w:numId w:val="90"/>
        </w:numPr>
        <w:tabs>
          <w:tab w:val="left" w:pos="118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10"/>
        </w:rPr>
        <w:t>контроль со страны государства в</w:t>
      </w:r>
      <w:r w:rsidRPr="00DA76A7">
        <w:rPr>
          <w:rFonts w:ascii="Arial" w:hAnsi="Arial" w:cs="Arial"/>
          <w:color w:val="000000" w:themeColor="text1"/>
        </w:rPr>
        <w:t xml:space="preserve"> </w:t>
      </w:r>
      <w:r w:rsidRPr="00DA76A7">
        <w:rPr>
          <w:rFonts w:ascii="Arial" w:hAnsi="Arial" w:cs="Arial"/>
          <w:color w:val="000000" w:themeColor="text1"/>
          <w:spacing w:val="5"/>
        </w:rPr>
        <w:t xml:space="preserve">целях </w:t>
      </w:r>
      <w:r w:rsidRPr="00DA76A7">
        <w:rPr>
          <w:rFonts w:ascii="Arial" w:hAnsi="Arial" w:cs="Arial"/>
          <w:color w:val="000000" w:themeColor="text1"/>
          <w:spacing w:val="6"/>
        </w:rPr>
        <w:t>решения определенных</w:t>
      </w:r>
      <w:r w:rsidRPr="00DA76A7">
        <w:rPr>
          <w:rFonts w:ascii="Arial" w:hAnsi="Arial" w:cs="Arial"/>
          <w:color w:val="000000" w:themeColor="text1"/>
          <w:spacing w:val="-21"/>
        </w:rPr>
        <w:t xml:space="preserve"> </w:t>
      </w:r>
      <w:r w:rsidRPr="00DA76A7">
        <w:rPr>
          <w:rFonts w:ascii="Arial" w:hAnsi="Arial" w:cs="Arial"/>
          <w:color w:val="000000" w:themeColor="text1"/>
          <w:spacing w:val="7"/>
        </w:rPr>
        <w:t>общественных</w:t>
      </w:r>
      <w:r w:rsidRPr="00DA76A7">
        <w:rPr>
          <w:rFonts w:ascii="Arial" w:hAnsi="Arial" w:cs="Arial"/>
          <w:color w:val="000000" w:themeColor="text1"/>
        </w:rPr>
        <w:t xml:space="preserve"> проблем</w:t>
      </w:r>
      <w:r w:rsidRPr="00DA76A7">
        <w:rPr>
          <w:rFonts w:ascii="Arial" w:hAnsi="Arial" w:cs="Arial"/>
          <w:color w:val="000000" w:themeColor="text1"/>
          <w:spacing w:val="-37"/>
        </w:rPr>
        <w:t xml:space="preserve"> </w:t>
      </w:r>
      <w:r w:rsidRPr="00DA76A7">
        <w:rPr>
          <w:rFonts w:ascii="Arial" w:hAnsi="Arial" w:cs="Arial"/>
          <w:color w:val="000000" w:themeColor="text1"/>
        </w:rPr>
        <w:t>[4. 10].</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По гражданскому законодательству,</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4"/>
          <w:lang w:val="ru-RU"/>
        </w:rPr>
        <w:t>долгосрочный</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4"/>
          <w:lang w:val="ru-RU"/>
        </w:rPr>
        <w:t>ипотечный</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5"/>
          <w:lang w:val="ru-RU"/>
        </w:rPr>
        <w:t>кре</w:t>
      </w:r>
      <w:r w:rsidRPr="00DA76A7">
        <w:rPr>
          <w:rFonts w:ascii="Arial" w:hAnsi="Arial" w:cs="Arial"/>
          <w:color w:val="000000" w:themeColor="text1"/>
          <w:lang w:val="ru-RU"/>
        </w:rPr>
        <w:t>дит</w:t>
      </w:r>
      <w:r w:rsidRPr="00DA76A7">
        <w:rPr>
          <w:rFonts w:ascii="Arial" w:hAnsi="Arial" w:cs="Arial"/>
          <w:color w:val="000000" w:themeColor="text1"/>
          <w:spacing w:val="-30"/>
          <w:lang w:val="ru-RU"/>
        </w:rPr>
        <w:t xml:space="preserve"> </w:t>
      </w:r>
      <w:r w:rsidRPr="00DA76A7">
        <w:rPr>
          <w:rFonts w:ascii="Arial" w:hAnsi="Arial" w:cs="Arial"/>
          <w:color w:val="000000" w:themeColor="text1"/>
          <w:lang w:val="ru-RU"/>
        </w:rPr>
        <w:t>определяется</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как</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кредит</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или</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 xml:space="preserve">заем, </w:t>
      </w:r>
      <w:r w:rsidRPr="00DA76A7">
        <w:rPr>
          <w:rFonts w:ascii="Arial" w:hAnsi="Arial" w:cs="Arial"/>
          <w:color w:val="000000" w:themeColor="text1"/>
          <w:spacing w:val="3"/>
          <w:lang w:val="ru-RU"/>
        </w:rPr>
        <w:t xml:space="preserve">предоставленный банком </w:t>
      </w:r>
      <w:r w:rsidRPr="00DA76A7">
        <w:rPr>
          <w:rFonts w:ascii="Arial" w:hAnsi="Arial" w:cs="Arial"/>
          <w:color w:val="000000" w:themeColor="text1"/>
          <w:spacing w:val="4"/>
          <w:lang w:val="ru-RU"/>
        </w:rPr>
        <w:t>юридичес</w:t>
      </w:r>
      <w:r w:rsidRPr="00DA76A7">
        <w:rPr>
          <w:rFonts w:ascii="Arial" w:hAnsi="Arial" w:cs="Arial"/>
          <w:color w:val="000000" w:themeColor="text1"/>
          <w:spacing w:val="2"/>
          <w:lang w:val="ru-RU"/>
        </w:rPr>
        <w:t>кому</w:t>
      </w:r>
      <w:r w:rsidRPr="00DA76A7">
        <w:rPr>
          <w:rFonts w:ascii="Arial" w:hAnsi="Arial" w:cs="Arial"/>
          <w:color w:val="000000" w:themeColor="text1"/>
          <w:spacing w:val="-12"/>
          <w:lang w:val="ru-RU"/>
        </w:rPr>
        <w:t xml:space="preserve"> </w:t>
      </w:r>
      <w:r w:rsidRPr="00DA76A7">
        <w:rPr>
          <w:rFonts w:ascii="Arial" w:hAnsi="Arial" w:cs="Arial"/>
          <w:color w:val="000000" w:themeColor="text1"/>
          <w:lang w:val="ru-RU"/>
        </w:rPr>
        <w:t>или</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2"/>
          <w:lang w:val="ru-RU"/>
        </w:rPr>
        <w:t>физическому</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2"/>
          <w:lang w:val="ru-RU"/>
        </w:rPr>
        <w:t>лицу</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на</w:t>
      </w:r>
      <w:r w:rsidRPr="00DA76A7">
        <w:rPr>
          <w:rFonts w:ascii="Arial" w:hAnsi="Arial" w:cs="Arial"/>
          <w:color w:val="000000" w:themeColor="text1"/>
          <w:spacing w:val="-11"/>
          <w:lang w:val="ru-RU"/>
        </w:rPr>
        <w:t xml:space="preserve"> </w:t>
      </w:r>
      <w:r w:rsidRPr="00DA76A7">
        <w:rPr>
          <w:rFonts w:ascii="Arial" w:hAnsi="Arial" w:cs="Arial"/>
          <w:color w:val="000000" w:themeColor="text1"/>
          <w:spacing w:val="2"/>
          <w:lang w:val="ru-RU"/>
        </w:rPr>
        <w:t>срок</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определяемым договора</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для</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приобретения</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недвижимости</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под</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ее</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залог</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качестве</w:t>
      </w:r>
      <w:r w:rsidRPr="00DA76A7">
        <w:rPr>
          <w:rFonts w:ascii="Arial" w:hAnsi="Arial" w:cs="Arial"/>
          <w:color w:val="000000" w:themeColor="text1"/>
          <w:spacing w:val="-16"/>
          <w:lang w:val="ru-RU"/>
        </w:rPr>
        <w:t xml:space="preserve"> </w:t>
      </w:r>
      <w:r w:rsidRPr="00DA76A7">
        <w:rPr>
          <w:rFonts w:ascii="Arial" w:hAnsi="Arial" w:cs="Arial"/>
          <w:color w:val="000000" w:themeColor="text1"/>
          <w:lang w:val="ru-RU"/>
        </w:rPr>
        <w:t>обеспечения исполнении обязательства</w:t>
      </w:r>
      <w:r w:rsidRPr="00DA76A7">
        <w:rPr>
          <w:rFonts w:ascii="Arial" w:hAnsi="Arial" w:cs="Arial"/>
          <w:color w:val="000000" w:themeColor="text1"/>
          <w:spacing w:val="-40"/>
          <w:lang w:val="ru-RU"/>
        </w:rPr>
        <w:t xml:space="preserve"> </w:t>
      </w:r>
      <w:r w:rsidRPr="00DA76A7">
        <w:rPr>
          <w:rFonts w:ascii="Arial" w:hAnsi="Arial" w:cs="Arial"/>
          <w:color w:val="000000" w:themeColor="text1"/>
          <w:lang w:val="ru-RU"/>
        </w:rPr>
        <w:t>.</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Мы считаем, что</w:t>
      </w:r>
      <w:r w:rsidRPr="00DA76A7">
        <w:rPr>
          <w:rFonts w:ascii="Arial" w:hAnsi="Arial" w:cs="Arial"/>
          <w:color w:val="000000" w:themeColor="text1"/>
          <w:spacing w:val="-44"/>
          <w:lang w:val="ru-RU"/>
        </w:rPr>
        <w:t xml:space="preserve"> </w:t>
      </w:r>
      <w:r w:rsidRPr="00DA76A7">
        <w:rPr>
          <w:rFonts w:ascii="Arial" w:hAnsi="Arial" w:cs="Arial"/>
          <w:color w:val="000000" w:themeColor="text1"/>
          <w:lang w:val="ru-RU"/>
        </w:rPr>
        <w:t>ипотека</w:t>
      </w:r>
      <w:r w:rsidRPr="00DA76A7">
        <w:rPr>
          <w:rFonts w:ascii="Arial" w:hAnsi="Arial" w:cs="Arial"/>
          <w:color w:val="000000" w:themeColor="text1"/>
          <w:spacing w:val="-44"/>
          <w:lang w:val="ru-RU"/>
        </w:rPr>
        <w:t xml:space="preserve"> </w:t>
      </w:r>
      <w:r w:rsidRPr="00DA76A7">
        <w:rPr>
          <w:rFonts w:ascii="Arial" w:hAnsi="Arial" w:cs="Arial"/>
          <w:color w:val="000000" w:themeColor="text1"/>
          <w:lang w:val="ru-RU"/>
        </w:rPr>
        <w:t>–</w:t>
      </w:r>
      <w:r w:rsidRPr="00DA76A7">
        <w:rPr>
          <w:rFonts w:ascii="Arial" w:hAnsi="Arial" w:cs="Arial"/>
          <w:color w:val="000000" w:themeColor="text1"/>
          <w:spacing w:val="-44"/>
          <w:lang w:val="ru-RU"/>
        </w:rPr>
        <w:t xml:space="preserve"> </w:t>
      </w:r>
      <w:r w:rsidRPr="00DA76A7">
        <w:rPr>
          <w:rFonts w:ascii="Arial" w:hAnsi="Arial" w:cs="Arial"/>
          <w:color w:val="000000" w:themeColor="text1"/>
          <w:lang w:val="ru-RU"/>
        </w:rPr>
        <w:t>это</w:t>
      </w:r>
      <w:r w:rsidRPr="00DA76A7">
        <w:rPr>
          <w:rFonts w:ascii="Arial" w:hAnsi="Arial" w:cs="Arial"/>
          <w:color w:val="000000" w:themeColor="text1"/>
          <w:spacing w:val="-44"/>
          <w:lang w:val="ru-RU"/>
        </w:rPr>
        <w:t xml:space="preserve"> </w:t>
      </w:r>
      <w:r w:rsidRPr="00DA76A7">
        <w:rPr>
          <w:rFonts w:ascii="Arial" w:hAnsi="Arial" w:cs="Arial"/>
          <w:color w:val="000000" w:themeColor="text1"/>
          <w:lang w:val="ru-RU"/>
        </w:rPr>
        <w:t>залог</w:t>
      </w:r>
      <w:r w:rsidRPr="00DA76A7">
        <w:rPr>
          <w:rFonts w:ascii="Arial" w:hAnsi="Arial" w:cs="Arial"/>
          <w:color w:val="000000" w:themeColor="text1"/>
          <w:spacing w:val="-44"/>
          <w:lang w:val="ru-RU"/>
        </w:rPr>
        <w:t xml:space="preserve"> </w:t>
      </w:r>
      <w:r w:rsidRPr="00DA76A7">
        <w:rPr>
          <w:rFonts w:ascii="Arial" w:hAnsi="Arial" w:cs="Arial"/>
          <w:color w:val="000000" w:themeColor="text1"/>
          <w:spacing w:val="-2"/>
          <w:lang w:val="ru-RU"/>
        </w:rPr>
        <w:t>недви</w:t>
      </w:r>
      <w:r w:rsidRPr="00DA76A7">
        <w:rPr>
          <w:rFonts w:ascii="Arial" w:hAnsi="Arial" w:cs="Arial"/>
          <w:color w:val="000000" w:themeColor="text1"/>
          <w:spacing w:val="2"/>
          <w:lang w:val="ru-RU"/>
        </w:rPr>
        <w:t>жимого</w:t>
      </w:r>
      <w:r w:rsidRPr="00DA76A7">
        <w:rPr>
          <w:rFonts w:ascii="Arial" w:hAnsi="Arial" w:cs="Arial"/>
          <w:color w:val="000000" w:themeColor="text1"/>
          <w:spacing w:val="-28"/>
          <w:lang w:val="ru-RU"/>
        </w:rPr>
        <w:t xml:space="preserve"> </w:t>
      </w:r>
      <w:r w:rsidRPr="00DA76A7">
        <w:rPr>
          <w:rFonts w:ascii="Arial" w:hAnsi="Arial" w:cs="Arial"/>
          <w:color w:val="000000" w:themeColor="text1"/>
          <w:spacing w:val="2"/>
          <w:lang w:val="ru-RU"/>
        </w:rPr>
        <w:t>имущества,</w:t>
      </w:r>
      <w:r w:rsidRPr="00DA76A7">
        <w:rPr>
          <w:rFonts w:ascii="Arial" w:hAnsi="Arial" w:cs="Arial"/>
          <w:color w:val="000000" w:themeColor="text1"/>
          <w:spacing w:val="-28"/>
          <w:lang w:val="ru-RU"/>
        </w:rPr>
        <w:t xml:space="preserve"> </w:t>
      </w:r>
      <w:r w:rsidRPr="00DA76A7">
        <w:rPr>
          <w:rFonts w:ascii="Arial" w:hAnsi="Arial" w:cs="Arial"/>
          <w:color w:val="000000" w:themeColor="text1"/>
          <w:spacing w:val="2"/>
          <w:lang w:val="ru-RU"/>
        </w:rPr>
        <w:t>который</w:t>
      </w:r>
      <w:r w:rsidRPr="00DA76A7">
        <w:rPr>
          <w:rFonts w:ascii="Arial" w:hAnsi="Arial" w:cs="Arial"/>
          <w:color w:val="000000" w:themeColor="text1"/>
          <w:spacing w:val="-27"/>
          <w:lang w:val="ru-RU"/>
        </w:rPr>
        <w:t xml:space="preserve"> реализуется</w:t>
      </w:r>
      <w:r w:rsidRPr="00DA76A7">
        <w:rPr>
          <w:rFonts w:ascii="Arial" w:hAnsi="Arial" w:cs="Arial"/>
          <w:color w:val="000000" w:themeColor="text1"/>
          <w:spacing w:val="-26"/>
          <w:lang w:val="ru-RU"/>
        </w:rPr>
        <w:t xml:space="preserve"> </w:t>
      </w:r>
      <w:r w:rsidRPr="00DA76A7">
        <w:rPr>
          <w:rFonts w:ascii="Arial" w:hAnsi="Arial" w:cs="Arial"/>
          <w:color w:val="000000" w:themeColor="text1"/>
          <w:lang w:val="ru-RU"/>
        </w:rPr>
        <w:t>без</w:t>
      </w:r>
      <w:r w:rsidRPr="00DA76A7">
        <w:rPr>
          <w:rFonts w:ascii="Arial" w:hAnsi="Arial" w:cs="Arial"/>
          <w:color w:val="000000" w:themeColor="text1"/>
          <w:spacing w:val="-25"/>
          <w:lang w:val="ru-RU"/>
        </w:rPr>
        <w:t xml:space="preserve"> </w:t>
      </w:r>
      <w:r w:rsidRPr="00DA76A7">
        <w:rPr>
          <w:rFonts w:ascii="Arial" w:hAnsi="Arial" w:cs="Arial"/>
          <w:color w:val="000000" w:themeColor="text1"/>
          <w:lang w:val="ru-RU"/>
        </w:rPr>
        <w:t>предоставления данного</w:t>
      </w:r>
      <w:r w:rsidRPr="00DA76A7">
        <w:rPr>
          <w:rFonts w:ascii="Arial" w:hAnsi="Arial" w:cs="Arial"/>
          <w:color w:val="000000" w:themeColor="text1"/>
          <w:spacing w:val="-25"/>
          <w:lang w:val="ru-RU"/>
        </w:rPr>
        <w:t xml:space="preserve"> </w:t>
      </w:r>
      <w:r w:rsidRPr="00DA76A7">
        <w:rPr>
          <w:rFonts w:ascii="Arial" w:hAnsi="Arial" w:cs="Arial"/>
          <w:color w:val="000000" w:themeColor="text1"/>
          <w:lang w:val="ru-RU"/>
        </w:rPr>
        <w:t>имущества во</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владения залогодержателя</w:t>
      </w:r>
      <w:r w:rsidRPr="00DA76A7">
        <w:rPr>
          <w:rFonts w:ascii="Arial" w:hAnsi="Arial" w:cs="Arial"/>
          <w:color w:val="000000" w:themeColor="text1"/>
          <w:spacing w:val="-5"/>
          <w:lang w:val="ru-RU"/>
        </w:rPr>
        <w:t>.</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По своему экономическому содержанию</w:t>
      </w:r>
      <w:r w:rsidRPr="00DA76A7">
        <w:rPr>
          <w:rFonts w:ascii="Arial" w:hAnsi="Arial" w:cs="Arial"/>
          <w:color w:val="000000" w:themeColor="text1"/>
          <w:spacing w:val="-22"/>
          <w:lang w:val="ru-RU"/>
        </w:rPr>
        <w:t xml:space="preserve"> </w:t>
      </w:r>
      <w:r w:rsidRPr="00DA76A7">
        <w:rPr>
          <w:rFonts w:ascii="Arial" w:hAnsi="Arial" w:cs="Arial"/>
          <w:color w:val="000000" w:themeColor="text1"/>
          <w:lang w:val="ru-RU"/>
        </w:rPr>
        <w:t>ипотека</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должна</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выполнять</w:t>
      </w:r>
      <w:r w:rsidRPr="00DA76A7">
        <w:rPr>
          <w:rFonts w:ascii="Arial" w:hAnsi="Arial" w:cs="Arial"/>
          <w:color w:val="000000" w:themeColor="text1"/>
          <w:spacing w:val="-21"/>
          <w:lang w:val="ru-RU"/>
        </w:rPr>
        <w:t xml:space="preserve"> </w:t>
      </w:r>
      <w:r w:rsidRPr="00DA76A7">
        <w:rPr>
          <w:rFonts w:ascii="Arial" w:hAnsi="Arial" w:cs="Arial"/>
          <w:color w:val="000000" w:themeColor="text1"/>
          <w:spacing w:val="2"/>
          <w:lang w:val="ru-RU"/>
        </w:rPr>
        <w:t>следу</w:t>
      </w:r>
      <w:r w:rsidRPr="00DA76A7">
        <w:rPr>
          <w:rFonts w:ascii="Arial" w:hAnsi="Arial" w:cs="Arial"/>
          <w:color w:val="000000" w:themeColor="text1"/>
          <w:lang w:val="ru-RU"/>
        </w:rPr>
        <w:t>ющие</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функции:</w:t>
      </w:r>
    </w:p>
    <w:p w:rsidR="00181BA7" w:rsidRPr="00DA76A7" w:rsidRDefault="00181BA7" w:rsidP="00D45D6B">
      <w:pPr>
        <w:pStyle w:val="a6"/>
        <w:widowControl w:val="0"/>
        <w:numPr>
          <w:ilvl w:val="0"/>
          <w:numId w:val="91"/>
        </w:numPr>
        <w:tabs>
          <w:tab w:val="left" w:pos="305"/>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механизма формирования и привле</w:t>
      </w:r>
      <w:r w:rsidRPr="00DA76A7">
        <w:rPr>
          <w:rFonts w:ascii="Arial" w:hAnsi="Arial" w:cs="Arial"/>
          <w:color w:val="000000" w:themeColor="text1"/>
          <w:spacing w:val="8"/>
          <w:w w:val="95"/>
        </w:rPr>
        <w:t xml:space="preserve">чения </w:t>
      </w:r>
      <w:r w:rsidRPr="00DA76A7">
        <w:rPr>
          <w:rFonts w:ascii="Arial" w:hAnsi="Arial" w:cs="Arial"/>
          <w:color w:val="000000" w:themeColor="text1"/>
          <w:spacing w:val="10"/>
          <w:w w:val="95"/>
        </w:rPr>
        <w:t xml:space="preserve">дополнительных </w:t>
      </w:r>
      <w:r w:rsidRPr="00DA76A7">
        <w:rPr>
          <w:rFonts w:ascii="Arial" w:hAnsi="Arial" w:cs="Arial"/>
          <w:color w:val="000000" w:themeColor="text1"/>
          <w:spacing w:val="11"/>
          <w:w w:val="95"/>
        </w:rPr>
        <w:t xml:space="preserve">финансовых </w:t>
      </w:r>
      <w:r w:rsidRPr="00DA76A7">
        <w:rPr>
          <w:rFonts w:ascii="Arial" w:hAnsi="Arial" w:cs="Arial"/>
          <w:color w:val="000000" w:themeColor="text1"/>
          <w:spacing w:val="2"/>
        </w:rPr>
        <w:t xml:space="preserve">ресурсов </w:t>
      </w:r>
      <w:r w:rsidRPr="00DA76A7">
        <w:rPr>
          <w:rFonts w:ascii="Arial" w:hAnsi="Arial" w:cs="Arial"/>
          <w:color w:val="000000" w:themeColor="text1"/>
        </w:rPr>
        <w:t xml:space="preserve">для </w:t>
      </w:r>
      <w:r w:rsidRPr="00DA76A7">
        <w:rPr>
          <w:rFonts w:ascii="Arial" w:hAnsi="Arial" w:cs="Arial"/>
          <w:color w:val="000000" w:themeColor="text1"/>
          <w:spacing w:val="2"/>
        </w:rPr>
        <w:t xml:space="preserve">поддержания </w:t>
      </w:r>
      <w:r w:rsidRPr="00DA76A7">
        <w:rPr>
          <w:rFonts w:ascii="Arial" w:hAnsi="Arial" w:cs="Arial"/>
          <w:color w:val="000000" w:themeColor="text1"/>
        </w:rPr>
        <w:t xml:space="preserve">и функционирование сектора производства всех </w:t>
      </w:r>
      <w:r w:rsidRPr="00DA76A7">
        <w:rPr>
          <w:rFonts w:ascii="Arial" w:hAnsi="Arial" w:cs="Arial"/>
          <w:color w:val="000000" w:themeColor="text1"/>
          <w:spacing w:val="2"/>
        </w:rPr>
        <w:t>отрас</w:t>
      </w:r>
      <w:r w:rsidRPr="00DA76A7">
        <w:rPr>
          <w:rFonts w:ascii="Arial" w:hAnsi="Arial" w:cs="Arial"/>
          <w:color w:val="000000" w:themeColor="text1"/>
        </w:rPr>
        <w:t>лей экономики;</w:t>
      </w:r>
    </w:p>
    <w:p w:rsidR="00181BA7" w:rsidRPr="00DA76A7" w:rsidRDefault="00181BA7" w:rsidP="00D45D6B">
      <w:pPr>
        <w:pStyle w:val="a6"/>
        <w:widowControl w:val="0"/>
        <w:numPr>
          <w:ilvl w:val="0"/>
          <w:numId w:val="91"/>
        </w:numPr>
        <w:tabs>
          <w:tab w:val="left" w:pos="308"/>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2"/>
        </w:rPr>
        <w:t>дополнительной возможности</w:t>
      </w:r>
      <w:r w:rsidRPr="00DA76A7">
        <w:rPr>
          <w:rFonts w:ascii="Arial" w:hAnsi="Arial" w:cs="Arial"/>
          <w:color w:val="000000" w:themeColor="text1"/>
          <w:spacing w:val="-31"/>
        </w:rPr>
        <w:t xml:space="preserve"> </w:t>
      </w:r>
      <w:r w:rsidRPr="00DA76A7">
        <w:rPr>
          <w:rFonts w:ascii="Arial" w:hAnsi="Arial" w:cs="Arial"/>
          <w:color w:val="000000" w:themeColor="text1"/>
          <w:spacing w:val="3"/>
        </w:rPr>
        <w:t>обес</w:t>
      </w:r>
      <w:r w:rsidRPr="00DA76A7">
        <w:rPr>
          <w:rFonts w:ascii="Arial" w:hAnsi="Arial" w:cs="Arial"/>
          <w:color w:val="000000" w:themeColor="text1"/>
          <w:spacing w:val="11"/>
        </w:rPr>
        <w:t xml:space="preserve">печения оборота недвижимости </w:t>
      </w:r>
      <w:r w:rsidRPr="00DA76A7">
        <w:rPr>
          <w:rFonts w:ascii="Arial" w:hAnsi="Arial" w:cs="Arial"/>
          <w:color w:val="000000" w:themeColor="text1"/>
        </w:rPr>
        <w:t>в случае,</w:t>
      </w:r>
      <w:r w:rsidRPr="00DA76A7">
        <w:rPr>
          <w:rFonts w:ascii="Arial" w:hAnsi="Arial" w:cs="Arial"/>
          <w:color w:val="000000" w:themeColor="text1"/>
          <w:spacing w:val="-17"/>
        </w:rPr>
        <w:t xml:space="preserve"> </w:t>
      </w:r>
      <w:r w:rsidRPr="00DA76A7">
        <w:rPr>
          <w:rFonts w:ascii="Arial" w:hAnsi="Arial" w:cs="Arial"/>
          <w:color w:val="000000" w:themeColor="text1"/>
        </w:rPr>
        <w:t>когда</w:t>
      </w:r>
      <w:r w:rsidRPr="00DA76A7">
        <w:rPr>
          <w:rFonts w:ascii="Arial" w:hAnsi="Arial" w:cs="Arial"/>
          <w:color w:val="000000" w:themeColor="text1"/>
          <w:spacing w:val="-17"/>
        </w:rPr>
        <w:t xml:space="preserve"> </w:t>
      </w:r>
      <w:r w:rsidRPr="00DA76A7">
        <w:rPr>
          <w:rFonts w:ascii="Arial" w:hAnsi="Arial" w:cs="Arial"/>
          <w:color w:val="000000" w:themeColor="text1"/>
        </w:rPr>
        <w:t>применение</w:t>
      </w:r>
      <w:r w:rsidRPr="00DA76A7">
        <w:rPr>
          <w:rFonts w:ascii="Arial" w:hAnsi="Arial" w:cs="Arial"/>
          <w:color w:val="000000" w:themeColor="text1"/>
          <w:spacing w:val="-17"/>
        </w:rPr>
        <w:t xml:space="preserve"> </w:t>
      </w:r>
      <w:r w:rsidRPr="00DA76A7">
        <w:rPr>
          <w:rFonts w:ascii="Arial" w:hAnsi="Arial" w:cs="Arial"/>
          <w:color w:val="000000" w:themeColor="text1"/>
        </w:rPr>
        <w:t>других</w:t>
      </w:r>
      <w:r w:rsidRPr="00DA76A7">
        <w:rPr>
          <w:rFonts w:ascii="Arial" w:hAnsi="Arial" w:cs="Arial"/>
          <w:color w:val="000000" w:themeColor="text1"/>
          <w:spacing w:val="-16"/>
        </w:rPr>
        <w:t xml:space="preserve"> </w:t>
      </w:r>
      <w:r w:rsidRPr="00DA76A7">
        <w:rPr>
          <w:rFonts w:ascii="Arial" w:hAnsi="Arial" w:cs="Arial"/>
          <w:color w:val="000000" w:themeColor="text1"/>
        </w:rPr>
        <w:t>способов оборота (например, купли-про</w:t>
      </w:r>
      <w:r w:rsidRPr="00DA76A7">
        <w:rPr>
          <w:rFonts w:ascii="Arial" w:hAnsi="Arial" w:cs="Arial"/>
          <w:color w:val="000000" w:themeColor="text1"/>
          <w:spacing w:val="7"/>
        </w:rPr>
        <w:t xml:space="preserve">дажи </w:t>
      </w:r>
      <w:r w:rsidRPr="00DA76A7">
        <w:rPr>
          <w:rFonts w:ascii="Arial" w:hAnsi="Arial" w:cs="Arial"/>
          <w:color w:val="000000" w:themeColor="text1"/>
        </w:rPr>
        <w:t xml:space="preserve">и </w:t>
      </w:r>
      <w:r w:rsidRPr="00DA76A7">
        <w:rPr>
          <w:rFonts w:ascii="Arial" w:hAnsi="Arial" w:cs="Arial"/>
          <w:color w:val="000000" w:themeColor="text1"/>
          <w:spacing w:val="9"/>
        </w:rPr>
        <w:t xml:space="preserve">приватизации) </w:t>
      </w:r>
      <w:r w:rsidRPr="00DA76A7">
        <w:rPr>
          <w:rFonts w:ascii="Arial" w:hAnsi="Arial" w:cs="Arial"/>
          <w:color w:val="000000" w:themeColor="text1"/>
          <w:spacing w:val="10"/>
        </w:rPr>
        <w:t xml:space="preserve">юридически </w:t>
      </w:r>
      <w:r w:rsidRPr="00DA76A7">
        <w:rPr>
          <w:rFonts w:ascii="Arial" w:hAnsi="Arial" w:cs="Arial"/>
          <w:color w:val="000000" w:themeColor="text1"/>
          <w:spacing w:val="3"/>
        </w:rPr>
        <w:t>невозможно</w:t>
      </w:r>
      <w:r w:rsidRPr="00DA76A7">
        <w:rPr>
          <w:rFonts w:ascii="Arial" w:hAnsi="Arial" w:cs="Arial"/>
          <w:color w:val="000000" w:themeColor="text1"/>
          <w:spacing w:val="-17"/>
        </w:rPr>
        <w:t xml:space="preserve"> </w:t>
      </w:r>
      <w:r w:rsidRPr="00DA76A7">
        <w:rPr>
          <w:rFonts w:ascii="Arial" w:hAnsi="Arial" w:cs="Arial"/>
          <w:color w:val="000000" w:themeColor="text1"/>
          <w:spacing w:val="2"/>
        </w:rPr>
        <w:t>или</w:t>
      </w:r>
      <w:r w:rsidRPr="00DA76A7">
        <w:rPr>
          <w:rFonts w:ascii="Arial" w:hAnsi="Arial" w:cs="Arial"/>
          <w:color w:val="000000" w:themeColor="text1"/>
          <w:spacing w:val="-16"/>
        </w:rPr>
        <w:t xml:space="preserve"> </w:t>
      </w:r>
      <w:r w:rsidRPr="00DA76A7">
        <w:rPr>
          <w:rFonts w:ascii="Arial" w:hAnsi="Arial" w:cs="Arial"/>
          <w:color w:val="000000" w:themeColor="text1"/>
          <w:spacing w:val="3"/>
        </w:rPr>
        <w:t>экономически</w:t>
      </w:r>
      <w:r w:rsidRPr="00DA76A7">
        <w:rPr>
          <w:rFonts w:ascii="Arial" w:hAnsi="Arial" w:cs="Arial"/>
          <w:color w:val="000000" w:themeColor="text1"/>
          <w:spacing w:val="-16"/>
        </w:rPr>
        <w:t xml:space="preserve"> </w:t>
      </w:r>
      <w:r w:rsidRPr="00DA76A7">
        <w:rPr>
          <w:rFonts w:ascii="Arial" w:hAnsi="Arial" w:cs="Arial"/>
          <w:color w:val="000000" w:themeColor="text1"/>
          <w:spacing w:val="4"/>
        </w:rPr>
        <w:t>неэф</w:t>
      </w:r>
      <w:r w:rsidRPr="00DA76A7">
        <w:rPr>
          <w:rFonts w:ascii="Arial" w:hAnsi="Arial" w:cs="Arial"/>
          <w:color w:val="000000" w:themeColor="text1"/>
        </w:rPr>
        <w:t>фективно;</w:t>
      </w:r>
    </w:p>
    <w:p w:rsidR="00181BA7" w:rsidRPr="00DA76A7" w:rsidRDefault="00181BA7" w:rsidP="00D45D6B">
      <w:pPr>
        <w:pStyle w:val="a6"/>
        <w:widowControl w:val="0"/>
        <w:numPr>
          <w:ilvl w:val="0"/>
          <w:numId w:val="91"/>
        </w:numPr>
        <w:tabs>
          <w:tab w:val="left" w:pos="329"/>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8"/>
        </w:rPr>
        <w:t xml:space="preserve">создания фиктивно </w:t>
      </w:r>
      <w:r w:rsidRPr="00DA76A7">
        <w:rPr>
          <w:rFonts w:ascii="Arial" w:hAnsi="Arial" w:cs="Arial"/>
          <w:color w:val="000000" w:themeColor="text1"/>
          <w:spacing w:val="10"/>
        </w:rPr>
        <w:t xml:space="preserve">работающего </w:t>
      </w:r>
      <w:r w:rsidRPr="00DA76A7">
        <w:rPr>
          <w:rStyle w:val="aa"/>
          <w:rFonts w:ascii="Arial" w:eastAsia="Trebuchet MS" w:hAnsi="Arial" w:cs="Arial"/>
          <w:color w:val="000000" w:themeColor="text1"/>
          <w:lang w:val="ru-RU"/>
        </w:rPr>
        <w:t>капитала, а также институтов</w:t>
      </w:r>
      <w:r w:rsidRPr="00DA76A7">
        <w:rPr>
          <w:rFonts w:ascii="Arial" w:hAnsi="Arial" w:cs="Arial"/>
          <w:color w:val="000000" w:themeColor="text1"/>
          <w:w w:val="95"/>
        </w:rPr>
        <w:t xml:space="preserve"> вторично</w:t>
      </w:r>
      <w:r w:rsidRPr="00DA76A7">
        <w:rPr>
          <w:rFonts w:ascii="Arial" w:hAnsi="Arial" w:cs="Arial"/>
          <w:color w:val="000000" w:themeColor="text1"/>
        </w:rPr>
        <w:t>го</w:t>
      </w:r>
      <w:r w:rsidRPr="00DA76A7">
        <w:rPr>
          <w:rFonts w:ascii="Arial" w:hAnsi="Arial" w:cs="Arial"/>
          <w:color w:val="000000" w:themeColor="text1"/>
          <w:spacing w:val="-22"/>
        </w:rPr>
        <w:t xml:space="preserve"> </w:t>
      </w:r>
      <w:r w:rsidRPr="00DA76A7">
        <w:rPr>
          <w:rFonts w:ascii="Arial" w:hAnsi="Arial" w:cs="Arial"/>
          <w:color w:val="000000" w:themeColor="text1"/>
        </w:rPr>
        <w:t>рынка</w:t>
      </w:r>
      <w:r w:rsidRPr="00DA76A7">
        <w:rPr>
          <w:rFonts w:ascii="Arial" w:hAnsi="Arial" w:cs="Arial"/>
          <w:color w:val="000000" w:themeColor="text1"/>
          <w:spacing w:val="-22"/>
        </w:rPr>
        <w:t xml:space="preserve"> </w:t>
      </w:r>
      <w:r w:rsidRPr="00DA76A7">
        <w:rPr>
          <w:rFonts w:ascii="Arial" w:hAnsi="Arial" w:cs="Arial"/>
          <w:color w:val="000000" w:themeColor="text1"/>
        </w:rPr>
        <w:t>ипотечных</w:t>
      </w:r>
      <w:r w:rsidRPr="00DA76A7">
        <w:rPr>
          <w:rFonts w:ascii="Arial" w:hAnsi="Arial" w:cs="Arial"/>
          <w:color w:val="000000" w:themeColor="text1"/>
          <w:spacing w:val="-22"/>
        </w:rPr>
        <w:t xml:space="preserve"> </w:t>
      </w:r>
      <w:r w:rsidRPr="00DA76A7">
        <w:rPr>
          <w:rFonts w:ascii="Arial" w:hAnsi="Arial" w:cs="Arial"/>
          <w:color w:val="000000" w:themeColor="text1"/>
        </w:rPr>
        <w:t>кредитов.</w:t>
      </w:r>
    </w:p>
    <w:p w:rsidR="00181BA7" w:rsidRPr="00DA76A7" w:rsidRDefault="00181BA7" w:rsidP="00181BA7">
      <w:pPr>
        <w:pStyle w:val="a9"/>
        <w:tabs>
          <w:tab w:val="left" w:pos="851"/>
        </w:tabs>
        <w:ind w:firstLine="567"/>
        <w:rPr>
          <w:rFonts w:ascii="Arial" w:hAnsi="Arial" w:cs="Arial"/>
          <w:color w:val="000000" w:themeColor="text1"/>
          <w:lang w:val="ru-RU"/>
        </w:rPr>
      </w:pPr>
      <w:r w:rsidRPr="00DA76A7">
        <w:rPr>
          <w:rFonts w:ascii="Arial" w:hAnsi="Arial" w:cs="Arial"/>
          <w:color w:val="000000" w:themeColor="text1"/>
          <w:spacing w:val="2"/>
          <w:lang w:val="ru-RU"/>
        </w:rPr>
        <w:t>Независимо</w:t>
      </w:r>
      <w:r w:rsidRPr="00DA76A7">
        <w:rPr>
          <w:rFonts w:ascii="Arial" w:hAnsi="Arial" w:cs="Arial"/>
          <w:color w:val="000000" w:themeColor="text1"/>
          <w:lang w:val="ru-RU"/>
        </w:rPr>
        <w:t xml:space="preserve"> от того,</w:t>
      </w:r>
      <w:r w:rsidRPr="00DA76A7">
        <w:rPr>
          <w:rFonts w:ascii="Arial" w:hAnsi="Arial" w:cs="Arial"/>
          <w:color w:val="000000" w:themeColor="text1"/>
          <w:spacing w:val="-22"/>
          <w:lang w:val="ru-RU"/>
        </w:rPr>
        <w:t xml:space="preserve"> </w:t>
      </w:r>
      <w:r w:rsidRPr="00DA76A7">
        <w:rPr>
          <w:rFonts w:ascii="Arial" w:hAnsi="Arial" w:cs="Arial"/>
          <w:color w:val="000000" w:themeColor="text1"/>
          <w:lang w:val="ru-RU"/>
        </w:rPr>
        <w:t>что</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2"/>
          <w:lang w:val="ru-RU"/>
        </w:rPr>
        <w:t>ипотечный</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3"/>
          <w:lang w:val="ru-RU"/>
        </w:rPr>
        <w:t xml:space="preserve">кредит </w:t>
      </w:r>
      <w:r w:rsidRPr="00DA76A7">
        <w:rPr>
          <w:rFonts w:ascii="Arial" w:hAnsi="Arial" w:cs="Arial"/>
          <w:color w:val="000000" w:themeColor="text1"/>
          <w:spacing w:val="5"/>
          <w:lang w:val="ru-RU"/>
        </w:rPr>
        <w:t>по</w:t>
      </w:r>
      <w:r w:rsidRPr="00DA76A7">
        <w:rPr>
          <w:rFonts w:ascii="Arial" w:hAnsi="Arial" w:cs="Arial"/>
          <w:color w:val="000000" w:themeColor="text1"/>
          <w:spacing w:val="9"/>
          <w:lang w:val="ru-RU"/>
        </w:rPr>
        <w:t xml:space="preserve"> </w:t>
      </w:r>
      <w:r w:rsidRPr="00DA76A7">
        <w:rPr>
          <w:rFonts w:ascii="Arial" w:hAnsi="Arial" w:cs="Arial"/>
          <w:color w:val="000000" w:themeColor="text1"/>
          <w:spacing w:val="8"/>
          <w:lang w:val="ru-RU"/>
        </w:rPr>
        <w:t xml:space="preserve">своим общим </w:t>
      </w:r>
      <w:r w:rsidRPr="00DA76A7">
        <w:rPr>
          <w:rFonts w:ascii="Arial" w:hAnsi="Arial" w:cs="Arial"/>
          <w:color w:val="000000" w:themeColor="text1"/>
          <w:spacing w:val="11"/>
          <w:lang w:val="ru-RU"/>
        </w:rPr>
        <w:t>характеристи</w:t>
      </w:r>
      <w:r w:rsidRPr="00DA76A7">
        <w:rPr>
          <w:rFonts w:ascii="Arial" w:hAnsi="Arial" w:cs="Arial"/>
          <w:color w:val="000000" w:themeColor="text1"/>
          <w:spacing w:val="4"/>
          <w:lang w:val="ru-RU"/>
        </w:rPr>
        <w:t>кам</w:t>
      </w:r>
      <w:r w:rsidRPr="00DA76A7">
        <w:rPr>
          <w:rFonts w:ascii="Arial" w:hAnsi="Arial" w:cs="Arial"/>
          <w:color w:val="000000" w:themeColor="text1"/>
          <w:spacing w:val="-23"/>
          <w:lang w:val="ru-RU"/>
        </w:rPr>
        <w:t xml:space="preserve"> </w:t>
      </w:r>
      <w:r w:rsidRPr="00DA76A7">
        <w:rPr>
          <w:rFonts w:ascii="Arial" w:hAnsi="Arial" w:cs="Arial"/>
          <w:color w:val="000000" w:themeColor="text1"/>
          <w:spacing w:val="5"/>
          <w:lang w:val="ru-RU"/>
        </w:rPr>
        <w:t>соответствует</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5"/>
          <w:lang w:val="ru-RU"/>
        </w:rPr>
        <w:t>другим</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6"/>
          <w:lang w:val="ru-RU"/>
        </w:rPr>
        <w:t>кредитам, существует</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5"/>
          <w:lang w:val="ru-RU"/>
        </w:rPr>
        <w:t>ряд</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6"/>
          <w:lang w:val="ru-RU"/>
        </w:rPr>
        <w:t>отличий</w:t>
      </w:r>
      <w:r w:rsidRPr="00DA76A7">
        <w:rPr>
          <w:rFonts w:ascii="Arial" w:hAnsi="Arial" w:cs="Arial"/>
          <w:color w:val="000000" w:themeColor="text1"/>
          <w:spacing w:val="-12"/>
          <w:lang w:val="ru-RU"/>
        </w:rPr>
        <w:t xml:space="preserve"> </w:t>
      </w:r>
      <w:r w:rsidRPr="00DA76A7">
        <w:rPr>
          <w:rFonts w:ascii="Arial" w:hAnsi="Arial" w:cs="Arial"/>
          <w:color w:val="000000" w:themeColor="text1"/>
          <w:spacing w:val="8"/>
          <w:lang w:val="ru-RU"/>
        </w:rPr>
        <w:t xml:space="preserve">ипотечного </w:t>
      </w:r>
      <w:r w:rsidRPr="00DA76A7">
        <w:rPr>
          <w:rFonts w:ascii="Arial" w:hAnsi="Arial" w:cs="Arial"/>
          <w:color w:val="000000" w:themeColor="text1"/>
          <w:lang w:val="ru-RU"/>
        </w:rPr>
        <w:t>кредита</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от</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всех</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остальных:</w:t>
      </w:r>
    </w:p>
    <w:p w:rsidR="00181BA7" w:rsidRPr="00DA76A7" w:rsidRDefault="00181BA7" w:rsidP="00D45D6B">
      <w:pPr>
        <w:pStyle w:val="a6"/>
        <w:widowControl w:val="0"/>
        <w:numPr>
          <w:ilvl w:val="0"/>
          <w:numId w:val="91"/>
        </w:numPr>
        <w:tabs>
          <w:tab w:val="left" w:pos="334"/>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10"/>
        </w:rPr>
        <w:t xml:space="preserve">осуществляется, </w:t>
      </w:r>
      <w:r w:rsidRPr="00DA76A7">
        <w:rPr>
          <w:rFonts w:ascii="Arial" w:hAnsi="Arial" w:cs="Arial"/>
          <w:color w:val="000000" w:themeColor="text1"/>
          <w:spacing w:val="11"/>
        </w:rPr>
        <w:t xml:space="preserve">дополнительная мера </w:t>
      </w:r>
      <w:r w:rsidRPr="00DA76A7">
        <w:rPr>
          <w:rFonts w:ascii="Arial" w:hAnsi="Arial" w:cs="Arial"/>
          <w:color w:val="000000" w:themeColor="text1"/>
          <w:spacing w:val="4"/>
        </w:rPr>
        <w:t xml:space="preserve">защити, </w:t>
      </w:r>
      <w:r w:rsidRPr="00DA76A7">
        <w:rPr>
          <w:rFonts w:ascii="Arial" w:hAnsi="Arial" w:cs="Arial"/>
          <w:color w:val="000000" w:themeColor="text1"/>
          <w:spacing w:val="3"/>
        </w:rPr>
        <w:t xml:space="preserve">прав </w:t>
      </w:r>
      <w:r w:rsidRPr="00DA76A7">
        <w:rPr>
          <w:rFonts w:ascii="Arial" w:hAnsi="Arial" w:cs="Arial"/>
          <w:color w:val="000000" w:themeColor="text1"/>
          <w:spacing w:val="4"/>
        </w:rPr>
        <w:t xml:space="preserve">залогодержателя </w:t>
      </w:r>
      <w:r w:rsidRPr="00DA76A7">
        <w:rPr>
          <w:rFonts w:ascii="Arial" w:hAnsi="Arial" w:cs="Arial"/>
          <w:color w:val="000000" w:themeColor="text1"/>
          <w:spacing w:val="5"/>
        </w:rPr>
        <w:t xml:space="preserve">через </w:t>
      </w:r>
      <w:r w:rsidRPr="00DA76A7">
        <w:rPr>
          <w:rFonts w:ascii="Arial" w:hAnsi="Arial" w:cs="Arial"/>
          <w:color w:val="000000" w:themeColor="text1"/>
        </w:rPr>
        <w:t>государственную регистрацию</w:t>
      </w:r>
      <w:r w:rsidRPr="00DA76A7">
        <w:rPr>
          <w:rFonts w:ascii="Arial" w:hAnsi="Arial" w:cs="Arial"/>
          <w:color w:val="000000" w:themeColor="text1"/>
          <w:spacing w:val="-30"/>
        </w:rPr>
        <w:t xml:space="preserve"> </w:t>
      </w:r>
      <w:r w:rsidRPr="00DA76A7">
        <w:rPr>
          <w:rFonts w:ascii="Arial" w:hAnsi="Arial" w:cs="Arial"/>
          <w:color w:val="000000" w:themeColor="text1"/>
        </w:rPr>
        <w:t xml:space="preserve">договора залога;    </w:t>
      </w:r>
    </w:p>
    <w:p w:rsidR="00181BA7" w:rsidRPr="00DA76A7" w:rsidRDefault="00181BA7" w:rsidP="00D45D6B">
      <w:pPr>
        <w:pStyle w:val="a6"/>
        <w:widowControl w:val="0"/>
        <w:numPr>
          <w:ilvl w:val="0"/>
          <w:numId w:val="91"/>
        </w:numPr>
        <w:tabs>
          <w:tab w:val="left" w:pos="294"/>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объект</w:t>
      </w:r>
      <w:r w:rsidRPr="00DA76A7">
        <w:rPr>
          <w:rFonts w:ascii="Arial" w:hAnsi="Arial" w:cs="Arial"/>
          <w:color w:val="000000" w:themeColor="text1"/>
          <w:spacing w:val="-35"/>
        </w:rPr>
        <w:t xml:space="preserve"> </w:t>
      </w:r>
      <w:r w:rsidRPr="00DA76A7">
        <w:rPr>
          <w:rFonts w:ascii="Arial" w:hAnsi="Arial" w:cs="Arial"/>
          <w:color w:val="000000" w:themeColor="text1"/>
        </w:rPr>
        <w:t>недвижимости</w:t>
      </w:r>
      <w:r w:rsidRPr="00DA76A7">
        <w:rPr>
          <w:rFonts w:ascii="Arial" w:hAnsi="Arial" w:cs="Arial"/>
          <w:color w:val="000000" w:themeColor="text1"/>
          <w:spacing w:val="-34"/>
        </w:rPr>
        <w:t xml:space="preserve"> </w:t>
      </w:r>
      <w:r w:rsidRPr="00DA76A7">
        <w:rPr>
          <w:rFonts w:ascii="Arial" w:hAnsi="Arial" w:cs="Arial"/>
          <w:color w:val="000000" w:themeColor="text1"/>
        </w:rPr>
        <w:t>сохраняет</w:t>
      </w:r>
      <w:r w:rsidRPr="00DA76A7">
        <w:rPr>
          <w:rFonts w:ascii="Arial" w:hAnsi="Arial" w:cs="Arial"/>
          <w:color w:val="000000" w:themeColor="text1"/>
          <w:spacing w:val="-34"/>
        </w:rPr>
        <w:t xml:space="preserve"> </w:t>
      </w:r>
      <w:r w:rsidRPr="00DA76A7">
        <w:rPr>
          <w:rFonts w:ascii="Arial" w:hAnsi="Arial" w:cs="Arial"/>
          <w:color w:val="000000" w:themeColor="text1"/>
        </w:rPr>
        <w:t xml:space="preserve">свои </w:t>
      </w:r>
      <w:r w:rsidRPr="00DA76A7">
        <w:rPr>
          <w:rFonts w:ascii="Arial" w:hAnsi="Arial" w:cs="Arial"/>
          <w:color w:val="000000" w:themeColor="text1"/>
          <w:spacing w:val="4"/>
        </w:rPr>
        <w:t>потребительские свойства</w:t>
      </w:r>
      <w:r w:rsidRPr="00DA76A7">
        <w:rPr>
          <w:rFonts w:ascii="Arial" w:hAnsi="Arial" w:cs="Arial"/>
          <w:color w:val="000000" w:themeColor="text1"/>
          <w:spacing w:val="-39"/>
        </w:rPr>
        <w:t xml:space="preserve"> </w:t>
      </w:r>
      <w:r w:rsidRPr="00DA76A7">
        <w:rPr>
          <w:rFonts w:ascii="Arial" w:hAnsi="Arial" w:cs="Arial"/>
          <w:color w:val="000000" w:themeColor="text1"/>
        </w:rPr>
        <w:t xml:space="preserve">в </w:t>
      </w:r>
      <w:r w:rsidRPr="00DA76A7">
        <w:rPr>
          <w:rFonts w:ascii="Arial" w:hAnsi="Arial" w:cs="Arial"/>
          <w:color w:val="000000" w:themeColor="text1"/>
          <w:spacing w:val="5"/>
        </w:rPr>
        <w:t xml:space="preserve">течение </w:t>
      </w:r>
      <w:r w:rsidRPr="00DA76A7">
        <w:rPr>
          <w:rFonts w:ascii="Arial" w:hAnsi="Arial" w:cs="Arial"/>
          <w:color w:val="000000" w:themeColor="text1"/>
        </w:rPr>
        <w:t>длительного</w:t>
      </w:r>
      <w:r w:rsidRPr="00DA76A7">
        <w:rPr>
          <w:rFonts w:ascii="Arial" w:hAnsi="Arial" w:cs="Arial"/>
          <w:color w:val="000000" w:themeColor="text1"/>
          <w:spacing w:val="-20"/>
        </w:rPr>
        <w:t xml:space="preserve"> </w:t>
      </w:r>
      <w:r w:rsidRPr="00DA76A7">
        <w:rPr>
          <w:rFonts w:ascii="Arial" w:hAnsi="Arial" w:cs="Arial"/>
          <w:color w:val="000000" w:themeColor="text1"/>
        </w:rPr>
        <w:t>времени;</w:t>
      </w:r>
    </w:p>
    <w:p w:rsidR="00181BA7" w:rsidRPr="00DA76A7" w:rsidRDefault="00181BA7" w:rsidP="00D45D6B">
      <w:pPr>
        <w:pStyle w:val="a6"/>
        <w:widowControl w:val="0"/>
        <w:numPr>
          <w:ilvl w:val="0"/>
          <w:numId w:val="91"/>
        </w:numPr>
        <w:tabs>
          <w:tab w:val="left" w:pos="328"/>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8"/>
        </w:rPr>
        <w:t xml:space="preserve">ипотека, </w:t>
      </w:r>
      <w:r w:rsidRPr="00DA76A7">
        <w:rPr>
          <w:rFonts w:ascii="Arial" w:hAnsi="Arial" w:cs="Arial"/>
          <w:color w:val="000000" w:themeColor="text1"/>
          <w:spacing w:val="6"/>
        </w:rPr>
        <w:t xml:space="preserve">как </w:t>
      </w:r>
      <w:r w:rsidRPr="00DA76A7">
        <w:rPr>
          <w:rFonts w:ascii="Arial" w:hAnsi="Arial" w:cs="Arial"/>
          <w:color w:val="000000" w:themeColor="text1"/>
        </w:rPr>
        <w:t xml:space="preserve">и </w:t>
      </w:r>
      <w:r w:rsidRPr="00DA76A7">
        <w:rPr>
          <w:rFonts w:ascii="Arial" w:hAnsi="Arial" w:cs="Arial"/>
          <w:color w:val="000000" w:themeColor="text1"/>
          <w:spacing w:val="8"/>
        </w:rPr>
        <w:t xml:space="preserve">всякий залог </w:t>
      </w:r>
      <w:r w:rsidRPr="00DA76A7">
        <w:rPr>
          <w:rFonts w:ascii="Arial" w:hAnsi="Arial" w:cs="Arial"/>
          <w:color w:val="000000" w:themeColor="text1"/>
        </w:rPr>
        <w:t xml:space="preserve">– </w:t>
      </w:r>
      <w:r w:rsidRPr="00DA76A7">
        <w:rPr>
          <w:rFonts w:ascii="Arial" w:hAnsi="Arial" w:cs="Arial"/>
          <w:color w:val="000000" w:themeColor="text1"/>
          <w:spacing w:val="10"/>
        </w:rPr>
        <w:t xml:space="preserve">это </w:t>
      </w:r>
      <w:r w:rsidRPr="00DA76A7">
        <w:rPr>
          <w:rFonts w:ascii="Arial" w:hAnsi="Arial" w:cs="Arial"/>
          <w:color w:val="000000" w:themeColor="text1"/>
          <w:spacing w:val="5"/>
        </w:rPr>
        <w:t xml:space="preserve">способ </w:t>
      </w:r>
      <w:r w:rsidRPr="00DA76A7">
        <w:rPr>
          <w:rFonts w:ascii="Arial" w:hAnsi="Arial" w:cs="Arial"/>
          <w:color w:val="000000" w:themeColor="text1"/>
          <w:spacing w:val="6"/>
        </w:rPr>
        <w:t xml:space="preserve">обеспечения исполнения </w:t>
      </w:r>
      <w:r w:rsidRPr="00DA76A7">
        <w:rPr>
          <w:rFonts w:ascii="Arial" w:hAnsi="Arial" w:cs="Arial"/>
          <w:color w:val="000000" w:themeColor="text1"/>
          <w:spacing w:val="7"/>
        </w:rPr>
        <w:t>надлежащего</w:t>
      </w:r>
      <w:r w:rsidRPr="00DA76A7">
        <w:rPr>
          <w:rFonts w:ascii="Arial" w:hAnsi="Arial" w:cs="Arial"/>
          <w:color w:val="000000" w:themeColor="text1"/>
          <w:spacing w:val="4"/>
        </w:rPr>
        <w:t xml:space="preserve"> обязательства </w:t>
      </w:r>
      <w:r w:rsidRPr="00DA76A7">
        <w:rPr>
          <w:rFonts w:ascii="Arial" w:hAnsi="Arial" w:cs="Arial"/>
          <w:color w:val="000000" w:themeColor="text1"/>
        </w:rPr>
        <w:t xml:space="preserve">– </w:t>
      </w:r>
      <w:r w:rsidRPr="00DA76A7">
        <w:rPr>
          <w:rFonts w:ascii="Arial" w:hAnsi="Arial" w:cs="Arial"/>
          <w:color w:val="000000" w:themeColor="text1"/>
          <w:spacing w:val="7"/>
        </w:rPr>
        <w:t xml:space="preserve">договора кредита, </w:t>
      </w:r>
      <w:r w:rsidRPr="00DA76A7">
        <w:rPr>
          <w:rFonts w:ascii="Arial" w:hAnsi="Arial" w:cs="Arial"/>
          <w:color w:val="000000" w:themeColor="text1"/>
          <w:spacing w:val="9"/>
        </w:rPr>
        <w:t xml:space="preserve">купли-продажи, </w:t>
      </w:r>
      <w:r w:rsidRPr="00DA76A7">
        <w:rPr>
          <w:rFonts w:ascii="Arial" w:hAnsi="Arial" w:cs="Arial"/>
          <w:color w:val="000000" w:themeColor="text1"/>
        </w:rPr>
        <w:t>аренды и</w:t>
      </w:r>
      <w:r w:rsidRPr="00DA76A7">
        <w:rPr>
          <w:rFonts w:ascii="Arial" w:hAnsi="Arial" w:cs="Arial"/>
          <w:color w:val="000000" w:themeColor="text1"/>
          <w:spacing w:val="-29"/>
        </w:rPr>
        <w:t xml:space="preserve"> </w:t>
      </w:r>
      <w:r w:rsidRPr="00DA76A7">
        <w:rPr>
          <w:rFonts w:ascii="Arial" w:hAnsi="Arial" w:cs="Arial"/>
          <w:color w:val="000000" w:themeColor="text1"/>
          <w:spacing w:val="-3"/>
        </w:rPr>
        <w:t>т.п.;</w:t>
      </w:r>
    </w:p>
    <w:p w:rsidR="00181BA7" w:rsidRPr="00DA76A7" w:rsidRDefault="00181BA7" w:rsidP="00D45D6B">
      <w:pPr>
        <w:pStyle w:val="a6"/>
        <w:widowControl w:val="0"/>
        <w:numPr>
          <w:ilvl w:val="0"/>
          <w:numId w:val="91"/>
        </w:numPr>
        <w:tabs>
          <w:tab w:val="left" w:pos="299"/>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предмет договора</w:t>
      </w:r>
      <w:r w:rsidRPr="00DA76A7">
        <w:rPr>
          <w:rFonts w:ascii="Arial" w:hAnsi="Arial" w:cs="Arial"/>
          <w:color w:val="000000" w:themeColor="text1"/>
          <w:spacing w:val="-25"/>
        </w:rPr>
        <w:t xml:space="preserve"> </w:t>
      </w:r>
      <w:r w:rsidRPr="00DA76A7">
        <w:rPr>
          <w:rFonts w:ascii="Arial" w:hAnsi="Arial" w:cs="Arial"/>
          <w:color w:val="000000" w:themeColor="text1"/>
        </w:rPr>
        <w:t>ипотеки</w:t>
      </w:r>
      <w:r w:rsidRPr="00DA76A7">
        <w:rPr>
          <w:rFonts w:ascii="Arial" w:hAnsi="Arial" w:cs="Arial"/>
          <w:color w:val="000000" w:themeColor="text1"/>
          <w:spacing w:val="-24"/>
        </w:rPr>
        <w:t xml:space="preserve"> </w:t>
      </w:r>
      <w:r w:rsidRPr="00DA76A7">
        <w:rPr>
          <w:rFonts w:ascii="Arial" w:hAnsi="Arial" w:cs="Arial"/>
          <w:color w:val="000000" w:themeColor="text1"/>
          <w:spacing w:val="-3"/>
        </w:rPr>
        <w:t>всегда</w:t>
      </w:r>
      <w:r w:rsidRPr="00DA76A7">
        <w:rPr>
          <w:rFonts w:ascii="Arial" w:hAnsi="Arial" w:cs="Arial"/>
          <w:color w:val="000000" w:themeColor="text1"/>
          <w:spacing w:val="-25"/>
        </w:rPr>
        <w:t xml:space="preserve"> </w:t>
      </w:r>
      <w:r w:rsidRPr="00DA76A7">
        <w:rPr>
          <w:rFonts w:ascii="Arial" w:hAnsi="Arial" w:cs="Arial"/>
          <w:color w:val="000000" w:themeColor="text1"/>
        </w:rPr>
        <w:t>находится</w:t>
      </w:r>
      <w:r w:rsidRPr="00DA76A7">
        <w:rPr>
          <w:rFonts w:ascii="Arial" w:hAnsi="Arial" w:cs="Arial"/>
          <w:color w:val="000000" w:themeColor="text1"/>
          <w:spacing w:val="-24"/>
        </w:rPr>
        <w:t xml:space="preserve"> </w:t>
      </w:r>
      <w:r w:rsidRPr="00DA76A7">
        <w:rPr>
          <w:rFonts w:ascii="Arial" w:hAnsi="Arial" w:cs="Arial"/>
          <w:color w:val="000000" w:themeColor="text1"/>
        </w:rPr>
        <w:t>во владении и пользование</w:t>
      </w:r>
      <w:r w:rsidRPr="00DA76A7">
        <w:rPr>
          <w:rFonts w:ascii="Arial" w:hAnsi="Arial" w:cs="Arial"/>
          <w:color w:val="000000" w:themeColor="text1"/>
          <w:spacing w:val="-22"/>
        </w:rPr>
        <w:t xml:space="preserve"> </w:t>
      </w:r>
      <w:r w:rsidRPr="00DA76A7">
        <w:rPr>
          <w:rFonts w:ascii="Arial" w:hAnsi="Arial" w:cs="Arial"/>
          <w:color w:val="000000" w:themeColor="text1"/>
        </w:rPr>
        <w:t>должника,</w:t>
      </w:r>
      <w:r w:rsidRPr="00DA76A7">
        <w:rPr>
          <w:rFonts w:ascii="Arial" w:hAnsi="Arial" w:cs="Arial"/>
          <w:color w:val="000000" w:themeColor="text1"/>
          <w:spacing w:val="-22"/>
        </w:rPr>
        <w:t xml:space="preserve"> </w:t>
      </w:r>
      <w:r w:rsidRPr="00DA76A7">
        <w:rPr>
          <w:rFonts w:ascii="Arial" w:hAnsi="Arial" w:cs="Arial"/>
          <w:color w:val="000000" w:themeColor="text1"/>
        </w:rPr>
        <w:t>который</w:t>
      </w:r>
      <w:r w:rsidRPr="00DA76A7">
        <w:rPr>
          <w:rFonts w:ascii="Arial" w:hAnsi="Arial" w:cs="Arial"/>
          <w:color w:val="000000" w:themeColor="text1"/>
          <w:spacing w:val="-22"/>
        </w:rPr>
        <w:t xml:space="preserve"> </w:t>
      </w:r>
      <w:r w:rsidRPr="00DA76A7">
        <w:rPr>
          <w:rFonts w:ascii="Arial" w:hAnsi="Arial" w:cs="Arial"/>
          <w:color w:val="000000" w:themeColor="text1"/>
        </w:rPr>
        <w:t>остается бодучем собственником,</w:t>
      </w:r>
      <w:r w:rsidRPr="00DA76A7">
        <w:rPr>
          <w:rFonts w:ascii="Arial" w:hAnsi="Arial" w:cs="Arial"/>
          <w:color w:val="000000" w:themeColor="text1"/>
          <w:spacing w:val="-18"/>
        </w:rPr>
        <w:t xml:space="preserve"> </w:t>
      </w:r>
      <w:r w:rsidRPr="00DA76A7">
        <w:rPr>
          <w:rFonts w:ascii="Arial" w:hAnsi="Arial" w:cs="Arial"/>
          <w:color w:val="000000" w:themeColor="text1"/>
        </w:rPr>
        <w:t>пользователем</w:t>
      </w:r>
      <w:r w:rsidRPr="00DA76A7">
        <w:rPr>
          <w:rFonts w:ascii="Arial" w:hAnsi="Arial" w:cs="Arial"/>
          <w:color w:val="000000" w:themeColor="text1"/>
          <w:spacing w:val="-17"/>
        </w:rPr>
        <w:t xml:space="preserve"> </w:t>
      </w:r>
      <w:r w:rsidRPr="00DA76A7">
        <w:rPr>
          <w:rFonts w:ascii="Arial" w:hAnsi="Arial" w:cs="Arial"/>
          <w:color w:val="000000" w:themeColor="text1"/>
        </w:rPr>
        <w:t>и</w:t>
      </w:r>
      <w:r w:rsidRPr="00DA76A7">
        <w:rPr>
          <w:rFonts w:ascii="Arial" w:hAnsi="Arial" w:cs="Arial"/>
          <w:color w:val="000000" w:themeColor="text1"/>
          <w:spacing w:val="-18"/>
        </w:rPr>
        <w:t xml:space="preserve"> </w:t>
      </w:r>
      <w:r w:rsidRPr="00DA76A7">
        <w:rPr>
          <w:rFonts w:ascii="Arial" w:hAnsi="Arial" w:cs="Arial"/>
          <w:color w:val="000000" w:themeColor="text1"/>
        </w:rPr>
        <w:t>фак</w:t>
      </w:r>
      <w:r w:rsidRPr="00DA76A7">
        <w:rPr>
          <w:rFonts w:ascii="Arial" w:hAnsi="Arial" w:cs="Arial"/>
          <w:color w:val="000000" w:themeColor="text1"/>
          <w:w w:val="95"/>
        </w:rPr>
        <w:t xml:space="preserve">тическим владельцем этого имущества, </w:t>
      </w:r>
      <w:r w:rsidRPr="00DA76A7">
        <w:rPr>
          <w:rFonts w:ascii="Arial" w:hAnsi="Arial" w:cs="Arial"/>
          <w:color w:val="000000" w:themeColor="text1"/>
        </w:rPr>
        <w:t xml:space="preserve">но лишается права распоряжения </w:t>
      </w:r>
      <w:r w:rsidRPr="00DA76A7">
        <w:rPr>
          <w:rFonts w:ascii="Arial" w:hAnsi="Arial" w:cs="Arial"/>
          <w:color w:val="000000" w:themeColor="text1"/>
          <w:spacing w:val="2"/>
        </w:rPr>
        <w:t xml:space="preserve">им, </w:t>
      </w:r>
      <w:r w:rsidRPr="00DA76A7">
        <w:rPr>
          <w:rFonts w:ascii="Arial" w:hAnsi="Arial" w:cs="Arial"/>
          <w:color w:val="000000" w:themeColor="text1"/>
        </w:rPr>
        <w:t>по</w:t>
      </w:r>
      <w:r w:rsidRPr="00DA76A7">
        <w:rPr>
          <w:rFonts w:ascii="Arial" w:hAnsi="Arial" w:cs="Arial"/>
          <w:color w:val="000000" w:themeColor="text1"/>
          <w:spacing w:val="-9"/>
        </w:rPr>
        <w:t xml:space="preserve"> </w:t>
      </w:r>
      <w:r w:rsidRPr="00DA76A7">
        <w:rPr>
          <w:rFonts w:ascii="Arial" w:hAnsi="Arial" w:cs="Arial"/>
          <w:color w:val="000000" w:themeColor="text1"/>
        </w:rPr>
        <w:t>крайней</w:t>
      </w:r>
      <w:r w:rsidRPr="00DA76A7">
        <w:rPr>
          <w:rFonts w:ascii="Arial" w:hAnsi="Arial" w:cs="Arial"/>
          <w:color w:val="000000" w:themeColor="text1"/>
          <w:spacing w:val="-8"/>
        </w:rPr>
        <w:t xml:space="preserve"> </w:t>
      </w:r>
      <w:r w:rsidRPr="00DA76A7">
        <w:rPr>
          <w:rFonts w:ascii="Arial" w:hAnsi="Arial" w:cs="Arial"/>
          <w:color w:val="000000" w:themeColor="text1"/>
        </w:rPr>
        <w:t>мере,</w:t>
      </w:r>
      <w:r w:rsidRPr="00DA76A7">
        <w:rPr>
          <w:rFonts w:ascii="Arial" w:hAnsi="Arial" w:cs="Arial"/>
          <w:color w:val="000000" w:themeColor="text1"/>
          <w:spacing w:val="-8"/>
        </w:rPr>
        <w:t xml:space="preserve"> </w:t>
      </w:r>
      <w:r w:rsidRPr="00DA76A7">
        <w:rPr>
          <w:rFonts w:ascii="Arial" w:hAnsi="Arial" w:cs="Arial"/>
          <w:color w:val="000000" w:themeColor="text1"/>
        </w:rPr>
        <w:t>без</w:t>
      </w:r>
      <w:r w:rsidRPr="00DA76A7">
        <w:rPr>
          <w:rFonts w:ascii="Arial" w:hAnsi="Arial" w:cs="Arial"/>
          <w:color w:val="000000" w:themeColor="text1"/>
          <w:spacing w:val="-9"/>
        </w:rPr>
        <w:t xml:space="preserve"> </w:t>
      </w:r>
      <w:r w:rsidRPr="00DA76A7">
        <w:rPr>
          <w:rFonts w:ascii="Arial" w:hAnsi="Arial" w:cs="Arial"/>
          <w:color w:val="000000" w:themeColor="text1"/>
        </w:rPr>
        <w:t>согласия</w:t>
      </w:r>
      <w:r w:rsidRPr="00DA76A7">
        <w:rPr>
          <w:rFonts w:ascii="Arial" w:hAnsi="Arial" w:cs="Arial"/>
          <w:color w:val="000000" w:themeColor="text1"/>
          <w:spacing w:val="-8"/>
        </w:rPr>
        <w:t xml:space="preserve"> </w:t>
      </w:r>
      <w:r w:rsidRPr="00DA76A7">
        <w:rPr>
          <w:rFonts w:ascii="Arial" w:hAnsi="Arial" w:cs="Arial"/>
          <w:color w:val="000000" w:themeColor="text1"/>
        </w:rPr>
        <w:t>кредитора,</w:t>
      </w:r>
      <w:r w:rsidRPr="00DA76A7">
        <w:rPr>
          <w:rFonts w:ascii="Arial" w:hAnsi="Arial" w:cs="Arial"/>
          <w:color w:val="000000" w:themeColor="text1"/>
          <w:spacing w:val="-18"/>
        </w:rPr>
        <w:t xml:space="preserve"> </w:t>
      </w:r>
      <w:r w:rsidRPr="00DA76A7">
        <w:rPr>
          <w:rFonts w:ascii="Arial" w:hAnsi="Arial" w:cs="Arial"/>
          <w:color w:val="000000" w:themeColor="text1"/>
        </w:rPr>
        <w:t>на</w:t>
      </w:r>
      <w:r w:rsidRPr="00DA76A7">
        <w:rPr>
          <w:rFonts w:ascii="Arial" w:hAnsi="Arial" w:cs="Arial"/>
          <w:color w:val="000000" w:themeColor="text1"/>
          <w:spacing w:val="-18"/>
        </w:rPr>
        <w:t xml:space="preserve"> </w:t>
      </w:r>
      <w:r w:rsidRPr="00DA76A7">
        <w:rPr>
          <w:rFonts w:ascii="Arial" w:hAnsi="Arial" w:cs="Arial"/>
          <w:color w:val="000000" w:themeColor="text1"/>
        </w:rPr>
        <w:t>время</w:t>
      </w:r>
      <w:r w:rsidRPr="00DA76A7">
        <w:rPr>
          <w:rFonts w:ascii="Arial" w:hAnsi="Arial" w:cs="Arial"/>
          <w:color w:val="000000" w:themeColor="text1"/>
          <w:spacing w:val="-18"/>
        </w:rPr>
        <w:t xml:space="preserve"> </w:t>
      </w:r>
      <w:r w:rsidRPr="00DA76A7">
        <w:rPr>
          <w:rFonts w:ascii="Arial" w:hAnsi="Arial" w:cs="Arial"/>
          <w:color w:val="000000" w:themeColor="text1"/>
        </w:rPr>
        <w:t>залогового</w:t>
      </w:r>
      <w:r w:rsidRPr="00DA76A7">
        <w:rPr>
          <w:rFonts w:ascii="Arial" w:hAnsi="Arial" w:cs="Arial"/>
          <w:color w:val="000000" w:themeColor="text1"/>
          <w:spacing w:val="-18"/>
        </w:rPr>
        <w:t xml:space="preserve"> </w:t>
      </w:r>
      <w:r w:rsidRPr="00DA76A7">
        <w:rPr>
          <w:rFonts w:ascii="Arial" w:hAnsi="Arial" w:cs="Arial"/>
          <w:color w:val="000000" w:themeColor="text1"/>
        </w:rPr>
        <w:t>периода;</w:t>
      </w:r>
    </w:p>
    <w:p w:rsidR="00181BA7" w:rsidRPr="00DA76A7" w:rsidRDefault="00181BA7" w:rsidP="00D45D6B">
      <w:pPr>
        <w:pStyle w:val="a6"/>
        <w:widowControl w:val="0"/>
        <w:numPr>
          <w:ilvl w:val="0"/>
          <w:numId w:val="91"/>
        </w:numPr>
        <w:tabs>
          <w:tab w:val="left" w:pos="318"/>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5"/>
        </w:rPr>
        <w:t xml:space="preserve">договор ипотеки залогодателя </w:t>
      </w:r>
      <w:r w:rsidRPr="00DA76A7">
        <w:rPr>
          <w:rFonts w:ascii="Arial" w:hAnsi="Arial" w:cs="Arial"/>
          <w:color w:val="000000" w:themeColor="text1"/>
        </w:rPr>
        <w:t xml:space="preserve">и </w:t>
      </w:r>
      <w:r w:rsidRPr="00DA76A7">
        <w:rPr>
          <w:rFonts w:ascii="Arial" w:hAnsi="Arial" w:cs="Arial"/>
          <w:color w:val="000000" w:themeColor="text1"/>
          <w:spacing w:val="5"/>
        </w:rPr>
        <w:t xml:space="preserve">залогодержателя </w:t>
      </w:r>
      <w:r w:rsidRPr="00DA76A7">
        <w:rPr>
          <w:rFonts w:ascii="Arial" w:hAnsi="Arial" w:cs="Arial"/>
          <w:color w:val="000000" w:themeColor="text1"/>
          <w:spacing w:val="6"/>
        </w:rPr>
        <w:t xml:space="preserve">об </w:t>
      </w:r>
      <w:r w:rsidRPr="00DA76A7">
        <w:rPr>
          <w:rFonts w:ascii="Arial" w:hAnsi="Arial" w:cs="Arial"/>
          <w:color w:val="000000" w:themeColor="text1"/>
          <w:spacing w:val="5"/>
        </w:rPr>
        <w:t>установлении</w:t>
      </w:r>
      <w:r w:rsidRPr="00DA76A7">
        <w:rPr>
          <w:rFonts w:ascii="Arial" w:hAnsi="Arial" w:cs="Arial"/>
          <w:color w:val="000000" w:themeColor="text1"/>
          <w:spacing w:val="-18"/>
        </w:rPr>
        <w:t xml:space="preserve"> условии </w:t>
      </w:r>
      <w:r w:rsidRPr="00DA76A7">
        <w:rPr>
          <w:rFonts w:ascii="Arial" w:hAnsi="Arial" w:cs="Arial"/>
          <w:color w:val="000000" w:themeColor="text1"/>
          <w:spacing w:val="6"/>
        </w:rPr>
        <w:t>ипотеки,</w:t>
      </w:r>
      <w:r w:rsidRPr="00DA76A7">
        <w:rPr>
          <w:rFonts w:ascii="Arial" w:hAnsi="Arial" w:cs="Arial"/>
          <w:color w:val="000000" w:themeColor="text1"/>
          <w:spacing w:val="-17"/>
        </w:rPr>
        <w:t xml:space="preserve"> </w:t>
      </w:r>
      <w:r w:rsidRPr="00DA76A7">
        <w:rPr>
          <w:rFonts w:ascii="Arial" w:hAnsi="Arial" w:cs="Arial"/>
          <w:color w:val="000000" w:themeColor="text1"/>
          <w:spacing w:val="4"/>
        </w:rPr>
        <w:t>как</w:t>
      </w:r>
      <w:r w:rsidRPr="00DA76A7">
        <w:rPr>
          <w:rFonts w:ascii="Arial" w:hAnsi="Arial" w:cs="Arial"/>
          <w:color w:val="000000" w:themeColor="text1"/>
          <w:spacing w:val="-17"/>
        </w:rPr>
        <w:t xml:space="preserve"> </w:t>
      </w:r>
      <w:r w:rsidRPr="00DA76A7">
        <w:rPr>
          <w:rFonts w:ascii="Arial" w:hAnsi="Arial" w:cs="Arial"/>
          <w:color w:val="000000" w:themeColor="text1"/>
          <w:spacing w:val="7"/>
        </w:rPr>
        <w:t xml:space="preserve">правило, </w:t>
      </w:r>
      <w:r w:rsidRPr="00DA76A7">
        <w:rPr>
          <w:rFonts w:ascii="Arial" w:hAnsi="Arial" w:cs="Arial"/>
          <w:color w:val="000000" w:themeColor="text1"/>
          <w:spacing w:val="4"/>
        </w:rPr>
        <w:t xml:space="preserve">оформляется специальным юридическом </w:t>
      </w:r>
      <w:r w:rsidRPr="00DA76A7">
        <w:rPr>
          <w:rFonts w:ascii="Arial" w:hAnsi="Arial" w:cs="Arial"/>
          <w:color w:val="000000" w:themeColor="text1"/>
          <w:spacing w:val="-43"/>
        </w:rPr>
        <w:t xml:space="preserve"> </w:t>
      </w:r>
      <w:r w:rsidRPr="00DA76A7">
        <w:rPr>
          <w:rFonts w:ascii="Arial" w:hAnsi="Arial" w:cs="Arial"/>
          <w:color w:val="000000" w:themeColor="text1"/>
          <w:spacing w:val="5"/>
        </w:rPr>
        <w:t>докумен</w:t>
      </w:r>
      <w:r w:rsidRPr="00DA76A7">
        <w:rPr>
          <w:rFonts w:ascii="Arial" w:hAnsi="Arial" w:cs="Arial"/>
          <w:color w:val="000000" w:themeColor="text1"/>
        </w:rPr>
        <w:t>том –</w:t>
      </w:r>
      <w:r w:rsidRPr="00DA76A7">
        <w:rPr>
          <w:rFonts w:ascii="Arial" w:hAnsi="Arial" w:cs="Arial"/>
          <w:color w:val="000000" w:themeColor="text1"/>
          <w:spacing w:val="-35"/>
        </w:rPr>
        <w:t xml:space="preserve"> </w:t>
      </w:r>
      <w:r w:rsidRPr="00DA76A7">
        <w:rPr>
          <w:rFonts w:ascii="Arial" w:hAnsi="Arial" w:cs="Arial"/>
          <w:color w:val="000000" w:themeColor="text1"/>
        </w:rPr>
        <w:t>закладной;</w:t>
      </w:r>
    </w:p>
    <w:p w:rsidR="00181BA7" w:rsidRPr="00DA76A7" w:rsidRDefault="00181BA7" w:rsidP="00181BA7">
      <w:pPr>
        <w:pStyle w:val="a9"/>
        <w:tabs>
          <w:tab w:val="left" w:pos="851"/>
        </w:tabs>
        <w:ind w:firstLine="567"/>
        <w:rPr>
          <w:rFonts w:ascii="Arial" w:hAnsi="Arial" w:cs="Arial"/>
          <w:color w:val="000000" w:themeColor="text1"/>
          <w:lang w:val="ru-RU"/>
        </w:rPr>
      </w:pPr>
      <w:r w:rsidRPr="00DA76A7">
        <w:rPr>
          <w:rFonts w:ascii="Arial" w:hAnsi="Arial" w:cs="Arial"/>
          <w:color w:val="000000" w:themeColor="text1"/>
          <w:lang w:val="ru-RU"/>
        </w:rPr>
        <w:t>-при</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значительном</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превышении</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стои</w:t>
      </w:r>
      <w:r w:rsidRPr="00DA76A7">
        <w:rPr>
          <w:rFonts w:ascii="Arial" w:hAnsi="Arial" w:cs="Arial"/>
          <w:color w:val="000000" w:themeColor="text1"/>
          <w:spacing w:val="3"/>
          <w:lang w:val="ru-RU"/>
        </w:rPr>
        <w:t xml:space="preserve">мости предмета ипотеки </w:t>
      </w:r>
      <w:r w:rsidRPr="00DA76A7">
        <w:rPr>
          <w:rFonts w:ascii="Arial" w:hAnsi="Arial" w:cs="Arial"/>
          <w:color w:val="000000" w:themeColor="text1"/>
          <w:spacing w:val="2"/>
          <w:lang w:val="ru-RU"/>
        </w:rPr>
        <w:t xml:space="preserve">над </w:t>
      </w:r>
      <w:r w:rsidRPr="00DA76A7">
        <w:rPr>
          <w:rFonts w:ascii="Arial" w:hAnsi="Arial" w:cs="Arial"/>
          <w:color w:val="000000" w:themeColor="text1"/>
          <w:spacing w:val="4"/>
          <w:lang w:val="ru-RU"/>
        </w:rPr>
        <w:t xml:space="preserve">суммой обязательства ипотека </w:t>
      </w:r>
      <w:r w:rsidRPr="00DA76A7">
        <w:rPr>
          <w:rFonts w:ascii="Arial" w:hAnsi="Arial" w:cs="Arial"/>
          <w:color w:val="000000" w:themeColor="text1"/>
          <w:spacing w:val="3"/>
          <w:lang w:val="ru-RU"/>
        </w:rPr>
        <w:t>дает</w:t>
      </w:r>
      <w:r w:rsidRPr="00DA76A7">
        <w:rPr>
          <w:rFonts w:ascii="Arial" w:hAnsi="Arial" w:cs="Arial"/>
          <w:color w:val="000000" w:themeColor="text1"/>
          <w:spacing w:val="-33"/>
          <w:lang w:val="ru-RU"/>
        </w:rPr>
        <w:t xml:space="preserve"> </w:t>
      </w:r>
      <w:r w:rsidRPr="00DA76A7">
        <w:rPr>
          <w:rFonts w:ascii="Arial" w:hAnsi="Arial" w:cs="Arial"/>
          <w:color w:val="000000" w:themeColor="text1"/>
          <w:spacing w:val="5"/>
          <w:lang w:val="ru-RU"/>
        </w:rPr>
        <w:t>возмож</w:t>
      </w:r>
      <w:r w:rsidRPr="00DA76A7">
        <w:rPr>
          <w:rFonts w:ascii="Arial" w:hAnsi="Arial" w:cs="Arial"/>
          <w:color w:val="000000" w:themeColor="text1"/>
          <w:spacing w:val="2"/>
          <w:lang w:val="ru-RU"/>
        </w:rPr>
        <w:t>ность</w:t>
      </w:r>
      <w:r w:rsidRPr="00DA76A7">
        <w:rPr>
          <w:rFonts w:ascii="Arial" w:hAnsi="Arial" w:cs="Arial"/>
          <w:color w:val="000000" w:themeColor="text1"/>
          <w:spacing w:val="-33"/>
          <w:lang w:val="ru-RU"/>
        </w:rPr>
        <w:t xml:space="preserve"> </w:t>
      </w:r>
      <w:r w:rsidRPr="00DA76A7">
        <w:rPr>
          <w:rFonts w:ascii="Arial" w:hAnsi="Arial" w:cs="Arial"/>
          <w:color w:val="000000" w:themeColor="text1"/>
          <w:spacing w:val="2"/>
          <w:lang w:val="ru-RU"/>
        </w:rPr>
        <w:t>получить</w:t>
      </w:r>
      <w:r w:rsidRPr="00DA76A7">
        <w:rPr>
          <w:rFonts w:ascii="Arial" w:hAnsi="Arial" w:cs="Arial"/>
          <w:color w:val="000000" w:themeColor="text1"/>
          <w:spacing w:val="-33"/>
          <w:lang w:val="ru-RU"/>
        </w:rPr>
        <w:t xml:space="preserve"> </w:t>
      </w:r>
      <w:r w:rsidRPr="00DA76A7">
        <w:rPr>
          <w:rFonts w:ascii="Arial" w:hAnsi="Arial" w:cs="Arial"/>
          <w:color w:val="000000" w:themeColor="text1"/>
          <w:spacing w:val="2"/>
          <w:lang w:val="ru-RU"/>
        </w:rPr>
        <w:t xml:space="preserve">дополнительные заемные средства </w:t>
      </w:r>
      <w:r w:rsidRPr="00DA76A7">
        <w:rPr>
          <w:rFonts w:ascii="Arial" w:hAnsi="Arial" w:cs="Arial"/>
          <w:color w:val="000000" w:themeColor="text1"/>
          <w:lang w:val="ru-RU"/>
        </w:rPr>
        <w:t>под последующую ипотеку того же имущества;</w:t>
      </w:r>
    </w:p>
    <w:p w:rsidR="00181BA7" w:rsidRPr="00DA76A7" w:rsidRDefault="00181BA7" w:rsidP="00D45D6B">
      <w:pPr>
        <w:pStyle w:val="a6"/>
        <w:widowControl w:val="0"/>
        <w:numPr>
          <w:ilvl w:val="1"/>
          <w:numId w:val="91"/>
        </w:numPr>
        <w:tabs>
          <w:tab w:val="left" w:pos="701"/>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в </w:t>
      </w:r>
      <w:r w:rsidRPr="00DA76A7">
        <w:rPr>
          <w:rFonts w:ascii="Arial" w:hAnsi="Arial" w:cs="Arial"/>
          <w:color w:val="000000" w:themeColor="text1"/>
          <w:spacing w:val="3"/>
        </w:rPr>
        <w:t>случае неисполнения</w:t>
      </w:r>
      <w:r w:rsidRPr="00DA76A7">
        <w:rPr>
          <w:rFonts w:ascii="Arial" w:hAnsi="Arial" w:cs="Arial"/>
          <w:color w:val="000000" w:themeColor="text1"/>
          <w:spacing w:val="-29"/>
        </w:rPr>
        <w:t xml:space="preserve"> </w:t>
      </w:r>
      <w:r w:rsidRPr="00DA76A7">
        <w:rPr>
          <w:rFonts w:ascii="Arial" w:hAnsi="Arial" w:cs="Arial"/>
          <w:color w:val="000000" w:themeColor="text1"/>
          <w:spacing w:val="4"/>
        </w:rPr>
        <w:t>обязательс</w:t>
      </w:r>
      <w:r w:rsidRPr="00DA76A7">
        <w:rPr>
          <w:rFonts w:ascii="Arial" w:hAnsi="Arial" w:cs="Arial"/>
          <w:color w:val="000000" w:themeColor="text1"/>
          <w:w w:val="95"/>
        </w:rPr>
        <w:t xml:space="preserve">тва в указанный срок договора ипотека, обеспеченного ипотекой, кредитор </w:t>
      </w:r>
      <w:r w:rsidRPr="00DA76A7">
        <w:rPr>
          <w:rFonts w:ascii="Arial" w:hAnsi="Arial" w:cs="Arial"/>
          <w:color w:val="000000" w:themeColor="text1"/>
        </w:rPr>
        <w:t>вправе</w:t>
      </w:r>
      <w:r w:rsidRPr="00DA76A7">
        <w:rPr>
          <w:rFonts w:ascii="Arial" w:hAnsi="Arial" w:cs="Arial"/>
          <w:color w:val="000000" w:themeColor="text1"/>
          <w:spacing w:val="-25"/>
        </w:rPr>
        <w:t xml:space="preserve"> </w:t>
      </w:r>
      <w:r w:rsidRPr="00DA76A7">
        <w:rPr>
          <w:rFonts w:ascii="Arial" w:hAnsi="Arial" w:cs="Arial"/>
          <w:color w:val="000000" w:themeColor="text1"/>
        </w:rPr>
        <w:t>требовать свои права по</w:t>
      </w:r>
      <w:r w:rsidRPr="00DA76A7">
        <w:rPr>
          <w:rFonts w:ascii="Arial" w:hAnsi="Arial" w:cs="Arial"/>
          <w:color w:val="000000" w:themeColor="text1"/>
          <w:spacing w:val="-25"/>
        </w:rPr>
        <w:t xml:space="preserve"> </w:t>
      </w:r>
      <w:r w:rsidRPr="00DA76A7">
        <w:rPr>
          <w:rFonts w:ascii="Arial" w:hAnsi="Arial" w:cs="Arial"/>
          <w:color w:val="000000" w:themeColor="text1"/>
        </w:rPr>
        <w:t>продажи</w:t>
      </w:r>
      <w:r w:rsidRPr="00DA76A7">
        <w:rPr>
          <w:rFonts w:ascii="Arial" w:hAnsi="Arial" w:cs="Arial"/>
          <w:color w:val="000000" w:themeColor="text1"/>
          <w:spacing w:val="-25"/>
        </w:rPr>
        <w:t xml:space="preserve"> </w:t>
      </w:r>
      <w:r w:rsidRPr="00DA76A7">
        <w:rPr>
          <w:rFonts w:ascii="Arial" w:hAnsi="Arial" w:cs="Arial"/>
          <w:color w:val="000000" w:themeColor="text1"/>
        </w:rPr>
        <w:t>заложенного</w:t>
      </w:r>
      <w:r w:rsidRPr="00DA76A7">
        <w:rPr>
          <w:rFonts w:ascii="Arial" w:hAnsi="Arial" w:cs="Arial"/>
          <w:color w:val="000000" w:themeColor="text1"/>
          <w:spacing w:val="-30"/>
        </w:rPr>
        <w:t xml:space="preserve"> </w:t>
      </w:r>
      <w:r w:rsidRPr="00DA76A7">
        <w:rPr>
          <w:rFonts w:ascii="Arial" w:hAnsi="Arial" w:cs="Arial"/>
          <w:color w:val="000000" w:themeColor="text1"/>
        </w:rPr>
        <w:t>имущества</w:t>
      </w:r>
      <w:r w:rsidRPr="00DA76A7">
        <w:rPr>
          <w:rFonts w:ascii="Arial" w:hAnsi="Arial" w:cs="Arial"/>
          <w:color w:val="000000" w:themeColor="text1"/>
          <w:spacing w:val="-29"/>
        </w:rPr>
        <w:t xml:space="preserve"> </w:t>
      </w:r>
      <w:r w:rsidRPr="00DA76A7">
        <w:rPr>
          <w:rFonts w:ascii="Arial" w:hAnsi="Arial" w:cs="Arial"/>
          <w:color w:val="000000" w:themeColor="text1"/>
        </w:rPr>
        <w:t>на</w:t>
      </w:r>
      <w:r w:rsidRPr="00DA76A7">
        <w:rPr>
          <w:rFonts w:ascii="Arial" w:hAnsi="Arial" w:cs="Arial"/>
          <w:color w:val="000000" w:themeColor="text1"/>
          <w:spacing w:val="-29"/>
        </w:rPr>
        <w:t xml:space="preserve"> </w:t>
      </w:r>
      <w:r w:rsidRPr="00DA76A7">
        <w:rPr>
          <w:rFonts w:ascii="Arial" w:hAnsi="Arial" w:cs="Arial"/>
          <w:color w:val="000000" w:themeColor="text1"/>
        </w:rPr>
        <w:t>публичных</w:t>
      </w:r>
      <w:r w:rsidRPr="00DA76A7">
        <w:rPr>
          <w:rFonts w:ascii="Arial" w:hAnsi="Arial" w:cs="Arial"/>
          <w:color w:val="000000" w:themeColor="text1"/>
          <w:spacing w:val="-29"/>
        </w:rPr>
        <w:t xml:space="preserve"> </w:t>
      </w:r>
      <w:r w:rsidRPr="00DA76A7">
        <w:rPr>
          <w:rFonts w:ascii="Arial" w:hAnsi="Arial" w:cs="Arial"/>
          <w:color w:val="000000" w:themeColor="text1"/>
        </w:rPr>
        <w:t>торгах.</w:t>
      </w:r>
    </w:p>
    <w:p w:rsidR="00181BA7" w:rsidRPr="00DA76A7" w:rsidRDefault="00181BA7" w:rsidP="00181BA7">
      <w:pPr>
        <w:pStyle w:val="a9"/>
        <w:tabs>
          <w:tab w:val="left" w:pos="851"/>
        </w:tabs>
        <w:ind w:firstLine="567"/>
        <w:rPr>
          <w:rFonts w:ascii="Arial" w:hAnsi="Arial" w:cs="Arial"/>
          <w:color w:val="000000" w:themeColor="text1"/>
          <w:lang w:val="ru-RU"/>
        </w:rPr>
      </w:pPr>
      <w:r w:rsidRPr="00DA76A7">
        <w:rPr>
          <w:rFonts w:ascii="Arial" w:hAnsi="Arial" w:cs="Arial"/>
          <w:color w:val="000000" w:themeColor="text1"/>
          <w:lang w:val="ru-RU"/>
        </w:rPr>
        <w:t>В</w:t>
      </w:r>
      <w:r w:rsidRPr="00DA76A7">
        <w:rPr>
          <w:rFonts w:ascii="Arial" w:hAnsi="Arial" w:cs="Arial"/>
          <w:color w:val="000000" w:themeColor="text1"/>
          <w:spacing w:val="-37"/>
          <w:lang w:val="ru-RU"/>
        </w:rPr>
        <w:t xml:space="preserve"> </w:t>
      </w:r>
      <w:r w:rsidRPr="00DA76A7">
        <w:rPr>
          <w:rFonts w:ascii="Arial" w:hAnsi="Arial" w:cs="Arial"/>
          <w:color w:val="000000" w:themeColor="text1"/>
          <w:lang w:val="ru-RU"/>
        </w:rPr>
        <w:t>процессе</w:t>
      </w:r>
      <w:r w:rsidRPr="00DA76A7">
        <w:rPr>
          <w:rFonts w:ascii="Arial" w:hAnsi="Arial" w:cs="Arial"/>
          <w:color w:val="000000" w:themeColor="text1"/>
          <w:spacing w:val="-36"/>
          <w:lang w:val="ru-RU"/>
        </w:rPr>
        <w:t xml:space="preserve"> </w:t>
      </w:r>
      <w:r w:rsidRPr="00DA76A7">
        <w:rPr>
          <w:rFonts w:ascii="Arial" w:hAnsi="Arial" w:cs="Arial"/>
          <w:color w:val="000000" w:themeColor="text1"/>
          <w:lang w:val="ru-RU"/>
        </w:rPr>
        <w:t>изучения</w:t>
      </w:r>
      <w:r w:rsidRPr="00DA76A7">
        <w:rPr>
          <w:rFonts w:ascii="Arial" w:hAnsi="Arial" w:cs="Arial"/>
          <w:color w:val="000000" w:themeColor="text1"/>
          <w:spacing w:val="-36"/>
          <w:lang w:val="ru-RU"/>
        </w:rPr>
        <w:t xml:space="preserve"> </w:t>
      </w:r>
      <w:r w:rsidRPr="00DA76A7">
        <w:rPr>
          <w:rFonts w:ascii="Arial" w:hAnsi="Arial" w:cs="Arial"/>
          <w:color w:val="000000" w:themeColor="text1"/>
          <w:lang w:val="ru-RU"/>
        </w:rPr>
        <w:t>и</w:t>
      </w:r>
      <w:r w:rsidRPr="00DA76A7">
        <w:rPr>
          <w:rFonts w:ascii="Arial" w:hAnsi="Arial" w:cs="Arial"/>
          <w:color w:val="000000" w:themeColor="text1"/>
          <w:spacing w:val="-36"/>
          <w:lang w:val="ru-RU"/>
        </w:rPr>
        <w:t xml:space="preserve"> </w:t>
      </w:r>
      <w:r w:rsidRPr="00DA76A7">
        <w:rPr>
          <w:rFonts w:ascii="Arial" w:hAnsi="Arial" w:cs="Arial"/>
          <w:color w:val="000000" w:themeColor="text1"/>
          <w:lang w:val="ru-RU"/>
        </w:rPr>
        <w:t>обобщения</w:t>
      </w:r>
      <w:r w:rsidRPr="00DA76A7">
        <w:rPr>
          <w:rFonts w:ascii="Arial" w:hAnsi="Arial" w:cs="Arial"/>
          <w:color w:val="000000" w:themeColor="text1"/>
          <w:spacing w:val="-36"/>
          <w:lang w:val="ru-RU"/>
        </w:rPr>
        <w:t xml:space="preserve"> </w:t>
      </w:r>
      <w:r w:rsidRPr="00DA76A7">
        <w:rPr>
          <w:rFonts w:ascii="Arial" w:hAnsi="Arial" w:cs="Arial"/>
          <w:color w:val="000000" w:themeColor="text1"/>
          <w:lang w:val="ru-RU"/>
        </w:rPr>
        <w:t>исто</w:t>
      </w:r>
      <w:r w:rsidRPr="00DA76A7">
        <w:rPr>
          <w:rFonts w:ascii="Arial" w:hAnsi="Arial" w:cs="Arial"/>
          <w:color w:val="000000" w:themeColor="text1"/>
          <w:w w:val="95"/>
          <w:lang w:val="ru-RU"/>
        </w:rPr>
        <w:t>рически</w:t>
      </w:r>
      <w:r w:rsidRPr="00DA76A7">
        <w:rPr>
          <w:rFonts w:ascii="Arial" w:hAnsi="Arial" w:cs="Arial"/>
          <w:color w:val="000000" w:themeColor="text1"/>
          <w:spacing w:val="-17"/>
          <w:w w:val="95"/>
          <w:lang w:val="ru-RU"/>
        </w:rPr>
        <w:t xml:space="preserve"> </w:t>
      </w:r>
      <w:r w:rsidRPr="00DA76A7">
        <w:rPr>
          <w:rFonts w:ascii="Arial" w:hAnsi="Arial" w:cs="Arial"/>
          <w:color w:val="000000" w:themeColor="text1"/>
          <w:w w:val="95"/>
          <w:lang w:val="ru-RU"/>
        </w:rPr>
        <w:t>сложившихся</w:t>
      </w:r>
      <w:r w:rsidRPr="00DA76A7">
        <w:rPr>
          <w:rFonts w:ascii="Arial" w:hAnsi="Arial" w:cs="Arial"/>
          <w:color w:val="000000" w:themeColor="text1"/>
          <w:spacing w:val="-16"/>
          <w:w w:val="95"/>
          <w:lang w:val="ru-RU"/>
        </w:rPr>
        <w:t xml:space="preserve"> </w:t>
      </w:r>
      <w:r w:rsidRPr="00DA76A7">
        <w:rPr>
          <w:rFonts w:ascii="Arial" w:hAnsi="Arial" w:cs="Arial"/>
          <w:color w:val="000000" w:themeColor="text1"/>
          <w:w w:val="95"/>
          <w:lang w:val="ru-RU"/>
        </w:rPr>
        <w:t>принципов</w:t>
      </w:r>
      <w:r w:rsidRPr="00DA76A7">
        <w:rPr>
          <w:rFonts w:ascii="Arial" w:hAnsi="Arial" w:cs="Arial"/>
          <w:color w:val="000000" w:themeColor="text1"/>
          <w:spacing w:val="-17"/>
          <w:w w:val="95"/>
          <w:lang w:val="ru-RU"/>
        </w:rPr>
        <w:t xml:space="preserve"> </w:t>
      </w:r>
      <w:r w:rsidRPr="00DA76A7">
        <w:rPr>
          <w:rFonts w:ascii="Arial" w:hAnsi="Arial" w:cs="Arial"/>
          <w:color w:val="000000" w:themeColor="text1"/>
          <w:spacing w:val="-2"/>
          <w:w w:val="95"/>
          <w:lang w:val="ru-RU"/>
        </w:rPr>
        <w:t>ипоте</w:t>
      </w:r>
      <w:r w:rsidRPr="00DA76A7">
        <w:rPr>
          <w:rFonts w:ascii="Arial" w:hAnsi="Arial" w:cs="Arial"/>
          <w:color w:val="000000" w:themeColor="text1"/>
          <w:w w:val="95"/>
          <w:lang w:val="ru-RU"/>
        </w:rPr>
        <w:t>ки</w:t>
      </w:r>
      <w:r w:rsidRPr="00DA76A7">
        <w:rPr>
          <w:rFonts w:ascii="Arial" w:hAnsi="Arial" w:cs="Arial"/>
          <w:color w:val="000000" w:themeColor="text1"/>
          <w:spacing w:val="-28"/>
          <w:w w:val="95"/>
          <w:lang w:val="ru-RU"/>
        </w:rPr>
        <w:t xml:space="preserve"> </w:t>
      </w:r>
      <w:r w:rsidRPr="00DA76A7">
        <w:rPr>
          <w:rFonts w:ascii="Arial" w:hAnsi="Arial" w:cs="Arial"/>
          <w:color w:val="000000" w:themeColor="text1"/>
          <w:w w:val="95"/>
          <w:lang w:val="ru-RU"/>
        </w:rPr>
        <w:t>нами</w:t>
      </w:r>
      <w:r w:rsidRPr="00DA76A7">
        <w:rPr>
          <w:rFonts w:ascii="Arial" w:hAnsi="Arial" w:cs="Arial"/>
          <w:color w:val="000000" w:themeColor="text1"/>
          <w:spacing w:val="-27"/>
          <w:w w:val="95"/>
          <w:lang w:val="ru-RU"/>
        </w:rPr>
        <w:t xml:space="preserve"> </w:t>
      </w:r>
      <w:r w:rsidRPr="00DA76A7">
        <w:rPr>
          <w:rFonts w:ascii="Arial" w:hAnsi="Arial" w:cs="Arial"/>
          <w:color w:val="000000" w:themeColor="text1"/>
          <w:w w:val="95"/>
          <w:lang w:val="ru-RU"/>
        </w:rPr>
        <w:t>были</w:t>
      </w:r>
      <w:r w:rsidRPr="00DA76A7">
        <w:rPr>
          <w:rFonts w:ascii="Arial" w:hAnsi="Arial" w:cs="Arial"/>
          <w:color w:val="000000" w:themeColor="text1"/>
          <w:spacing w:val="-27"/>
          <w:w w:val="95"/>
          <w:lang w:val="ru-RU"/>
        </w:rPr>
        <w:t xml:space="preserve"> </w:t>
      </w:r>
      <w:r w:rsidRPr="00DA76A7">
        <w:rPr>
          <w:rFonts w:ascii="Arial" w:hAnsi="Arial" w:cs="Arial"/>
          <w:color w:val="000000" w:themeColor="text1"/>
          <w:w w:val="95"/>
          <w:lang w:val="ru-RU"/>
        </w:rPr>
        <w:t>отмечены</w:t>
      </w:r>
      <w:r w:rsidRPr="00DA76A7">
        <w:rPr>
          <w:rFonts w:ascii="Arial" w:hAnsi="Arial" w:cs="Arial"/>
          <w:color w:val="000000" w:themeColor="text1"/>
          <w:spacing w:val="-28"/>
          <w:w w:val="95"/>
          <w:lang w:val="ru-RU"/>
        </w:rPr>
        <w:t xml:space="preserve"> </w:t>
      </w:r>
      <w:r w:rsidRPr="00DA76A7">
        <w:rPr>
          <w:rFonts w:ascii="Arial" w:hAnsi="Arial" w:cs="Arial"/>
          <w:color w:val="000000" w:themeColor="text1"/>
          <w:w w:val="95"/>
          <w:lang w:val="ru-RU"/>
        </w:rPr>
        <w:t>основные</w:t>
      </w:r>
      <w:r w:rsidRPr="00DA76A7">
        <w:rPr>
          <w:rFonts w:ascii="Arial" w:hAnsi="Arial" w:cs="Arial"/>
          <w:color w:val="000000" w:themeColor="text1"/>
          <w:spacing w:val="-27"/>
          <w:w w:val="95"/>
          <w:lang w:val="ru-RU"/>
        </w:rPr>
        <w:t xml:space="preserve"> </w:t>
      </w:r>
      <w:r w:rsidRPr="00DA76A7">
        <w:rPr>
          <w:rFonts w:ascii="Arial" w:hAnsi="Arial" w:cs="Arial"/>
          <w:color w:val="000000" w:themeColor="text1"/>
          <w:w w:val="95"/>
          <w:lang w:val="ru-RU"/>
        </w:rPr>
        <w:t>из</w:t>
      </w:r>
      <w:r w:rsidRPr="00DA76A7">
        <w:rPr>
          <w:rFonts w:ascii="Arial" w:hAnsi="Arial" w:cs="Arial"/>
          <w:color w:val="000000" w:themeColor="text1"/>
          <w:spacing w:val="-27"/>
          <w:w w:val="95"/>
          <w:lang w:val="ru-RU"/>
        </w:rPr>
        <w:t xml:space="preserve"> </w:t>
      </w:r>
      <w:r w:rsidRPr="00DA76A7">
        <w:rPr>
          <w:rFonts w:ascii="Arial" w:hAnsi="Arial" w:cs="Arial"/>
          <w:color w:val="000000" w:themeColor="text1"/>
          <w:w w:val="95"/>
          <w:lang w:val="ru-RU"/>
        </w:rPr>
        <w:t>них:</w:t>
      </w:r>
    </w:p>
    <w:p w:rsidR="00181BA7" w:rsidRPr="00DA76A7" w:rsidRDefault="00181BA7" w:rsidP="00D45D6B">
      <w:pPr>
        <w:pStyle w:val="a6"/>
        <w:widowControl w:val="0"/>
        <w:numPr>
          <w:ilvl w:val="1"/>
          <w:numId w:val="91"/>
        </w:numPr>
        <w:tabs>
          <w:tab w:val="left" w:pos="692"/>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гласность,</w:t>
      </w:r>
      <w:r w:rsidRPr="00DA76A7">
        <w:rPr>
          <w:rFonts w:ascii="Arial" w:hAnsi="Arial" w:cs="Arial"/>
          <w:color w:val="000000" w:themeColor="text1"/>
          <w:spacing w:val="-22"/>
        </w:rPr>
        <w:t xml:space="preserve"> </w:t>
      </w:r>
      <w:r w:rsidRPr="00DA76A7">
        <w:rPr>
          <w:rFonts w:ascii="Arial" w:hAnsi="Arial" w:cs="Arial"/>
          <w:color w:val="000000" w:themeColor="text1"/>
        </w:rPr>
        <w:t>или</w:t>
      </w:r>
      <w:r w:rsidRPr="00DA76A7">
        <w:rPr>
          <w:rFonts w:ascii="Arial" w:hAnsi="Arial" w:cs="Arial"/>
          <w:color w:val="000000" w:themeColor="text1"/>
          <w:spacing w:val="-22"/>
        </w:rPr>
        <w:t xml:space="preserve"> </w:t>
      </w:r>
      <w:r w:rsidRPr="00DA76A7">
        <w:rPr>
          <w:rFonts w:ascii="Arial" w:hAnsi="Arial" w:cs="Arial"/>
          <w:color w:val="000000" w:themeColor="text1"/>
        </w:rPr>
        <w:t>публичность</w:t>
      </w:r>
      <w:r w:rsidRPr="00DA76A7">
        <w:rPr>
          <w:rFonts w:ascii="Arial" w:hAnsi="Arial" w:cs="Arial"/>
          <w:color w:val="000000" w:themeColor="text1"/>
          <w:spacing w:val="-21"/>
        </w:rPr>
        <w:t xml:space="preserve"> </w:t>
      </w:r>
      <w:r w:rsidRPr="00DA76A7">
        <w:rPr>
          <w:rFonts w:ascii="Arial" w:hAnsi="Arial" w:cs="Arial"/>
          <w:color w:val="000000" w:themeColor="text1"/>
        </w:rPr>
        <w:t>–</w:t>
      </w:r>
      <w:r w:rsidRPr="00DA76A7">
        <w:rPr>
          <w:rFonts w:ascii="Arial" w:hAnsi="Arial" w:cs="Arial"/>
          <w:color w:val="000000" w:themeColor="text1"/>
          <w:spacing w:val="-22"/>
        </w:rPr>
        <w:t xml:space="preserve"> </w:t>
      </w:r>
      <w:r w:rsidRPr="00DA76A7">
        <w:rPr>
          <w:rFonts w:ascii="Arial" w:hAnsi="Arial" w:cs="Arial"/>
          <w:color w:val="000000" w:themeColor="text1"/>
        </w:rPr>
        <w:t>возможность</w:t>
      </w:r>
      <w:r w:rsidRPr="00DA76A7">
        <w:rPr>
          <w:rFonts w:ascii="Arial" w:hAnsi="Arial" w:cs="Arial"/>
          <w:color w:val="000000" w:themeColor="text1"/>
          <w:spacing w:val="-17"/>
        </w:rPr>
        <w:t xml:space="preserve"> </w:t>
      </w:r>
      <w:r w:rsidRPr="00DA76A7">
        <w:rPr>
          <w:rFonts w:ascii="Arial" w:hAnsi="Arial" w:cs="Arial"/>
          <w:color w:val="000000" w:themeColor="text1"/>
        </w:rPr>
        <w:t>доступа</w:t>
      </w:r>
      <w:r w:rsidRPr="00DA76A7">
        <w:rPr>
          <w:rFonts w:ascii="Arial" w:hAnsi="Arial" w:cs="Arial"/>
          <w:color w:val="000000" w:themeColor="text1"/>
          <w:spacing w:val="-17"/>
        </w:rPr>
        <w:t xml:space="preserve"> </w:t>
      </w:r>
      <w:r w:rsidRPr="00DA76A7">
        <w:rPr>
          <w:rFonts w:ascii="Arial" w:hAnsi="Arial" w:cs="Arial"/>
          <w:color w:val="000000" w:themeColor="text1"/>
        </w:rPr>
        <w:t>каждого</w:t>
      </w:r>
      <w:r w:rsidRPr="00DA76A7">
        <w:rPr>
          <w:rFonts w:ascii="Arial" w:hAnsi="Arial" w:cs="Arial"/>
          <w:color w:val="000000" w:themeColor="text1"/>
          <w:spacing w:val="-17"/>
        </w:rPr>
        <w:t xml:space="preserve"> </w:t>
      </w:r>
      <w:r w:rsidRPr="00DA76A7">
        <w:rPr>
          <w:rFonts w:ascii="Arial" w:hAnsi="Arial" w:cs="Arial"/>
          <w:color w:val="000000" w:themeColor="text1"/>
        </w:rPr>
        <w:t>заин</w:t>
      </w:r>
      <w:r w:rsidRPr="00DA76A7">
        <w:rPr>
          <w:rFonts w:ascii="Arial" w:hAnsi="Arial" w:cs="Arial"/>
          <w:color w:val="000000" w:themeColor="text1"/>
          <w:spacing w:val="4"/>
        </w:rPr>
        <w:t xml:space="preserve">тересованного субъекта (физические и юридические лица) </w:t>
      </w:r>
      <w:r w:rsidRPr="00DA76A7">
        <w:rPr>
          <w:rFonts w:ascii="Arial" w:hAnsi="Arial" w:cs="Arial"/>
          <w:color w:val="000000" w:themeColor="text1"/>
        </w:rPr>
        <w:t xml:space="preserve">к </w:t>
      </w:r>
      <w:r w:rsidRPr="00DA76A7">
        <w:rPr>
          <w:rFonts w:ascii="Arial" w:hAnsi="Arial" w:cs="Arial"/>
          <w:color w:val="000000" w:themeColor="text1"/>
          <w:spacing w:val="5"/>
        </w:rPr>
        <w:t>информа</w:t>
      </w:r>
      <w:r w:rsidRPr="00DA76A7">
        <w:rPr>
          <w:rFonts w:ascii="Arial" w:hAnsi="Arial" w:cs="Arial"/>
          <w:color w:val="000000" w:themeColor="text1"/>
        </w:rPr>
        <w:t>ции,</w:t>
      </w:r>
      <w:r w:rsidRPr="00DA76A7">
        <w:rPr>
          <w:rFonts w:ascii="Arial" w:hAnsi="Arial" w:cs="Arial"/>
          <w:color w:val="000000" w:themeColor="text1"/>
          <w:spacing w:val="-34"/>
        </w:rPr>
        <w:t xml:space="preserve"> </w:t>
      </w:r>
      <w:r w:rsidRPr="00DA76A7">
        <w:rPr>
          <w:rFonts w:ascii="Arial" w:hAnsi="Arial" w:cs="Arial"/>
          <w:color w:val="000000" w:themeColor="text1"/>
        </w:rPr>
        <w:t>содержащейся</w:t>
      </w:r>
      <w:r w:rsidRPr="00DA76A7">
        <w:rPr>
          <w:rFonts w:ascii="Arial" w:hAnsi="Arial" w:cs="Arial"/>
          <w:color w:val="000000" w:themeColor="text1"/>
          <w:spacing w:val="-33"/>
        </w:rPr>
        <w:t xml:space="preserve"> </w:t>
      </w:r>
      <w:r w:rsidRPr="00DA76A7">
        <w:rPr>
          <w:rFonts w:ascii="Arial" w:hAnsi="Arial" w:cs="Arial"/>
          <w:color w:val="000000" w:themeColor="text1"/>
        </w:rPr>
        <w:t>в</w:t>
      </w:r>
      <w:r w:rsidRPr="00DA76A7">
        <w:rPr>
          <w:rFonts w:ascii="Arial" w:hAnsi="Arial" w:cs="Arial"/>
          <w:color w:val="000000" w:themeColor="text1"/>
          <w:spacing w:val="-33"/>
        </w:rPr>
        <w:t xml:space="preserve"> </w:t>
      </w:r>
      <w:r w:rsidRPr="00DA76A7">
        <w:rPr>
          <w:rFonts w:ascii="Arial" w:hAnsi="Arial" w:cs="Arial"/>
          <w:color w:val="000000" w:themeColor="text1"/>
        </w:rPr>
        <w:t>ипотечной</w:t>
      </w:r>
      <w:r w:rsidRPr="00DA76A7">
        <w:rPr>
          <w:rFonts w:ascii="Arial" w:hAnsi="Arial" w:cs="Arial"/>
          <w:color w:val="000000" w:themeColor="text1"/>
          <w:spacing w:val="-33"/>
        </w:rPr>
        <w:t xml:space="preserve"> </w:t>
      </w:r>
      <w:r w:rsidRPr="00DA76A7">
        <w:rPr>
          <w:rFonts w:ascii="Arial" w:hAnsi="Arial" w:cs="Arial"/>
          <w:color w:val="000000" w:themeColor="text1"/>
        </w:rPr>
        <w:t>книге;</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определенность объекта – означает возможность применения механизма ипотеки только в отношении определенных объектов недвижимости;</w:t>
      </w:r>
    </w:p>
    <w:p w:rsidR="00181BA7" w:rsidRPr="00DA76A7" w:rsidRDefault="00181BA7" w:rsidP="00D45D6B">
      <w:pPr>
        <w:pStyle w:val="a6"/>
        <w:widowControl w:val="0"/>
        <w:numPr>
          <w:ilvl w:val="1"/>
          <w:numId w:val="91"/>
        </w:numPr>
        <w:tabs>
          <w:tab w:val="left" w:pos="696"/>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2"/>
        </w:rPr>
        <w:t>достоверность информации</w:t>
      </w:r>
      <w:r w:rsidRPr="00DA76A7">
        <w:rPr>
          <w:rFonts w:ascii="Arial" w:hAnsi="Arial" w:cs="Arial"/>
          <w:color w:val="000000" w:themeColor="text1"/>
          <w:spacing w:val="-15"/>
        </w:rPr>
        <w:t xml:space="preserve"> </w:t>
      </w:r>
      <w:r w:rsidRPr="00DA76A7">
        <w:rPr>
          <w:rFonts w:ascii="Arial" w:hAnsi="Arial" w:cs="Arial"/>
          <w:color w:val="000000" w:themeColor="text1"/>
        </w:rPr>
        <w:t>–</w:t>
      </w:r>
      <w:r w:rsidRPr="00DA76A7">
        <w:rPr>
          <w:rFonts w:ascii="Arial" w:hAnsi="Arial" w:cs="Arial"/>
          <w:color w:val="000000" w:themeColor="text1"/>
          <w:spacing w:val="-15"/>
        </w:rPr>
        <w:t xml:space="preserve"> </w:t>
      </w:r>
      <w:r w:rsidRPr="00DA76A7">
        <w:rPr>
          <w:rFonts w:ascii="Arial" w:hAnsi="Arial" w:cs="Arial"/>
          <w:color w:val="000000" w:themeColor="text1"/>
          <w:spacing w:val="2"/>
        </w:rPr>
        <w:t>записи</w:t>
      </w:r>
      <w:r w:rsidRPr="00DA76A7">
        <w:rPr>
          <w:rFonts w:ascii="Arial" w:hAnsi="Arial" w:cs="Arial"/>
          <w:color w:val="000000" w:themeColor="text1"/>
          <w:spacing w:val="-15"/>
        </w:rPr>
        <w:t xml:space="preserve"> </w:t>
      </w:r>
      <w:r w:rsidRPr="00DA76A7">
        <w:rPr>
          <w:rFonts w:ascii="Arial" w:hAnsi="Arial" w:cs="Arial"/>
          <w:color w:val="000000" w:themeColor="text1"/>
        </w:rPr>
        <w:t>в</w:t>
      </w:r>
      <w:r w:rsidRPr="00DA76A7">
        <w:rPr>
          <w:rFonts w:ascii="Arial" w:hAnsi="Arial" w:cs="Arial"/>
          <w:color w:val="000000" w:themeColor="text1"/>
          <w:spacing w:val="-15"/>
        </w:rPr>
        <w:t xml:space="preserve"> </w:t>
      </w:r>
      <w:r w:rsidRPr="00DA76A7">
        <w:rPr>
          <w:rFonts w:ascii="Arial" w:hAnsi="Arial" w:cs="Arial"/>
          <w:color w:val="000000" w:themeColor="text1"/>
          <w:spacing w:val="3"/>
        </w:rPr>
        <w:t xml:space="preserve">публичных </w:t>
      </w:r>
      <w:r w:rsidRPr="00DA76A7">
        <w:rPr>
          <w:rFonts w:ascii="Arial" w:hAnsi="Arial" w:cs="Arial"/>
          <w:color w:val="000000" w:themeColor="text1"/>
        </w:rPr>
        <w:t>книгах уполномоченных органах (нотариус)</w:t>
      </w:r>
      <w:r w:rsidRPr="00DA76A7">
        <w:rPr>
          <w:rFonts w:ascii="Arial" w:hAnsi="Arial" w:cs="Arial"/>
          <w:color w:val="000000" w:themeColor="text1"/>
          <w:spacing w:val="-23"/>
        </w:rPr>
        <w:t xml:space="preserve"> </w:t>
      </w:r>
      <w:r w:rsidRPr="00DA76A7">
        <w:rPr>
          <w:rFonts w:ascii="Arial" w:hAnsi="Arial" w:cs="Arial"/>
          <w:color w:val="000000" w:themeColor="text1"/>
        </w:rPr>
        <w:t>означают,</w:t>
      </w:r>
      <w:r w:rsidRPr="00DA76A7">
        <w:rPr>
          <w:rFonts w:ascii="Arial" w:hAnsi="Arial" w:cs="Arial"/>
          <w:color w:val="000000" w:themeColor="text1"/>
          <w:spacing w:val="-23"/>
        </w:rPr>
        <w:t xml:space="preserve"> </w:t>
      </w:r>
      <w:r w:rsidRPr="00DA76A7">
        <w:rPr>
          <w:rFonts w:ascii="Arial" w:hAnsi="Arial" w:cs="Arial"/>
          <w:color w:val="000000" w:themeColor="text1"/>
        </w:rPr>
        <w:t>что</w:t>
      </w:r>
      <w:r w:rsidRPr="00DA76A7">
        <w:rPr>
          <w:rFonts w:ascii="Arial" w:hAnsi="Arial" w:cs="Arial"/>
          <w:color w:val="000000" w:themeColor="text1"/>
          <w:spacing w:val="-23"/>
        </w:rPr>
        <w:t xml:space="preserve"> </w:t>
      </w:r>
      <w:r w:rsidRPr="00DA76A7">
        <w:rPr>
          <w:rFonts w:ascii="Arial" w:hAnsi="Arial" w:cs="Arial"/>
          <w:color w:val="000000" w:themeColor="text1"/>
        </w:rPr>
        <w:t>в</w:t>
      </w:r>
      <w:r w:rsidRPr="00DA76A7">
        <w:rPr>
          <w:rFonts w:ascii="Arial" w:hAnsi="Arial" w:cs="Arial"/>
          <w:color w:val="000000" w:themeColor="text1"/>
          <w:spacing w:val="-23"/>
        </w:rPr>
        <w:t xml:space="preserve"> </w:t>
      </w:r>
      <w:r w:rsidRPr="00DA76A7">
        <w:rPr>
          <w:rFonts w:ascii="Arial" w:hAnsi="Arial" w:cs="Arial"/>
          <w:color w:val="000000" w:themeColor="text1"/>
        </w:rPr>
        <w:t>отношении</w:t>
      </w:r>
      <w:r w:rsidRPr="00DA76A7">
        <w:rPr>
          <w:rFonts w:ascii="Arial" w:hAnsi="Arial" w:cs="Arial"/>
          <w:color w:val="000000" w:themeColor="text1"/>
          <w:spacing w:val="-23"/>
        </w:rPr>
        <w:t xml:space="preserve"> </w:t>
      </w:r>
      <w:r w:rsidRPr="00DA76A7">
        <w:rPr>
          <w:rFonts w:ascii="Arial" w:hAnsi="Arial" w:cs="Arial"/>
          <w:color w:val="000000" w:themeColor="text1"/>
        </w:rPr>
        <w:t>данного</w:t>
      </w:r>
      <w:r w:rsidRPr="00DA76A7">
        <w:rPr>
          <w:rFonts w:ascii="Arial" w:hAnsi="Arial" w:cs="Arial"/>
          <w:color w:val="000000" w:themeColor="text1"/>
          <w:spacing w:val="-32"/>
        </w:rPr>
        <w:t xml:space="preserve"> </w:t>
      </w:r>
      <w:r w:rsidRPr="00DA76A7">
        <w:rPr>
          <w:rFonts w:ascii="Arial" w:hAnsi="Arial" w:cs="Arial"/>
          <w:color w:val="000000" w:themeColor="text1"/>
        </w:rPr>
        <w:t>недвижимого</w:t>
      </w:r>
      <w:r w:rsidRPr="00DA76A7">
        <w:rPr>
          <w:rFonts w:ascii="Arial" w:hAnsi="Arial" w:cs="Arial"/>
          <w:color w:val="000000" w:themeColor="text1"/>
          <w:spacing w:val="-32"/>
        </w:rPr>
        <w:t xml:space="preserve"> </w:t>
      </w:r>
      <w:r w:rsidRPr="00DA76A7">
        <w:rPr>
          <w:rFonts w:ascii="Arial" w:hAnsi="Arial" w:cs="Arial"/>
          <w:color w:val="000000" w:themeColor="text1"/>
        </w:rPr>
        <w:t>имущества</w:t>
      </w:r>
      <w:r w:rsidRPr="00DA76A7">
        <w:rPr>
          <w:rFonts w:ascii="Arial" w:hAnsi="Arial" w:cs="Arial"/>
          <w:color w:val="000000" w:themeColor="text1"/>
          <w:spacing w:val="-32"/>
        </w:rPr>
        <w:t xml:space="preserve"> </w:t>
      </w:r>
      <w:r w:rsidRPr="00DA76A7">
        <w:rPr>
          <w:rFonts w:ascii="Arial" w:hAnsi="Arial" w:cs="Arial"/>
          <w:color w:val="000000" w:themeColor="text1"/>
        </w:rPr>
        <w:t>нет</w:t>
      </w:r>
      <w:r w:rsidRPr="00DA76A7">
        <w:rPr>
          <w:rFonts w:ascii="Arial" w:hAnsi="Arial" w:cs="Arial"/>
          <w:color w:val="000000" w:themeColor="text1"/>
          <w:spacing w:val="-32"/>
        </w:rPr>
        <w:t xml:space="preserve"> </w:t>
      </w:r>
      <w:r w:rsidRPr="00DA76A7">
        <w:rPr>
          <w:rFonts w:ascii="Arial" w:hAnsi="Arial" w:cs="Arial"/>
          <w:color w:val="000000" w:themeColor="text1"/>
        </w:rPr>
        <w:t xml:space="preserve">иных </w:t>
      </w:r>
      <w:r w:rsidRPr="00DA76A7">
        <w:rPr>
          <w:rFonts w:ascii="Arial" w:hAnsi="Arial" w:cs="Arial"/>
          <w:color w:val="000000" w:themeColor="text1"/>
          <w:spacing w:val="3"/>
        </w:rPr>
        <w:t>прав</w:t>
      </w:r>
      <w:r w:rsidRPr="00DA76A7">
        <w:rPr>
          <w:rFonts w:ascii="Arial" w:hAnsi="Arial" w:cs="Arial"/>
          <w:color w:val="000000" w:themeColor="text1"/>
          <w:spacing w:val="-11"/>
        </w:rPr>
        <w:t xml:space="preserve"> </w:t>
      </w:r>
      <w:r w:rsidRPr="00DA76A7">
        <w:rPr>
          <w:rFonts w:ascii="Arial" w:hAnsi="Arial" w:cs="Arial"/>
          <w:color w:val="000000" w:themeColor="text1"/>
        </w:rPr>
        <w:t>и</w:t>
      </w:r>
      <w:r w:rsidRPr="00DA76A7">
        <w:rPr>
          <w:rFonts w:ascii="Arial" w:hAnsi="Arial" w:cs="Arial"/>
          <w:color w:val="000000" w:themeColor="text1"/>
          <w:spacing w:val="-10"/>
        </w:rPr>
        <w:t xml:space="preserve"> </w:t>
      </w:r>
      <w:r w:rsidRPr="00DA76A7">
        <w:rPr>
          <w:rFonts w:ascii="Arial" w:hAnsi="Arial" w:cs="Arial"/>
          <w:color w:val="000000" w:themeColor="text1"/>
          <w:spacing w:val="3"/>
        </w:rPr>
        <w:t>правовых</w:t>
      </w:r>
      <w:r w:rsidRPr="00DA76A7">
        <w:rPr>
          <w:rFonts w:ascii="Arial" w:hAnsi="Arial" w:cs="Arial"/>
          <w:color w:val="000000" w:themeColor="text1"/>
          <w:spacing w:val="-11"/>
        </w:rPr>
        <w:t xml:space="preserve"> </w:t>
      </w:r>
      <w:r w:rsidRPr="00DA76A7">
        <w:rPr>
          <w:rFonts w:ascii="Arial" w:hAnsi="Arial" w:cs="Arial"/>
          <w:color w:val="000000" w:themeColor="text1"/>
          <w:spacing w:val="3"/>
        </w:rPr>
        <w:t>ограничений</w:t>
      </w:r>
      <w:r w:rsidRPr="00DA76A7">
        <w:rPr>
          <w:rFonts w:ascii="Arial" w:hAnsi="Arial" w:cs="Arial"/>
          <w:color w:val="000000" w:themeColor="text1"/>
        </w:rPr>
        <w:t>;</w:t>
      </w:r>
    </w:p>
    <w:p w:rsidR="00181BA7" w:rsidRPr="00DA76A7" w:rsidRDefault="00181BA7" w:rsidP="00D45D6B">
      <w:pPr>
        <w:pStyle w:val="a6"/>
        <w:widowControl w:val="0"/>
        <w:numPr>
          <w:ilvl w:val="1"/>
          <w:numId w:val="91"/>
        </w:numPr>
        <w:tabs>
          <w:tab w:val="left" w:pos="692"/>
          <w:tab w:val="left" w:pos="85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неприменимость погасительной</w:t>
      </w:r>
      <w:r w:rsidRPr="00DA76A7">
        <w:rPr>
          <w:rFonts w:ascii="Arial" w:hAnsi="Arial" w:cs="Arial"/>
          <w:color w:val="000000" w:themeColor="text1"/>
          <w:spacing w:val="-42"/>
        </w:rPr>
        <w:t xml:space="preserve"> </w:t>
      </w:r>
      <w:r w:rsidRPr="00DA76A7">
        <w:rPr>
          <w:rFonts w:ascii="Arial" w:hAnsi="Arial" w:cs="Arial"/>
          <w:color w:val="000000" w:themeColor="text1"/>
        </w:rPr>
        <w:t>давности</w:t>
      </w:r>
      <w:r w:rsidRPr="00DA76A7">
        <w:rPr>
          <w:rFonts w:ascii="Arial" w:hAnsi="Arial" w:cs="Arial"/>
          <w:color w:val="000000" w:themeColor="text1"/>
          <w:spacing w:val="-20"/>
        </w:rPr>
        <w:t xml:space="preserve"> </w:t>
      </w:r>
      <w:r w:rsidRPr="00DA76A7">
        <w:rPr>
          <w:rFonts w:ascii="Arial" w:hAnsi="Arial" w:cs="Arial"/>
          <w:color w:val="000000" w:themeColor="text1"/>
        </w:rPr>
        <w:t>к</w:t>
      </w:r>
      <w:r w:rsidRPr="00DA76A7">
        <w:rPr>
          <w:rFonts w:ascii="Arial" w:hAnsi="Arial" w:cs="Arial"/>
          <w:color w:val="000000" w:themeColor="text1"/>
          <w:spacing w:val="-19"/>
        </w:rPr>
        <w:t xml:space="preserve"> </w:t>
      </w:r>
      <w:r w:rsidRPr="00DA76A7">
        <w:rPr>
          <w:rFonts w:ascii="Arial" w:hAnsi="Arial" w:cs="Arial"/>
          <w:color w:val="000000" w:themeColor="text1"/>
        </w:rPr>
        <w:t>занесенным</w:t>
      </w:r>
      <w:r w:rsidRPr="00DA76A7">
        <w:rPr>
          <w:rFonts w:ascii="Arial" w:hAnsi="Arial" w:cs="Arial"/>
          <w:color w:val="000000" w:themeColor="text1"/>
          <w:spacing w:val="-19"/>
        </w:rPr>
        <w:t xml:space="preserve"> </w:t>
      </w:r>
      <w:r w:rsidRPr="00DA76A7">
        <w:rPr>
          <w:rFonts w:ascii="Arial" w:hAnsi="Arial" w:cs="Arial"/>
          <w:color w:val="000000" w:themeColor="text1"/>
        </w:rPr>
        <w:t>в</w:t>
      </w:r>
      <w:r w:rsidRPr="00DA76A7">
        <w:rPr>
          <w:rFonts w:ascii="Arial" w:hAnsi="Arial" w:cs="Arial"/>
          <w:color w:val="000000" w:themeColor="text1"/>
          <w:spacing w:val="-19"/>
        </w:rPr>
        <w:t xml:space="preserve"> </w:t>
      </w:r>
      <w:r w:rsidRPr="00DA76A7">
        <w:rPr>
          <w:rFonts w:ascii="Arial" w:hAnsi="Arial" w:cs="Arial"/>
          <w:color w:val="000000" w:themeColor="text1"/>
        </w:rPr>
        <w:t>ипотечную</w:t>
      </w:r>
      <w:r w:rsidRPr="00DA76A7">
        <w:rPr>
          <w:rFonts w:ascii="Arial" w:hAnsi="Arial" w:cs="Arial"/>
          <w:color w:val="000000" w:themeColor="text1"/>
          <w:spacing w:val="-19"/>
        </w:rPr>
        <w:t xml:space="preserve"> </w:t>
      </w:r>
      <w:r w:rsidRPr="00DA76A7">
        <w:rPr>
          <w:rFonts w:ascii="Arial" w:hAnsi="Arial" w:cs="Arial"/>
          <w:color w:val="000000" w:themeColor="text1"/>
        </w:rPr>
        <w:t>книгу правам.</w:t>
      </w:r>
    </w:p>
    <w:p w:rsidR="00181BA7" w:rsidRPr="00DA76A7" w:rsidRDefault="00181BA7" w:rsidP="00181BA7">
      <w:pPr>
        <w:pStyle w:val="a9"/>
        <w:tabs>
          <w:tab w:val="left" w:pos="851"/>
        </w:tabs>
        <w:ind w:firstLine="567"/>
        <w:rPr>
          <w:rFonts w:ascii="Arial" w:hAnsi="Arial" w:cs="Arial"/>
          <w:color w:val="000000" w:themeColor="text1"/>
          <w:lang w:val="ru-RU"/>
        </w:rPr>
      </w:pPr>
      <w:r w:rsidRPr="00DA76A7">
        <w:rPr>
          <w:rFonts w:ascii="Arial" w:hAnsi="Arial" w:cs="Arial"/>
          <w:color w:val="000000" w:themeColor="text1"/>
          <w:lang w:val="ru-RU"/>
        </w:rPr>
        <w:t>В</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соответствии</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с</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законом</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об</w:t>
      </w:r>
      <w:r w:rsidRPr="00DA76A7">
        <w:rPr>
          <w:rFonts w:ascii="Arial" w:hAnsi="Arial" w:cs="Arial"/>
          <w:color w:val="000000" w:themeColor="text1"/>
          <w:spacing w:val="-11"/>
          <w:lang w:val="ru-RU"/>
        </w:rPr>
        <w:t xml:space="preserve"> </w:t>
      </w:r>
      <w:r w:rsidRPr="00DA76A7">
        <w:rPr>
          <w:rFonts w:ascii="Arial" w:hAnsi="Arial" w:cs="Arial"/>
          <w:color w:val="000000" w:themeColor="text1"/>
          <w:lang w:val="ru-RU"/>
        </w:rPr>
        <w:t>ипотеке</w:t>
      </w:r>
      <w:r w:rsidRPr="00DA76A7">
        <w:rPr>
          <w:rFonts w:ascii="Arial" w:hAnsi="Arial" w:cs="Arial"/>
          <w:color w:val="000000" w:themeColor="text1"/>
          <w:spacing w:val="-10"/>
          <w:lang w:val="ru-RU"/>
        </w:rPr>
        <w:t xml:space="preserve"> </w:t>
      </w:r>
      <w:r w:rsidRPr="00DA76A7">
        <w:rPr>
          <w:rFonts w:ascii="Arial" w:hAnsi="Arial" w:cs="Arial"/>
          <w:color w:val="000000" w:themeColor="text1"/>
          <w:lang w:val="ru-RU"/>
        </w:rPr>
        <w:t xml:space="preserve">в </w:t>
      </w:r>
      <w:r w:rsidRPr="00DA76A7">
        <w:rPr>
          <w:rFonts w:ascii="Arial" w:hAnsi="Arial" w:cs="Arial"/>
          <w:color w:val="000000" w:themeColor="text1"/>
          <w:spacing w:val="3"/>
          <w:lang w:val="ru-RU"/>
        </w:rPr>
        <w:t>качестве</w:t>
      </w:r>
      <w:r w:rsidRPr="00DA76A7">
        <w:rPr>
          <w:rFonts w:ascii="Arial" w:hAnsi="Arial" w:cs="Arial"/>
          <w:color w:val="000000" w:themeColor="text1"/>
          <w:spacing w:val="-27"/>
          <w:lang w:val="ru-RU"/>
        </w:rPr>
        <w:t xml:space="preserve"> </w:t>
      </w:r>
      <w:r w:rsidRPr="00DA76A7">
        <w:rPr>
          <w:rFonts w:ascii="Arial" w:hAnsi="Arial" w:cs="Arial"/>
          <w:color w:val="000000" w:themeColor="text1"/>
          <w:spacing w:val="3"/>
          <w:lang w:val="ru-RU"/>
        </w:rPr>
        <w:t>объектов</w:t>
      </w:r>
      <w:r w:rsidRPr="00DA76A7">
        <w:rPr>
          <w:rFonts w:ascii="Arial" w:hAnsi="Arial" w:cs="Arial"/>
          <w:color w:val="000000" w:themeColor="text1"/>
          <w:spacing w:val="-26"/>
          <w:lang w:val="ru-RU"/>
        </w:rPr>
        <w:t xml:space="preserve"> </w:t>
      </w:r>
      <w:r w:rsidRPr="00DA76A7">
        <w:rPr>
          <w:rFonts w:ascii="Arial" w:hAnsi="Arial" w:cs="Arial"/>
          <w:color w:val="000000" w:themeColor="text1"/>
          <w:spacing w:val="3"/>
          <w:lang w:val="ru-RU"/>
        </w:rPr>
        <w:t>ипотечного</w:t>
      </w:r>
      <w:r w:rsidRPr="00DA76A7">
        <w:rPr>
          <w:rFonts w:ascii="Arial" w:hAnsi="Arial" w:cs="Arial"/>
          <w:color w:val="000000" w:themeColor="text1"/>
          <w:spacing w:val="-26"/>
          <w:lang w:val="ru-RU"/>
        </w:rPr>
        <w:t xml:space="preserve"> </w:t>
      </w:r>
      <w:r w:rsidRPr="00DA76A7">
        <w:rPr>
          <w:rFonts w:ascii="Arial" w:hAnsi="Arial" w:cs="Arial"/>
          <w:color w:val="000000" w:themeColor="text1"/>
          <w:spacing w:val="4"/>
          <w:lang w:val="ru-RU"/>
        </w:rPr>
        <w:t>креди</w:t>
      </w:r>
      <w:r w:rsidRPr="00DA76A7">
        <w:rPr>
          <w:rFonts w:ascii="Arial" w:hAnsi="Arial" w:cs="Arial"/>
          <w:color w:val="000000" w:themeColor="text1"/>
          <w:lang w:val="ru-RU"/>
        </w:rPr>
        <w:t>тования могут</w:t>
      </w:r>
      <w:r w:rsidRPr="00DA76A7">
        <w:rPr>
          <w:rFonts w:ascii="Arial" w:hAnsi="Arial" w:cs="Arial"/>
          <w:color w:val="000000" w:themeColor="text1"/>
          <w:spacing w:val="-43"/>
          <w:lang w:val="ru-RU"/>
        </w:rPr>
        <w:t xml:space="preserve"> </w:t>
      </w:r>
      <w:r w:rsidRPr="00DA76A7">
        <w:rPr>
          <w:rFonts w:ascii="Arial" w:hAnsi="Arial" w:cs="Arial"/>
          <w:color w:val="000000" w:themeColor="text1"/>
          <w:lang w:val="ru-RU"/>
        </w:rPr>
        <w:t>выступать:</w:t>
      </w:r>
    </w:p>
    <w:p w:rsidR="00181BA7" w:rsidRPr="00DA76A7" w:rsidRDefault="00181BA7" w:rsidP="00181BA7">
      <w:pPr>
        <w:pStyle w:val="a9"/>
        <w:ind w:firstLine="567"/>
        <w:rPr>
          <w:rFonts w:ascii="Arial" w:hAnsi="Arial" w:cs="Arial"/>
          <w:color w:val="000000" w:themeColor="text1"/>
          <w:spacing w:val="-18"/>
          <w:lang w:val="ru-RU"/>
        </w:rPr>
      </w:pPr>
      <w:r w:rsidRPr="00DA76A7">
        <w:rPr>
          <w:rFonts w:ascii="Arial" w:hAnsi="Arial" w:cs="Arial"/>
          <w:color w:val="000000" w:themeColor="text1"/>
          <w:spacing w:val="4"/>
          <w:lang w:val="ru-RU"/>
        </w:rPr>
        <w:t>1) земельные</w:t>
      </w:r>
      <w:r w:rsidRPr="00DA76A7">
        <w:rPr>
          <w:rFonts w:ascii="Arial" w:hAnsi="Arial" w:cs="Arial"/>
          <w:color w:val="000000" w:themeColor="text1"/>
          <w:spacing w:val="-25"/>
          <w:lang w:val="ru-RU"/>
        </w:rPr>
        <w:t xml:space="preserve"> </w:t>
      </w:r>
      <w:r w:rsidRPr="00DA76A7">
        <w:rPr>
          <w:rFonts w:ascii="Arial" w:hAnsi="Arial" w:cs="Arial"/>
          <w:color w:val="000000" w:themeColor="text1"/>
          <w:spacing w:val="4"/>
          <w:lang w:val="ru-RU"/>
        </w:rPr>
        <w:t>участки (с последними изменениями в земельный кодекс РТ с 2012г.),</w:t>
      </w:r>
      <w:r w:rsidRPr="00DA76A7">
        <w:rPr>
          <w:rFonts w:ascii="Arial" w:hAnsi="Arial" w:cs="Arial"/>
          <w:color w:val="000000" w:themeColor="text1"/>
          <w:spacing w:val="-25"/>
          <w:lang w:val="ru-RU"/>
        </w:rPr>
        <w:t xml:space="preserve"> </w:t>
      </w:r>
      <w:r w:rsidRPr="00DA76A7">
        <w:rPr>
          <w:rFonts w:ascii="Arial" w:hAnsi="Arial" w:cs="Arial"/>
          <w:color w:val="000000" w:themeColor="text1"/>
          <w:spacing w:val="2"/>
          <w:lang w:val="ru-RU"/>
        </w:rPr>
        <w:t>за</w:t>
      </w:r>
      <w:r w:rsidRPr="00DA76A7">
        <w:rPr>
          <w:rFonts w:ascii="Arial" w:hAnsi="Arial" w:cs="Arial"/>
          <w:color w:val="000000" w:themeColor="text1"/>
          <w:spacing w:val="-25"/>
          <w:lang w:val="ru-RU"/>
        </w:rPr>
        <w:t xml:space="preserve"> </w:t>
      </w:r>
      <w:r w:rsidRPr="00DA76A7">
        <w:rPr>
          <w:rFonts w:ascii="Arial" w:hAnsi="Arial" w:cs="Arial"/>
          <w:color w:val="000000" w:themeColor="text1"/>
          <w:spacing w:val="5"/>
          <w:lang w:val="ru-RU"/>
        </w:rPr>
        <w:t>исключени</w:t>
      </w:r>
      <w:r w:rsidRPr="00DA76A7">
        <w:rPr>
          <w:rFonts w:ascii="Arial" w:hAnsi="Arial" w:cs="Arial"/>
          <w:color w:val="000000" w:themeColor="text1"/>
          <w:lang w:val="ru-RU"/>
        </w:rPr>
        <w:t>ем</w:t>
      </w:r>
      <w:r w:rsidRPr="00DA76A7">
        <w:rPr>
          <w:rFonts w:ascii="Arial" w:hAnsi="Arial" w:cs="Arial"/>
          <w:color w:val="000000" w:themeColor="text1"/>
          <w:spacing w:val="-23"/>
          <w:lang w:val="ru-RU"/>
        </w:rPr>
        <w:t xml:space="preserve"> </w:t>
      </w:r>
      <w:r w:rsidRPr="00DA76A7">
        <w:rPr>
          <w:rFonts w:ascii="Arial" w:hAnsi="Arial" w:cs="Arial"/>
          <w:color w:val="000000" w:themeColor="text1"/>
          <w:spacing w:val="2"/>
          <w:lang w:val="ru-RU"/>
        </w:rPr>
        <w:t>находящихся</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у местных исполнительных органов государственной власти</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3"/>
          <w:lang w:val="ru-RU"/>
        </w:rPr>
        <w:t xml:space="preserve">или </w:t>
      </w:r>
      <w:r w:rsidRPr="00DA76A7">
        <w:rPr>
          <w:rFonts w:ascii="Arial" w:hAnsi="Arial" w:cs="Arial"/>
          <w:color w:val="000000" w:themeColor="text1"/>
          <w:spacing w:val="2"/>
          <w:lang w:val="ru-RU"/>
        </w:rPr>
        <w:t xml:space="preserve">государственной </w:t>
      </w:r>
      <w:r w:rsidRPr="00DA76A7">
        <w:rPr>
          <w:rFonts w:ascii="Arial" w:hAnsi="Arial" w:cs="Arial"/>
          <w:color w:val="000000" w:themeColor="text1"/>
          <w:spacing w:val="3"/>
          <w:lang w:val="ru-RU"/>
        </w:rPr>
        <w:t xml:space="preserve">собственности </w:t>
      </w:r>
      <w:r w:rsidRPr="00DA76A7">
        <w:rPr>
          <w:rFonts w:ascii="Arial" w:hAnsi="Arial" w:cs="Arial"/>
          <w:color w:val="000000" w:themeColor="text1"/>
          <w:lang w:val="ru-RU"/>
        </w:rPr>
        <w:t xml:space="preserve">и </w:t>
      </w:r>
      <w:r w:rsidRPr="00DA76A7">
        <w:rPr>
          <w:rFonts w:ascii="Arial" w:hAnsi="Arial" w:cs="Arial"/>
          <w:color w:val="000000" w:themeColor="text1"/>
          <w:spacing w:val="4"/>
          <w:lang w:val="ru-RU"/>
        </w:rPr>
        <w:t xml:space="preserve">не </w:t>
      </w:r>
      <w:r w:rsidRPr="00DA76A7">
        <w:rPr>
          <w:rFonts w:ascii="Arial" w:hAnsi="Arial" w:cs="Arial"/>
          <w:color w:val="000000" w:themeColor="text1"/>
          <w:lang w:val="ru-RU"/>
        </w:rPr>
        <w:t>предназначенных</w:t>
      </w:r>
      <w:r w:rsidRPr="00DA76A7">
        <w:rPr>
          <w:rFonts w:ascii="Arial" w:hAnsi="Arial" w:cs="Arial"/>
          <w:color w:val="000000" w:themeColor="text1"/>
          <w:spacing w:val="-40"/>
          <w:lang w:val="ru-RU"/>
        </w:rPr>
        <w:t xml:space="preserve"> </w:t>
      </w:r>
      <w:r w:rsidRPr="00DA76A7">
        <w:rPr>
          <w:rFonts w:ascii="Arial" w:hAnsi="Arial" w:cs="Arial"/>
          <w:color w:val="000000" w:themeColor="text1"/>
          <w:lang w:val="ru-RU"/>
        </w:rPr>
        <w:t>для</w:t>
      </w:r>
      <w:r w:rsidRPr="00DA76A7">
        <w:rPr>
          <w:rFonts w:ascii="Arial" w:hAnsi="Arial" w:cs="Arial"/>
          <w:color w:val="000000" w:themeColor="text1"/>
          <w:spacing w:val="-39"/>
          <w:lang w:val="ru-RU"/>
        </w:rPr>
        <w:t xml:space="preserve"> </w:t>
      </w:r>
      <w:r w:rsidRPr="00DA76A7">
        <w:rPr>
          <w:rFonts w:ascii="Arial" w:hAnsi="Arial" w:cs="Arial"/>
          <w:color w:val="000000" w:themeColor="text1"/>
          <w:lang w:val="ru-RU"/>
        </w:rPr>
        <w:t>жилищного</w:t>
      </w:r>
      <w:r w:rsidRPr="00DA76A7">
        <w:rPr>
          <w:rFonts w:ascii="Arial" w:hAnsi="Arial" w:cs="Arial"/>
          <w:color w:val="000000" w:themeColor="text1"/>
          <w:spacing w:val="-39"/>
          <w:lang w:val="ru-RU"/>
        </w:rPr>
        <w:t xml:space="preserve"> </w:t>
      </w:r>
      <w:r w:rsidRPr="00DA76A7">
        <w:rPr>
          <w:rFonts w:ascii="Arial" w:hAnsi="Arial" w:cs="Arial"/>
          <w:color w:val="000000" w:themeColor="text1"/>
          <w:lang w:val="ru-RU"/>
        </w:rPr>
        <w:t>строительства;</w:t>
      </w:r>
      <w:r w:rsidRPr="00DA76A7">
        <w:rPr>
          <w:rFonts w:ascii="Arial" w:hAnsi="Arial" w:cs="Arial"/>
          <w:color w:val="000000" w:themeColor="text1"/>
          <w:spacing w:val="-18"/>
          <w:lang w:val="ru-RU"/>
        </w:rPr>
        <w:t xml:space="preserve"> </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3"/>
          <w:lang w:val="ru-RU"/>
        </w:rPr>
        <w:t>2)  предприятия</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3"/>
          <w:lang w:val="ru-RU"/>
        </w:rPr>
        <w:t>не зависимо от форм</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4"/>
          <w:lang w:val="ru-RU"/>
        </w:rPr>
        <w:t>соб</w:t>
      </w:r>
      <w:r w:rsidRPr="00DA76A7">
        <w:rPr>
          <w:rFonts w:ascii="Arial" w:hAnsi="Arial" w:cs="Arial"/>
          <w:color w:val="000000" w:themeColor="text1"/>
          <w:spacing w:val="9"/>
          <w:lang w:val="ru-RU"/>
        </w:rPr>
        <w:t>ственности</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и</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9"/>
          <w:lang w:val="ru-RU"/>
        </w:rPr>
        <w:t>хозяйствования,</w:t>
      </w:r>
      <w:r w:rsidRPr="00DA76A7">
        <w:rPr>
          <w:rFonts w:ascii="Arial" w:hAnsi="Arial" w:cs="Arial"/>
          <w:color w:val="000000" w:themeColor="text1"/>
          <w:spacing w:val="-18"/>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17"/>
          <w:lang w:val="ru-RU"/>
        </w:rPr>
        <w:t xml:space="preserve"> </w:t>
      </w:r>
      <w:r w:rsidRPr="00DA76A7">
        <w:rPr>
          <w:rFonts w:ascii="Arial" w:hAnsi="Arial" w:cs="Arial"/>
          <w:color w:val="000000" w:themeColor="text1"/>
          <w:spacing w:val="10"/>
          <w:lang w:val="ru-RU"/>
        </w:rPr>
        <w:t xml:space="preserve">том </w:t>
      </w:r>
      <w:r w:rsidRPr="00DA76A7">
        <w:rPr>
          <w:rFonts w:ascii="Arial" w:hAnsi="Arial" w:cs="Arial"/>
          <w:color w:val="000000" w:themeColor="text1"/>
          <w:spacing w:val="5"/>
          <w:lang w:val="ru-RU"/>
        </w:rPr>
        <w:t xml:space="preserve">числе </w:t>
      </w:r>
      <w:r w:rsidRPr="00DA76A7">
        <w:rPr>
          <w:rFonts w:ascii="Arial" w:hAnsi="Arial" w:cs="Arial"/>
          <w:color w:val="000000" w:themeColor="text1"/>
          <w:spacing w:val="6"/>
          <w:lang w:val="ru-RU"/>
        </w:rPr>
        <w:t xml:space="preserve">принадлежащее </w:t>
      </w:r>
      <w:r w:rsidRPr="00DA76A7">
        <w:rPr>
          <w:rFonts w:ascii="Arial" w:hAnsi="Arial" w:cs="Arial"/>
          <w:color w:val="000000" w:themeColor="text1"/>
          <w:spacing w:val="3"/>
          <w:lang w:val="ru-RU"/>
        </w:rPr>
        <w:t xml:space="preserve">им </w:t>
      </w:r>
      <w:r w:rsidRPr="00DA76A7">
        <w:rPr>
          <w:rFonts w:ascii="Arial" w:hAnsi="Arial" w:cs="Arial"/>
          <w:color w:val="000000" w:themeColor="text1"/>
          <w:spacing w:val="7"/>
          <w:lang w:val="ru-RU"/>
        </w:rPr>
        <w:t>недвижи</w:t>
      </w:r>
      <w:r w:rsidRPr="00DA76A7">
        <w:rPr>
          <w:rFonts w:ascii="Arial" w:hAnsi="Arial" w:cs="Arial"/>
          <w:color w:val="000000" w:themeColor="text1"/>
          <w:lang w:val="ru-RU"/>
        </w:rPr>
        <w:t>мое</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имущество,</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используемое</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15"/>
          <w:lang w:val="ru-RU"/>
        </w:rPr>
        <w:t xml:space="preserve"> </w:t>
      </w:r>
      <w:r w:rsidRPr="00DA76A7">
        <w:rPr>
          <w:rFonts w:ascii="Arial" w:hAnsi="Arial" w:cs="Arial"/>
          <w:color w:val="000000" w:themeColor="text1"/>
          <w:lang w:val="ru-RU"/>
        </w:rPr>
        <w:t>предпринимательской</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деятельности;</w:t>
      </w:r>
    </w:p>
    <w:p w:rsidR="00181BA7" w:rsidRPr="00DA76A7" w:rsidRDefault="00181BA7" w:rsidP="00181BA7">
      <w:pPr>
        <w:tabs>
          <w:tab w:val="left" w:pos="778"/>
          <w:tab w:val="left" w:pos="851"/>
        </w:tabs>
        <w:ind w:firstLine="567"/>
        <w:rPr>
          <w:rFonts w:ascii="Arial" w:hAnsi="Arial" w:cs="Arial"/>
          <w:color w:val="000000" w:themeColor="text1"/>
          <w:sz w:val="22"/>
          <w:szCs w:val="22"/>
        </w:rPr>
      </w:pPr>
      <w:r w:rsidRPr="00DA76A7">
        <w:rPr>
          <w:rFonts w:ascii="Arial" w:hAnsi="Arial" w:cs="Arial"/>
          <w:color w:val="000000" w:themeColor="text1"/>
          <w:spacing w:val="6"/>
          <w:sz w:val="22"/>
          <w:szCs w:val="22"/>
        </w:rPr>
        <w:t>3)  недвижимое имущество</w:t>
      </w:r>
      <w:r w:rsidRPr="00DA76A7">
        <w:rPr>
          <w:rFonts w:ascii="Arial" w:hAnsi="Arial" w:cs="Arial"/>
          <w:color w:val="000000" w:themeColor="text1"/>
          <w:spacing w:val="-31"/>
          <w:sz w:val="22"/>
          <w:szCs w:val="22"/>
        </w:rPr>
        <w:t xml:space="preserve"> </w:t>
      </w:r>
      <w:r w:rsidRPr="00DA76A7">
        <w:rPr>
          <w:rFonts w:ascii="Arial" w:hAnsi="Arial" w:cs="Arial"/>
          <w:color w:val="000000" w:themeColor="text1"/>
          <w:spacing w:val="7"/>
          <w:sz w:val="22"/>
          <w:szCs w:val="22"/>
        </w:rPr>
        <w:t xml:space="preserve">граждан, </w:t>
      </w:r>
      <w:r w:rsidRPr="00DA76A7">
        <w:rPr>
          <w:rFonts w:ascii="Arial" w:hAnsi="Arial" w:cs="Arial"/>
          <w:color w:val="000000" w:themeColor="text1"/>
          <w:sz w:val="22"/>
          <w:szCs w:val="22"/>
        </w:rPr>
        <w:t>в</w:t>
      </w:r>
      <w:r w:rsidRPr="00DA76A7">
        <w:rPr>
          <w:rFonts w:ascii="Arial" w:hAnsi="Arial" w:cs="Arial"/>
          <w:color w:val="000000" w:themeColor="text1"/>
          <w:spacing w:val="-11"/>
          <w:sz w:val="22"/>
          <w:szCs w:val="22"/>
        </w:rPr>
        <w:t xml:space="preserve"> </w:t>
      </w:r>
      <w:r w:rsidRPr="00DA76A7">
        <w:rPr>
          <w:rFonts w:ascii="Arial" w:hAnsi="Arial" w:cs="Arial"/>
          <w:color w:val="000000" w:themeColor="text1"/>
          <w:spacing w:val="5"/>
          <w:sz w:val="22"/>
          <w:szCs w:val="22"/>
        </w:rPr>
        <w:t>частности</w:t>
      </w:r>
      <w:r w:rsidRPr="00DA76A7">
        <w:rPr>
          <w:rFonts w:ascii="Arial" w:hAnsi="Arial" w:cs="Arial"/>
          <w:color w:val="000000" w:themeColor="text1"/>
          <w:spacing w:val="-10"/>
          <w:sz w:val="22"/>
          <w:szCs w:val="22"/>
        </w:rPr>
        <w:t xml:space="preserve"> </w:t>
      </w:r>
      <w:r w:rsidRPr="00DA76A7">
        <w:rPr>
          <w:rFonts w:ascii="Arial" w:hAnsi="Arial" w:cs="Arial"/>
          <w:color w:val="000000" w:themeColor="text1"/>
          <w:spacing w:val="4"/>
          <w:sz w:val="22"/>
          <w:szCs w:val="22"/>
        </w:rPr>
        <w:t>жилые</w:t>
      </w:r>
      <w:r w:rsidRPr="00DA76A7">
        <w:rPr>
          <w:rFonts w:ascii="Arial" w:hAnsi="Arial" w:cs="Arial"/>
          <w:color w:val="000000" w:themeColor="text1"/>
          <w:spacing w:val="-10"/>
          <w:sz w:val="22"/>
          <w:szCs w:val="22"/>
        </w:rPr>
        <w:t xml:space="preserve"> </w:t>
      </w:r>
      <w:r w:rsidRPr="00DA76A7">
        <w:rPr>
          <w:rFonts w:ascii="Arial" w:hAnsi="Arial" w:cs="Arial"/>
          <w:color w:val="000000" w:themeColor="text1"/>
          <w:spacing w:val="4"/>
          <w:sz w:val="22"/>
          <w:szCs w:val="22"/>
        </w:rPr>
        <w:t>дома;</w:t>
      </w:r>
      <w:r w:rsidRPr="00DA76A7">
        <w:rPr>
          <w:rFonts w:ascii="Arial" w:hAnsi="Arial" w:cs="Arial"/>
          <w:color w:val="000000" w:themeColor="text1"/>
          <w:spacing w:val="-10"/>
          <w:sz w:val="22"/>
          <w:szCs w:val="22"/>
        </w:rPr>
        <w:t xml:space="preserve"> </w:t>
      </w:r>
      <w:r w:rsidRPr="00DA76A7">
        <w:rPr>
          <w:rFonts w:ascii="Arial" w:hAnsi="Arial" w:cs="Arial"/>
          <w:color w:val="000000" w:themeColor="text1"/>
          <w:spacing w:val="5"/>
          <w:sz w:val="22"/>
          <w:szCs w:val="22"/>
        </w:rPr>
        <w:t>квартиры</w:t>
      </w:r>
      <w:r w:rsidRPr="00DA76A7">
        <w:rPr>
          <w:rFonts w:ascii="Arial" w:hAnsi="Arial" w:cs="Arial"/>
          <w:color w:val="000000" w:themeColor="text1"/>
          <w:spacing w:val="-10"/>
          <w:sz w:val="22"/>
          <w:szCs w:val="22"/>
        </w:rPr>
        <w:t xml:space="preserve"> </w:t>
      </w:r>
      <w:r w:rsidRPr="00DA76A7">
        <w:rPr>
          <w:rFonts w:ascii="Arial" w:hAnsi="Arial" w:cs="Arial"/>
          <w:color w:val="000000" w:themeColor="text1"/>
          <w:sz w:val="22"/>
          <w:szCs w:val="22"/>
        </w:rPr>
        <w:t xml:space="preserve">и </w:t>
      </w:r>
      <w:r w:rsidRPr="00DA76A7">
        <w:rPr>
          <w:rFonts w:ascii="Arial" w:hAnsi="Arial" w:cs="Arial"/>
          <w:color w:val="000000" w:themeColor="text1"/>
          <w:spacing w:val="6"/>
          <w:sz w:val="22"/>
          <w:szCs w:val="22"/>
        </w:rPr>
        <w:t>части</w:t>
      </w:r>
      <w:r w:rsidRPr="00DA76A7">
        <w:rPr>
          <w:rFonts w:ascii="Arial" w:hAnsi="Arial" w:cs="Arial"/>
          <w:color w:val="000000" w:themeColor="text1"/>
          <w:spacing w:val="-13"/>
          <w:sz w:val="22"/>
          <w:szCs w:val="22"/>
        </w:rPr>
        <w:t xml:space="preserve"> </w:t>
      </w:r>
      <w:r w:rsidRPr="00DA76A7">
        <w:rPr>
          <w:rFonts w:ascii="Arial" w:hAnsi="Arial" w:cs="Arial"/>
          <w:color w:val="000000" w:themeColor="text1"/>
          <w:spacing w:val="6"/>
          <w:sz w:val="22"/>
          <w:szCs w:val="22"/>
        </w:rPr>
        <w:t>жилых</w:t>
      </w:r>
      <w:r w:rsidRPr="00DA76A7">
        <w:rPr>
          <w:rFonts w:ascii="Arial" w:hAnsi="Arial" w:cs="Arial"/>
          <w:color w:val="000000" w:themeColor="text1"/>
          <w:spacing w:val="-13"/>
          <w:sz w:val="22"/>
          <w:szCs w:val="22"/>
        </w:rPr>
        <w:t xml:space="preserve"> </w:t>
      </w:r>
      <w:r w:rsidRPr="00DA76A7">
        <w:rPr>
          <w:rFonts w:ascii="Arial" w:hAnsi="Arial" w:cs="Arial"/>
          <w:color w:val="000000" w:themeColor="text1"/>
          <w:spacing w:val="6"/>
          <w:sz w:val="22"/>
          <w:szCs w:val="22"/>
        </w:rPr>
        <w:t>домов</w:t>
      </w:r>
      <w:r w:rsidRPr="00DA76A7">
        <w:rPr>
          <w:rFonts w:ascii="Arial" w:hAnsi="Arial" w:cs="Arial"/>
          <w:color w:val="000000" w:themeColor="text1"/>
          <w:spacing w:val="-13"/>
          <w:sz w:val="22"/>
          <w:szCs w:val="22"/>
        </w:rPr>
        <w:t xml:space="preserve"> </w:t>
      </w:r>
      <w:r w:rsidRPr="00DA76A7">
        <w:rPr>
          <w:rFonts w:ascii="Arial" w:hAnsi="Arial" w:cs="Arial"/>
          <w:color w:val="000000" w:themeColor="text1"/>
          <w:sz w:val="22"/>
          <w:szCs w:val="22"/>
        </w:rPr>
        <w:t>и</w:t>
      </w:r>
      <w:r w:rsidRPr="00DA76A7">
        <w:rPr>
          <w:rFonts w:ascii="Arial" w:hAnsi="Arial" w:cs="Arial"/>
          <w:color w:val="000000" w:themeColor="text1"/>
          <w:spacing w:val="-13"/>
          <w:sz w:val="22"/>
          <w:szCs w:val="22"/>
        </w:rPr>
        <w:t xml:space="preserve"> </w:t>
      </w:r>
      <w:r w:rsidRPr="00DA76A7">
        <w:rPr>
          <w:rFonts w:ascii="Arial" w:hAnsi="Arial" w:cs="Arial"/>
          <w:color w:val="000000" w:themeColor="text1"/>
          <w:spacing w:val="7"/>
          <w:sz w:val="22"/>
          <w:szCs w:val="22"/>
        </w:rPr>
        <w:t>квартир;</w:t>
      </w:r>
      <w:r w:rsidRPr="00DA76A7">
        <w:rPr>
          <w:rFonts w:ascii="Arial" w:hAnsi="Arial" w:cs="Arial"/>
          <w:color w:val="000000" w:themeColor="text1"/>
          <w:spacing w:val="-13"/>
          <w:sz w:val="22"/>
          <w:szCs w:val="22"/>
        </w:rPr>
        <w:t xml:space="preserve"> </w:t>
      </w:r>
      <w:r w:rsidRPr="00DA76A7">
        <w:rPr>
          <w:rFonts w:ascii="Arial" w:hAnsi="Arial" w:cs="Arial"/>
          <w:color w:val="000000" w:themeColor="text1"/>
          <w:spacing w:val="8"/>
          <w:sz w:val="22"/>
          <w:szCs w:val="22"/>
        </w:rPr>
        <w:t xml:space="preserve">дачи; </w:t>
      </w:r>
      <w:r w:rsidRPr="00DA76A7">
        <w:rPr>
          <w:rFonts w:ascii="Arial" w:hAnsi="Arial" w:cs="Arial"/>
          <w:color w:val="000000" w:themeColor="text1"/>
          <w:sz w:val="22"/>
          <w:szCs w:val="22"/>
        </w:rPr>
        <w:t>садовые</w:t>
      </w:r>
      <w:r w:rsidRPr="00DA76A7">
        <w:rPr>
          <w:rFonts w:ascii="Arial" w:hAnsi="Arial" w:cs="Arial"/>
          <w:color w:val="000000" w:themeColor="text1"/>
          <w:spacing w:val="-12"/>
          <w:sz w:val="22"/>
          <w:szCs w:val="22"/>
        </w:rPr>
        <w:t xml:space="preserve"> </w:t>
      </w:r>
      <w:r w:rsidRPr="00DA76A7">
        <w:rPr>
          <w:rFonts w:ascii="Arial" w:hAnsi="Arial" w:cs="Arial"/>
          <w:color w:val="000000" w:themeColor="text1"/>
          <w:sz w:val="22"/>
          <w:szCs w:val="22"/>
        </w:rPr>
        <w:t>дома;</w:t>
      </w:r>
      <w:r w:rsidRPr="00DA76A7">
        <w:rPr>
          <w:rFonts w:ascii="Arial" w:hAnsi="Arial" w:cs="Arial"/>
          <w:color w:val="000000" w:themeColor="text1"/>
          <w:spacing w:val="-11"/>
          <w:sz w:val="22"/>
          <w:szCs w:val="22"/>
        </w:rPr>
        <w:t xml:space="preserve"> </w:t>
      </w:r>
      <w:r w:rsidRPr="00DA76A7">
        <w:rPr>
          <w:rFonts w:ascii="Arial" w:hAnsi="Arial" w:cs="Arial"/>
          <w:color w:val="000000" w:themeColor="text1"/>
          <w:sz w:val="22"/>
          <w:szCs w:val="22"/>
        </w:rPr>
        <w:t>гаражи</w:t>
      </w:r>
      <w:r w:rsidRPr="00DA76A7">
        <w:rPr>
          <w:rFonts w:ascii="Arial" w:hAnsi="Arial" w:cs="Arial"/>
          <w:color w:val="000000" w:themeColor="text1"/>
          <w:spacing w:val="-12"/>
          <w:sz w:val="22"/>
          <w:szCs w:val="22"/>
        </w:rPr>
        <w:t xml:space="preserve"> </w:t>
      </w:r>
      <w:r w:rsidRPr="00DA76A7">
        <w:rPr>
          <w:rFonts w:ascii="Arial" w:hAnsi="Arial" w:cs="Arial"/>
          <w:color w:val="000000" w:themeColor="text1"/>
          <w:sz w:val="22"/>
          <w:szCs w:val="22"/>
        </w:rPr>
        <w:t>и</w:t>
      </w:r>
      <w:r w:rsidRPr="00DA76A7">
        <w:rPr>
          <w:rFonts w:ascii="Arial" w:hAnsi="Arial" w:cs="Arial"/>
          <w:color w:val="000000" w:themeColor="text1"/>
          <w:spacing w:val="-11"/>
          <w:sz w:val="22"/>
          <w:szCs w:val="22"/>
        </w:rPr>
        <w:t xml:space="preserve"> </w:t>
      </w:r>
      <w:r w:rsidRPr="00DA76A7">
        <w:rPr>
          <w:rFonts w:ascii="Arial" w:hAnsi="Arial" w:cs="Arial"/>
          <w:color w:val="000000" w:themeColor="text1"/>
          <w:sz w:val="22"/>
          <w:szCs w:val="22"/>
        </w:rPr>
        <w:t>другие</w:t>
      </w:r>
      <w:r w:rsidRPr="00DA76A7">
        <w:rPr>
          <w:rFonts w:ascii="Arial" w:hAnsi="Arial" w:cs="Arial"/>
          <w:color w:val="000000" w:themeColor="text1"/>
          <w:spacing w:val="-11"/>
          <w:sz w:val="22"/>
          <w:szCs w:val="22"/>
        </w:rPr>
        <w:t xml:space="preserve"> </w:t>
      </w:r>
      <w:r w:rsidRPr="00DA76A7">
        <w:rPr>
          <w:rFonts w:ascii="Arial" w:hAnsi="Arial" w:cs="Arial"/>
          <w:color w:val="000000" w:themeColor="text1"/>
          <w:sz w:val="22"/>
          <w:szCs w:val="22"/>
        </w:rPr>
        <w:t>строения</w:t>
      </w:r>
      <w:r w:rsidRPr="00DA76A7">
        <w:rPr>
          <w:rFonts w:ascii="Arial" w:hAnsi="Arial" w:cs="Arial"/>
          <w:color w:val="000000" w:themeColor="text1"/>
          <w:spacing w:val="-32"/>
          <w:sz w:val="22"/>
          <w:szCs w:val="22"/>
        </w:rPr>
        <w:t xml:space="preserve"> </w:t>
      </w:r>
      <w:r w:rsidRPr="00DA76A7">
        <w:rPr>
          <w:rFonts w:ascii="Arial" w:hAnsi="Arial" w:cs="Arial"/>
          <w:color w:val="000000" w:themeColor="text1"/>
          <w:sz w:val="22"/>
          <w:szCs w:val="22"/>
        </w:rPr>
        <w:t>потребительского</w:t>
      </w:r>
      <w:r w:rsidRPr="00DA76A7">
        <w:rPr>
          <w:rFonts w:ascii="Arial" w:hAnsi="Arial" w:cs="Arial"/>
          <w:color w:val="000000" w:themeColor="text1"/>
          <w:spacing w:val="-31"/>
          <w:sz w:val="22"/>
          <w:szCs w:val="22"/>
        </w:rPr>
        <w:t xml:space="preserve"> </w:t>
      </w:r>
      <w:r w:rsidRPr="00DA76A7">
        <w:rPr>
          <w:rFonts w:ascii="Arial" w:hAnsi="Arial" w:cs="Arial"/>
          <w:color w:val="000000" w:themeColor="text1"/>
          <w:sz w:val="22"/>
          <w:szCs w:val="22"/>
        </w:rPr>
        <w:t>назначения;</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2"/>
          <w:lang w:val="ru-RU"/>
        </w:rPr>
        <w:t xml:space="preserve">Говоря </w:t>
      </w:r>
      <w:r w:rsidRPr="00DA76A7">
        <w:rPr>
          <w:rFonts w:ascii="Arial" w:hAnsi="Arial" w:cs="Arial"/>
          <w:color w:val="000000" w:themeColor="text1"/>
          <w:lang w:val="ru-RU"/>
        </w:rPr>
        <w:t xml:space="preserve">о </w:t>
      </w:r>
      <w:r w:rsidRPr="00DA76A7">
        <w:rPr>
          <w:rFonts w:ascii="Arial" w:hAnsi="Arial" w:cs="Arial"/>
          <w:color w:val="000000" w:themeColor="text1"/>
          <w:spacing w:val="7"/>
          <w:lang w:val="ru-RU"/>
        </w:rPr>
        <w:t>субъектах,</w:t>
      </w:r>
      <w:r w:rsidRPr="00DA76A7">
        <w:rPr>
          <w:rFonts w:ascii="Arial" w:hAnsi="Arial" w:cs="Arial"/>
          <w:color w:val="000000" w:themeColor="text1"/>
          <w:spacing w:val="-30"/>
          <w:lang w:val="ru-RU"/>
        </w:rPr>
        <w:t xml:space="preserve"> </w:t>
      </w:r>
      <w:r w:rsidRPr="00DA76A7">
        <w:rPr>
          <w:rFonts w:ascii="Arial" w:hAnsi="Arial" w:cs="Arial"/>
          <w:color w:val="000000" w:themeColor="text1"/>
          <w:spacing w:val="7"/>
          <w:lang w:val="ru-RU"/>
        </w:rPr>
        <w:t>функционирую</w:t>
      </w:r>
      <w:r w:rsidRPr="00DA76A7">
        <w:rPr>
          <w:rFonts w:ascii="Arial" w:hAnsi="Arial" w:cs="Arial"/>
          <w:color w:val="000000" w:themeColor="text1"/>
          <w:spacing w:val="3"/>
          <w:lang w:val="ru-RU"/>
        </w:rPr>
        <w:t>щих</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2"/>
          <w:lang w:val="ru-RU"/>
        </w:rPr>
        <w:t>на</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4"/>
          <w:lang w:val="ru-RU"/>
        </w:rPr>
        <w:t>рынке</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4"/>
          <w:lang w:val="ru-RU"/>
        </w:rPr>
        <w:t>ипотечного</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5"/>
          <w:lang w:val="ru-RU"/>
        </w:rPr>
        <w:t>кредитова</w:t>
      </w:r>
      <w:r w:rsidRPr="00DA76A7">
        <w:rPr>
          <w:rFonts w:ascii="Arial" w:hAnsi="Arial" w:cs="Arial"/>
          <w:color w:val="000000" w:themeColor="text1"/>
          <w:lang w:val="ru-RU"/>
        </w:rPr>
        <w:t>ния,</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можно</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разделит</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четыре</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основные группы:</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заемщик,</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кредитор,</w:t>
      </w:r>
      <w:r w:rsidRPr="00DA76A7">
        <w:rPr>
          <w:rFonts w:ascii="Arial" w:hAnsi="Arial" w:cs="Arial"/>
          <w:color w:val="000000" w:themeColor="text1"/>
          <w:spacing w:val="-27"/>
          <w:lang w:val="ru-RU"/>
        </w:rPr>
        <w:t xml:space="preserve"> </w:t>
      </w:r>
      <w:r w:rsidRPr="00DA76A7">
        <w:rPr>
          <w:rFonts w:ascii="Arial" w:hAnsi="Arial" w:cs="Arial"/>
          <w:color w:val="000000" w:themeColor="text1"/>
          <w:lang w:val="ru-RU"/>
        </w:rPr>
        <w:t xml:space="preserve">инвестор, </w:t>
      </w:r>
      <w:r w:rsidRPr="00DA76A7">
        <w:rPr>
          <w:rFonts w:ascii="Arial" w:hAnsi="Arial" w:cs="Arial"/>
          <w:color w:val="000000" w:themeColor="text1"/>
          <w:w w:val="95"/>
          <w:lang w:val="ru-RU"/>
        </w:rPr>
        <w:t xml:space="preserve">правительство. Кроме того, существует </w:t>
      </w:r>
      <w:r w:rsidRPr="00DA76A7">
        <w:rPr>
          <w:rFonts w:ascii="Arial" w:hAnsi="Arial" w:cs="Arial"/>
          <w:color w:val="000000" w:themeColor="text1"/>
          <w:spacing w:val="5"/>
          <w:lang w:val="ru-RU"/>
        </w:rPr>
        <w:t>множество</w:t>
      </w:r>
      <w:r w:rsidRPr="00DA76A7">
        <w:rPr>
          <w:rFonts w:ascii="Arial" w:hAnsi="Arial" w:cs="Arial"/>
          <w:color w:val="000000" w:themeColor="text1"/>
          <w:spacing w:val="-23"/>
          <w:lang w:val="ru-RU"/>
        </w:rPr>
        <w:t xml:space="preserve"> </w:t>
      </w:r>
      <w:r w:rsidRPr="00DA76A7">
        <w:rPr>
          <w:rFonts w:ascii="Arial" w:hAnsi="Arial" w:cs="Arial"/>
          <w:color w:val="000000" w:themeColor="text1"/>
          <w:spacing w:val="5"/>
          <w:lang w:val="ru-RU"/>
        </w:rPr>
        <w:t>второстепенных</w:t>
      </w:r>
      <w:r w:rsidRPr="00DA76A7">
        <w:rPr>
          <w:rFonts w:ascii="Arial" w:hAnsi="Arial" w:cs="Arial"/>
          <w:color w:val="000000" w:themeColor="text1"/>
          <w:spacing w:val="-23"/>
          <w:lang w:val="ru-RU"/>
        </w:rPr>
        <w:t xml:space="preserve"> </w:t>
      </w:r>
      <w:r w:rsidRPr="00DA76A7">
        <w:rPr>
          <w:rFonts w:ascii="Arial" w:hAnsi="Arial" w:cs="Arial"/>
          <w:color w:val="000000" w:themeColor="text1"/>
          <w:spacing w:val="6"/>
          <w:lang w:val="ru-RU"/>
        </w:rPr>
        <w:t>участни</w:t>
      </w:r>
      <w:r w:rsidRPr="00DA76A7">
        <w:rPr>
          <w:rFonts w:ascii="Arial" w:hAnsi="Arial" w:cs="Arial"/>
          <w:color w:val="000000" w:themeColor="text1"/>
          <w:lang w:val="ru-RU"/>
        </w:rPr>
        <w:t>ков,</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к</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которым</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относятся:</w:t>
      </w:r>
    </w:p>
    <w:p w:rsidR="00181BA7" w:rsidRPr="00DA76A7" w:rsidRDefault="00181BA7" w:rsidP="00D45D6B">
      <w:pPr>
        <w:pStyle w:val="a6"/>
        <w:widowControl w:val="0"/>
        <w:numPr>
          <w:ilvl w:val="0"/>
          <w:numId w:val="91"/>
        </w:numPr>
        <w:tabs>
          <w:tab w:val="left" w:pos="29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продавцы</w:t>
      </w:r>
      <w:r w:rsidRPr="00DA76A7">
        <w:rPr>
          <w:rFonts w:ascii="Arial" w:hAnsi="Arial" w:cs="Arial"/>
          <w:color w:val="000000" w:themeColor="text1"/>
          <w:spacing w:val="-19"/>
        </w:rPr>
        <w:t xml:space="preserve"> </w:t>
      </w:r>
      <w:r w:rsidRPr="00DA76A7">
        <w:rPr>
          <w:rFonts w:ascii="Arial" w:hAnsi="Arial" w:cs="Arial"/>
          <w:color w:val="000000" w:themeColor="text1"/>
        </w:rPr>
        <w:t>недвижимости;</w:t>
      </w:r>
    </w:p>
    <w:p w:rsidR="00181BA7" w:rsidRPr="00DA76A7" w:rsidRDefault="00181BA7" w:rsidP="00D45D6B">
      <w:pPr>
        <w:pStyle w:val="a6"/>
        <w:widowControl w:val="0"/>
        <w:numPr>
          <w:ilvl w:val="0"/>
          <w:numId w:val="91"/>
        </w:numPr>
        <w:tabs>
          <w:tab w:val="left" w:pos="291"/>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регистрирующие органы</w:t>
      </w:r>
      <w:r w:rsidRPr="00DA76A7">
        <w:rPr>
          <w:rFonts w:ascii="Arial" w:hAnsi="Arial" w:cs="Arial"/>
          <w:color w:val="000000" w:themeColor="text1"/>
          <w:spacing w:val="-44"/>
        </w:rPr>
        <w:t xml:space="preserve">  </w:t>
      </w:r>
      <w:r w:rsidRPr="00DA76A7">
        <w:rPr>
          <w:rFonts w:ascii="Arial" w:hAnsi="Arial" w:cs="Arial"/>
          <w:color w:val="000000" w:themeColor="text1"/>
          <w:spacing w:val="-3"/>
        </w:rPr>
        <w:t>государственной власти</w:t>
      </w:r>
      <w:r w:rsidRPr="00DA76A7">
        <w:rPr>
          <w:rFonts w:ascii="Arial" w:hAnsi="Arial" w:cs="Arial"/>
          <w:color w:val="000000" w:themeColor="text1"/>
          <w:spacing w:val="-2"/>
        </w:rPr>
        <w:t>;</w:t>
      </w:r>
    </w:p>
    <w:p w:rsidR="00181BA7" w:rsidRPr="00DA76A7" w:rsidRDefault="00181BA7" w:rsidP="00D45D6B">
      <w:pPr>
        <w:pStyle w:val="a6"/>
        <w:widowControl w:val="0"/>
        <w:numPr>
          <w:ilvl w:val="0"/>
          <w:numId w:val="91"/>
        </w:numPr>
        <w:tabs>
          <w:tab w:val="left" w:pos="29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страховые</w:t>
      </w:r>
      <w:r w:rsidRPr="00DA76A7">
        <w:rPr>
          <w:rFonts w:ascii="Arial" w:hAnsi="Arial" w:cs="Arial"/>
          <w:color w:val="000000" w:themeColor="text1"/>
          <w:spacing w:val="-18"/>
        </w:rPr>
        <w:t xml:space="preserve"> </w:t>
      </w:r>
      <w:r w:rsidRPr="00DA76A7">
        <w:rPr>
          <w:rFonts w:ascii="Arial" w:hAnsi="Arial" w:cs="Arial"/>
          <w:color w:val="000000" w:themeColor="text1"/>
        </w:rPr>
        <w:t>компании;</w:t>
      </w:r>
    </w:p>
    <w:p w:rsidR="00181BA7" w:rsidRPr="00DA76A7" w:rsidRDefault="00181BA7" w:rsidP="00D45D6B">
      <w:pPr>
        <w:pStyle w:val="a6"/>
        <w:widowControl w:val="0"/>
        <w:numPr>
          <w:ilvl w:val="0"/>
          <w:numId w:val="91"/>
        </w:numPr>
        <w:tabs>
          <w:tab w:val="left" w:pos="29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оценщики;  </w:t>
      </w:r>
    </w:p>
    <w:p w:rsidR="00181BA7" w:rsidRPr="00DA76A7" w:rsidRDefault="00181BA7" w:rsidP="00D45D6B">
      <w:pPr>
        <w:pStyle w:val="a6"/>
        <w:widowControl w:val="0"/>
        <w:numPr>
          <w:ilvl w:val="0"/>
          <w:numId w:val="91"/>
        </w:numPr>
        <w:tabs>
          <w:tab w:val="left" w:pos="296"/>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риелторские</w:t>
      </w:r>
      <w:r w:rsidRPr="00DA76A7">
        <w:rPr>
          <w:rFonts w:ascii="Arial" w:hAnsi="Arial" w:cs="Arial"/>
          <w:color w:val="000000" w:themeColor="text1"/>
          <w:spacing w:val="-18"/>
        </w:rPr>
        <w:t xml:space="preserve"> </w:t>
      </w:r>
      <w:r w:rsidRPr="00DA76A7">
        <w:rPr>
          <w:rFonts w:ascii="Arial" w:hAnsi="Arial" w:cs="Arial"/>
          <w:color w:val="000000" w:themeColor="text1"/>
        </w:rPr>
        <w:t>фирмы.</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2"/>
          <w:lang w:val="ru-RU"/>
        </w:rPr>
        <w:t>Несмотря</w:t>
      </w:r>
      <w:r w:rsidRPr="00DA76A7">
        <w:rPr>
          <w:rFonts w:ascii="Arial" w:hAnsi="Arial" w:cs="Arial"/>
          <w:color w:val="000000" w:themeColor="text1"/>
          <w:spacing w:val="-23"/>
          <w:lang w:val="ru-RU"/>
        </w:rPr>
        <w:t xml:space="preserve"> </w:t>
      </w:r>
      <w:r w:rsidRPr="00DA76A7">
        <w:rPr>
          <w:rFonts w:ascii="Arial" w:hAnsi="Arial" w:cs="Arial"/>
          <w:color w:val="000000" w:themeColor="text1"/>
          <w:lang w:val="ru-RU"/>
        </w:rPr>
        <w:t>на</w:t>
      </w:r>
      <w:r w:rsidRPr="00DA76A7">
        <w:rPr>
          <w:rFonts w:ascii="Arial" w:hAnsi="Arial" w:cs="Arial"/>
          <w:color w:val="000000" w:themeColor="text1"/>
          <w:spacing w:val="-22"/>
          <w:lang w:val="ru-RU"/>
        </w:rPr>
        <w:t xml:space="preserve"> </w:t>
      </w:r>
      <w:r w:rsidRPr="00DA76A7">
        <w:rPr>
          <w:rFonts w:ascii="Arial" w:hAnsi="Arial" w:cs="Arial"/>
          <w:color w:val="000000" w:themeColor="text1"/>
          <w:lang w:val="ru-RU"/>
        </w:rPr>
        <w:t>то,</w:t>
      </w:r>
      <w:r w:rsidRPr="00DA76A7">
        <w:rPr>
          <w:rFonts w:ascii="Arial" w:hAnsi="Arial" w:cs="Arial"/>
          <w:color w:val="000000" w:themeColor="text1"/>
          <w:spacing w:val="-22"/>
          <w:lang w:val="ru-RU"/>
        </w:rPr>
        <w:t xml:space="preserve"> </w:t>
      </w:r>
      <w:r w:rsidRPr="00DA76A7">
        <w:rPr>
          <w:rFonts w:ascii="Arial" w:hAnsi="Arial" w:cs="Arial"/>
          <w:color w:val="000000" w:themeColor="text1"/>
          <w:lang w:val="ru-RU"/>
        </w:rPr>
        <w:t>что</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2"/>
          <w:lang w:val="ru-RU"/>
        </w:rPr>
        <w:t>ипотечный</w:t>
      </w:r>
      <w:r w:rsidRPr="00DA76A7">
        <w:rPr>
          <w:rFonts w:ascii="Arial" w:hAnsi="Arial" w:cs="Arial"/>
          <w:color w:val="000000" w:themeColor="text1"/>
          <w:spacing w:val="-22"/>
          <w:lang w:val="ru-RU"/>
        </w:rPr>
        <w:t xml:space="preserve"> </w:t>
      </w:r>
      <w:r w:rsidRPr="00DA76A7">
        <w:rPr>
          <w:rFonts w:ascii="Arial" w:hAnsi="Arial" w:cs="Arial"/>
          <w:color w:val="000000" w:themeColor="text1"/>
          <w:spacing w:val="3"/>
          <w:lang w:val="ru-RU"/>
        </w:rPr>
        <w:t xml:space="preserve">кредит </w:t>
      </w:r>
      <w:r w:rsidRPr="00DA76A7">
        <w:rPr>
          <w:rFonts w:ascii="Arial" w:hAnsi="Arial" w:cs="Arial"/>
          <w:color w:val="000000" w:themeColor="text1"/>
          <w:lang w:val="ru-RU"/>
        </w:rPr>
        <w:t xml:space="preserve">по </w:t>
      </w:r>
      <w:r w:rsidRPr="00DA76A7">
        <w:rPr>
          <w:rFonts w:ascii="Arial" w:hAnsi="Arial" w:cs="Arial"/>
          <w:color w:val="000000" w:themeColor="text1"/>
          <w:spacing w:val="2"/>
          <w:lang w:val="ru-RU"/>
        </w:rPr>
        <w:t xml:space="preserve">своими основными свойствами </w:t>
      </w:r>
      <w:r w:rsidRPr="00DA76A7">
        <w:rPr>
          <w:rFonts w:ascii="Arial" w:hAnsi="Arial" w:cs="Arial"/>
          <w:color w:val="000000" w:themeColor="text1"/>
          <w:spacing w:val="3"/>
          <w:lang w:val="ru-RU"/>
        </w:rPr>
        <w:t>имеет сходства</w:t>
      </w:r>
      <w:r w:rsidRPr="00DA76A7">
        <w:rPr>
          <w:rFonts w:ascii="Arial" w:hAnsi="Arial" w:cs="Arial"/>
          <w:color w:val="000000" w:themeColor="text1"/>
          <w:lang w:val="ru-RU"/>
        </w:rPr>
        <w:t xml:space="preserve"> с другими вида</w:t>
      </w:r>
      <w:r w:rsidRPr="00DA76A7">
        <w:rPr>
          <w:rFonts w:ascii="Arial" w:hAnsi="Arial" w:cs="Arial"/>
          <w:color w:val="000000" w:themeColor="text1"/>
          <w:spacing w:val="4"/>
          <w:lang w:val="ru-RU"/>
        </w:rPr>
        <w:t>ми</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7"/>
          <w:lang w:val="ru-RU"/>
        </w:rPr>
        <w:t>кредита,</w:t>
      </w:r>
      <w:r w:rsidRPr="00DA76A7">
        <w:rPr>
          <w:rFonts w:ascii="Arial" w:hAnsi="Arial" w:cs="Arial"/>
          <w:color w:val="000000" w:themeColor="text1"/>
          <w:spacing w:val="-13"/>
          <w:lang w:val="ru-RU"/>
        </w:rPr>
        <w:t xml:space="preserve"> </w:t>
      </w:r>
      <w:r w:rsidRPr="00DA76A7">
        <w:rPr>
          <w:rFonts w:ascii="Arial" w:hAnsi="Arial" w:cs="Arial"/>
          <w:color w:val="000000" w:themeColor="text1"/>
          <w:spacing w:val="6"/>
          <w:lang w:val="ru-RU"/>
        </w:rPr>
        <w:t>существует</w:t>
      </w:r>
      <w:r w:rsidRPr="00DA76A7">
        <w:rPr>
          <w:rFonts w:ascii="Arial" w:hAnsi="Arial" w:cs="Arial"/>
          <w:color w:val="000000" w:themeColor="text1"/>
          <w:spacing w:val="-14"/>
          <w:lang w:val="ru-RU"/>
        </w:rPr>
        <w:t xml:space="preserve"> </w:t>
      </w:r>
      <w:r w:rsidRPr="00DA76A7">
        <w:rPr>
          <w:rFonts w:ascii="Arial" w:hAnsi="Arial" w:cs="Arial"/>
          <w:color w:val="000000" w:themeColor="text1"/>
          <w:spacing w:val="5"/>
          <w:lang w:val="ru-RU"/>
        </w:rPr>
        <w:t>ряд</w:t>
      </w:r>
      <w:r w:rsidRPr="00DA76A7">
        <w:rPr>
          <w:rFonts w:ascii="Arial" w:hAnsi="Arial" w:cs="Arial"/>
          <w:color w:val="000000" w:themeColor="text1"/>
          <w:spacing w:val="-13"/>
          <w:lang w:val="ru-RU"/>
        </w:rPr>
        <w:t xml:space="preserve"> </w:t>
      </w:r>
      <w:r w:rsidRPr="00DA76A7">
        <w:rPr>
          <w:rFonts w:ascii="Arial" w:hAnsi="Arial" w:cs="Arial"/>
          <w:color w:val="000000" w:themeColor="text1"/>
          <w:spacing w:val="7"/>
          <w:lang w:val="ru-RU"/>
        </w:rPr>
        <w:t>отличи</w:t>
      </w:r>
      <w:r w:rsidRPr="00DA76A7">
        <w:rPr>
          <w:rFonts w:ascii="Arial" w:hAnsi="Arial" w:cs="Arial"/>
          <w:color w:val="000000" w:themeColor="text1"/>
          <w:lang w:val="ru-RU"/>
        </w:rPr>
        <w:t>тельных</w:t>
      </w:r>
      <w:r w:rsidRPr="00DA76A7">
        <w:rPr>
          <w:rFonts w:ascii="Arial" w:hAnsi="Arial" w:cs="Arial"/>
          <w:color w:val="000000" w:themeColor="text1"/>
          <w:spacing w:val="-19"/>
          <w:lang w:val="ru-RU"/>
        </w:rPr>
        <w:t xml:space="preserve"> </w:t>
      </w:r>
      <w:r w:rsidRPr="00DA76A7">
        <w:rPr>
          <w:rFonts w:ascii="Arial" w:hAnsi="Arial" w:cs="Arial"/>
          <w:color w:val="000000" w:themeColor="text1"/>
          <w:lang w:val="ru-RU"/>
        </w:rPr>
        <w:t>особенностей:</w:t>
      </w:r>
    </w:p>
    <w:p w:rsidR="00181BA7" w:rsidRPr="00DA76A7" w:rsidRDefault="00181BA7" w:rsidP="00D45D6B">
      <w:pPr>
        <w:pStyle w:val="a6"/>
        <w:widowControl w:val="0"/>
        <w:numPr>
          <w:ilvl w:val="0"/>
          <w:numId w:val="91"/>
        </w:numPr>
        <w:tabs>
          <w:tab w:val="left" w:pos="30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благодаря механизму ипотеки обес</w:t>
      </w:r>
      <w:r w:rsidRPr="00DA76A7">
        <w:rPr>
          <w:rFonts w:ascii="Arial" w:hAnsi="Arial" w:cs="Arial"/>
          <w:color w:val="000000" w:themeColor="text1"/>
          <w:spacing w:val="7"/>
        </w:rPr>
        <w:t>печивается дополнительная</w:t>
      </w:r>
      <w:r w:rsidRPr="00DA76A7">
        <w:rPr>
          <w:rFonts w:ascii="Arial" w:hAnsi="Arial" w:cs="Arial"/>
          <w:color w:val="000000" w:themeColor="text1"/>
          <w:spacing w:val="-24"/>
        </w:rPr>
        <w:t xml:space="preserve"> </w:t>
      </w:r>
      <w:r w:rsidRPr="00DA76A7">
        <w:rPr>
          <w:rFonts w:ascii="Arial" w:hAnsi="Arial" w:cs="Arial"/>
          <w:color w:val="000000" w:themeColor="text1"/>
          <w:spacing w:val="8"/>
        </w:rPr>
        <w:t xml:space="preserve">защита </w:t>
      </w:r>
      <w:r w:rsidRPr="00DA76A7">
        <w:rPr>
          <w:rFonts w:ascii="Arial" w:hAnsi="Arial" w:cs="Arial"/>
          <w:color w:val="000000" w:themeColor="text1"/>
        </w:rPr>
        <w:t>прав залогодержателя через систему государственной регистрации</w:t>
      </w:r>
      <w:r w:rsidRPr="00DA76A7">
        <w:rPr>
          <w:rFonts w:ascii="Arial" w:hAnsi="Arial" w:cs="Arial"/>
          <w:color w:val="000000" w:themeColor="text1"/>
          <w:spacing w:val="-40"/>
        </w:rPr>
        <w:t xml:space="preserve"> </w:t>
      </w:r>
      <w:r w:rsidRPr="00DA76A7">
        <w:rPr>
          <w:rFonts w:ascii="Arial" w:hAnsi="Arial" w:cs="Arial"/>
          <w:color w:val="000000" w:themeColor="text1"/>
        </w:rPr>
        <w:t>залога;</w:t>
      </w:r>
    </w:p>
    <w:p w:rsidR="00181BA7" w:rsidRPr="00DA76A7" w:rsidRDefault="00181BA7" w:rsidP="00D45D6B">
      <w:pPr>
        <w:pStyle w:val="a6"/>
        <w:widowControl w:val="0"/>
        <w:numPr>
          <w:ilvl w:val="0"/>
          <w:numId w:val="91"/>
        </w:numPr>
        <w:tabs>
          <w:tab w:val="left" w:pos="340"/>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spacing w:val="10"/>
        </w:rPr>
        <w:t xml:space="preserve">объект </w:t>
      </w:r>
      <w:r w:rsidRPr="00DA76A7">
        <w:rPr>
          <w:rFonts w:ascii="Arial" w:hAnsi="Arial" w:cs="Arial"/>
          <w:color w:val="000000" w:themeColor="text1"/>
          <w:spacing w:val="11"/>
        </w:rPr>
        <w:t xml:space="preserve">недвижимости </w:t>
      </w:r>
      <w:r w:rsidRPr="00DA76A7">
        <w:rPr>
          <w:rFonts w:ascii="Arial" w:hAnsi="Arial" w:cs="Arial"/>
          <w:color w:val="000000" w:themeColor="text1"/>
          <w:spacing w:val="13"/>
        </w:rPr>
        <w:t xml:space="preserve">способен сохранять </w:t>
      </w:r>
      <w:r w:rsidRPr="00DA76A7">
        <w:rPr>
          <w:rFonts w:ascii="Arial" w:hAnsi="Arial" w:cs="Arial"/>
          <w:color w:val="000000" w:themeColor="text1"/>
          <w:spacing w:val="11"/>
        </w:rPr>
        <w:t xml:space="preserve">свои </w:t>
      </w:r>
      <w:r w:rsidRPr="00DA76A7">
        <w:rPr>
          <w:rFonts w:ascii="Arial" w:hAnsi="Arial" w:cs="Arial"/>
          <w:color w:val="000000" w:themeColor="text1"/>
          <w:spacing w:val="15"/>
        </w:rPr>
        <w:t xml:space="preserve">потребительские </w:t>
      </w:r>
      <w:r w:rsidRPr="00DA76A7">
        <w:rPr>
          <w:rFonts w:ascii="Arial" w:hAnsi="Arial" w:cs="Arial"/>
          <w:color w:val="000000" w:themeColor="text1"/>
          <w:spacing w:val="3"/>
        </w:rPr>
        <w:t>свойства</w:t>
      </w:r>
      <w:r w:rsidRPr="00DA76A7">
        <w:rPr>
          <w:rFonts w:ascii="Arial" w:hAnsi="Arial" w:cs="Arial"/>
          <w:color w:val="000000" w:themeColor="text1"/>
          <w:spacing w:val="-18"/>
        </w:rPr>
        <w:t xml:space="preserve"> </w:t>
      </w:r>
      <w:r w:rsidRPr="00DA76A7">
        <w:rPr>
          <w:rFonts w:ascii="Arial" w:hAnsi="Arial" w:cs="Arial"/>
          <w:color w:val="000000" w:themeColor="text1"/>
        </w:rPr>
        <w:t>на</w:t>
      </w:r>
      <w:r w:rsidRPr="00DA76A7">
        <w:rPr>
          <w:rFonts w:ascii="Arial" w:hAnsi="Arial" w:cs="Arial"/>
          <w:color w:val="000000" w:themeColor="text1"/>
          <w:spacing w:val="-18"/>
        </w:rPr>
        <w:t xml:space="preserve"> </w:t>
      </w:r>
      <w:r w:rsidRPr="00DA76A7">
        <w:rPr>
          <w:rFonts w:ascii="Arial" w:hAnsi="Arial" w:cs="Arial"/>
          <w:color w:val="000000" w:themeColor="text1"/>
          <w:spacing w:val="3"/>
        </w:rPr>
        <w:t>протяжении</w:t>
      </w:r>
      <w:r w:rsidRPr="00DA76A7">
        <w:rPr>
          <w:rFonts w:ascii="Arial" w:hAnsi="Arial" w:cs="Arial"/>
          <w:color w:val="000000" w:themeColor="text1"/>
          <w:spacing w:val="-18"/>
        </w:rPr>
        <w:t xml:space="preserve"> </w:t>
      </w:r>
      <w:r w:rsidRPr="00DA76A7">
        <w:rPr>
          <w:rFonts w:ascii="Arial" w:hAnsi="Arial" w:cs="Arial"/>
          <w:color w:val="000000" w:themeColor="text1"/>
          <w:spacing w:val="4"/>
        </w:rPr>
        <w:t xml:space="preserve">длительного </w:t>
      </w:r>
      <w:r w:rsidRPr="00DA76A7">
        <w:rPr>
          <w:rFonts w:ascii="Arial" w:hAnsi="Arial" w:cs="Arial"/>
          <w:color w:val="000000" w:themeColor="text1"/>
        </w:rPr>
        <w:t>периода</w:t>
      </w:r>
      <w:r w:rsidRPr="00DA76A7">
        <w:rPr>
          <w:rFonts w:ascii="Arial" w:hAnsi="Arial" w:cs="Arial"/>
          <w:color w:val="000000" w:themeColor="text1"/>
          <w:spacing w:val="-17"/>
        </w:rPr>
        <w:t xml:space="preserve"> </w:t>
      </w:r>
      <w:r w:rsidRPr="00DA76A7">
        <w:rPr>
          <w:rFonts w:ascii="Arial" w:hAnsi="Arial" w:cs="Arial"/>
          <w:color w:val="000000" w:themeColor="text1"/>
        </w:rPr>
        <w:t>времени;</w:t>
      </w:r>
    </w:p>
    <w:p w:rsidR="00181BA7" w:rsidRPr="00DA76A7" w:rsidRDefault="00181BA7" w:rsidP="00D45D6B">
      <w:pPr>
        <w:pStyle w:val="a6"/>
        <w:widowControl w:val="0"/>
        <w:numPr>
          <w:ilvl w:val="0"/>
          <w:numId w:val="91"/>
        </w:numPr>
        <w:tabs>
          <w:tab w:val="left" w:pos="2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рыночные</w:t>
      </w:r>
      <w:r w:rsidRPr="00DA76A7">
        <w:rPr>
          <w:rFonts w:ascii="Arial" w:hAnsi="Arial" w:cs="Arial"/>
          <w:color w:val="000000" w:themeColor="text1"/>
          <w:spacing w:val="-36"/>
        </w:rPr>
        <w:t xml:space="preserve"> </w:t>
      </w:r>
      <w:r w:rsidRPr="00DA76A7">
        <w:rPr>
          <w:rFonts w:ascii="Arial" w:hAnsi="Arial" w:cs="Arial"/>
          <w:color w:val="000000" w:themeColor="text1"/>
        </w:rPr>
        <w:t>цены</w:t>
      </w:r>
      <w:r w:rsidRPr="00DA76A7">
        <w:rPr>
          <w:rFonts w:ascii="Arial" w:hAnsi="Arial" w:cs="Arial"/>
          <w:color w:val="000000" w:themeColor="text1"/>
          <w:spacing w:val="-36"/>
        </w:rPr>
        <w:t xml:space="preserve"> </w:t>
      </w:r>
      <w:r w:rsidRPr="00DA76A7">
        <w:rPr>
          <w:rFonts w:ascii="Arial" w:hAnsi="Arial" w:cs="Arial"/>
          <w:color w:val="000000" w:themeColor="text1"/>
        </w:rPr>
        <w:t>на</w:t>
      </w:r>
      <w:r w:rsidRPr="00DA76A7">
        <w:rPr>
          <w:rFonts w:ascii="Arial" w:hAnsi="Arial" w:cs="Arial"/>
          <w:color w:val="000000" w:themeColor="text1"/>
          <w:spacing w:val="-36"/>
        </w:rPr>
        <w:t xml:space="preserve"> </w:t>
      </w:r>
      <w:r w:rsidRPr="00DA76A7">
        <w:rPr>
          <w:rFonts w:ascii="Arial" w:hAnsi="Arial" w:cs="Arial"/>
          <w:color w:val="000000" w:themeColor="text1"/>
        </w:rPr>
        <w:t>все</w:t>
      </w:r>
      <w:r w:rsidRPr="00DA76A7">
        <w:rPr>
          <w:rFonts w:ascii="Arial" w:hAnsi="Arial" w:cs="Arial"/>
          <w:color w:val="000000" w:themeColor="text1"/>
          <w:spacing w:val="-36"/>
        </w:rPr>
        <w:t xml:space="preserve"> </w:t>
      </w:r>
      <w:r w:rsidRPr="00DA76A7">
        <w:rPr>
          <w:rFonts w:ascii="Arial" w:hAnsi="Arial" w:cs="Arial"/>
          <w:color w:val="000000" w:themeColor="text1"/>
        </w:rPr>
        <w:t>объекты</w:t>
      </w:r>
      <w:r w:rsidRPr="00DA76A7">
        <w:rPr>
          <w:rFonts w:ascii="Arial" w:hAnsi="Arial" w:cs="Arial"/>
          <w:color w:val="000000" w:themeColor="text1"/>
          <w:spacing w:val="-36"/>
        </w:rPr>
        <w:t xml:space="preserve"> </w:t>
      </w:r>
      <w:r w:rsidRPr="00DA76A7">
        <w:rPr>
          <w:rFonts w:ascii="Arial" w:hAnsi="Arial" w:cs="Arial"/>
          <w:color w:val="000000" w:themeColor="text1"/>
        </w:rPr>
        <w:t>недви</w:t>
      </w:r>
      <w:r w:rsidRPr="00DA76A7">
        <w:rPr>
          <w:rFonts w:ascii="Arial" w:hAnsi="Arial" w:cs="Arial"/>
          <w:color w:val="000000" w:themeColor="text1"/>
          <w:spacing w:val="3"/>
        </w:rPr>
        <w:t>жимости,</w:t>
      </w:r>
      <w:r w:rsidRPr="00DA76A7">
        <w:rPr>
          <w:rFonts w:ascii="Arial" w:hAnsi="Arial" w:cs="Arial"/>
          <w:color w:val="000000" w:themeColor="text1"/>
          <w:spacing w:val="-11"/>
        </w:rPr>
        <w:t xml:space="preserve"> </w:t>
      </w:r>
      <w:r w:rsidRPr="00DA76A7">
        <w:rPr>
          <w:rFonts w:ascii="Arial" w:hAnsi="Arial" w:cs="Arial"/>
          <w:color w:val="000000" w:themeColor="text1"/>
          <w:spacing w:val="2"/>
        </w:rPr>
        <w:t>как</w:t>
      </w:r>
      <w:r w:rsidRPr="00DA76A7">
        <w:rPr>
          <w:rFonts w:ascii="Arial" w:hAnsi="Arial" w:cs="Arial"/>
          <w:color w:val="000000" w:themeColor="text1"/>
          <w:spacing w:val="-10"/>
        </w:rPr>
        <w:t xml:space="preserve"> </w:t>
      </w:r>
      <w:r w:rsidRPr="00DA76A7">
        <w:rPr>
          <w:rFonts w:ascii="Arial" w:hAnsi="Arial" w:cs="Arial"/>
          <w:color w:val="000000" w:themeColor="text1"/>
          <w:spacing w:val="3"/>
        </w:rPr>
        <w:t>правило,</w:t>
      </w:r>
      <w:r w:rsidRPr="00DA76A7">
        <w:rPr>
          <w:rFonts w:ascii="Arial" w:hAnsi="Arial" w:cs="Arial"/>
          <w:color w:val="000000" w:themeColor="text1"/>
          <w:spacing w:val="-10"/>
        </w:rPr>
        <w:t xml:space="preserve"> </w:t>
      </w:r>
      <w:r w:rsidRPr="00DA76A7">
        <w:rPr>
          <w:rFonts w:ascii="Arial" w:hAnsi="Arial" w:cs="Arial"/>
          <w:color w:val="000000" w:themeColor="text1"/>
          <w:spacing w:val="3"/>
        </w:rPr>
        <w:t>растут</w:t>
      </w:r>
      <w:r w:rsidRPr="00DA76A7">
        <w:rPr>
          <w:rFonts w:ascii="Arial" w:hAnsi="Arial" w:cs="Arial"/>
          <w:color w:val="000000" w:themeColor="text1"/>
          <w:spacing w:val="-10"/>
        </w:rPr>
        <w:t xml:space="preserve"> </w:t>
      </w:r>
      <w:r w:rsidRPr="00DA76A7">
        <w:rPr>
          <w:rFonts w:ascii="Arial" w:hAnsi="Arial" w:cs="Arial"/>
          <w:color w:val="000000" w:themeColor="text1"/>
          <w:spacing w:val="4"/>
        </w:rPr>
        <w:t xml:space="preserve">опере- </w:t>
      </w:r>
      <w:r w:rsidRPr="00DA76A7">
        <w:rPr>
          <w:rFonts w:ascii="Arial" w:hAnsi="Arial" w:cs="Arial"/>
          <w:color w:val="000000" w:themeColor="text1"/>
        </w:rPr>
        <w:t>жающими</w:t>
      </w:r>
      <w:r w:rsidRPr="00DA76A7">
        <w:rPr>
          <w:rFonts w:ascii="Arial" w:hAnsi="Arial" w:cs="Arial"/>
          <w:color w:val="000000" w:themeColor="text1"/>
          <w:spacing w:val="-14"/>
        </w:rPr>
        <w:t xml:space="preserve"> </w:t>
      </w:r>
      <w:r w:rsidRPr="00DA76A7">
        <w:rPr>
          <w:rFonts w:ascii="Arial" w:hAnsi="Arial" w:cs="Arial"/>
          <w:color w:val="000000" w:themeColor="text1"/>
        </w:rPr>
        <w:t>темпами</w:t>
      </w:r>
      <w:r w:rsidRPr="00DA76A7">
        <w:rPr>
          <w:rFonts w:ascii="Arial" w:hAnsi="Arial" w:cs="Arial"/>
          <w:color w:val="000000" w:themeColor="text1"/>
          <w:spacing w:val="-13"/>
        </w:rPr>
        <w:t xml:space="preserve"> </w:t>
      </w:r>
      <w:r w:rsidRPr="00DA76A7">
        <w:rPr>
          <w:rFonts w:ascii="Arial" w:hAnsi="Arial" w:cs="Arial"/>
          <w:color w:val="000000" w:themeColor="text1"/>
        </w:rPr>
        <w:t>в</w:t>
      </w:r>
      <w:r w:rsidRPr="00DA76A7">
        <w:rPr>
          <w:rFonts w:ascii="Arial" w:hAnsi="Arial" w:cs="Arial"/>
          <w:color w:val="000000" w:themeColor="text1"/>
          <w:spacing w:val="-13"/>
        </w:rPr>
        <w:t xml:space="preserve"> </w:t>
      </w:r>
      <w:r w:rsidRPr="00DA76A7">
        <w:rPr>
          <w:rFonts w:ascii="Arial" w:hAnsi="Arial" w:cs="Arial"/>
          <w:color w:val="000000" w:themeColor="text1"/>
        </w:rPr>
        <w:t>сравнении</w:t>
      </w:r>
      <w:r w:rsidRPr="00DA76A7">
        <w:rPr>
          <w:rFonts w:ascii="Arial" w:hAnsi="Arial" w:cs="Arial"/>
          <w:color w:val="000000" w:themeColor="text1"/>
          <w:spacing w:val="-13"/>
        </w:rPr>
        <w:t xml:space="preserve"> </w:t>
      </w:r>
      <w:r w:rsidRPr="00DA76A7">
        <w:rPr>
          <w:rFonts w:ascii="Arial" w:hAnsi="Arial" w:cs="Arial"/>
          <w:color w:val="000000" w:themeColor="text1"/>
        </w:rPr>
        <w:t>с</w:t>
      </w:r>
      <w:r w:rsidRPr="00DA76A7">
        <w:rPr>
          <w:rFonts w:ascii="Arial" w:hAnsi="Arial" w:cs="Arial"/>
          <w:color w:val="000000" w:themeColor="text1"/>
          <w:spacing w:val="-13"/>
        </w:rPr>
        <w:t xml:space="preserve"> </w:t>
      </w:r>
      <w:r w:rsidRPr="00DA76A7">
        <w:rPr>
          <w:rFonts w:ascii="Arial" w:hAnsi="Arial" w:cs="Arial"/>
          <w:color w:val="000000" w:themeColor="text1"/>
        </w:rPr>
        <w:t>темпами инфляции</w:t>
      </w:r>
      <w:r w:rsidRPr="00DA76A7">
        <w:rPr>
          <w:rFonts w:ascii="Arial" w:hAnsi="Arial" w:cs="Arial"/>
          <w:color w:val="000000" w:themeColor="text1"/>
          <w:spacing w:val="-39"/>
        </w:rPr>
        <w:t xml:space="preserve"> </w:t>
      </w:r>
      <w:r w:rsidRPr="00DA76A7">
        <w:rPr>
          <w:rFonts w:ascii="Arial" w:hAnsi="Arial" w:cs="Arial"/>
          <w:color w:val="000000" w:themeColor="text1"/>
        </w:rPr>
        <w:t>[5. 45-48].</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spacing w:val="2"/>
          <w:lang w:val="ru-RU"/>
        </w:rPr>
        <w:t>Исходя</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из</w:t>
      </w:r>
      <w:r w:rsidRPr="00DA76A7">
        <w:rPr>
          <w:rFonts w:ascii="Arial" w:hAnsi="Arial" w:cs="Arial"/>
          <w:color w:val="000000" w:themeColor="text1"/>
          <w:spacing w:val="-29"/>
          <w:lang w:val="ru-RU"/>
        </w:rPr>
        <w:t xml:space="preserve"> </w:t>
      </w:r>
      <w:r w:rsidRPr="00DA76A7">
        <w:rPr>
          <w:rFonts w:ascii="Arial" w:hAnsi="Arial" w:cs="Arial"/>
          <w:color w:val="000000" w:themeColor="text1"/>
          <w:spacing w:val="2"/>
          <w:lang w:val="ru-RU"/>
        </w:rPr>
        <w:t>рассматриваемого вопроса,</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под</w:t>
      </w:r>
      <w:r w:rsidRPr="00DA76A7">
        <w:rPr>
          <w:rFonts w:ascii="Arial" w:hAnsi="Arial" w:cs="Arial"/>
          <w:color w:val="000000" w:themeColor="text1"/>
          <w:spacing w:val="-29"/>
          <w:lang w:val="ru-RU"/>
        </w:rPr>
        <w:t xml:space="preserve"> </w:t>
      </w:r>
      <w:r w:rsidRPr="00DA76A7">
        <w:rPr>
          <w:rFonts w:ascii="Arial" w:hAnsi="Arial" w:cs="Arial"/>
          <w:color w:val="000000" w:themeColor="text1"/>
          <w:spacing w:val="3"/>
          <w:lang w:val="ru-RU"/>
        </w:rPr>
        <w:t>ипо</w:t>
      </w:r>
      <w:r w:rsidRPr="00DA76A7">
        <w:rPr>
          <w:rFonts w:ascii="Arial" w:hAnsi="Arial" w:cs="Arial"/>
          <w:color w:val="000000" w:themeColor="text1"/>
          <w:w w:val="95"/>
          <w:lang w:val="ru-RU"/>
        </w:rPr>
        <w:t>течным</w:t>
      </w:r>
      <w:r w:rsidRPr="00DA76A7">
        <w:rPr>
          <w:rFonts w:ascii="Arial" w:hAnsi="Arial" w:cs="Arial"/>
          <w:color w:val="000000" w:themeColor="text1"/>
          <w:spacing w:val="-19"/>
          <w:w w:val="95"/>
          <w:lang w:val="ru-RU"/>
        </w:rPr>
        <w:t xml:space="preserve"> </w:t>
      </w:r>
      <w:r w:rsidRPr="00DA76A7">
        <w:rPr>
          <w:rFonts w:ascii="Arial" w:hAnsi="Arial" w:cs="Arial"/>
          <w:color w:val="000000" w:themeColor="text1"/>
          <w:w w:val="95"/>
          <w:lang w:val="ru-RU"/>
        </w:rPr>
        <w:t>кредитом</w:t>
      </w:r>
      <w:r w:rsidRPr="00DA76A7">
        <w:rPr>
          <w:rFonts w:ascii="Arial" w:hAnsi="Arial" w:cs="Arial"/>
          <w:color w:val="000000" w:themeColor="text1"/>
          <w:spacing w:val="-19"/>
          <w:w w:val="95"/>
          <w:lang w:val="ru-RU"/>
        </w:rPr>
        <w:t xml:space="preserve"> </w:t>
      </w:r>
      <w:r w:rsidRPr="00DA76A7">
        <w:rPr>
          <w:rFonts w:ascii="Arial" w:hAnsi="Arial" w:cs="Arial"/>
          <w:color w:val="000000" w:themeColor="text1"/>
          <w:spacing w:val="-3"/>
          <w:w w:val="95"/>
          <w:lang w:val="ru-RU"/>
        </w:rPr>
        <w:t>следует</w:t>
      </w:r>
      <w:r w:rsidRPr="00DA76A7">
        <w:rPr>
          <w:rFonts w:ascii="Arial" w:hAnsi="Arial" w:cs="Arial"/>
          <w:color w:val="000000" w:themeColor="text1"/>
          <w:spacing w:val="-19"/>
          <w:w w:val="95"/>
          <w:lang w:val="ru-RU"/>
        </w:rPr>
        <w:t xml:space="preserve"> </w:t>
      </w:r>
      <w:r w:rsidRPr="00DA76A7">
        <w:rPr>
          <w:rFonts w:ascii="Arial" w:hAnsi="Arial" w:cs="Arial"/>
          <w:color w:val="000000" w:themeColor="text1"/>
          <w:w w:val="95"/>
          <w:lang w:val="ru-RU"/>
        </w:rPr>
        <w:t xml:space="preserve">понимать - </w:t>
      </w:r>
      <w:r w:rsidRPr="00DA76A7">
        <w:rPr>
          <w:rFonts w:ascii="Arial" w:hAnsi="Arial" w:cs="Arial"/>
          <w:color w:val="000000" w:themeColor="text1"/>
          <w:spacing w:val="-19"/>
          <w:w w:val="95"/>
          <w:lang w:val="ru-RU"/>
        </w:rPr>
        <w:t xml:space="preserve"> </w:t>
      </w:r>
      <w:r w:rsidRPr="00DA76A7">
        <w:rPr>
          <w:rFonts w:ascii="Arial" w:hAnsi="Arial" w:cs="Arial"/>
          <w:color w:val="000000" w:themeColor="text1"/>
          <w:w w:val="95"/>
          <w:lang w:val="ru-RU"/>
        </w:rPr>
        <w:t>кре</w:t>
      </w:r>
      <w:r w:rsidRPr="00DA76A7">
        <w:rPr>
          <w:rFonts w:ascii="Arial" w:hAnsi="Arial" w:cs="Arial"/>
          <w:color w:val="000000" w:themeColor="text1"/>
          <w:spacing w:val="-4"/>
          <w:lang w:val="ru-RU"/>
        </w:rPr>
        <w:t>дит,</w:t>
      </w:r>
      <w:r w:rsidRPr="00DA76A7">
        <w:rPr>
          <w:rFonts w:ascii="Arial" w:hAnsi="Arial" w:cs="Arial"/>
          <w:color w:val="000000" w:themeColor="text1"/>
          <w:spacing w:val="-30"/>
          <w:lang w:val="ru-RU"/>
        </w:rPr>
        <w:t xml:space="preserve"> </w:t>
      </w:r>
      <w:r w:rsidRPr="00DA76A7">
        <w:rPr>
          <w:rFonts w:ascii="Arial" w:hAnsi="Arial" w:cs="Arial"/>
          <w:color w:val="000000" w:themeColor="text1"/>
          <w:lang w:val="ru-RU"/>
        </w:rPr>
        <w:t>обладающий</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всеми</w:t>
      </w:r>
      <w:r w:rsidRPr="00DA76A7">
        <w:rPr>
          <w:rFonts w:ascii="Arial" w:hAnsi="Arial" w:cs="Arial"/>
          <w:color w:val="000000" w:themeColor="text1"/>
          <w:spacing w:val="-29"/>
          <w:lang w:val="ru-RU"/>
        </w:rPr>
        <w:t xml:space="preserve"> </w:t>
      </w:r>
      <w:r w:rsidRPr="00DA76A7">
        <w:rPr>
          <w:rFonts w:ascii="Arial" w:hAnsi="Arial" w:cs="Arial"/>
          <w:color w:val="000000" w:themeColor="text1"/>
          <w:lang w:val="ru-RU"/>
        </w:rPr>
        <w:t>основными</w:t>
      </w:r>
      <w:r w:rsidRPr="00DA76A7">
        <w:rPr>
          <w:rFonts w:ascii="Arial" w:hAnsi="Arial" w:cs="Arial"/>
          <w:color w:val="000000" w:themeColor="text1"/>
          <w:spacing w:val="-30"/>
          <w:lang w:val="ru-RU"/>
        </w:rPr>
        <w:t xml:space="preserve"> </w:t>
      </w:r>
      <w:r w:rsidRPr="00DA76A7">
        <w:rPr>
          <w:rFonts w:ascii="Arial" w:hAnsi="Arial" w:cs="Arial"/>
          <w:color w:val="000000" w:themeColor="text1"/>
          <w:lang w:val="ru-RU"/>
        </w:rPr>
        <w:t xml:space="preserve">его </w:t>
      </w:r>
      <w:r w:rsidRPr="00DA76A7">
        <w:rPr>
          <w:rFonts w:ascii="Arial" w:hAnsi="Arial" w:cs="Arial"/>
          <w:color w:val="000000" w:themeColor="text1"/>
          <w:w w:val="95"/>
          <w:lang w:val="ru-RU"/>
        </w:rPr>
        <w:t>свойствами и характеристиками и</w:t>
      </w:r>
      <w:r w:rsidRPr="00DA76A7">
        <w:rPr>
          <w:rFonts w:ascii="Arial" w:hAnsi="Arial" w:cs="Arial"/>
          <w:color w:val="000000" w:themeColor="text1"/>
          <w:spacing w:val="-31"/>
          <w:w w:val="95"/>
          <w:lang w:val="ru-RU"/>
        </w:rPr>
        <w:t xml:space="preserve"> </w:t>
      </w:r>
      <w:r w:rsidRPr="00DA76A7">
        <w:rPr>
          <w:rFonts w:ascii="Arial" w:hAnsi="Arial" w:cs="Arial"/>
          <w:color w:val="000000" w:themeColor="text1"/>
          <w:w w:val="95"/>
          <w:lang w:val="ru-RU"/>
        </w:rPr>
        <w:t>отли</w:t>
      </w:r>
      <w:r w:rsidRPr="00DA76A7">
        <w:rPr>
          <w:rFonts w:ascii="Arial" w:hAnsi="Arial" w:cs="Arial"/>
          <w:color w:val="000000" w:themeColor="text1"/>
          <w:spacing w:val="4"/>
          <w:lang w:val="ru-RU"/>
        </w:rPr>
        <w:t>чающийся рядом особенностей,</w:t>
      </w:r>
      <w:r w:rsidRPr="00DA76A7">
        <w:rPr>
          <w:rFonts w:ascii="Arial" w:hAnsi="Arial" w:cs="Arial"/>
          <w:color w:val="000000" w:themeColor="text1"/>
          <w:spacing w:val="-15"/>
          <w:lang w:val="ru-RU"/>
        </w:rPr>
        <w:t xml:space="preserve"> </w:t>
      </w:r>
      <w:r w:rsidRPr="00DA76A7">
        <w:rPr>
          <w:rFonts w:ascii="Arial" w:hAnsi="Arial" w:cs="Arial"/>
          <w:color w:val="000000" w:themeColor="text1"/>
          <w:spacing w:val="5"/>
          <w:lang w:val="ru-RU"/>
        </w:rPr>
        <w:t>свя</w:t>
      </w:r>
      <w:r w:rsidRPr="00DA76A7">
        <w:rPr>
          <w:rFonts w:ascii="Arial" w:hAnsi="Arial" w:cs="Arial"/>
          <w:color w:val="000000" w:themeColor="text1"/>
          <w:lang w:val="ru-RU"/>
        </w:rPr>
        <w:t>занных</w:t>
      </w:r>
      <w:r w:rsidRPr="00DA76A7">
        <w:rPr>
          <w:rFonts w:ascii="Arial" w:hAnsi="Arial" w:cs="Arial"/>
          <w:color w:val="000000" w:themeColor="text1"/>
          <w:spacing w:val="-40"/>
          <w:lang w:val="ru-RU"/>
        </w:rPr>
        <w:t xml:space="preserve"> </w:t>
      </w:r>
      <w:r w:rsidRPr="00DA76A7">
        <w:rPr>
          <w:rFonts w:ascii="Arial" w:hAnsi="Arial" w:cs="Arial"/>
          <w:color w:val="000000" w:themeColor="text1"/>
          <w:lang w:val="ru-RU"/>
        </w:rPr>
        <w:t>с</w:t>
      </w:r>
      <w:r w:rsidRPr="00DA76A7">
        <w:rPr>
          <w:rFonts w:ascii="Arial" w:hAnsi="Arial" w:cs="Arial"/>
          <w:color w:val="000000" w:themeColor="text1"/>
          <w:spacing w:val="-40"/>
          <w:lang w:val="ru-RU"/>
        </w:rPr>
        <w:t xml:space="preserve"> </w:t>
      </w:r>
      <w:r w:rsidRPr="00DA76A7">
        <w:rPr>
          <w:rFonts w:ascii="Arial" w:hAnsi="Arial" w:cs="Arial"/>
          <w:color w:val="000000" w:themeColor="text1"/>
          <w:lang w:val="ru-RU"/>
        </w:rPr>
        <w:t>необходимостью</w:t>
      </w:r>
      <w:r w:rsidRPr="00DA76A7">
        <w:rPr>
          <w:rFonts w:ascii="Arial" w:hAnsi="Arial" w:cs="Arial"/>
          <w:color w:val="000000" w:themeColor="text1"/>
          <w:spacing w:val="-40"/>
          <w:lang w:val="ru-RU"/>
        </w:rPr>
        <w:t xml:space="preserve"> </w:t>
      </w:r>
      <w:r w:rsidRPr="00DA76A7">
        <w:rPr>
          <w:rFonts w:ascii="Arial" w:hAnsi="Arial" w:cs="Arial"/>
          <w:color w:val="000000" w:themeColor="text1"/>
          <w:lang w:val="ru-RU"/>
        </w:rPr>
        <w:t xml:space="preserve">обеспечения </w:t>
      </w:r>
      <w:r w:rsidRPr="00DA76A7">
        <w:rPr>
          <w:rFonts w:ascii="Arial" w:hAnsi="Arial" w:cs="Arial"/>
          <w:color w:val="000000" w:themeColor="text1"/>
          <w:spacing w:val="4"/>
          <w:lang w:val="ru-RU"/>
        </w:rPr>
        <w:t>дополнительной</w:t>
      </w:r>
      <w:r w:rsidRPr="00DA76A7">
        <w:rPr>
          <w:rFonts w:ascii="Arial" w:hAnsi="Arial" w:cs="Arial"/>
          <w:color w:val="000000" w:themeColor="text1"/>
          <w:spacing w:val="-26"/>
          <w:lang w:val="ru-RU"/>
        </w:rPr>
        <w:t xml:space="preserve"> </w:t>
      </w:r>
      <w:r w:rsidRPr="00DA76A7">
        <w:rPr>
          <w:rFonts w:ascii="Arial" w:hAnsi="Arial" w:cs="Arial"/>
          <w:color w:val="000000" w:themeColor="text1"/>
          <w:spacing w:val="4"/>
          <w:lang w:val="ru-RU"/>
        </w:rPr>
        <w:t>защиты</w:t>
      </w:r>
      <w:r w:rsidRPr="00DA76A7">
        <w:rPr>
          <w:rFonts w:ascii="Arial" w:hAnsi="Arial" w:cs="Arial"/>
          <w:color w:val="000000" w:themeColor="text1"/>
          <w:spacing w:val="-26"/>
          <w:lang w:val="ru-RU"/>
        </w:rPr>
        <w:t xml:space="preserve"> </w:t>
      </w:r>
      <w:r w:rsidRPr="00DA76A7">
        <w:rPr>
          <w:rFonts w:ascii="Arial" w:hAnsi="Arial" w:cs="Arial"/>
          <w:color w:val="000000" w:themeColor="text1"/>
          <w:spacing w:val="3"/>
          <w:lang w:val="ru-RU"/>
        </w:rPr>
        <w:t>прав</w:t>
      </w:r>
      <w:r w:rsidRPr="00DA76A7">
        <w:rPr>
          <w:rFonts w:ascii="Arial" w:hAnsi="Arial" w:cs="Arial"/>
          <w:color w:val="000000" w:themeColor="text1"/>
          <w:spacing w:val="-26"/>
          <w:lang w:val="ru-RU"/>
        </w:rPr>
        <w:t xml:space="preserve"> </w:t>
      </w:r>
      <w:r w:rsidRPr="00DA76A7">
        <w:rPr>
          <w:rFonts w:ascii="Arial" w:hAnsi="Arial" w:cs="Arial"/>
          <w:color w:val="000000" w:themeColor="text1"/>
          <w:spacing w:val="5"/>
          <w:lang w:val="ru-RU"/>
        </w:rPr>
        <w:t>залого</w:t>
      </w:r>
      <w:r w:rsidRPr="00DA76A7">
        <w:rPr>
          <w:rFonts w:ascii="Arial" w:hAnsi="Arial" w:cs="Arial"/>
          <w:color w:val="000000" w:themeColor="text1"/>
          <w:lang w:val="ru-RU"/>
        </w:rPr>
        <w:t>держателя</w:t>
      </w:r>
      <w:r w:rsidRPr="00DA76A7">
        <w:rPr>
          <w:rFonts w:ascii="Arial" w:hAnsi="Arial" w:cs="Arial"/>
          <w:color w:val="000000" w:themeColor="text1"/>
          <w:spacing w:val="-30"/>
          <w:lang w:val="ru-RU"/>
        </w:rPr>
        <w:t xml:space="preserve"> </w:t>
      </w:r>
      <w:r w:rsidRPr="00DA76A7">
        <w:rPr>
          <w:rFonts w:ascii="Arial" w:hAnsi="Arial" w:cs="Arial"/>
          <w:color w:val="000000" w:themeColor="text1"/>
          <w:lang w:val="ru-RU"/>
        </w:rPr>
        <w:t>посредством</w:t>
      </w:r>
      <w:r w:rsidRPr="00DA76A7">
        <w:rPr>
          <w:rFonts w:ascii="Arial" w:hAnsi="Arial" w:cs="Arial"/>
          <w:color w:val="000000" w:themeColor="text1"/>
          <w:spacing w:val="-30"/>
          <w:lang w:val="ru-RU"/>
        </w:rPr>
        <w:t xml:space="preserve"> </w:t>
      </w:r>
      <w:r w:rsidRPr="00DA76A7">
        <w:rPr>
          <w:rFonts w:ascii="Arial" w:hAnsi="Arial" w:cs="Arial"/>
          <w:color w:val="000000" w:themeColor="text1"/>
          <w:lang w:val="ru-RU"/>
        </w:rPr>
        <w:t>государственной регистрации залога и его способ</w:t>
      </w:r>
      <w:r w:rsidRPr="00DA76A7">
        <w:rPr>
          <w:rFonts w:ascii="Arial" w:hAnsi="Arial" w:cs="Arial"/>
          <w:color w:val="000000" w:themeColor="text1"/>
          <w:w w:val="95"/>
          <w:lang w:val="ru-RU"/>
        </w:rPr>
        <w:t>ностью</w:t>
      </w:r>
      <w:r w:rsidRPr="00DA76A7">
        <w:rPr>
          <w:rFonts w:ascii="Arial" w:hAnsi="Arial" w:cs="Arial"/>
          <w:color w:val="000000" w:themeColor="text1"/>
          <w:spacing w:val="-25"/>
          <w:w w:val="95"/>
          <w:lang w:val="ru-RU"/>
        </w:rPr>
        <w:t xml:space="preserve"> </w:t>
      </w:r>
      <w:r w:rsidRPr="00DA76A7">
        <w:rPr>
          <w:rFonts w:ascii="Arial" w:hAnsi="Arial" w:cs="Arial"/>
          <w:color w:val="000000" w:themeColor="text1"/>
          <w:w w:val="95"/>
          <w:lang w:val="ru-RU"/>
        </w:rPr>
        <w:t>сохранять</w:t>
      </w:r>
      <w:r w:rsidRPr="00DA76A7">
        <w:rPr>
          <w:rFonts w:ascii="Arial" w:hAnsi="Arial" w:cs="Arial"/>
          <w:color w:val="000000" w:themeColor="text1"/>
          <w:spacing w:val="-25"/>
          <w:w w:val="95"/>
          <w:lang w:val="ru-RU"/>
        </w:rPr>
        <w:t xml:space="preserve"> </w:t>
      </w:r>
      <w:r w:rsidRPr="00DA76A7">
        <w:rPr>
          <w:rFonts w:ascii="Arial" w:hAnsi="Arial" w:cs="Arial"/>
          <w:color w:val="000000" w:themeColor="text1"/>
          <w:w w:val="95"/>
          <w:lang w:val="ru-RU"/>
        </w:rPr>
        <w:t>в</w:t>
      </w:r>
      <w:r w:rsidRPr="00DA76A7">
        <w:rPr>
          <w:rFonts w:ascii="Arial" w:hAnsi="Arial" w:cs="Arial"/>
          <w:color w:val="000000" w:themeColor="text1"/>
          <w:spacing w:val="-24"/>
          <w:w w:val="95"/>
          <w:lang w:val="ru-RU"/>
        </w:rPr>
        <w:t xml:space="preserve"> </w:t>
      </w:r>
      <w:r w:rsidRPr="00DA76A7">
        <w:rPr>
          <w:rFonts w:ascii="Arial" w:hAnsi="Arial" w:cs="Arial"/>
          <w:color w:val="000000" w:themeColor="text1"/>
          <w:w w:val="95"/>
          <w:lang w:val="ru-RU"/>
        </w:rPr>
        <w:t>течение</w:t>
      </w:r>
      <w:r w:rsidRPr="00DA76A7">
        <w:rPr>
          <w:rFonts w:ascii="Arial" w:hAnsi="Arial" w:cs="Arial"/>
          <w:color w:val="000000" w:themeColor="text1"/>
          <w:spacing w:val="-25"/>
          <w:w w:val="95"/>
          <w:lang w:val="ru-RU"/>
        </w:rPr>
        <w:t xml:space="preserve"> </w:t>
      </w:r>
      <w:r w:rsidRPr="00DA76A7">
        <w:rPr>
          <w:rFonts w:ascii="Arial" w:hAnsi="Arial" w:cs="Arial"/>
          <w:color w:val="000000" w:themeColor="text1"/>
          <w:w w:val="95"/>
          <w:lang w:val="ru-RU"/>
        </w:rPr>
        <w:t xml:space="preserve">длительного </w:t>
      </w:r>
      <w:r w:rsidRPr="00DA76A7">
        <w:rPr>
          <w:rFonts w:ascii="Arial" w:hAnsi="Arial" w:cs="Arial"/>
          <w:color w:val="000000" w:themeColor="text1"/>
          <w:lang w:val="ru-RU"/>
        </w:rPr>
        <w:t>срока потребительские свойства объекта</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недвижимости</w:t>
      </w:r>
      <w:r w:rsidRPr="00DA76A7">
        <w:rPr>
          <w:rFonts w:ascii="Arial" w:hAnsi="Arial" w:cs="Arial"/>
          <w:color w:val="000000" w:themeColor="text1"/>
          <w:spacing w:val="-28"/>
          <w:lang w:val="ru-RU"/>
        </w:rPr>
        <w:t xml:space="preserve"> </w:t>
      </w:r>
      <w:r w:rsidRPr="00DA76A7">
        <w:rPr>
          <w:rFonts w:ascii="Arial" w:hAnsi="Arial" w:cs="Arial"/>
          <w:color w:val="000000" w:themeColor="text1"/>
          <w:lang w:val="ru-RU"/>
        </w:rPr>
        <w:t>(ипотеки).</w:t>
      </w:r>
    </w:p>
    <w:p w:rsidR="00181BA7" w:rsidRPr="00DA76A7" w:rsidRDefault="00181BA7" w:rsidP="00181BA7">
      <w:pPr>
        <w:pStyle w:val="a9"/>
        <w:ind w:firstLine="567"/>
        <w:rPr>
          <w:rFonts w:ascii="Arial" w:hAnsi="Arial" w:cs="Arial"/>
          <w:color w:val="000000" w:themeColor="text1"/>
          <w:lang w:val="ru-RU"/>
        </w:rPr>
      </w:pPr>
      <w:r w:rsidRPr="00DA76A7">
        <w:rPr>
          <w:rFonts w:ascii="Arial" w:hAnsi="Arial" w:cs="Arial"/>
          <w:color w:val="000000" w:themeColor="text1"/>
          <w:lang w:val="ru-RU"/>
        </w:rPr>
        <w:t>В</w:t>
      </w:r>
      <w:r w:rsidRPr="00DA76A7">
        <w:rPr>
          <w:rFonts w:ascii="Arial" w:hAnsi="Arial" w:cs="Arial"/>
          <w:color w:val="000000" w:themeColor="text1"/>
          <w:spacing w:val="-14"/>
          <w:lang w:val="ru-RU"/>
        </w:rPr>
        <w:t xml:space="preserve"> </w:t>
      </w:r>
      <w:r w:rsidRPr="00DA76A7">
        <w:rPr>
          <w:rFonts w:ascii="Arial" w:hAnsi="Arial" w:cs="Arial"/>
          <w:color w:val="000000" w:themeColor="text1"/>
          <w:lang w:val="ru-RU"/>
        </w:rPr>
        <w:t>современном</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мире</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ипотека</w:t>
      </w:r>
      <w:r w:rsidRPr="00DA76A7">
        <w:rPr>
          <w:rFonts w:ascii="Arial" w:hAnsi="Arial" w:cs="Arial"/>
          <w:color w:val="000000" w:themeColor="text1"/>
          <w:spacing w:val="-13"/>
          <w:lang w:val="ru-RU"/>
        </w:rPr>
        <w:t xml:space="preserve"> </w:t>
      </w:r>
      <w:r w:rsidRPr="00DA76A7">
        <w:rPr>
          <w:rFonts w:ascii="Arial" w:hAnsi="Arial" w:cs="Arial"/>
          <w:color w:val="000000" w:themeColor="text1"/>
          <w:lang w:val="ru-RU"/>
        </w:rPr>
        <w:t>остается одной из юридических форм имущественного обес</w:t>
      </w:r>
      <w:r w:rsidRPr="00DA76A7">
        <w:rPr>
          <w:rFonts w:ascii="Arial" w:hAnsi="Arial" w:cs="Arial"/>
          <w:color w:val="000000" w:themeColor="text1"/>
          <w:spacing w:val="4"/>
          <w:lang w:val="ru-RU"/>
        </w:rPr>
        <w:t>печения</w:t>
      </w:r>
      <w:r w:rsidRPr="00DA76A7">
        <w:rPr>
          <w:rFonts w:ascii="Arial" w:hAnsi="Arial" w:cs="Arial"/>
          <w:color w:val="000000" w:themeColor="text1"/>
          <w:spacing w:val="-24"/>
          <w:lang w:val="ru-RU"/>
        </w:rPr>
        <w:t xml:space="preserve"> </w:t>
      </w:r>
      <w:r w:rsidRPr="00DA76A7">
        <w:rPr>
          <w:rFonts w:ascii="Arial" w:hAnsi="Arial" w:cs="Arial"/>
          <w:color w:val="000000" w:themeColor="text1"/>
          <w:lang w:val="ru-RU"/>
        </w:rPr>
        <w:t xml:space="preserve">исполнения </w:t>
      </w:r>
      <w:r w:rsidRPr="00DA76A7">
        <w:rPr>
          <w:rFonts w:ascii="Arial" w:hAnsi="Arial" w:cs="Arial"/>
          <w:color w:val="000000" w:themeColor="text1"/>
          <w:spacing w:val="4"/>
          <w:lang w:val="ru-RU"/>
        </w:rPr>
        <w:t>обязательств</w:t>
      </w:r>
      <w:r w:rsidRPr="00DA76A7">
        <w:rPr>
          <w:rFonts w:ascii="Arial" w:hAnsi="Arial" w:cs="Arial"/>
          <w:color w:val="000000" w:themeColor="text1"/>
          <w:spacing w:val="-24"/>
          <w:lang w:val="ru-RU"/>
        </w:rPr>
        <w:t xml:space="preserve"> </w:t>
      </w:r>
      <w:r w:rsidRPr="00DA76A7">
        <w:rPr>
          <w:rFonts w:ascii="Arial" w:hAnsi="Arial" w:cs="Arial"/>
          <w:color w:val="000000" w:themeColor="text1"/>
          <w:spacing w:val="4"/>
          <w:lang w:val="ru-RU"/>
        </w:rPr>
        <w:t>должника,</w:t>
      </w:r>
      <w:r w:rsidRPr="00DA76A7">
        <w:rPr>
          <w:rFonts w:ascii="Arial" w:hAnsi="Arial" w:cs="Arial"/>
          <w:color w:val="000000" w:themeColor="text1"/>
          <w:spacing w:val="-24"/>
          <w:lang w:val="ru-RU"/>
        </w:rPr>
        <w:t xml:space="preserve"> </w:t>
      </w:r>
      <w:r w:rsidRPr="00DA76A7">
        <w:rPr>
          <w:rFonts w:ascii="Arial" w:hAnsi="Arial" w:cs="Arial"/>
          <w:color w:val="000000" w:themeColor="text1"/>
          <w:spacing w:val="5"/>
          <w:lang w:val="ru-RU"/>
        </w:rPr>
        <w:t xml:space="preserve">при </w:t>
      </w:r>
      <w:r w:rsidRPr="00DA76A7">
        <w:rPr>
          <w:rFonts w:ascii="Arial" w:hAnsi="Arial" w:cs="Arial"/>
          <w:color w:val="000000" w:themeColor="text1"/>
          <w:lang w:val="ru-RU"/>
        </w:rPr>
        <w:t>которой недвижимое имущество</w:t>
      </w:r>
      <w:r w:rsidRPr="00DA76A7">
        <w:rPr>
          <w:rFonts w:ascii="Arial" w:hAnsi="Arial" w:cs="Arial"/>
          <w:color w:val="000000" w:themeColor="text1"/>
          <w:spacing w:val="-37"/>
          <w:lang w:val="ru-RU"/>
        </w:rPr>
        <w:t xml:space="preserve"> </w:t>
      </w:r>
      <w:r w:rsidRPr="00DA76A7">
        <w:rPr>
          <w:rFonts w:ascii="Arial" w:hAnsi="Arial" w:cs="Arial"/>
          <w:color w:val="000000" w:themeColor="text1"/>
          <w:lang w:val="ru-RU"/>
        </w:rPr>
        <w:t>остается</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в</w:t>
      </w:r>
      <w:r w:rsidRPr="00DA76A7">
        <w:rPr>
          <w:rFonts w:ascii="Arial" w:hAnsi="Arial" w:cs="Arial"/>
          <w:color w:val="000000" w:themeColor="text1"/>
          <w:spacing w:val="-21"/>
          <w:lang w:val="ru-RU"/>
        </w:rPr>
        <w:t xml:space="preserve">о   </w:t>
      </w:r>
      <w:r w:rsidRPr="00DA76A7">
        <w:rPr>
          <w:rFonts w:ascii="Arial" w:hAnsi="Arial" w:cs="Arial"/>
          <w:color w:val="000000" w:themeColor="text1"/>
          <w:lang w:val="ru-RU"/>
        </w:rPr>
        <w:t>владения и пользования должника,</w:t>
      </w:r>
      <w:r w:rsidRPr="00DA76A7">
        <w:rPr>
          <w:rFonts w:ascii="Arial" w:hAnsi="Arial" w:cs="Arial"/>
          <w:color w:val="000000" w:themeColor="text1"/>
          <w:spacing w:val="-20"/>
          <w:lang w:val="ru-RU"/>
        </w:rPr>
        <w:t xml:space="preserve"> </w:t>
      </w:r>
      <w:r w:rsidRPr="00DA76A7">
        <w:rPr>
          <w:rFonts w:ascii="Arial" w:hAnsi="Arial" w:cs="Arial"/>
          <w:color w:val="000000" w:themeColor="text1"/>
          <w:lang w:val="ru-RU"/>
        </w:rPr>
        <w:t>а</w:t>
      </w:r>
      <w:r w:rsidRPr="00DA76A7">
        <w:rPr>
          <w:rFonts w:ascii="Arial" w:hAnsi="Arial" w:cs="Arial"/>
          <w:color w:val="000000" w:themeColor="text1"/>
          <w:spacing w:val="-21"/>
          <w:lang w:val="ru-RU"/>
        </w:rPr>
        <w:t xml:space="preserve"> </w:t>
      </w:r>
      <w:r w:rsidRPr="00DA76A7">
        <w:rPr>
          <w:rFonts w:ascii="Arial" w:hAnsi="Arial" w:cs="Arial"/>
          <w:color w:val="000000" w:themeColor="text1"/>
          <w:lang w:val="ru-RU"/>
        </w:rPr>
        <w:t>кредитор в случае невыполнения</w:t>
      </w:r>
      <w:r w:rsidRPr="00DA76A7">
        <w:rPr>
          <w:rFonts w:ascii="Arial" w:hAnsi="Arial" w:cs="Arial"/>
          <w:color w:val="000000" w:themeColor="text1"/>
          <w:spacing w:val="-36"/>
          <w:lang w:val="ru-RU"/>
        </w:rPr>
        <w:t xml:space="preserve"> </w:t>
      </w:r>
      <w:r w:rsidRPr="00DA76A7">
        <w:rPr>
          <w:rFonts w:ascii="Arial" w:hAnsi="Arial" w:cs="Arial"/>
          <w:color w:val="000000" w:themeColor="text1"/>
          <w:lang w:val="ru-RU"/>
        </w:rPr>
        <w:t>последним</w:t>
      </w:r>
      <w:r w:rsidRPr="00DA76A7">
        <w:rPr>
          <w:rFonts w:ascii="Arial" w:hAnsi="Arial" w:cs="Arial"/>
          <w:color w:val="000000" w:themeColor="text1"/>
          <w:spacing w:val="-27"/>
          <w:lang w:val="ru-RU"/>
        </w:rPr>
        <w:t xml:space="preserve"> </w:t>
      </w:r>
      <w:r w:rsidRPr="00DA76A7">
        <w:rPr>
          <w:rFonts w:ascii="Arial" w:hAnsi="Arial" w:cs="Arial"/>
          <w:color w:val="000000" w:themeColor="text1"/>
          <w:lang w:val="ru-RU"/>
        </w:rPr>
        <w:t>своего</w:t>
      </w:r>
      <w:r w:rsidRPr="00DA76A7">
        <w:rPr>
          <w:rFonts w:ascii="Arial" w:hAnsi="Arial" w:cs="Arial"/>
          <w:color w:val="000000" w:themeColor="text1"/>
          <w:spacing w:val="-27"/>
          <w:lang w:val="ru-RU"/>
        </w:rPr>
        <w:t xml:space="preserve"> </w:t>
      </w:r>
      <w:r w:rsidRPr="00DA76A7">
        <w:rPr>
          <w:rFonts w:ascii="Arial" w:hAnsi="Arial" w:cs="Arial"/>
          <w:color w:val="000000" w:themeColor="text1"/>
          <w:lang w:val="ru-RU"/>
        </w:rPr>
        <w:t>обязательства</w:t>
      </w:r>
      <w:r w:rsidRPr="00DA76A7">
        <w:rPr>
          <w:rFonts w:ascii="Arial" w:hAnsi="Arial" w:cs="Arial"/>
          <w:color w:val="000000" w:themeColor="text1"/>
          <w:spacing w:val="-27"/>
          <w:lang w:val="ru-RU"/>
        </w:rPr>
        <w:t xml:space="preserve"> </w:t>
      </w:r>
      <w:r w:rsidRPr="00DA76A7">
        <w:rPr>
          <w:rFonts w:ascii="Arial" w:hAnsi="Arial" w:cs="Arial"/>
          <w:color w:val="000000" w:themeColor="text1"/>
          <w:lang w:val="ru-RU"/>
        </w:rPr>
        <w:t>приобретает право</w:t>
      </w:r>
      <w:r w:rsidRPr="00DA76A7">
        <w:rPr>
          <w:rFonts w:ascii="Arial" w:hAnsi="Arial" w:cs="Arial"/>
          <w:color w:val="000000" w:themeColor="text1"/>
          <w:spacing w:val="-36"/>
          <w:lang w:val="ru-RU"/>
        </w:rPr>
        <w:t xml:space="preserve"> </w:t>
      </w:r>
      <w:r w:rsidRPr="00DA76A7">
        <w:rPr>
          <w:rFonts w:ascii="Arial" w:hAnsi="Arial" w:cs="Arial"/>
          <w:color w:val="000000" w:themeColor="text1"/>
          <w:lang w:val="ru-RU"/>
        </w:rPr>
        <w:t>на реализации данного</w:t>
      </w:r>
      <w:r w:rsidRPr="00DA76A7">
        <w:rPr>
          <w:rFonts w:ascii="Arial" w:hAnsi="Arial" w:cs="Arial"/>
          <w:color w:val="000000" w:themeColor="text1"/>
          <w:spacing w:val="-35"/>
          <w:lang w:val="ru-RU"/>
        </w:rPr>
        <w:t xml:space="preserve"> </w:t>
      </w:r>
      <w:r w:rsidRPr="00DA76A7">
        <w:rPr>
          <w:rFonts w:ascii="Arial" w:hAnsi="Arial" w:cs="Arial"/>
          <w:color w:val="000000" w:themeColor="text1"/>
          <w:lang w:val="ru-RU"/>
        </w:rPr>
        <w:t xml:space="preserve">имущества.  </w:t>
      </w:r>
    </w:p>
    <w:p w:rsidR="00181BA7" w:rsidRPr="00DA76A7" w:rsidRDefault="00181BA7" w:rsidP="00181BA7">
      <w:pPr>
        <w:pStyle w:val="a9"/>
        <w:ind w:firstLine="567"/>
        <w:rPr>
          <w:rFonts w:ascii="Arial" w:hAnsi="Arial" w:cs="Arial"/>
          <w:color w:val="000000" w:themeColor="text1"/>
          <w:lang w:val="ru-RU"/>
        </w:rPr>
      </w:pPr>
    </w:p>
    <w:p w:rsidR="00181BA7" w:rsidRPr="00DA76A7" w:rsidRDefault="00181BA7" w:rsidP="00181BA7">
      <w:pPr>
        <w:tabs>
          <w:tab w:val="left" w:pos="778"/>
          <w:tab w:val="left" w:pos="851"/>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9"/>
        <w:numPr>
          <w:ilvl w:val="0"/>
          <w:numId w:val="111"/>
        </w:numPr>
        <w:tabs>
          <w:tab w:val="left" w:pos="851"/>
          <w:tab w:val="left" w:pos="993"/>
        </w:tabs>
        <w:autoSpaceDE/>
        <w:autoSpaceDN/>
        <w:ind w:left="0" w:firstLine="567"/>
        <w:rPr>
          <w:rStyle w:val="ab"/>
          <w:rFonts w:ascii="Arial" w:eastAsia="Calibri" w:hAnsi="Arial" w:cs="Arial"/>
          <w:b w:val="0"/>
          <w:color w:val="000000" w:themeColor="text1"/>
          <w:lang w:val="ru-RU"/>
        </w:rPr>
      </w:pPr>
      <w:r w:rsidRPr="00DA76A7">
        <w:rPr>
          <w:rStyle w:val="ab"/>
          <w:rFonts w:ascii="Arial" w:eastAsia="Calibri" w:hAnsi="Arial" w:cs="Arial"/>
          <w:b w:val="0"/>
          <w:color w:val="000000" w:themeColor="text1"/>
          <w:lang w:val="ru-RU"/>
        </w:rPr>
        <w:t xml:space="preserve">Большая советская энциклопедия. – М.: Советская энциклопедия, 1976. - Т. 24. Кн. </w:t>
      </w:r>
      <w:r w:rsidRPr="00DA76A7">
        <w:rPr>
          <w:rStyle w:val="ab"/>
          <w:rFonts w:ascii="Arial" w:eastAsia="Calibri" w:hAnsi="Arial" w:cs="Arial"/>
          <w:b w:val="0"/>
          <w:color w:val="000000" w:themeColor="text1"/>
        </w:rPr>
        <w:t>I</w:t>
      </w:r>
      <w:r w:rsidRPr="00DA76A7">
        <w:rPr>
          <w:rStyle w:val="ab"/>
          <w:rFonts w:ascii="Arial" w:eastAsia="Calibri" w:hAnsi="Arial" w:cs="Arial"/>
          <w:b w:val="0"/>
          <w:color w:val="000000" w:themeColor="text1"/>
          <w:lang w:val="ru-RU"/>
        </w:rPr>
        <w:t>. – 960 с.</w:t>
      </w:r>
    </w:p>
    <w:p w:rsidR="00181BA7" w:rsidRPr="00DA76A7" w:rsidRDefault="00181BA7" w:rsidP="00D45D6B">
      <w:pPr>
        <w:pStyle w:val="a9"/>
        <w:numPr>
          <w:ilvl w:val="0"/>
          <w:numId w:val="111"/>
        </w:numPr>
        <w:tabs>
          <w:tab w:val="left" w:pos="851"/>
          <w:tab w:val="left" w:pos="993"/>
        </w:tabs>
        <w:autoSpaceDE/>
        <w:autoSpaceDN/>
        <w:ind w:left="0" w:firstLine="567"/>
        <w:rPr>
          <w:rStyle w:val="ab"/>
          <w:rFonts w:ascii="Arial" w:eastAsia="Calibri" w:hAnsi="Arial" w:cs="Arial"/>
          <w:b w:val="0"/>
          <w:color w:val="000000" w:themeColor="text1"/>
          <w:lang w:val="ru-RU"/>
        </w:rPr>
      </w:pPr>
      <w:r w:rsidRPr="00DA76A7">
        <w:rPr>
          <w:rStyle w:val="ab"/>
          <w:rFonts w:ascii="Arial" w:eastAsia="Calibri" w:hAnsi="Arial" w:cs="Arial"/>
          <w:b w:val="0"/>
          <w:color w:val="000000" w:themeColor="text1"/>
          <w:lang w:val="ru-RU"/>
        </w:rPr>
        <w:t xml:space="preserve">Грудцына Л.Ю., Козлова М.Н. Ипотека. Кредит. Комментарий жилищного законо- дательства. – М.: Эксмо, 2006. – 198 с. </w:t>
      </w:r>
    </w:p>
    <w:p w:rsidR="00181BA7" w:rsidRPr="00DA76A7" w:rsidRDefault="00181BA7" w:rsidP="00D45D6B">
      <w:pPr>
        <w:pStyle w:val="a9"/>
        <w:numPr>
          <w:ilvl w:val="0"/>
          <w:numId w:val="111"/>
        </w:numPr>
        <w:tabs>
          <w:tab w:val="left" w:pos="851"/>
          <w:tab w:val="left" w:pos="993"/>
        </w:tabs>
        <w:autoSpaceDE/>
        <w:autoSpaceDN/>
        <w:ind w:left="0" w:firstLine="567"/>
        <w:rPr>
          <w:rStyle w:val="ab"/>
          <w:rFonts w:ascii="Arial" w:eastAsia="Calibri" w:hAnsi="Arial" w:cs="Arial"/>
          <w:b w:val="0"/>
          <w:color w:val="000000" w:themeColor="text1"/>
          <w:lang w:val="ru-RU"/>
        </w:rPr>
      </w:pPr>
      <w:r w:rsidRPr="00DA76A7">
        <w:rPr>
          <w:rStyle w:val="ab"/>
          <w:rFonts w:ascii="Arial" w:eastAsia="Calibri" w:hAnsi="Arial" w:cs="Arial"/>
          <w:b w:val="0"/>
          <w:color w:val="000000" w:themeColor="text1"/>
          <w:lang w:val="ru-RU"/>
        </w:rPr>
        <w:t xml:space="preserve">Довдиенко И.В. Ипотека. Управление. Организация. Оценка. – </w:t>
      </w:r>
      <w:r w:rsidRPr="00DA76A7">
        <w:rPr>
          <w:rStyle w:val="ab"/>
          <w:rFonts w:ascii="Arial" w:eastAsia="Calibri" w:hAnsi="Arial" w:cs="Arial"/>
          <w:b w:val="0"/>
          <w:color w:val="000000" w:themeColor="text1"/>
        </w:rPr>
        <w:t>M</w:t>
      </w:r>
      <w:r w:rsidRPr="00DA76A7">
        <w:rPr>
          <w:rStyle w:val="ab"/>
          <w:rFonts w:ascii="Arial" w:eastAsia="Calibri" w:hAnsi="Arial" w:cs="Arial"/>
          <w:b w:val="0"/>
          <w:color w:val="000000" w:themeColor="text1"/>
          <w:lang w:val="ru-RU"/>
        </w:rPr>
        <w:t>.: Юнити-Дана, 2005. – 245 с.</w:t>
      </w:r>
    </w:p>
    <w:p w:rsidR="00181BA7" w:rsidRPr="00DA76A7" w:rsidRDefault="00181BA7" w:rsidP="00D45D6B">
      <w:pPr>
        <w:pStyle w:val="a9"/>
        <w:numPr>
          <w:ilvl w:val="0"/>
          <w:numId w:val="111"/>
        </w:numPr>
        <w:tabs>
          <w:tab w:val="left" w:pos="851"/>
          <w:tab w:val="left" w:pos="993"/>
        </w:tabs>
        <w:autoSpaceDE/>
        <w:autoSpaceDN/>
        <w:ind w:left="0" w:firstLine="567"/>
        <w:rPr>
          <w:rStyle w:val="ab"/>
          <w:rFonts w:ascii="Arial" w:eastAsia="Calibri" w:hAnsi="Arial" w:cs="Arial"/>
          <w:b w:val="0"/>
          <w:color w:val="000000" w:themeColor="text1"/>
          <w:lang w:val="ru-RU"/>
        </w:rPr>
      </w:pPr>
      <w:r w:rsidRPr="00DA76A7">
        <w:rPr>
          <w:rStyle w:val="ab"/>
          <w:rFonts w:ascii="Arial" w:eastAsia="Calibri" w:hAnsi="Arial" w:cs="Arial"/>
          <w:b w:val="0"/>
          <w:color w:val="000000" w:themeColor="text1"/>
          <w:lang w:val="ru-RU"/>
        </w:rPr>
        <w:t>Котляров М.А. Ипотека и системные проблемы рынка недвижимости в России. // Финансы и кредит. – 2004. – № 17. – С. 45–48.</w:t>
      </w:r>
    </w:p>
    <w:p w:rsidR="00181BA7" w:rsidRPr="00DA76A7" w:rsidRDefault="00181BA7" w:rsidP="00D45D6B">
      <w:pPr>
        <w:pStyle w:val="a9"/>
        <w:numPr>
          <w:ilvl w:val="0"/>
          <w:numId w:val="111"/>
        </w:numPr>
        <w:tabs>
          <w:tab w:val="left" w:pos="851"/>
          <w:tab w:val="left" w:pos="993"/>
        </w:tabs>
        <w:autoSpaceDE/>
        <w:autoSpaceDN/>
        <w:ind w:left="0" w:firstLine="567"/>
        <w:rPr>
          <w:rStyle w:val="ab"/>
          <w:rFonts w:ascii="Arial" w:eastAsia="Calibri" w:hAnsi="Arial" w:cs="Arial"/>
          <w:b w:val="0"/>
          <w:color w:val="000000" w:themeColor="text1"/>
          <w:lang w:val="ru-RU"/>
        </w:rPr>
      </w:pPr>
      <w:r w:rsidRPr="00DA76A7">
        <w:rPr>
          <w:rStyle w:val="ab"/>
          <w:rFonts w:ascii="Arial" w:eastAsia="Calibri" w:hAnsi="Arial" w:cs="Arial"/>
          <w:b w:val="0"/>
          <w:color w:val="000000" w:themeColor="text1"/>
          <w:lang w:val="ru-RU"/>
        </w:rPr>
        <w:t>Меркулов В.В. Мировой опыт ипотечного жилищного кредитования и перспективы его использования в России. – СПб.: Юридический центр-пресс, 2003. – 241 с.</w:t>
      </w:r>
    </w:p>
    <w:p w:rsidR="00181BA7" w:rsidRPr="00DA76A7" w:rsidRDefault="00181BA7" w:rsidP="00D45D6B">
      <w:pPr>
        <w:pStyle w:val="a9"/>
        <w:numPr>
          <w:ilvl w:val="0"/>
          <w:numId w:val="111"/>
        </w:numPr>
        <w:tabs>
          <w:tab w:val="left" w:pos="851"/>
          <w:tab w:val="left" w:pos="993"/>
        </w:tabs>
        <w:autoSpaceDE/>
        <w:autoSpaceDN/>
        <w:ind w:left="0" w:firstLine="567"/>
        <w:rPr>
          <w:rStyle w:val="ab"/>
          <w:rFonts w:ascii="Arial" w:eastAsia="Calibri" w:hAnsi="Arial" w:cs="Arial"/>
          <w:b w:val="0"/>
          <w:color w:val="000000" w:themeColor="text1"/>
          <w:lang w:val="ru-RU"/>
        </w:rPr>
      </w:pPr>
      <w:r w:rsidRPr="00DA76A7">
        <w:rPr>
          <w:rStyle w:val="ab"/>
          <w:rFonts w:ascii="Arial" w:eastAsia="Calibri" w:hAnsi="Arial" w:cs="Arial"/>
          <w:b w:val="0"/>
          <w:color w:val="000000" w:themeColor="text1"/>
          <w:lang w:val="ru-RU"/>
        </w:rPr>
        <w:t>Разумова И.А. Ипотечное кредитование. – СПб.: Питер, 2005. – 187 с.</w:t>
      </w:r>
    </w:p>
    <w:p w:rsidR="00181BA7" w:rsidRPr="00DA76A7" w:rsidRDefault="00E644B2" w:rsidP="00181BA7">
      <w:pPr>
        <w:jc w:val="center"/>
        <w:rPr>
          <w:rFonts w:ascii="Arial" w:hAnsi="Arial" w:cs="Arial"/>
          <w:b/>
          <w:color w:val="000000" w:themeColor="text1"/>
          <w:sz w:val="22"/>
          <w:szCs w:val="22"/>
        </w:rPr>
      </w:pPr>
      <w:r>
        <w:rPr>
          <w:rFonts w:ascii="Arial" w:hAnsi="Arial" w:cs="Arial"/>
          <w:b/>
          <w:color w:val="000000" w:themeColor="text1"/>
          <w:sz w:val="22"/>
          <w:szCs w:val="22"/>
          <w:lang w:val="tg-Cyrl-TJ"/>
        </w:rPr>
        <w:t>ДОГОВОР КУПЛИ-</w:t>
      </w:r>
      <w:r w:rsidR="00181BA7" w:rsidRPr="00DA76A7">
        <w:rPr>
          <w:rFonts w:ascii="Arial" w:hAnsi="Arial" w:cs="Arial"/>
          <w:b/>
          <w:color w:val="000000" w:themeColor="text1"/>
          <w:sz w:val="22"/>
          <w:szCs w:val="22"/>
          <w:lang w:val="tg-Cyrl-TJ"/>
        </w:rPr>
        <w:t>ПРОДАЖИ ПРАВА ПОЛ</w:t>
      </w:r>
      <w:r w:rsidR="00181BA7" w:rsidRPr="00DA76A7">
        <w:rPr>
          <w:rFonts w:ascii="Arial" w:hAnsi="Arial" w:cs="Arial"/>
          <w:b/>
          <w:color w:val="000000" w:themeColor="text1"/>
          <w:sz w:val="22"/>
          <w:szCs w:val="22"/>
        </w:rPr>
        <w:t>ЬЗОВАНИЯ ЗЕМЛЯМИ СЕЛЬСКОХОЗЯЙСТВЕННОГО НАЗАНЧЕНИЯ В РЕСПУБЛИКЕ ТАДЖИКИСТАН</w:t>
      </w:r>
    </w:p>
    <w:p w:rsidR="00181BA7" w:rsidRPr="00DA76A7" w:rsidRDefault="00181BA7" w:rsidP="00181BA7">
      <w:pPr>
        <w:jc w:val="both"/>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Сидыкова Нодира Насруллаевна</w:t>
      </w:r>
    </w:p>
    <w:p w:rsidR="00181BA7" w:rsidRPr="00DA76A7" w:rsidRDefault="00181BA7" w:rsidP="00181BA7">
      <w:pPr>
        <w:contextualSpacing/>
        <w:jc w:val="center"/>
        <w:rPr>
          <w:rFonts w:ascii="Arial" w:hAnsi="Arial" w:cs="Arial"/>
          <w:bCs/>
          <w:color w:val="000000" w:themeColor="text1"/>
          <w:sz w:val="22"/>
          <w:szCs w:val="22"/>
        </w:rPr>
      </w:pPr>
      <w:r w:rsidRPr="00DA76A7">
        <w:rPr>
          <w:rFonts w:ascii="Arial" w:hAnsi="Arial" w:cs="Arial"/>
          <w:bCs/>
          <w:color w:val="000000" w:themeColor="text1"/>
          <w:sz w:val="22"/>
          <w:szCs w:val="22"/>
          <w:lang w:val="tg-Cyrl-TJ"/>
        </w:rPr>
        <w:t>сспирант</w:t>
      </w:r>
      <w:r w:rsidRPr="00DA76A7">
        <w:rPr>
          <w:rFonts w:ascii="Arial" w:hAnsi="Arial" w:cs="Arial"/>
          <w:bCs/>
          <w:color w:val="000000" w:themeColor="text1"/>
          <w:sz w:val="22"/>
          <w:szCs w:val="22"/>
        </w:rPr>
        <w:t xml:space="preserve"> Института философии, политологии и права</w:t>
      </w:r>
    </w:p>
    <w:p w:rsidR="00181BA7" w:rsidRPr="00DA76A7" w:rsidRDefault="00181BA7" w:rsidP="00181BA7">
      <w:pPr>
        <w:contextualSpacing/>
        <w:jc w:val="center"/>
        <w:rPr>
          <w:rFonts w:ascii="Arial" w:hAnsi="Arial" w:cs="Arial"/>
          <w:bCs/>
          <w:color w:val="000000" w:themeColor="text1"/>
          <w:sz w:val="22"/>
          <w:szCs w:val="22"/>
        </w:rPr>
      </w:pPr>
      <w:r w:rsidRPr="00DA76A7">
        <w:rPr>
          <w:rFonts w:ascii="Arial" w:hAnsi="Arial" w:cs="Arial"/>
          <w:bCs/>
          <w:color w:val="000000" w:themeColor="text1"/>
          <w:sz w:val="22"/>
          <w:szCs w:val="22"/>
        </w:rPr>
        <w:t>Академия наук Республики Таджикистан</w:t>
      </w:r>
    </w:p>
    <w:p w:rsidR="00181BA7" w:rsidRPr="00DA76A7" w:rsidRDefault="00181BA7" w:rsidP="00181BA7">
      <w:pPr>
        <w:jc w:val="center"/>
        <w:rPr>
          <w:rFonts w:ascii="Arial" w:hAnsi="Arial" w:cs="Arial"/>
          <w:color w:val="000000" w:themeColor="text1"/>
          <w:sz w:val="22"/>
          <w:szCs w:val="22"/>
          <w:shd w:val="clear" w:color="auto" w:fill="FFFFFF"/>
        </w:rPr>
      </w:pPr>
      <w:r w:rsidRPr="00DA76A7">
        <w:rPr>
          <w:rFonts w:ascii="Arial" w:eastAsia="Calibri" w:hAnsi="Arial" w:cs="Arial"/>
          <w:color w:val="000000" w:themeColor="text1"/>
          <w:sz w:val="22"/>
          <w:szCs w:val="22"/>
        </w:rPr>
        <w:t>7340</w:t>
      </w:r>
      <w:r w:rsidRPr="00DA76A7">
        <w:rPr>
          <w:rFonts w:ascii="Arial" w:eastAsia="Calibri" w:hAnsi="Arial" w:cs="Arial"/>
          <w:color w:val="000000" w:themeColor="text1"/>
          <w:sz w:val="22"/>
          <w:szCs w:val="22"/>
          <w:lang w:val="tg-Cyrl-TJ"/>
        </w:rPr>
        <w:t>25</w:t>
      </w:r>
      <w:r w:rsidRPr="00DA76A7">
        <w:rPr>
          <w:rFonts w:ascii="Arial" w:eastAsia="Calibri" w:hAnsi="Arial" w:cs="Arial"/>
          <w:color w:val="000000" w:themeColor="text1"/>
          <w:sz w:val="22"/>
          <w:szCs w:val="22"/>
        </w:rPr>
        <w:t>, Республика Таджикистан, город</w:t>
      </w:r>
      <w:r w:rsidRPr="00DA76A7">
        <w:rPr>
          <w:rFonts w:ascii="Arial" w:eastAsia="Calibri" w:hAnsi="Arial" w:cs="Arial"/>
          <w:color w:val="000000" w:themeColor="text1"/>
          <w:sz w:val="22"/>
          <w:szCs w:val="22"/>
          <w:lang w:val="tg-Cyrl-TJ"/>
        </w:rPr>
        <w:t xml:space="preserve"> Душанбе, проспект</w:t>
      </w:r>
      <w:r w:rsidRPr="00DA76A7">
        <w:rPr>
          <w:rFonts w:ascii="Arial" w:eastAsia="Calibri" w:hAnsi="Arial" w:cs="Arial"/>
          <w:color w:val="000000" w:themeColor="text1"/>
          <w:sz w:val="22"/>
          <w:szCs w:val="22"/>
        </w:rPr>
        <w:t xml:space="preserve"> Рудаки </w:t>
      </w:r>
      <w:r w:rsidRPr="00DA76A7">
        <w:rPr>
          <w:rFonts w:ascii="Arial" w:eastAsia="Calibri" w:hAnsi="Arial" w:cs="Arial"/>
          <w:color w:val="000000" w:themeColor="text1"/>
          <w:sz w:val="22"/>
          <w:szCs w:val="22"/>
          <w:lang w:val="tg-Cyrl-TJ"/>
        </w:rPr>
        <w:t>33</w:t>
      </w:r>
      <w:r w:rsidRPr="00DA76A7">
        <w:rPr>
          <w:rFonts w:ascii="Arial" w:eastAsia="Calibri" w:hAnsi="Arial" w:cs="Arial"/>
          <w:color w:val="000000" w:themeColor="text1"/>
          <w:sz w:val="22"/>
          <w:szCs w:val="22"/>
        </w:rPr>
        <w:t>,</w:t>
      </w:r>
      <w:r w:rsidRPr="00DA76A7">
        <w:rPr>
          <w:rFonts w:ascii="Arial" w:hAnsi="Arial" w:cs="Arial"/>
          <w:color w:val="000000" w:themeColor="text1"/>
          <w:sz w:val="22"/>
          <w:szCs w:val="22"/>
          <w:shd w:val="clear" w:color="auto" w:fill="FFFFFF"/>
        </w:rPr>
        <w:t xml:space="preserve"> </w:t>
      </w:r>
    </w:p>
    <w:p w:rsidR="00181BA7" w:rsidRPr="00DA76A7" w:rsidRDefault="00181BA7" w:rsidP="00181BA7">
      <w:pPr>
        <w:jc w:val="center"/>
        <w:rPr>
          <w:rFonts w:ascii="Arial" w:eastAsia="Calibri" w:hAnsi="Arial" w:cs="Arial"/>
          <w:b/>
          <w:color w:val="000000" w:themeColor="text1"/>
          <w:sz w:val="22"/>
          <w:szCs w:val="22"/>
          <w:lang w:val="en-US"/>
        </w:rPr>
      </w:pPr>
      <w:r w:rsidRPr="00DA76A7">
        <w:rPr>
          <w:rFonts w:ascii="Arial" w:eastAsia="Calibri" w:hAnsi="Arial" w:cs="Arial"/>
          <w:color w:val="000000" w:themeColor="text1"/>
          <w:sz w:val="22"/>
          <w:szCs w:val="22"/>
        </w:rPr>
        <w:t>тел</w:t>
      </w:r>
      <w:r w:rsidRPr="00DA76A7">
        <w:rPr>
          <w:rFonts w:ascii="Arial" w:eastAsia="Calibri" w:hAnsi="Arial" w:cs="Arial"/>
          <w:color w:val="000000" w:themeColor="text1"/>
          <w:sz w:val="22"/>
          <w:szCs w:val="22"/>
          <w:lang w:val="en-US"/>
        </w:rPr>
        <w:t xml:space="preserve">.: </w:t>
      </w:r>
      <w:r w:rsidRPr="00DA76A7">
        <w:rPr>
          <w:rFonts w:ascii="Arial" w:eastAsia="Calibri" w:hAnsi="Arial" w:cs="Arial"/>
          <w:color w:val="000000" w:themeColor="text1"/>
          <w:sz w:val="22"/>
          <w:szCs w:val="22"/>
          <w:lang w:val="tg-Cyrl-TJ"/>
        </w:rPr>
        <w:t xml:space="preserve">93 301 5050, </w:t>
      </w:r>
      <w:r w:rsidRPr="00DA76A7">
        <w:rPr>
          <w:rFonts w:ascii="Arial" w:eastAsia="Calibri" w:hAnsi="Arial" w:cs="Arial"/>
          <w:color w:val="000000" w:themeColor="text1"/>
          <w:sz w:val="22"/>
          <w:szCs w:val="22"/>
          <w:lang w:val="en-US"/>
        </w:rPr>
        <w:t>e-mail</w:t>
      </w:r>
      <w:r w:rsidRPr="00DA76A7">
        <w:rPr>
          <w:rFonts w:ascii="Arial" w:eastAsia="Calibri" w:hAnsi="Arial" w:cs="Arial"/>
          <w:color w:val="000000" w:themeColor="text1"/>
          <w:sz w:val="22"/>
          <w:szCs w:val="22"/>
          <w:lang w:val="tg-Cyrl-TJ"/>
        </w:rPr>
        <w:t xml:space="preserve">: </w:t>
      </w:r>
      <w:hyperlink r:id="rId243" w:history="1">
        <w:r w:rsidRPr="00DA76A7">
          <w:rPr>
            <w:rStyle w:val="af0"/>
            <w:rFonts w:ascii="Arial" w:eastAsia="Calibri" w:hAnsi="Arial" w:cs="Arial"/>
            <w:color w:val="000000" w:themeColor="text1"/>
            <w:sz w:val="22"/>
            <w:szCs w:val="22"/>
            <w:u w:val="none"/>
            <w:lang w:val="en-US"/>
          </w:rPr>
          <w:t>Sidnodira@rambler.ru</w:t>
        </w:r>
      </w:hyperlink>
    </w:p>
    <w:p w:rsidR="00181BA7" w:rsidRPr="00DA76A7" w:rsidRDefault="00181BA7" w:rsidP="00181BA7">
      <w:pPr>
        <w:jc w:val="both"/>
        <w:rPr>
          <w:rFonts w:ascii="Arial" w:eastAsia="Calibri" w:hAnsi="Arial" w:cs="Arial"/>
          <w:b/>
          <w:color w:val="000000" w:themeColor="text1"/>
          <w:sz w:val="22"/>
          <w:szCs w:val="22"/>
          <w:lang w:val="en-US"/>
        </w:rPr>
      </w:pPr>
    </w:p>
    <w:p w:rsidR="00181BA7" w:rsidRPr="00DA76A7" w:rsidRDefault="00181BA7" w:rsidP="00181BA7">
      <w:pPr>
        <w:jc w:val="center"/>
        <w:rPr>
          <w:rFonts w:ascii="Arial" w:eastAsia="Calibri" w:hAnsi="Arial" w:cs="Arial"/>
          <w:b/>
          <w:color w:val="000000" w:themeColor="text1"/>
          <w:sz w:val="22"/>
          <w:szCs w:val="22"/>
          <w:lang w:val="en-US"/>
        </w:rPr>
      </w:pPr>
      <w:r w:rsidRPr="00DA76A7">
        <w:rPr>
          <w:rFonts w:ascii="Arial" w:hAnsi="Arial" w:cs="Arial"/>
          <w:b/>
          <w:color w:val="000000" w:themeColor="text1"/>
          <w:sz w:val="22"/>
          <w:szCs w:val="22"/>
          <w:shd w:val="clear" w:color="auto" w:fill="FFFFFF"/>
          <w:lang w:val="en-US"/>
        </w:rPr>
        <w:t>LAND USE RIGHTS TRANSACTIONS CONTRACT OF THE LANDS WITH AGRICULTURAL ASSIGNMENT IN THE REPUBLIC OF TAJIKISTAN</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Sidykova Nodira Nasrullaevna</w:t>
      </w:r>
    </w:p>
    <w:p w:rsidR="00181BA7" w:rsidRPr="00DA76A7" w:rsidRDefault="00181BA7" w:rsidP="00181BA7">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 xml:space="preserve">post graduate of philosophy, politology and law Institute </w:t>
      </w:r>
    </w:p>
    <w:p w:rsidR="00181BA7" w:rsidRPr="00DA76A7" w:rsidRDefault="00181BA7" w:rsidP="00181BA7">
      <w:pPr>
        <w:jc w:val="center"/>
        <w:rPr>
          <w:rFonts w:ascii="Arial" w:eastAsia="Calibri" w:hAnsi="Arial" w:cs="Arial"/>
          <w:i/>
          <w:color w:val="000000" w:themeColor="text1"/>
          <w:sz w:val="22"/>
          <w:szCs w:val="22"/>
          <w:lang w:val="en-US"/>
        </w:rPr>
      </w:pPr>
      <w:r w:rsidRPr="00DA76A7">
        <w:rPr>
          <w:rFonts w:ascii="Arial" w:hAnsi="Arial" w:cs="Arial"/>
          <w:bCs/>
          <w:color w:val="000000" w:themeColor="text1"/>
          <w:sz w:val="22"/>
          <w:szCs w:val="22"/>
          <w:lang w:val="en-US"/>
        </w:rPr>
        <w:t>Academy of sciences of the Republic of Tajikistan</w:t>
      </w:r>
    </w:p>
    <w:p w:rsidR="00181BA7" w:rsidRPr="00DA76A7" w:rsidRDefault="00181BA7" w:rsidP="00181BA7">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7340</w:t>
      </w:r>
      <w:r w:rsidRPr="00DA76A7">
        <w:rPr>
          <w:rFonts w:ascii="Arial" w:eastAsia="Calibri" w:hAnsi="Arial" w:cs="Arial"/>
          <w:color w:val="000000" w:themeColor="text1"/>
          <w:sz w:val="22"/>
          <w:szCs w:val="22"/>
          <w:lang w:val="tg-Cyrl-TJ"/>
        </w:rPr>
        <w:t>25</w:t>
      </w:r>
      <w:r w:rsidRPr="00DA76A7">
        <w:rPr>
          <w:rFonts w:ascii="Arial" w:eastAsia="Calibri" w:hAnsi="Arial" w:cs="Arial"/>
          <w:color w:val="000000" w:themeColor="text1"/>
          <w:sz w:val="22"/>
          <w:szCs w:val="22"/>
          <w:lang w:val="en-US"/>
        </w:rPr>
        <w:t>,  Republic of Tajikistan, Dushanbe</w:t>
      </w:r>
      <w:r w:rsidRPr="00DA76A7">
        <w:rPr>
          <w:rFonts w:ascii="Arial" w:eastAsia="Calibri" w:hAnsi="Arial" w:cs="Arial"/>
          <w:color w:val="000000" w:themeColor="text1"/>
          <w:sz w:val="22"/>
          <w:szCs w:val="22"/>
          <w:lang w:val="tg-Cyrl-TJ"/>
        </w:rPr>
        <w:t>,</w:t>
      </w:r>
      <w:r w:rsidRPr="00DA76A7">
        <w:rPr>
          <w:rFonts w:ascii="Arial" w:eastAsia="Calibri" w:hAnsi="Arial" w:cs="Arial"/>
          <w:color w:val="000000" w:themeColor="text1"/>
          <w:sz w:val="22"/>
          <w:szCs w:val="22"/>
          <w:lang w:val="en-US"/>
        </w:rPr>
        <w:t xml:space="preserve"> Rudaki avenue, 33,</w:t>
      </w:r>
    </w:p>
    <w:p w:rsidR="00181BA7" w:rsidRPr="00DA76A7" w:rsidRDefault="00181BA7" w:rsidP="00181BA7">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tel.:</w:t>
      </w:r>
      <w:r w:rsidRPr="00DA76A7">
        <w:rPr>
          <w:rFonts w:ascii="Arial" w:eastAsia="Calibri" w:hAnsi="Arial" w:cs="Arial"/>
          <w:color w:val="000000" w:themeColor="text1"/>
          <w:sz w:val="22"/>
          <w:szCs w:val="22"/>
          <w:lang w:val="tg-Cyrl-TJ"/>
        </w:rPr>
        <w:t xml:space="preserve"> 93 301 5050, </w:t>
      </w:r>
      <w:r w:rsidRPr="00DA76A7">
        <w:rPr>
          <w:rFonts w:ascii="Arial" w:eastAsia="Calibri" w:hAnsi="Arial" w:cs="Arial"/>
          <w:color w:val="000000" w:themeColor="text1"/>
          <w:sz w:val="22"/>
          <w:szCs w:val="22"/>
          <w:lang w:val="en-US"/>
        </w:rPr>
        <w:t>e-mail</w:t>
      </w:r>
      <w:r w:rsidRPr="00DA76A7">
        <w:rPr>
          <w:rFonts w:ascii="Arial" w:eastAsia="Calibri" w:hAnsi="Arial" w:cs="Arial"/>
          <w:color w:val="000000" w:themeColor="text1"/>
          <w:sz w:val="22"/>
          <w:szCs w:val="22"/>
          <w:lang w:val="tg-Cyrl-TJ"/>
        </w:rPr>
        <w:t xml:space="preserve">: </w:t>
      </w:r>
      <w:hyperlink r:id="rId244" w:history="1">
        <w:r w:rsidRPr="00DA76A7">
          <w:rPr>
            <w:rStyle w:val="af0"/>
            <w:rFonts w:ascii="Arial" w:eastAsia="Calibri" w:hAnsi="Arial" w:cs="Arial"/>
            <w:color w:val="000000" w:themeColor="text1"/>
            <w:sz w:val="22"/>
            <w:szCs w:val="22"/>
            <w:u w:val="none"/>
            <w:lang w:val="en-US"/>
          </w:rPr>
          <w:t>Sidnodira@rambler.ru</w:t>
        </w:r>
      </w:hyperlink>
    </w:p>
    <w:p w:rsidR="00181BA7" w:rsidRPr="00DA76A7" w:rsidRDefault="00181BA7" w:rsidP="00181BA7">
      <w:pPr>
        <w:ind w:firstLine="567"/>
        <w:jc w:val="both"/>
        <w:rPr>
          <w:rFonts w:ascii="Arial" w:eastAsia="Calibri" w:hAnsi="Arial" w:cs="Arial"/>
          <w:b/>
          <w:color w:val="000000" w:themeColor="text1"/>
          <w:sz w:val="22"/>
          <w:szCs w:val="22"/>
          <w:lang w:val="en-US"/>
        </w:rPr>
      </w:pP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bCs/>
          <w:i/>
          <w:iCs/>
          <w:color w:val="000000" w:themeColor="text1"/>
          <w:sz w:val="22"/>
          <w:szCs w:val="22"/>
        </w:rPr>
        <w:t>Аннотация.</w:t>
      </w:r>
      <w:r w:rsidRPr="00DA76A7">
        <w:rPr>
          <w:rFonts w:ascii="Arial" w:eastAsia="Calibri" w:hAnsi="Arial" w:cs="Arial"/>
          <w:i/>
          <w:iCs/>
          <w:color w:val="000000" w:themeColor="text1"/>
          <w:sz w:val="22"/>
          <w:szCs w:val="22"/>
        </w:rPr>
        <w:t xml:space="preserve"> </w:t>
      </w:r>
      <w:r w:rsidRPr="00DA76A7">
        <w:rPr>
          <w:rFonts w:ascii="Arial" w:eastAsia="Calibri" w:hAnsi="Arial" w:cs="Arial"/>
          <w:i/>
          <w:color w:val="000000" w:themeColor="text1"/>
          <w:sz w:val="22"/>
          <w:szCs w:val="22"/>
        </w:rPr>
        <w:t xml:space="preserve">В данной статье рассматриваются особенности </w:t>
      </w:r>
      <w:r w:rsidRPr="00DA76A7">
        <w:rPr>
          <w:rFonts w:ascii="Arial" w:eastAsia="Calibri" w:hAnsi="Arial" w:cs="Arial"/>
          <w:i/>
          <w:color w:val="000000" w:themeColor="text1"/>
          <w:sz w:val="22"/>
          <w:szCs w:val="22"/>
          <w:lang w:val="tg-Cyrl-TJ"/>
        </w:rPr>
        <w:t>договора купли-продажи права пол</w:t>
      </w:r>
      <w:r w:rsidRPr="00DA76A7">
        <w:rPr>
          <w:rFonts w:ascii="Arial" w:eastAsia="Calibri" w:hAnsi="Arial" w:cs="Arial"/>
          <w:i/>
          <w:color w:val="000000" w:themeColor="text1"/>
          <w:sz w:val="22"/>
          <w:szCs w:val="22"/>
        </w:rPr>
        <w:t xml:space="preserve">ьзования землями сельскохозяйственного назначения и его существенные условия.  В статье исследованы вопросы касательно требований к договору купли продажи права пользования на земли сельскохозяйственного назначения и дается определение к договору купли продажи права пользования землями сельскохозяйственного назначения как особому объекту прав. </w:t>
      </w:r>
    </w:p>
    <w:p w:rsidR="00181BA7" w:rsidRPr="00DA76A7" w:rsidRDefault="00181BA7" w:rsidP="00181BA7">
      <w:pPr>
        <w:ind w:firstLine="567"/>
        <w:jc w:val="both"/>
        <w:rPr>
          <w:rFonts w:ascii="Arial" w:eastAsia="Calibri" w:hAnsi="Arial" w:cs="Arial"/>
          <w:i/>
          <w:color w:val="000000" w:themeColor="text1"/>
          <w:sz w:val="22"/>
          <w:szCs w:val="22"/>
          <w:lang w:val="en-US"/>
        </w:rPr>
      </w:pPr>
      <w:r w:rsidRPr="00DA76A7">
        <w:rPr>
          <w:rFonts w:ascii="Arial" w:hAnsi="Arial" w:cs="Arial"/>
          <w:b/>
          <w:i/>
          <w:color w:val="000000" w:themeColor="text1"/>
          <w:sz w:val="22"/>
          <w:szCs w:val="22"/>
          <w:shd w:val="clear" w:color="auto" w:fill="FFFFFF"/>
          <w:lang w:val="en-US"/>
        </w:rPr>
        <w:t xml:space="preserve">Annotation. </w:t>
      </w:r>
      <w:r w:rsidRPr="00DA76A7">
        <w:rPr>
          <w:rFonts w:ascii="Arial" w:hAnsi="Arial" w:cs="Arial"/>
          <w:i/>
          <w:color w:val="000000" w:themeColor="text1"/>
          <w:sz w:val="22"/>
          <w:szCs w:val="22"/>
          <w:shd w:val="clear" w:color="auto" w:fill="FFFFFF"/>
          <w:lang w:val="en-US"/>
        </w:rPr>
        <w:t>This article discusses the specialties of the land use rights transactions of the lands</w:t>
      </w:r>
      <w:r w:rsidRPr="00DA76A7">
        <w:rPr>
          <w:rFonts w:ascii="Arial" w:hAnsi="Arial" w:cs="Arial"/>
          <w:b/>
          <w:i/>
          <w:color w:val="000000" w:themeColor="text1"/>
          <w:sz w:val="22"/>
          <w:szCs w:val="22"/>
          <w:shd w:val="clear" w:color="auto" w:fill="FFFFFF"/>
          <w:lang w:val="en-US"/>
        </w:rPr>
        <w:t xml:space="preserve"> </w:t>
      </w:r>
      <w:r w:rsidRPr="00DA76A7">
        <w:rPr>
          <w:rFonts w:ascii="Arial" w:hAnsi="Arial" w:cs="Arial"/>
          <w:i/>
          <w:color w:val="000000" w:themeColor="text1"/>
          <w:sz w:val="22"/>
          <w:szCs w:val="22"/>
          <w:shd w:val="clear" w:color="auto" w:fill="FFFFFF"/>
          <w:lang w:val="en-US"/>
        </w:rPr>
        <w:t>with agricultural assignment and its essential terms. The article studies the issues concerning the requirements to the of the land use rights transactions contract of the lands with agricultural assignment and defines land use rights of the lands with agricultural assignment as a special object of rights of purchase and sale contract</w:t>
      </w:r>
    </w:p>
    <w:p w:rsidR="00181BA7" w:rsidRPr="00DA76A7" w:rsidRDefault="00181BA7" w:rsidP="00181BA7">
      <w:pPr>
        <w:shd w:val="clear" w:color="auto" w:fill="FFFFFF"/>
        <w:ind w:firstLine="567"/>
        <w:jc w:val="both"/>
        <w:rPr>
          <w:rFonts w:ascii="Arial" w:eastAsia="Calibri" w:hAnsi="Arial" w:cs="Arial"/>
          <w:i/>
          <w:color w:val="000000" w:themeColor="text1"/>
          <w:sz w:val="22"/>
          <w:szCs w:val="22"/>
        </w:rPr>
      </w:pPr>
      <w:r w:rsidRPr="00DA76A7">
        <w:rPr>
          <w:rFonts w:ascii="Arial" w:eastAsia="Calibri" w:hAnsi="Arial" w:cs="Arial"/>
          <w:b/>
          <w:bCs/>
          <w:i/>
          <w:iCs/>
          <w:color w:val="000000" w:themeColor="text1"/>
          <w:sz w:val="22"/>
          <w:szCs w:val="22"/>
        </w:rPr>
        <w:t>Ключевые слова:</w:t>
      </w:r>
      <w:r w:rsidRPr="00DA76A7">
        <w:rPr>
          <w:rFonts w:ascii="Arial" w:eastAsia="Calibri" w:hAnsi="Arial" w:cs="Arial"/>
          <w:b/>
          <w:bCs/>
          <w:i/>
          <w:color w:val="000000" w:themeColor="text1"/>
          <w:sz w:val="22"/>
          <w:szCs w:val="22"/>
        </w:rPr>
        <w:t xml:space="preserve"> </w:t>
      </w:r>
      <w:r w:rsidRPr="00DA76A7">
        <w:rPr>
          <w:rFonts w:ascii="Arial" w:eastAsia="Calibri" w:hAnsi="Arial" w:cs="Arial"/>
          <w:bCs/>
          <w:i/>
          <w:color w:val="000000" w:themeColor="text1"/>
          <w:sz w:val="22"/>
          <w:szCs w:val="22"/>
          <w:lang w:val="tg-Cyrl-TJ"/>
        </w:rPr>
        <w:t>договор купли продажи,</w:t>
      </w:r>
      <w:r w:rsidRPr="00DA76A7">
        <w:rPr>
          <w:rFonts w:ascii="Arial" w:eastAsia="Calibri" w:hAnsi="Arial" w:cs="Arial"/>
          <w:b/>
          <w:bCs/>
          <w:i/>
          <w:color w:val="000000" w:themeColor="text1"/>
          <w:sz w:val="22"/>
          <w:szCs w:val="22"/>
          <w:lang w:val="tg-Cyrl-TJ"/>
        </w:rPr>
        <w:t xml:space="preserve"> </w:t>
      </w:r>
      <w:r w:rsidRPr="00DA76A7">
        <w:rPr>
          <w:rFonts w:ascii="Arial" w:eastAsia="Calibri" w:hAnsi="Arial" w:cs="Arial"/>
          <w:i/>
          <w:color w:val="000000" w:themeColor="text1"/>
          <w:sz w:val="22"/>
          <w:szCs w:val="22"/>
        </w:rPr>
        <w:t>прав</w:t>
      </w:r>
      <w:r w:rsidRPr="00DA76A7">
        <w:rPr>
          <w:rFonts w:ascii="Arial" w:eastAsia="Calibri" w:hAnsi="Arial" w:cs="Arial"/>
          <w:i/>
          <w:color w:val="000000" w:themeColor="text1"/>
          <w:sz w:val="22"/>
          <w:szCs w:val="22"/>
          <w:lang w:val="tg-Cyrl-TJ"/>
        </w:rPr>
        <w:t>а</w:t>
      </w:r>
      <w:r w:rsidRPr="00DA76A7">
        <w:rPr>
          <w:rFonts w:ascii="Arial" w:eastAsia="Calibri" w:hAnsi="Arial" w:cs="Arial"/>
          <w:i/>
          <w:color w:val="000000" w:themeColor="text1"/>
          <w:sz w:val="22"/>
          <w:szCs w:val="22"/>
        </w:rPr>
        <w:t xml:space="preserve"> землепользования, земли сельскохозяйственного назначения, землепользователь, рынок права землепользования, недвижимое имущество. </w:t>
      </w:r>
    </w:p>
    <w:p w:rsidR="00181BA7" w:rsidRPr="00DA76A7" w:rsidRDefault="00181BA7" w:rsidP="00181BA7">
      <w:pPr>
        <w:ind w:firstLine="567"/>
        <w:contextualSpacing/>
        <w:jc w:val="both"/>
        <w:rPr>
          <w:rFonts w:ascii="Arial" w:eastAsia="Calibri" w:hAnsi="Arial" w:cs="Arial"/>
          <w:i/>
          <w:color w:val="000000" w:themeColor="text1"/>
          <w:sz w:val="22"/>
          <w:szCs w:val="22"/>
          <w:lang w:val="en-US"/>
        </w:rPr>
      </w:pPr>
      <w:r w:rsidRPr="00DA76A7">
        <w:rPr>
          <w:rFonts w:ascii="Arial" w:eastAsia="Calibri" w:hAnsi="Arial" w:cs="Arial"/>
          <w:b/>
          <w:bCs/>
          <w:i/>
          <w:iCs/>
          <w:color w:val="000000" w:themeColor="text1"/>
          <w:sz w:val="22"/>
          <w:szCs w:val="22"/>
          <w:lang w:val="en-US"/>
        </w:rPr>
        <w:t>Key words:</w:t>
      </w:r>
      <w:r w:rsidRPr="00DA76A7">
        <w:rPr>
          <w:rFonts w:ascii="Arial" w:eastAsia="Calibri" w:hAnsi="Arial" w:cs="Arial"/>
          <w:i/>
          <w:iCs/>
          <w:color w:val="000000" w:themeColor="text1"/>
          <w:sz w:val="22"/>
          <w:szCs w:val="22"/>
          <w:lang w:val="en-US"/>
        </w:rPr>
        <w:t xml:space="preserve"> land use rights </w:t>
      </w:r>
      <w:r w:rsidRPr="00DA76A7">
        <w:rPr>
          <w:rFonts w:ascii="Arial" w:eastAsia="Calibri" w:hAnsi="Arial" w:cs="Arial"/>
          <w:i/>
          <w:color w:val="000000" w:themeColor="text1"/>
          <w:sz w:val="22"/>
          <w:szCs w:val="22"/>
          <w:lang w:val="en-US"/>
        </w:rPr>
        <w:t xml:space="preserve">transactions contract, land use rights, land with agricultural assignment, land user, land use rights market, immovable property.  </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Вопрос о допустимости купли-продажи права пользования землями сельскохозяй</w:t>
      </w:r>
      <w:r w:rsidRPr="00DA76A7">
        <w:rPr>
          <w:rFonts w:ascii="Arial" w:hAnsi="Arial" w:cs="Arial"/>
          <w:color w:val="000000" w:themeColor="text1"/>
          <w:sz w:val="22"/>
          <w:szCs w:val="22"/>
        </w:rPr>
        <w:softHyphen/>
        <w:t>ственного назначения гражданами и юридическими лицами является самым неисследованным на сегодняшний день вопросом</w:t>
      </w:r>
      <w:r w:rsidRPr="00DA76A7">
        <w:rPr>
          <w:rFonts w:ascii="Arial" w:hAnsi="Arial" w:cs="Arial"/>
          <w:color w:val="000000" w:themeColor="text1"/>
          <w:sz w:val="22"/>
          <w:szCs w:val="22"/>
          <w:lang w:val="tg-Cyrl-TJ"/>
        </w:rPr>
        <w:t xml:space="preserve"> в Республике Таджикистан</w:t>
      </w:r>
      <w:r w:rsidRPr="00DA76A7">
        <w:rPr>
          <w:rFonts w:ascii="Arial" w:hAnsi="Arial" w:cs="Arial"/>
          <w:color w:val="000000" w:themeColor="text1"/>
          <w:sz w:val="22"/>
          <w:szCs w:val="22"/>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основу правового регулирования купли-продажи прав</w:t>
      </w:r>
      <w:r w:rsidRPr="00DA76A7">
        <w:rPr>
          <w:rFonts w:ascii="Arial" w:hAnsi="Arial" w:cs="Arial"/>
          <w:color w:val="000000" w:themeColor="text1"/>
          <w:sz w:val="22"/>
          <w:szCs w:val="22"/>
          <w:lang w:val="tg-Cyrl-TJ"/>
        </w:rPr>
        <w:t>а</w:t>
      </w:r>
      <w:r w:rsidRPr="00DA76A7">
        <w:rPr>
          <w:rFonts w:ascii="Arial" w:hAnsi="Arial" w:cs="Arial"/>
          <w:color w:val="000000" w:themeColor="text1"/>
          <w:sz w:val="22"/>
          <w:szCs w:val="22"/>
        </w:rPr>
        <w:t xml:space="preserve"> пользования землями в Республике Таджикистан составляют: положения ЗК РТ и нормы части второй ГК РТ.</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Купля-продажа представляет собой один из видов оборота права землепользования и осуществляется в процессе функционирования рынка права землепользования. Нужно отметить, что купля-продажа права землепользования, пред</w:t>
      </w:r>
      <w:r w:rsidRPr="00DA76A7">
        <w:rPr>
          <w:rFonts w:ascii="Arial" w:hAnsi="Arial" w:cs="Arial"/>
          <w:color w:val="000000" w:themeColor="text1"/>
          <w:sz w:val="22"/>
          <w:szCs w:val="22"/>
        </w:rPr>
        <w:softHyphen/>
        <w:t>ставляет собой имущественное отношение, возникающее в связи с отчуждени</w:t>
      </w:r>
      <w:r w:rsidRPr="00DA76A7">
        <w:rPr>
          <w:rFonts w:ascii="Arial" w:hAnsi="Arial" w:cs="Arial"/>
          <w:color w:val="000000" w:themeColor="text1"/>
          <w:sz w:val="22"/>
          <w:szCs w:val="22"/>
        </w:rPr>
        <w:softHyphen/>
        <w:t xml:space="preserve">ем особого вида недвижимого имущества - право землепользования, и переходом прав на него от одного лица к другому. Среди всех сделок по </w:t>
      </w:r>
      <w:r w:rsidRPr="00DA76A7">
        <w:rPr>
          <w:rFonts w:ascii="Arial" w:hAnsi="Arial" w:cs="Arial"/>
          <w:color w:val="000000" w:themeColor="text1"/>
          <w:sz w:val="22"/>
          <w:szCs w:val="22"/>
          <w:lang w:val="tg-Cyrl-TJ"/>
        </w:rPr>
        <w:t>отчуждению</w:t>
      </w:r>
      <w:r w:rsidRPr="00DA76A7">
        <w:rPr>
          <w:rFonts w:ascii="Arial" w:hAnsi="Arial" w:cs="Arial"/>
          <w:color w:val="000000" w:themeColor="text1"/>
          <w:sz w:val="22"/>
          <w:szCs w:val="22"/>
        </w:rPr>
        <w:t xml:space="preserve"> права землепользования, договор купли-продажи занимает особое место.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tg-Cyrl-TJ"/>
        </w:rPr>
        <w:t>Исследование</w:t>
      </w:r>
      <w:r w:rsidRPr="00DA76A7">
        <w:rPr>
          <w:rFonts w:ascii="Arial" w:hAnsi="Arial" w:cs="Arial"/>
          <w:color w:val="000000" w:themeColor="text1"/>
          <w:sz w:val="22"/>
          <w:szCs w:val="22"/>
        </w:rPr>
        <w:t xml:space="preserve"> правового регулирования отношений купли-продажи прав</w:t>
      </w:r>
      <w:r w:rsidRPr="00DA76A7">
        <w:rPr>
          <w:rFonts w:ascii="Arial" w:hAnsi="Arial" w:cs="Arial"/>
          <w:color w:val="000000" w:themeColor="text1"/>
          <w:sz w:val="22"/>
          <w:szCs w:val="22"/>
          <w:lang w:val="tg-Cyrl-TJ"/>
        </w:rPr>
        <w:t>а</w:t>
      </w:r>
      <w:r w:rsidRPr="00DA76A7">
        <w:rPr>
          <w:rFonts w:ascii="Arial" w:hAnsi="Arial" w:cs="Arial"/>
          <w:color w:val="000000" w:themeColor="text1"/>
          <w:sz w:val="22"/>
          <w:szCs w:val="22"/>
        </w:rPr>
        <w:t xml:space="preserve"> пользования землями сельскохозяйственного назначения следует начать с общих условий купли-продажи, предусмотренных ГК РТ и условий, конкретизирующие куп</w:t>
      </w:r>
      <w:r w:rsidRPr="00DA76A7">
        <w:rPr>
          <w:rFonts w:ascii="Arial" w:hAnsi="Arial" w:cs="Arial"/>
          <w:color w:val="000000" w:themeColor="text1"/>
          <w:sz w:val="22"/>
          <w:szCs w:val="22"/>
        </w:rPr>
        <w:softHyphen/>
        <w:t>лю-продажу именно право пользования землями, предусмотренных ЗК РТ, а уже затем перейти к рассмотрению особенностей купли-продажи право пользования землями сельскохозяйст</w:t>
      </w:r>
      <w:r w:rsidRPr="00DA76A7">
        <w:rPr>
          <w:rFonts w:ascii="Arial" w:hAnsi="Arial" w:cs="Arial"/>
          <w:color w:val="000000" w:themeColor="text1"/>
          <w:sz w:val="22"/>
          <w:szCs w:val="22"/>
        </w:rPr>
        <w:softHyphen/>
        <w:t>венного назначения.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Общие требования, предъявляемые к договору купли-продажи права пользования земельным участком, содержатся в ст. ст. 488 - 527 ГК РТ, нормы купли-продажи права землепользования</w:t>
      </w:r>
      <w:r w:rsidRPr="00DA76A7">
        <w:rPr>
          <w:rFonts w:ascii="Arial" w:hAnsi="Arial" w:cs="Arial"/>
          <w:color w:val="000000" w:themeColor="text1"/>
          <w:sz w:val="22"/>
          <w:szCs w:val="22"/>
          <w:lang w:val="tg-Cyrl-TJ"/>
        </w:rPr>
        <w:t>, указан</w:t>
      </w:r>
      <w:r w:rsidRPr="00DA76A7">
        <w:rPr>
          <w:rFonts w:ascii="Arial" w:hAnsi="Arial" w:cs="Arial"/>
          <w:color w:val="000000" w:themeColor="text1"/>
          <w:sz w:val="22"/>
          <w:szCs w:val="22"/>
        </w:rPr>
        <w:t>ы только в ст. 19 ЗК РТ «</w:t>
      </w:r>
      <w:r w:rsidRPr="00DA76A7">
        <w:rPr>
          <w:rFonts w:ascii="Arial" w:eastAsia="Calibri" w:hAnsi="Arial" w:cs="Arial"/>
          <w:color w:val="000000" w:themeColor="text1"/>
          <w:sz w:val="22"/>
          <w:szCs w:val="22"/>
        </w:rPr>
        <w:t>Права первичных землепользователей</w:t>
      </w:r>
      <w:r w:rsidRPr="00DA76A7">
        <w:rPr>
          <w:rFonts w:ascii="Arial" w:hAnsi="Arial" w:cs="Arial"/>
          <w:color w:val="000000" w:themeColor="text1"/>
          <w:sz w:val="22"/>
          <w:szCs w:val="22"/>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Сущность договора купли-продажи право пользования земельным участком заключается в том, что продавец обязуется передать в собственность покупателя право пользования земельным уча</w:t>
      </w:r>
      <w:r w:rsidRPr="00DA76A7">
        <w:rPr>
          <w:rFonts w:ascii="Arial" w:hAnsi="Arial" w:cs="Arial"/>
          <w:color w:val="000000" w:themeColor="text1"/>
          <w:sz w:val="22"/>
          <w:szCs w:val="22"/>
        </w:rPr>
        <w:softHyphen/>
        <w:t>стком, а покупатель обязуется принять право пользования земельным участком и уплатить за него оп</w:t>
      </w:r>
      <w:r w:rsidRPr="00DA76A7">
        <w:rPr>
          <w:rFonts w:ascii="Arial" w:hAnsi="Arial" w:cs="Arial"/>
          <w:color w:val="000000" w:themeColor="text1"/>
          <w:sz w:val="22"/>
          <w:szCs w:val="22"/>
        </w:rPr>
        <w:softHyphen/>
        <w:t>ределенную денежную сумму.</w:t>
      </w:r>
    </w:p>
    <w:p w:rsidR="00181BA7" w:rsidRPr="00DA76A7" w:rsidRDefault="00181BA7" w:rsidP="00181BA7">
      <w:pPr>
        <w:ind w:firstLine="567"/>
        <w:contextualSpacing/>
        <w:jc w:val="both"/>
        <w:rPr>
          <w:rFonts w:ascii="Arial" w:hAnsi="Arial" w:cs="Arial"/>
          <w:color w:val="000000" w:themeColor="text1"/>
          <w:sz w:val="22"/>
          <w:szCs w:val="22"/>
          <w:lang w:val="tg-Cyrl-TJ"/>
        </w:rPr>
      </w:pPr>
      <w:r w:rsidRPr="00DA76A7">
        <w:rPr>
          <w:rFonts w:ascii="Arial" w:hAnsi="Arial" w:cs="Arial"/>
          <w:color w:val="000000" w:themeColor="text1"/>
          <w:sz w:val="22"/>
          <w:szCs w:val="22"/>
        </w:rPr>
        <w:t xml:space="preserve">Объектом купли-продажи могут быть только права пользования земельными участками, которые прошли государственную регистрацию и которым присвоен идентификационный кадастровый номер [1,1].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lang w:val="tg-Cyrl-TJ"/>
        </w:rPr>
        <w:t>В соотвествии со стат</w:t>
      </w:r>
      <w:r w:rsidRPr="00DA76A7">
        <w:rPr>
          <w:rFonts w:ascii="Arial" w:hAnsi="Arial" w:cs="Arial"/>
          <w:color w:val="000000" w:themeColor="text1"/>
          <w:sz w:val="22"/>
          <w:szCs w:val="22"/>
        </w:rPr>
        <w:t>ей 489 Гражданского Кодекса Республики Таджикистан, договор купли-продажи права пользования земельным участком заключается в письменной фор</w:t>
      </w:r>
      <w:r w:rsidRPr="00DA76A7">
        <w:rPr>
          <w:rFonts w:ascii="Arial" w:hAnsi="Arial" w:cs="Arial"/>
          <w:color w:val="000000" w:themeColor="text1"/>
          <w:sz w:val="22"/>
          <w:szCs w:val="22"/>
        </w:rPr>
        <w:softHyphen/>
        <w:t>ме и подлежит нотариальному удостоверению.</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Однако на право землепользование как на объект недвижимости распространя</w:t>
      </w:r>
      <w:r w:rsidRPr="00DA76A7">
        <w:rPr>
          <w:rFonts w:ascii="Arial" w:hAnsi="Arial" w:cs="Arial"/>
          <w:color w:val="000000" w:themeColor="text1"/>
          <w:sz w:val="22"/>
          <w:szCs w:val="22"/>
        </w:rPr>
        <w:softHyphen/>
        <w:t>ется правило ст. 189 ГК РТ, - «Сделки с недвижимым имуществом (отчуждение, ипотека, долгосрочная аренда, принятие наследства и др.) подлежат государственной регистрации. Порядок регистрации сделок с недвижимостью и ведения соответствующих реестров определяется законодательством» [2].</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Государственная регистра</w:t>
      </w:r>
      <w:r w:rsidRPr="00DA76A7">
        <w:rPr>
          <w:rFonts w:ascii="Arial" w:hAnsi="Arial" w:cs="Arial"/>
          <w:color w:val="000000" w:themeColor="text1"/>
          <w:sz w:val="22"/>
          <w:szCs w:val="22"/>
        </w:rPr>
        <w:softHyphen/>
        <w:t>ция сделок с правом пользования земельными участками предусматривается также в ст. 55 Закона Республики Таджикистан «О государственной регистрации недвижимого имущества и прав на него».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согласно ст. 584 ГК РТ </w:t>
      </w:r>
      <w:r w:rsidRPr="00DA76A7">
        <w:rPr>
          <w:rFonts w:ascii="Arial" w:hAnsi="Arial" w:cs="Arial"/>
          <w:color w:val="000000" w:themeColor="text1"/>
          <w:sz w:val="22"/>
          <w:szCs w:val="22"/>
          <w:lang w:val="tg-Cyrl-TJ"/>
        </w:rPr>
        <w:t>в</w:t>
      </w:r>
      <w:r w:rsidRPr="00DA76A7">
        <w:rPr>
          <w:rFonts w:ascii="Arial" w:hAnsi="Arial" w:cs="Arial"/>
          <w:color w:val="000000" w:themeColor="text1"/>
          <w:sz w:val="22"/>
          <w:szCs w:val="22"/>
        </w:rPr>
        <w:t xml:space="preserve"> договоре продажи недвижимости должны быть указаны данные, позволяющие определенно установить недвижимое имущество, подлежащее передаче покупателю по договору, в том числе данные, определяющие расположение недвижимости на соответствующем земельном участке либо в составе другого недвижимого имущества.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отсутствии этих данных в договоре условие о недвижимом имуществе, подлежащем передаче, считается не согласованным сторонами, а соответствующий договор не считается заключенным.</w:t>
      </w:r>
    </w:p>
    <w:p w:rsidR="00181BA7" w:rsidRPr="00DA76A7" w:rsidRDefault="00181BA7" w:rsidP="00181BA7">
      <w:pPr>
        <w:shd w:val="clear" w:color="auto" w:fill="FFFFFF"/>
        <w:tabs>
          <w:tab w:val="left" w:pos="648"/>
        </w:tabs>
        <w:ind w:firstLine="567"/>
        <w:contextualSpacing/>
        <w:jc w:val="both"/>
        <w:rPr>
          <w:rFonts w:ascii="Arial" w:eastAsia="Calibri" w:hAnsi="Arial" w:cs="Arial"/>
          <w:b/>
          <w:color w:val="000000" w:themeColor="text1"/>
          <w:sz w:val="22"/>
          <w:szCs w:val="22"/>
          <w:lang w:val="uk-UA"/>
        </w:rPr>
      </w:pPr>
      <w:r w:rsidRPr="00DA76A7">
        <w:rPr>
          <w:rFonts w:ascii="Arial" w:hAnsi="Arial" w:cs="Arial"/>
          <w:color w:val="000000" w:themeColor="text1"/>
          <w:sz w:val="22"/>
          <w:szCs w:val="22"/>
        </w:rPr>
        <w:t xml:space="preserve">В ЗК РТ в ст. </w:t>
      </w:r>
      <w:r w:rsidRPr="00DA76A7">
        <w:rPr>
          <w:rFonts w:ascii="Arial" w:hAnsi="Arial" w:cs="Arial"/>
          <w:color w:val="000000" w:themeColor="text1"/>
          <w:sz w:val="22"/>
          <w:szCs w:val="22"/>
          <w:lang w:val="uk-UA"/>
        </w:rPr>
        <w:t>2</w:t>
      </w:r>
      <w:r w:rsidRPr="00DA76A7">
        <w:rPr>
          <w:rFonts w:ascii="Arial" w:hAnsi="Arial" w:cs="Arial"/>
          <w:color w:val="000000" w:themeColor="text1"/>
          <w:sz w:val="22"/>
          <w:szCs w:val="22"/>
          <w:vertAlign w:val="superscript"/>
          <w:lang w:val="uk-UA"/>
        </w:rPr>
        <w:t>2</w:t>
      </w:r>
      <w:r w:rsidRPr="00DA76A7">
        <w:rPr>
          <w:rFonts w:ascii="Arial" w:hAnsi="Arial" w:cs="Arial"/>
          <w:color w:val="000000" w:themeColor="text1"/>
          <w:sz w:val="22"/>
          <w:szCs w:val="22"/>
          <w:lang w:val="uk-UA"/>
        </w:rPr>
        <w:t xml:space="preserve"> ЗК, п</w:t>
      </w:r>
      <w:r w:rsidRPr="00DA76A7">
        <w:rPr>
          <w:rFonts w:ascii="Arial" w:eastAsia="Calibri" w:hAnsi="Arial" w:cs="Arial"/>
          <w:color w:val="000000" w:themeColor="text1"/>
          <w:sz w:val="22"/>
          <w:szCs w:val="22"/>
          <w:lang w:val="uk-UA"/>
        </w:rPr>
        <w:t>раво пользования земельным участком с правом его отчуждения является особым обьектом гражданских правоотношений и может быть предметом купли-продажи, дарения, мены, аренды, залога и других сделок, а также может переходить к другому лицу в порядке наследования или универсального правопреемства, установленного земельным кодексом и гражданским законодательством.</w:t>
      </w:r>
      <w:r w:rsidRPr="00DA76A7">
        <w:rPr>
          <w:rFonts w:ascii="Arial" w:eastAsia="Calibri" w:hAnsi="Arial" w:cs="Arial"/>
          <w:b/>
          <w:color w:val="000000" w:themeColor="text1"/>
          <w:sz w:val="22"/>
          <w:szCs w:val="22"/>
          <w:lang w:val="uk-UA"/>
        </w:rPr>
        <w:t xml:space="preserve"> </w:t>
      </w:r>
    </w:p>
    <w:p w:rsidR="00181BA7" w:rsidRPr="00DA76A7" w:rsidRDefault="00181BA7" w:rsidP="00181BA7">
      <w:pPr>
        <w:shd w:val="clear" w:color="auto" w:fill="FFFFFF"/>
        <w:tabs>
          <w:tab w:val="left" w:pos="648"/>
        </w:tabs>
        <w:ind w:firstLine="567"/>
        <w:contextualSpacing/>
        <w:jc w:val="both"/>
        <w:rPr>
          <w:rFonts w:ascii="Arial" w:hAnsi="Arial" w:cs="Arial"/>
          <w:color w:val="000000" w:themeColor="text1"/>
          <w:sz w:val="22"/>
          <w:szCs w:val="22"/>
        </w:rPr>
      </w:pPr>
      <w:r w:rsidRPr="00DA76A7">
        <w:rPr>
          <w:rFonts w:ascii="Arial" w:eastAsia="Calibri" w:hAnsi="Arial" w:cs="Arial"/>
          <w:color w:val="000000" w:themeColor="text1"/>
          <w:sz w:val="22"/>
          <w:szCs w:val="22"/>
          <w:lang w:val="uk-UA"/>
        </w:rPr>
        <w:t>В соответствии со ст.1 Закона РТ «О государственной регистрации недвижимого имущества и прав на него»,</w:t>
      </w:r>
      <w:r w:rsidRPr="00DA76A7">
        <w:rPr>
          <w:rFonts w:ascii="Arial" w:hAnsi="Arial" w:cs="Arial"/>
          <w:color w:val="000000" w:themeColor="text1"/>
          <w:sz w:val="22"/>
          <w:szCs w:val="22"/>
        </w:rPr>
        <w:t xml:space="preserve"> - основные данные объектов недвижимого имущества - кадастровый номер, назначение, описание границ, местонахождение, </w:t>
      </w:r>
      <w:r w:rsidRPr="00DA76A7">
        <w:rPr>
          <w:rStyle w:val="af6"/>
          <w:rFonts w:ascii="Arial" w:eastAsiaTheme="minorEastAsia" w:hAnsi="Arial" w:cs="Arial"/>
          <w:bCs/>
          <w:color w:val="000000" w:themeColor="text1"/>
          <w:sz w:val="22"/>
          <w:szCs w:val="22"/>
        </w:rPr>
        <w:t>наличие или отсутствие права пользования земельным участком с правом его отчуждения,</w:t>
      </w:r>
      <w:r w:rsidRPr="00DA76A7">
        <w:rPr>
          <w:rFonts w:ascii="Arial" w:hAnsi="Arial" w:cs="Arial"/>
          <w:color w:val="000000" w:themeColor="text1"/>
          <w:sz w:val="22"/>
          <w:szCs w:val="22"/>
        </w:rPr>
        <w:t xml:space="preserve"> местонахождение, площадь, а также другие характеристики объектов недвижимого имущества в случаях, установленных законодательством Республики Таджикистан [3].   </w:t>
      </w:r>
    </w:p>
    <w:p w:rsidR="00181BA7" w:rsidRPr="00DA76A7" w:rsidRDefault="00181BA7" w:rsidP="00181BA7">
      <w:pPr>
        <w:shd w:val="clear" w:color="auto" w:fill="FFFFFF"/>
        <w:tabs>
          <w:tab w:val="left" w:pos="648"/>
        </w:tabs>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Основные сведения земельного участка - кадастровый номер, назначение, описание границ, местонахождение и площадь, позволяют, индивидуализировать земельный участок на момент заключения договора.</w:t>
      </w:r>
    </w:p>
    <w:p w:rsidR="00181BA7" w:rsidRPr="00DA76A7" w:rsidRDefault="00181BA7" w:rsidP="00181BA7">
      <w:pPr>
        <w:shd w:val="clear" w:color="auto" w:fill="FFFFFF"/>
        <w:tabs>
          <w:tab w:val="left" w:pos="648"/>
        </w:tabs>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Второе существенное условие - цена (ст. 585 ГК РТ). Цена право пользования земельным участком должна определятся рыночными условиями. При установлении рыночной цены права пользования земельным участком подлежат учету также правила отдельных актов земельного законодательства, определяющих порядок формирования цены.</w:t>
      </w:r>
    </w:p>
    <w:p w:rsidR="00181BA7" w:rsidRPr="00DA76A7" w:rsidRDefault="00181BA7" w:rsidP="00181BA7">
      <w:pPr>
        <w:shd w:val="clear" w:color="auto" w:fill="FFFFFF"/>
        <w:tabs>
          <w:tab w:val="left" w:pos="648"/>
        </w:tabs>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lang w:val="tg-Cyrl-TJ"/>
        </w:rPr>
        <w:t>Согласно стат</w:t>
      </w:r>
      <w:r w:rsidRPr="00DA76A7">
        <w:rPr>
          <w:rFonts w:ascii="Arial" w:hAnsi="Arial" w:cs="Arial"/>
          <w:color w:val="000000" w:themeColor="text1"/>
          <w:sz w:val="22"/>
          <w:szCs w:val="22"/>
        </w:rPr>
        <w:t>ьи 246 части 2, говорится что основания и порядок возникновения, изменения и прекращения права землепользования, права и обязанности землепользователей, в том числе по отчуждению права землепользования определяются  Земельным  кодексом Республики Таджикистан.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предполагалась что существенные особенности договора купли-продажи права пользования земельным участком будут отражены в тексте ЗК РТ. Однако в ст. 19 ЗК РТ («Особенности купли-продажи право пользования земельных участков») этого сделать не удалось, так как значительная часть положений, регулирующих рассматри</w:t>
      </w:r>
      <w:r w:rsidRPr="00DA76A7">
        <w:rPr>
          <w:rFonts w:ascii="Arial" w:hAnsi="Arial" w:cs="Arial"/>
          <w:color w:val="000000" w:themeColor="text1"/>
          <w:sz w:val="22"/>
          <w:szCs w:val="22"/>
        </w:rPr>
        <w:softHyphen/>
        <w:t>ваемый институт не учтена в Земельном кодексе РТ.</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Полагаем, что законодатель обоснованно отказался включать в Земельный кодекс РТ многочисленные нормы об ограничениях обороноспособности права пользования земельными участками: относительно субъектного состава, минимальных и максимальных размеров сельскохозяйственных угодий.</w:t>
      </w:r>
      <w:r w:rsidRPr="00DA76A7">
        <w:rPr>
          <w:rFonts w:ascii="Arial" w:eastAsia="Calibri" w:hAnsi="Arial" w:cs="Arial"/>
          <w:color w:val="000000" w:themeColor="text1"/>
          <w:sz w:val="22"/>
          <w:szCs w:val="22"/>
          <w:lang w:val="uk-UA"/>
        </w:rPr>
        <w:t xml:space="preserve"> А также, в статье 22 Земельного Кодекса Республики Таджикистан указал, что предельные (максимальные и минимальные) размеры земельных участков из земель различного назначения, предоставляемых в пользование физическим и юридическим лицам Республики Таджикистан с правом их отчуждения будут установлены Правительством Республики Таджикистан.</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На наш взгляд, при изъятии прав</w:t>
      </w:r>
      <w:r w:rsidRPr="00DA76A7">
        <w:rPr>
          <w:rFonts w:ascii="Arial" w:hAnsi="Arial" w:cs="Arial"/>
          <w:color w:val="000000" w:themeColor="text1"/>
          <w:sz w:val="22"/>
          <w:szCs w:val="22"/>
          <w:lang w:val="tg-Cyrl-TJ"/>
        </w:rPr>
        <w:t>а</w:t>
      </w:r>
      <w:r w:rsidRPr="00DA76A7">
        <w:rPr>
          <w:rFonts w:ascii="Arial" w:hAnsi="Arial" w:cs="Arial"/>
          <w:color w:val="000000" w:themeColor="text1"/>
          <w:sz w:val="22"/>
          <w:szCs w:val="22"/>
        </w:rPr>
        <w:t xml:space="preserve"> пользования земельным участком у покупателя третьими лицами по основаниям, возникшим до исполнения договора купли-продажи, продавец обязан возместить покупателю понесенные им убытки, за исключением случая, когда покупатель знал или должен был знать о наличии этих оснований (ст. 498 ГК РТ).</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Куплю продажу право пользования земельным участком сельскохозяйственного назначения отождествляют с понятием «рынка права пользования земельным участком».</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С.А. Липски полагает, что в понятие «рынок земли» должны быть включены все непротиворечащие закону сделки, связанные с рыночным перераспределением земли, в том числе и не влекущие ее отчуждения [4,45].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Н.Н. Аверьянова не может согласиться с данным утверждением, по ее мнению, в понятие «рынок земли», помимо сделок, которые совершаются с ней, должны включаться и другие элементы, такие, как и сам земельный фонд, то есть рыночный товар. Конечно, что существование рынка земли без наличия, реального учтенного и сформированного земельного объекта невозможно. В связи с этим, рынок земли должен иметь соответствующую информационную инфраструктуру в лице кадастровых служб, учреждений по регистрации прав на землю и тому подобных организаций, в чьи задачи входит формирование объектов для нормального функционирования земельного рынка, в результате которого будет происходить оборот прав на землю [5,28]</w:t>
      </w:r>
      <w:r w:rsidRPr="00DA76A7">
        <w:rPr>
          <w:rStyle w:val="af3"/>
          <w:rFonts w:ascii="Arial" w:hAnsi="Arial" w:cs="Arial"/>
          <w:color w:val="000000" w:themeColor="text1"/>
          <w:sz w:val="22"/>
          <w:szCs w:val="22"/>
        </w:rPr>
        <w:t>.</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Сделки с правом пользования землями сельскохозяйственного назначения являются основой формирования рынка права пользования землями сельскохозяйственного назначения, а все остальные компоненты – лишь условия для их нормального совершения.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Купля продажа в свою очередь является одним из видов оборота прав на землю и осуществляется в процессе функционирования рынка права землепользования.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2012 году были внесены изменения и дополнения в Земельный Кодекс Республики Таджикистан и первичный землепользователь был наделен правом отчуждения своего права землепользования, однако рынок права землепользования не работал.   Только в 2018 году, впервые понятия первичный и вторичный земельный рынок был включен в Закон Республики Таджикистан «О государственной регистрации недвижимого имущества и права на него». </w:t>
      </w:r>
    </w:p>
    <w:p w:rsidR="00181BA7" w:rsidRPr="00DA76A7" w:rsidRDefault="00181BA7" w:rsidP="00181BA7">
      <w:pPr>
        <w:ind w:firstLine="567"/>
        <w:jc w:val="both"/>
        <w:rPr>
          <w:rFonts w:ascii="Arial" w:hAnsi="Arial" w:cs="Arial"/>
          <w:bCs/>
          <w:iCs/>
          <w:color w:val="000000" w:themeColor="text1"/>
          <w:sz w:val="22"/>
          <w:szCs w:val="22"/>
        </w:rPr>
      </w:pPr>
      <w:r w:rsidRPr="00DA76A7">
        <w:rPr>
          <w:rFonts w:ascii="Arial" w:hAnsi="Arial" w:cs="Arial"/>
          <w:bCs/>
          <w:iCs/>
          <w:color w:val="000000" w:themeColor="text1"/>
          <w:sz w:val="22"/>
          <w:szCs w:val="22"/>
        </w:rPr>
        <w:t>Согласно этим изменениям, переход прав пользования земельным участком с правого его отчуждения от государства к физическим и юридическим лицам - землепользователям в соответствии нормативными правовыми актами, был определен первичный земельный рынок.</w:t>
      </w:r>
    </w:p>
    <w:p w:rsidR="00181BA7" w:rsidRPr="00DA76A7" w:rsidRDefault="00181BA7" w:rsidP="00181BA7">
      <w:pPr>
        <w:ind w:firstLine="567"/>
        <w:jc w:val="both"/>
        <w:rPr>
          <w:rFonts w:ascii="Arial" w:hAnsi="Arial" w:cs="Arial"/>
          <w:bCs/>
          <w:color w:val="000000" w:themeColor="text1"/>
          <w:sz w:val="22"/>
          <w:szCs w:val="22"/>
          <w:lang w:eastAsia="zh-CN"/>
        </w:rPr>
      </w:pPr>
      <w:r w:rsidRPr="00DA76A7">
        <w:rPr>
          <w:rFonts w:ascii="Arial" w:hAnsi="Arial" w:cs="Arial"/>
          <w:bCs/>
          <w:iCs/>
          <w:color w:val="000000" w:themeColor="text1"/>
          <w:sz w:val="22"/>
          <w:szCs w:val="22"/>
        </w:rPr>
        <w:t xml:space="preserve"> А реализация землепользователями физическими и юридическими лицами их прав на осуществление гражданско-правовых сделок в отношении прав пользования земельным участком с правом его отчуждения в соответствии нормативными правовыми актами, был указан как вторичный земельный рынок.  Во исполнения </w:t>
      </w:r>
      <w:r w:rsidRPr="00DA76A7">
        <w:rPr>
          <w:rFonts w:ascii="Arial" w:hAnsi="Arial" w:cs="Arial"/>
          <w:color w:val="000000" w:themeColor="text1"/>
          <w:sz w:val="22"/>
          <w:szCs w:val="22"/>
        </w:rPr>
        <w:t xml:space="preserve">Закона Республики Таджикистан «О государственной регистрации недвижимого имущества и права на него», Решением Государственного Комитета по земельному управлению и геодезии Республики Таджикистан от 8 января 2018 года за №4, были приняты правила, порядок регистрации, ведение и формы регистрационных дел, книги регистрации, журнал заявлений и присвоения индивидуального кадастрового номера недвижимого имущества.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Купля продажа права землепользования, с правом его отчуждения на первичном земельном рынке имеет особенности, связанных объектов этих правоотношений с ее субъектами, формируя при этом основания и порядок совершения купли продажи.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Купля продажа права землепользования, с правом его отчуждения на вторичном земельном рынке – это сделки, направленные на отчуждения </w:t>
      </w:r>
      <w:r w:rsidRPr="00DA76A7">
        <w:rPr>
          <w:rFonts w:ascii="Arial" w:hAnsi="Arial" w:cs="Arial"/>
          <w:bCs/>
          <w:iCs/>
          <w:color w:val="000000" w:themeColor="text1"/>
          <w:sz w:val="22"/>
          <w:szCs w:val="22"/>
        </w:rPr>
        <w:t xml:space="preserve">прав пользования земельным участком с правом его отчуждения </w:t>
      </w:r>
      <w:r w:rsidRPr="00DA76A7">
        <w:rPr>
          <w:rFonts w:ascii="Arial" w:hAnsi="Arial" w:cs="Arial"/>
          <w:color w:val="000000" w:themeColor="text1"/>
          <w:sz w:val="22"/>
          <w:szCs w:val="22"/>
        </w:rPr>
        <w:t>физическими и юридическими лицами.</w:t>
      </w:r>
      <w:r w:rsidRPr="00DA76A7">
        <w:rPr>
          <w:rFonts w:ascii="Arial" w:hAnsi="Arial" w:cs="Arial"/>
          <w:bCs/>
          <w:iCs/>
          <w:color w:val="000000" w:themeColor="text1"/>
          <w:sz w:val="22"/>
          <w:szCs w:val="22"/>
        </w:rPr>
        <w:t xml:space="preserve">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lang w:val="tg-Cyrl-TJ"/>
        </w:rPr>
        <w:t>Функционирование вторичного земельного р</w:t>
      </w:r>
      <w:r w:rsidRPr="00DA76A7">
        <w:rPr>
          <w:rFonts w:ascii="Arial" w:hAnsi="Arial" w:cs="Arial"/>
          <w:color w:val="000000" w:themeColor="text1"/>
          <w:sz w:val="22"/>
          <w:szCs w:val="22"/>
        </w:rPr>
        <w:t xml:space="preserve">ынка, с правом его отчуждения, зависит также от первичного </w:t>
      </w:r>
      <w:r w:rsidRPr="00DA76A7">
        <w:rPr>
          <w:rFonts w:ascii="Arial" w:hAnsi="Arial" w:cs="Arial"/>
          <w:color w:val="000000" w:themeColor="text1"/>
          <w:sz w:val="22"/>
          <w:szCs w:val="22"/>
          <w:lang w:val="tg-Cyrl-TJ"/>
        </w:rPr>
        <w:t>земельного р</w:t>
      </w:r>
      <w:r w:rsidRPr="00DA76A7">
        <w:rPr>
          <w:rFonts w:ascii="Arial" w:hAnsi="Arial" w:cs="Arial"/>
          <w:color w:val="000000" w:themeColor="text1"/>
          <w:sz w:val="22"/>
          <w:szCs w:val="22"/>
        </w:rPr>
        <w:t xml:space="preserve">ынка, так как получившие  физические и юридические лица в собственность права землепользования, с правом его отчуждения от государства, располагают возможностью свободно распоряжаться своим правом.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Договор купли продажи является возмездным договором, возмездность в свою очередь, выступает обязательным признаком всякого договора купли продажи. Возмездным принято считать договоры, удовлетворяющие имущественный интерес каждой вступающей в него стороны [6,133].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статьи 488 Гражданского Кодекса Республики Таджикистан, по договору купли-продажи одна сторона  (продавец)  обязуется передать  товар в собственность (право хозяйственного ведения и оперативного управления) другой стороне (покупателю), а покупатель обязуется  принять  этот товар и уплатить за него определенную денежную сумму (цену).</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Диспозитивная норма становится частью договора купли продажи, именно тогда, когда стороны, заключая договор не исключили ее применение и не установили другие условия, отличные от данной диспозитивной нормы и согласились на законодательную трактовку договорного пункта [7,5].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О.С. Иоффе считает, что другие условия, определенные диспозитивными нормами, которые непосредственно не формируют специфику правоотношения, то наличие разногласий по ним не может служить основанием для признания договора незаключенным, если другие его условия сторонами фактически выполнены [8,</w:t>
      </w:r>
      <w:r w:rsidRPr="00DA76A7">
        <w:rPr>
          <w:rStyle w:val="af3"/>
          <w:rFonts w:ascii="Arial" w:hAnsi="Arial" w:cs="Arial"/>
          <w:color w:val="000000" w:themeColor="text1"/>
          <w:sz w:val="22"/>
          <w:szCs w:val="22"/>
        </w:rPr>
        <w:t xml:space="preserve"> </w:t>
      </w:r>
      <w:r w:rsidRPr="00DA76A7">
        <w:rPr>
          <w:rFonts w:ascii="Arial" w:hAnsi="Arial" w:cs="Arial"/>
          <w:color w:val="000000" w:themeColor="text1"/>
          <w:sz w:val="22"/>
          <w:szCs w:val="22"/>
        </w:rPr>
        <w:t xml:space="preserve">29-31].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в договоре купли продажи несущественные условия в отличие от существенных условий, не может сыграть никакой роли в формировании существа договорного правоотношения.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Существенные условия договора купли продажи недвижимого имущества предусмотрены в Гражданском кодексе Республики Таджикистан.  Согласно статьи 490 Гражданского Кодекса Республики Таджикистан, в договоре купли продажи права пользования земельного участка должны быть указаны сведения, определяющие месторасположение земельного участка.</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отсутствии таких сведений в договоре условие о земельном участке, подлежащем передаче, считается неоговоренным сторонами, а договор купли-продажи незаключенным.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Еще одним существенным условием договора купли продажи права пользования земельного участка, является его цена.   </w:t>
      </w:r>
    </w:p>
    <w:p w:rsidR="00181BA7" w:rsidRPr="00DA76A7" w:rsidRDefault="00181BA7" w:rsidP="00181BA7">
      <w:pPr>
        <w:shd w:val="clear" w:color="auto" w:fill="FFFFFF"/>
        <w:tabs>
          <w:tab w:val="left" w:pos="648"/>
        </w:tabs>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Цена право пользования земельным участком должна определятся рыночными условиями. </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При установлении рыночной цены права пользования земельным участком подлежат учету также правила отдельных актов земельного законодательства, определяющих порядок формирования цены, а также соответствующие мето</w:t>
      </w:r>
      <w:r w:rsidRPr="00DA76A7">
        <w:rPr>
          <w:rFonts w:ascii="Arial" w:hAnsi="Arial" w:cs="Arial"/>
          <w:color w:val="000000" w:themeColor="text1"/>
          <w:sz w:val="22"/>
          <w:szCs w:val="22"/>
        </w:rPr>
        <w:softHyphen/>
        <w:t>дические рекомендации.</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сведения о существующих ограничениях (обременениях) земельных участков является существенным условием договора купли продажи права пользования земельным участком, так как это конкретно указано в законе, то есть в случае наличия таких обременений, продавец должен в договоре на них указать, в обратном случае данный договор будет считаться незаключенным.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Купля продажа права пользования земельными участками сель</w:t>
      </w:r>
      <w:r w:rsidRPr="00DA76A7">
        <w:rPr>
          <w:rFonts w:ascii="Arial" w:hAnsi="Arial" w:cs="Arial"/>
          <w:color w:val="000000" w:themeColor="text1"/>
          <w:sz w:val="22"/>
          <w:szCs w:val="22"/>
        </w:rPr>
        <w:softHyphen/>
        <w:t>скохозяйственного назначения регулируются гражданским законодательством с учетом ограничений, установленных ЗК РТ. Купля-продажа права пользования земельными участками представляет собой имущественное отношение, возникающее в связи с отчуждением особого вида недвижимого имущества -  права пользования земельным участком, и переходом прав на него от одного лица к другому. Существенными условиями договора купли-продажи права пользования земельным участком являются предмет договора и цена. Применительно к положениям земельного законода</w:t>
      </w:r>
      <w:r w:rsidRPr="00DA76A7">
        <w:rPr>
          <w:rFonts w:ascii="Arial" w:hAnsi="Arial" w:cs="Arial"/>
          <w:color w:val="000000" w:themeColor="text1"/>
          <w:sz w:val="22"/>
          <w:szCs w:val="22"/>
        </w:rPr>
        <w:softHyphen/>
        <w:t>тельства описание предмета договора купли-продажи права пользования земельным участком сельскохозяйственного назначения, должно содержать указание на размер, ме</w:t>
      </w:r>
      <w:r w:rsidRPr="00DA76A7">
        <w:rPr>
          <w:rFonts w:ascii="Arial" w:hAnsi="Arial" w:cs="Arial"/>
          <w:color w:val="000000" w:themeColor="text1"/>
          <w:sz w:val="22"/>
          <w:szCs w:val="22"/>
        </w:rPr>
        <w:softHyphen/>
        <w:t xml:space="preserve">стоположение, кадастровый номер и разрешенное использование.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Еще одним из существенных условий заключения договора купли продажи права пользования земельным участком сельскохозяйственного назначения, это обязательное указание сведений о существующих ограничениях (обременениях) земельных участков.</w:t>
      </w:r>
    </w:p>
    <w:p w:rsidR="00181BA7" w:rsidRPr="00DA76A7" w:rsidRDefault="00181BA7" w:rsidP="00181BA7">
      <w:pPr>
        <w:ind w:firstLine="567"/>
        <w:jc w:val="both"/>
        <w:rPr>
          <w:rFonts w:ascii="Arial" w:hAnsi="Arial" w:cs="Arial"/>
          <w:b/>
          <w:bCs/>
          <w:color w:val="000000" w:themeColor="text1"/>
          <w:sz w:val="22"/>
          <w:szCs w:val="22"/>
        </w:rPr>
      </w:pPr>
      <w:r w:rsidRPr="00DA76A7">
        <w:rPr>
          <w:rFonts w:ascii="Arial" w:hAnsi="Arial" w:cs="Arial"/>
          <w:color w:val="000000" w:themeColor="text1"/>
          <w:sz w:val="22"/>
          <w:szCs w:val="22"/>
        </w:rPr>
        <w:t>Указание в договоре на категорию, целевое назначение и разрешенное использование участка полагаем необходимым, но не влекущим последствий при</w:t>
      </w:r>
      <w:r w:rsidRPr="00DA76A7">
        <w:rPr>
          <w:rFonts w:ascii="Arial" w:hAnsi="Arial" w:cs="Arial"/>
          <w:color w:val="000000" w:themeColor="text1"/>
          <w:sz w:val="22"/>
          <w:szCs w:val="22"/>
        </w:rPr>
        <w:softHyphen/>
        <w:t>знания договора незаключенным, поскольку анализ норм гражданского законо</w:t>
      </w:r>
      <w:r w:rsidRPr="00DA76A7">
        <w:rPr>
          <w:rFonts w:ascii="Arial" w:hAnsi="Arial" w:cs="Arial"/>
          <w:color w:val="000000" w:themeColor="text1"/>
          <w:sz w:val="22"/>
          <w:szCs w:val="22"/>
        </w:rPr>
        <w:softHyphen/>
        <w:t>дательства не позволяет нам сделать такой вывод и было бы неправильным считать данное условие существенным для договора купли-продажи права пользования земельным участком сельскохозяйственного назначения в силу то</w:t>
      </w:r>
      <w:r w:rsidRPr="00DA76A7">
        <w:rPr>
          <w:rFonts w:ascii="Arial" w:hAnsi="Arial" w:cs="Arial"/>
          <w:color w:val="000000" w:themeColor="text1"/>
          <w:sz w:val="22"/>
          <w:szCs w:val="22"/>
        </w:rPr>
        <w:softHyphen/>
        <w:t>го, что категория и целевое назначение определяется законодателем и в нормах законодательства имеется ссылка на то, что их изменение недопустимо без соблюдения определенного порядка. Кроме того, эти данные указаны в документах государственного земельного кадастра, которые являются обязательным приложением к данному договору.</w:t>
      </w:r>
    </w:p>
    <w:p w:rsidR="00181BA7" w:rsidRPr="00DA76A7" w:rsidRDefault="00181BA7" w:rsidP="00181BA7">
      <w:pPr>
        <w:ind w:firstLine="567"/>
        <w:contextualSpacing/>
        <w:jc w:val="both"/>
        <w:rPr>
          <w:rFonts w:ascii="Arial" w:hAnsi="Arial" w:cs="Arial"/>
          <w:color w:val="000000" w:themeColor="text1"/>
          <w:sz w:val="22"/>
          <w:szCs w:val="22"/>
        </w:rPr>
      </w:pPr>
    </w:p>
    <w:p w:rsidR="00181BA7" w:rsidRPr="00DA76A7" w:rsidRDefault="00181BA7" w:rsidP="00181BA7">
      <w:pPr>
        <w:tabs>
          <w:tab w:val="center" w:pos="4677"/>
          <w:tab w:val="right" w:pos="9355"/>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tabs>
          <w:tab w:val="left" w:pos="851"/>
          <w:tab w:val="center" w:pos="4677"/>
          <w:tab w:val="right" w:pos="935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tg-Cyrl-TJ"/>
        </w:rPr>
        <w:t>1.    Конститу</w:t>
      </w:r>
      <w:r w:rsidRPr="00DA76A7">
        <w:rPr>
          <w:rFonts w:ascii="Arial" w:hAnsi="Arial" w:cs="Arial"/>
          <w:color w:val="000000" w:themeColor="text1"/>
          <w:sz w:val="22"/>
          <w:szCs w:val="22"/>
        </w:rPr>
        <w:t xml:space="preserve">ция Республики Таджикистан от 1994 г. 37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w:t>
      </w:r>
    </w:p>
    <w:p w:rsidR="00181BA7" w:rsidRPr="00DA76A7" w:rsidRDefault="00181BA7" w:rsidP="00181BA7">
      <w:pPr>
        <w:tabs>
          <w:tab w:val="left" w:pos="851"/>
          <w:tab w:val="center" w:pos="4677"/>
          <w:tab w:val="right" w:pos="935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tg-Cyrl-TJ"/>
        </w:rPr>
        <w:t xml:space="preserve">2.    </w:t>
      </w:r>
      <w:r w:rsidRPr="00DA76A7">
        <w:rPr>
          <w:rFonts w:ascii="Arial" w:hAnsi="Arial" w:cs="Arial"/>
          <w:color w:val="000000" w:themeColor="text1"/>
          <w:sz w:val="22"/>
          <w:szCs w:val="22"/>
        </w:rPr>
        <w:t>Земельный Кодекс Республики Таджикистан от 13 декаря 1996 г. № 326.</w:t>
      </w:r>
    </w:p>
    <w:p w:rsidR="00181BA7" w:rsidRPr="00DA76A7" w:rsidRDefault="00181BA7" w:rsidP="00181BA7">
      <w:pPr>
        <w:tabs>
          <w:tab w:val="left" w:pos="851"/>
          <w:tab w:val="center" w:pos="4677"/>
          <w:tab w:val="right" w:pos="935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tg-Cyrl-TJ"/>
        </w:rPr>
        <w:t xml:space="preserve">3.    </w:t>
      </w:r>
      <w:r w:rsidRPr="00DA76A7">
        <w:rPr>
          <w:rFonts w:ascii="Arial" w:hAnsi="Arial" w:cs="Arial"/>
          <w:color w:val="000000" w:themeColor="text1"/>
          <w:sz w:val="22"/>
          <w:szCs w:val="22"/>
        </w:rPr>
        <w:t>Гражданский Кодекс Республики Таджикистан 30 июня 1999 года, № 803.</w:t>
      </w:r>
    </w:p>
    <w:p w:rsidR="00181BA7" w:rsidRPr="00DA76A7" w:rsidRDefault="00181BA7" w:rsidP="00D45D6B">
      <w:pPr>
        <w:pStyle w:val="a6"/>
        <w:numPr>
          <w:ilvl w:val="0"/>
          <w:numId w:val="92"/>
        </w:numPr>
        <w:tabs>
          <w:tab w:val="left" w:pos="851"/>
          <w:tab w:val="center" w:pos="4677"/>
          <w:tab w:val="right" w:pos="935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Закон Республики Таджикистан «О государственной регистрации недвижимого имущества» от 20 марта 2008 года, № 375.</w:t>
      </w:r>
    </w:p>
    <w:p w:rsidR="00181BA7" w:rsidRPr="00DA76A7" w:rsidRDefault="00181BA7" w:rsidP="00D45D6B">
      <w:pPr>
        <w:pStyle w:val="a6"/>
        <w:numPr>
          <w:ilvl w:val="0"/>
          <w:numId w:val="92"/>
        </w:numPr>
        <w:tabs>
          <w:tab w:val="left" w:pos="851"/>
          <w:tab w:val="center" w:pos="4677"/>
          <w:tab w:val="right" w:pos="9355"/>
        </w:tabs>
        <w:spacing w:after="0" w:line="240" w:lineRule="auto"/>
        <w:ind w:left="0" w:firstLine="567"/>
        <w:jc w:val="both"/>
        <w:rPr>
          <w:rStyle w:val="ab"/>
          <w:rFonts w:ascii="Arial" w:hAnsi="Arial" w:cs="Arial"/>
          <w:bCs w:val="0"/>
          <w:color w:val="000000" w:themeColor="text1"/>
        </w:rPr>
      </w:pPr>
      <w:r w:rsidRPr="00DA76A7">
        <w:rPr>
          <w:rFonts w:ascii="Arial" w:hAnsi="Arial" w:cs="Arial"/>
          <w:color w:val="000000" w:themeColor="text1"/>
        </w:rPr>
        <w:t>Закон Республики Таджикистан «О внесении изменений и дополнений в Закон РТ «О государственной регистрации недвижимого имущества»«</w:t>
      </w:r>
      <w:r w:rsidRPr="00DA76A7">
        <w:rPr>
          <w:rStyle w:val="ab"/>
          <w:rFonts w:ascii="Arial" w:hAnsi="Arial" w:cs="Arial"/>
          <w:color w:val="000000" w:themeColor="text1"/>
        </w:rPr>
        <w:t xml:space="preserve"> от 02.01.18 г., №1502.</w:t>
      </w:r>
    </w:p>
    <w:p w:rsidR="00181BA7" w:rsidRPr="00DA76A7" w:rsidRDefault="00181BA7" w:rsidP="00D45D6B">
      <w:pPr>
        <w:pStyle w:val="af2"/>
        <w:numPr>
          <w:ilvl w:val="0"/>
          <w:numId w:val="92"/>
        </w:numPr>
        <w:tabs>
          <w:tab w:val="left" w:pos="851"/>
        </w:tabs>
        <w:ind w:left="0" w:firstLine="567"/>
        <w:jc w:val="both"/>
        <w:rPr>
          <w:rFonts w:ascii="Arial" w:hAnsi="Arial" w:cs="Arial"/>
          <w:color w:val="000000" w:themeColor="text1"/>
          <w:sz w:val="22"/>
          <w:szCs w:val="22"/>
        </w:rPr>
      </w:pPr>
      <w:r w:rsidRPr="00DA76A7">
        <w:rPr>
          <w:rFonts w:ascii="Arial" w:eastAsia="Times New Roman" w:hAnsi="Arial" w:cs="Arial"/>
          <w:color w:val="000000" w:themeColor="text1"/>
          <w:sz w:val="22"/>
          <w:szCs w:val="22"/>
          <w:lang w:eastAsia="ru-RU"/>
        </w:rPr>
        <w:t xml:space="preserve">Аверьянова Н.Н. Правовое регулирование купли-продажи земель государственной и муниципальной собственности. Дис. канд. юридических наук, Саратов, 2004, - 200 </w:t>
      </w:r>
      <w:r w:rsidRPr="00DA76A7">
        <w:rPr>
          <w:rFonts w:ascii="Arial" w:eastAsia="Times New Roman" w:hAnsi="Arial" w:cs="Arial"/>
          <w:color w:val="000000" w:themeColor="text1"/>
          <w:sz w:val="22"/>
          <w:szCs w:val="22"/>
          <w:lang w:val="en-US" w:eastAsia="ru-RU"/>
        </w:rPr>
        <w:t>c</w:t>
      </w:r>
      <w:r w:rsidRPr="00DA76A7">
        <w:rPr>
          <w:rFonts w:ascii="Arial" w:eastAsia="Times New Roman" w:hAnsi="Arial" w:cs="Arial"/>
          <w:color w:val="000000" w:themeColor="text1"/>
          <w:sz w:val="22"/>
          <w:szCs w:val="22"/>
          <w:lang w:eastAsia="ru-RU"/>
        </w:rPr>
        <w:t>.</w:t>
      </w:r>
    </w:p>
    <w:p w:rsidR="00181BA7" w:rsidRPr="00DA76A7" w:rsidRDefault="00181BA7" w:rsidP="00D45D6B">
      <w:pPr>
        <w:pStyle w:val="af2"/>
        <w:numPr>
          <w:ilvl w:val="0"/>
          <w:numId w:val="9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Витрянский В.В. Существенные условия договора // Хозяйство и право. 1998. №7. 124</w:t>
      </w:r>
      <w:r w:rsidRPr="00DA76A7">
        <w:rPr>
          <w:rFonts w:ascii="Arial" w:hAnsi="Arial" w:cs="Arial"/>
          <w:color w:val="000000" w:themeColor="text1"/>
          <w:sz w:val="22"/>
          <w:szCs w:val="22"/>
          <w:lang w:val="en-US"/>
        </w:rPr>
        <w:t xml:space="preserve"> c</w:t>
      </w:r>
      <w:r w:rsidRPr="00DA76A7">
        <w:rPr>
          <w:rFonts w:ascii="Arial" w:hAnsi="Arial" w:cs="Arial"/>
          <w:color w:val="000000" w:themeColor="text1"/>
          <w:sz w:val="22"/>
          <w:szCs w:val="22"/>
        </w:rPr>
        <w:t xml:space="preserve">. </w:t>
      </w:r>
    </w:p>
    <w:p w:rsidR="00181BA7" w:rsidRPr="00DA76A7" w:rsidRDefault="00181BA7" w:rsidP="00D45D6B">
      <w:pPr>
        <w:pStyle w:val="af2"/>
        <w:numPr>
          <w:ilvl w:val="0"/>
          <w:numId w:val="9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Иоффе О.С. Обязательственное право. М. 1975.  880</w:t>
      </w:r>
      <w:r w:rsidRPr="00DA76A7">
        <w:rPr>
          <w:rFonts w:ascii="Arial" w:hAnsi="Arial" w:cs="Arial"/>
          <w:color w:val="000000" w:themeColor="text1"/>
          <w:sz w:val="22"/>
          <w:szCs w:val="22"/>
          <w:lang w:val="en-US"/>
        </w:rPr>
        <w:t xml:space="preserve"> c</w:t>
      </w:r>
      <w:r w:rsidRPr="00DA76A7">
        <w:rPr>
          <w:rFonts w:ascii="Arial" w:hAnsi="Arial" w:cs="Arial"/>
          <w:color w:val="000000" w:themeColor="text1"/>
          <w:sz w:val="22"/>
          <w:szCs w:val="22"/>
        </w:rPr>
        <w:t>.</w:t>
      </w:r>
    </w:p>
    <w:p w:rsidR="00181BA7" w:rsidRPr="00DA76A7" w:rsidRDefault="00181BA7" w:rsidP="00D45D6B">
      <w:pPr>
        <w:pStyle w:val="af2"/>
        <w:numPr>
          <w:ilvl w:val="0"/>
          <w:numId w:val="92"/>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Липски С.А. Земельные доли: путь к оптимизации землепользования или препятствие при перераспределении земель//Недвижимость и инвестиции. Правовое регулирование. 2001. №2-3 (7-8). 300</w:t>
      </w:r>
      <w:r w:rsidRPr="00DA76A7">
        <w:rPr>
          <w:rFonts w:ascii="Arial" w:hAnsi="Arial" w:cs="Arial"/>
          <w:color w:val="000000" w:themeColor="text1"/>
          <w:sz w:val="22"/>
          <w:szCs w:val="22"/>
          <w:lang w:val="en-US"/>
        </w:rPr>
        <w:t xml:space="preserve"> c</w:t>
      </w:r>
      <w:r w:rsidRPr="00DA76A7">
        <w:rPr>
          <w:rFonts w:ascii="Arial" w:hAnsi="Arial" w:cs="Arial"/>
          <w:color w:val="000000" w:themeColor="text1"/>
          <w:sz w:val="22"/>
          <w:szCs w:val="22"/>
        </w:rPr>
        <w:t>.</w:t>
      </w:r>
    </w:p>
    <w:p w:rsidR="00181BA7" w:rsidRPr="00DA76A7" w:rsidRDefault="00181BA7" w:rsidP="00D45D6B">
      <w:pPr>
        <w:pStyle w:val="af2"/>
        <w:numPr>
          <w:ilvl w:val="0"/>
          <w:numId w:val="92"/>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Новицкий И.Б., Лунц Л.А. Общее учение об обязательстве. М. 1950. 412</w:t>
      </w:r>
      <w:r w:rsidRPr="00DA76A7">
        <w:rPr>
          <w:rFonts w:ascii="Arial" w:hAnsi="Arial" w:cs="Arial"/>
          <w:color w:val="000000" w:themeColor="text1"/>
          <w:sz w:val="22"/>
          <w:szCs w:val="22"/>
          <w:lang w:val="en-US"/>
        </w:rPr>
        <w:t xml:space="preserve"> c</w:t>
      </w:r>
      <w:r w:rsidRPr="00DA76A7">
        <w:rPr>
          <w:rFonts w:ascii="Arial" w:hAnsi="Arial" w:cs="Arial"/>
          <w:color w:val="000000" w:themeColor="text1"/>
          <w:sz w:val="22"/>
          <w:szCs w:val="22"/>
        </w:rPr>
        <w:t xml:space="preserve">. </w:t>
      </w:r>
    </w:p>
    <w:p w:rsidR="00181BA7" w:rsidRDefault="00181BA7" w:rsidP="00181BA7">
      <w:pPr>
        <w:pStyle w:val="a6"/>
        <w:tabs>
          <w:tab w:val="left" w:pos="851"/>
        </w:tabs>
        <w:spacing w:after="0" w:line="240" w:lineRule="auto"/>
        <w:ind w:left="0" w:firstLine="567"/>
        <w:jc w:val="both"/>
        <w:rPr>
          <w:rFonts w:ascii="Arial" w:eastAsia="Calibri" w:hAnsi="Arial" w:cs="Arial"/>
          <w:color w:val="000000" w:themeColor="text1"/>
        </w:rPr>
      </w:pPr>
    </w:p>
    <w:p w:rsidR="00F519EB" w:rsidRDefault="00F519EB" w:rsidP="00181BA7">
      <w:pPr>
        <w:pStyle w:val="a6"/>
        <w:tabs>
          <w:tab w:val="left" w:pos="851"/>
        </w:tabs>
        <w:spacing w:after="0" w:line="240" w:lineRule="auto"/>
        <w:ind w:left="0" w:firstLine="567"/>
        <w:jc w:val="both"/>
        <w:rPr>
          <w:rFonts w:ascii="Arial" w:eastAsia="Calibri" w:hAnsi="Arial" w:cs="Arial"/>
          <w:color w:val="000000" w:themeColor="text1"/>
        </w:rPr>
      </w:pPr>
    </w:p>
    <w:p w:rsidR="00F519EB" w:rsidRPr="00DA76A7" w:rsidRDefault="00F519EB" w:rsidP="00181BA7">
      <w:pPr>
        <w:pStyle w:val="a6"/>
        <w:tabs>
          <w:tab w:val="left" w:pos="851"/>
        </w:tabs>
        <w:spacing w:after="0" w:line="240" w:lineRule="auto"/>
        <w:ind w:left="0" w:firstLine="567"/>
        <w:jc w:val="both"/>
        <w:rPr>
          <w:rFonts w:ascii="Arial" w:eastAsia="Calibri" w:hAnsi="Arial" w:cs="Arial"/>
          <w:color w:val="000000" w:themeColor="text1"/>
        </w:rPr>
      </w:pP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rPr>
      </w:pPr>
    </w:p>
    <w:p w:rsidR="00181BA7" w:rsidRPr="00DA76A7" w:rsidRDefault="00181BA7" w:rsidP="00181BA7">
      <w:pPr>
        <w:pStyle w:val="a7"/>
        <w:shd w:val="clear" w:color="auto" w:fill="FFFFFF"/>
        <w:spacing w:before="0" w:beforeAutospacing="0" w:after="0" w:afterAutospacing="0"/>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НОУ-ХАУ КАК ОЪЕКТ ИНТЕЛЕКТУАЛЬНОЙ СОБСТВЕННОСТИ В ФРАНЧАЙЗИНГЕ</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rPr>
      </w:pP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Сизо Тимур Саидович</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студент 4-го курса очного отделения юридического факультета</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Северо-Кавказский филиал Российского государственного университета правосудия</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350020, Россия, г. Краснодар, ул. Брянская,25а кв.35</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.:+79189197986, e-mail: sizo.timur@mail.ru</w:t>
      </w:r>
    </w:p>
    <w:p w:rsidR="00181B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713F3" w:rsidRPr="00DA76A7" w:rsidRDefault="001713F3"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81BA7" w:rsidRPr="00DA76A7" w:rsidRDefault="00181BA7" w:rsidP="00181BA7">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KNOW-HOW AS A PROJECT OF INTELLECTUAL PROPERTY IN FRANCHISE</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SizoTimurSaidovich</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stedent of 4 courses of full-time department of the law faculty</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North-Caucasian branch of the Russian state university of justice</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350020, Russia, Krasnodar, st.Bryanskaya, 25a, ap.35</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+ 79189197986, e-mail: sizo.timur@mail.ru</w:t>
      </w:r>
    </w:p>
    <w:p w:rsidR="00181BA7" w:rsidRPr="00DA76A7" w:rsidRDefault="00181BA7" w:rsidP="00181BA7">
      <w:pPr>
        <w:ind w:firstLine="567"/>
        <w:jc w:val="center"/>
        <w:rPr>
          <w:rFonts w:ascii="Arial" w:hAnsi="Arial" w:cs="Arial"/>
          <w:b/>
          <w:i/>
          <w:color w:val="000000" w:themeColor="text1"/>
          <w:sz w:val="22"/>
          <w:szCs w:val="22"/>
          <w:shd w:val="clear" w:color="auto" w:fill="FFFFFF"/>
          <w:lang w:val="en-US"/>
        </w:rPr>
      </w:pPr>
    </w:p>
    <w:p w:rsidR="00181BA7" w:rsidRPr="00DA76A7" w:rsidRDefault="00181BA7" w:rsidP="00181BA7">
      <w:pPr>
        <w:pStyle w:val="a7"/>
        <w:shd w:val="clear" w:color="auto" w:fill="FFFFFF"/>
        <w:spacing w:before="0" w:beforeAutospacing="0" w:after="0" w:afterAutospacing="0"/>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рассматривается ноу-хау, как объект интеллектуальной собственности в франчайзинге. Анализируются проблемы правового регулирования и разрешения судебных споров по защите прав правообладателя.</w:t>
      </w:r>
    </w:p>
    <w:p w:rsidR="00181BA7" w:rsidRPr="00DA76A7" w:rsidRDefault="00181BA7" w:rsidP="00181BA7">
      <w:pPr>
        <w:pStyle w:val="a7"/>
        <w:shd w:val="clear" w:color="auto" w:fill="FFFFFF"/>
        <w:spacing w:before="0" w:beforeAutospacing="0" w:after="0" w:afterAutospacing="0"/>
        <w:ind w:firstLine="567"/>
        <w:contextualSpacing/>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deals with know-how, as an object of intellectual property in franchising. The problems of legal regulation and resolution of legal disputes for the protection of rights of the rightholderare analyzed.</w:t>
      </w:r>
    </w:p>
    <w:p w:rsidR="00181BA7" w:rsidRPr="00DA76A7" w:rsidRDefault="00181BA7" w:rsidP="00181BA7">
      <w:pPr>
        <w:pStyle w:val="a7"/>
        <w:shd w:val="clear" w:color="auto" w:fill="FFFFFF"/>
        <w:spacing w:before="0" w:beforeAutospacing="0" w:after="0" w:afterAutospacing="0"/>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ноу хау, франшиза, сделка, интеллектуальная собственность.</w:t>
      </w:r>
    </w:p>
    <w:p w:rsidR="00181BA7" w:rsidRPr="00DA76A7" w:rsidRDefault="00181BA7" w:rsidP="00181BA7">
      <w:pPr>
        <w:pStyle w:val="a7"/>
        <w:shd w:val="clear" w:color="auto" w:fill="FFFFFF"/>
        <w:spacing w:before="0" w:beforeAutospacing="0" w:after="0" w:afterAutospacing="0"/>
        <w:ind w:firstLine="567"/>
        <w:contextualSpacing/>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Know-how, franchise, transaction, intellectual property.</w:t>
      </w:r>
    </w:p>
    <w:p w:rsidR="00181BA7" w:rsidRPr="00DA76A7" w:rsidRDefault="00181BA7" w:rsidP="00181BA7">
      <w:pPr>
        <w:ind w:firstLine="567"/>
        <w:rPr>
          <w:rFonts w:ascii="Arial" w:hAnsi="Arial" w:cs="Arial"/>
          <w:b/>
          <w:color w:val="000000" w:themeColor="text1"/>
          <w:sz w:val="22"/>
          <w:szCs w:val="22"/>
          <w:shd w:val="clear" w:color="auto" w:fill="FFFFFF"/>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Ноу-хау – это незапатентованные экономические, технические, организационные знания и опыт, знакомые только ограниченному кругу лиц, обладание которыми выделяет определенную экономическую выгоду.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Конфиденциальность такой информации действует до тех пор, пока сохраняется право на тайну его изготовлений. Исключительное право на тайну производства прекращается у всех правообладателей с этапа утраты конфиденциальности соответствующих сведений.</w:t>
      </w:r>
    </w:p>
    <w:p w:rsidR="00181BA7" w:rsidRPr="00DA76A7" w:rsidRDefault="00181BA7" w:rsidP="00181BA7">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 xml:space="preserve">В современный период правовая охрана ноу-хау, является весьма неурегулированной. В связи с актуальностью использования, ноу-хау в качестве объекта возникающих правоотношений, в том числе международных, необходимо упорядочить правовое регулирование таких правоотношений. </w:t>
      </w:r>
    </w:p>
    <w:p w:rsidR="00181BA7" w:rsidRPr="00DA76A7" w:rsidRDefault="00181BA7" w:rsidP="00181BA7">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 xml:space="preserve">Изобретения и ноу-хау имеют тесную взаимосвязь с объектами интеллектуальных прав, это обусловлено тем, что большинство инновационных разработок, имеют правовую охрану, как интеллектуальные права. Тайна изготовления, используемая еще со времен римского права, в качестве средства охраны интересов предпринимателя, является признанным эффективным средством. Однако до сих пор такое средство, не имеет единого понимания и унифицированного правового регулирования. Тайны производства (ноу-хау), объекты авторского, патентного права, товарные символы, знаки обслуживания, относят к категории «интеллектуальная собственность» [5, 248]. Правовая охрана ноу-хау, имеет отличное от других объектов интеллектуальной собственности, правовую охрану. Сама, тайна изготовления, является своеобразным объектом права, который обладает двоякой правовой природой. Так, право на объект интеллектуальной собственности и информацию, появляется с момента установления  в отношении нее режима коммерческой тайны. </w:t>
      </w:r>
    </w:p>
    <w:p w:rsidR="00181BA7" w:rsidRPr="00DA76A7" w:rsidRDefault="00181BA7" w:rsidP="00181BA7">
      <w:pPr>
        <w:pStyle w:val="a6"/>
        <w:spacing w:after="0" w:line="240" w:lineRule="auto"/>
        <w:ind w:left="0" w:firstLine="567"/>
        <w:jc w:val="both"/>
        <w:rPr>
          <w:rFonts w:ascii="Arial" w:hAnsi="Arial" w:cs="Arial"/>
          <w:color w:val="000000" w:themeColor="text1"/>
          <w:shd w:val="clear" w:color="auto" w:fill="FFFFFF"/>
        </w:rPr>
      </w:pPr>
      <w:r w:rsidRPr="00DA76A7">
        <w:rPr>
          <w:rFonts w:ascii="Arial" w:hAnsi="Arial" w:cs="Arial"/>
          <w:color w:val="000000" w:themeColor="text1"/>
          <w:shd w:val="clear" w:color="auto" w:fill="FFFFFF"/>
        </w:rPr>
        <w:t xml:space="preserve">Термин «ноу-хау» получил свое распространение практически во всех </w:t>
      </w:r>
      <w:r w:rsidR="00666D87">
        <w:rPr>
          <w:rFonts w:ascii="Arial" w:hAnsi="Arial" w:cs="Arial"/>
          <w:noProof/>
          <w:color w:val="000000" w:themeColor="text1"/>
        </w:rPr>
        <w:pict>
          <v:rect id="Прямоугольник 11" o:spid="_x0000_s1035" style="position:absolute;left:0;text-align:left;margin-left:460.45pt;margin-top:-25.45pt;width:15.75pt;height:12.75pt;z-index:25165312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" fillcolor="white [3201]" strokecolor="white [3212]" strokeweight="2pt">
            <v:path arrowok="t"/>
          </v:rect>
        </w:pict>
      </w:r>
      <w:r w:rsidRPr="00DA76A7">
        <w:rPr>
          <w:rFonts w:ascii="Arial" w:hAnsi="Arial" w:cs="Arial"/>
          <w:color w:val="000000" w:themeColor="text1"/>
          <w:shd w:val="clear" w:color="auto" w:fill="FFFFFF"/>
        </w:rPr>
        <w:t>государствах мира. Его точный перевод с английского языка означает «знать, как это сделать». В ряде стран взамен термина «ноу-хау» существуют и иные понятия. Так, например, в Соединенных Штатах Америки используется подобный термин как «tradesecret», в Германии «wissenwie», а в нашей стране «секрет производства». В некоторых странах имеется по несколько терминов, которые применяются для обозначения понятия «ноу-хау». В ряде международных правовых документов кроме «ноу-хау» есть определения «торговые секреты», «закрытая информация», «конфиденциальная информация», «секреты производства» и другие».</w:t>
      </w:r>
      <w:r w:rsidRPr="00DA76A7">
        <w:rPr>
          <w:rFonts w:ascii="Arial" w:hAnsi="Arial" w:cs="Arial"/>
          <w:color w:val="000000" w:themeColor="text1"/>
          <w:shd w:val="clear" w:color="auto" w:fill="FFFFFF"/>
        </w:rPr>
        <w:tab/>
      </w:r>
    </w:p>
    <w:p w:rsidR="00181BA7" w:rsidRPr="00DA76A7" w:rsidRDefault="00181BA7" w:rsidP="00181BA7">
      <w:pPr>
        <w:pStyle w:val="a7"/>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Для создания франшизы бизнеса нужно понять, какая информация, применяется в бизнесе является ноу-хау, а какая такой не считается и носит исключительно вспомогательный характер. В реальности, к ноу-хау во франчайзинге относятся: сведения, относительно бизнес-идеи; созданные и использованные на практике методики организации работы предприятия (кафе, магазин, производство и т.д.); сведения о том, какой персонал и с какими первоначальными навыками должен осуществлять трудовую или же другую функцию на предприятии, мотивационная политика в отношении персонала; методы и методики раскрутки и продвижения предприятия на рынке; стандарты оказания услуг, выполнения работ, реализации продукта, которыми необходимо руководствоваться в рамках предприятия для достижения необходимых показателей [7, 76]. В соответствии с действующим законодательством и практикой его использования, для того, чтобы вся вышеуказанная информация действительно имела значение и имела возможность быть передана в пакете франшизы важны определенные меры защиты данной информации.</w:t>
      </w:r>
    </w:p>
    <w:p w:rsidR="00181BA7" w:rsidRPr="00DA76A7" w:rsidRDefault="00666D87" w:rsidP="00181BA7">
      <w:pPr>
        <w:pStyle w:val="a7"/>
        <w:spacing w:before="0" w:beforeAutospacing="0" w:after="0" w:afterAutospacing="0"/>
        <w:ind w:firstLine="567"/>
        <w:jc w:val="both"/>
        <w:textAlignment w:val="baseline"/>
        <w:rPr>
          <w:rFonts w:ascii="Arial" w:hAnsi="Arial" w:cs="Arial"/>
          <w:color w:val="000000" w:themeColor="text1"/>
          <w:sz w:val="22"/>
          <w:szCs w:val="22"/>
        </w:rPr>
      </w:pPr>
      <w:r>
        <w:rPr>
          <w:rFonts w:ascii="Arial" w:hAnsi="Arial" w:cs="Arial"/>
          <w:noProof/>
          <w:color w:val="000000" w:themeColor="text1"/>
          <w:sz w:val="22"/>
          <w:szCs w:val="22"/>
        </w:rPr>
        <w:pict>
          <v:rect id="Прямоугольник 2" o:spid="_x0000_s1027" style="position:absolute;left:0;text-align:left;margin-left:0;margin-top:82.7pt;width:24pt;height:14.25pt;z-index:251654144;visibility:visible;mso-position-horizontal:left;mso-position-horizontal-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" fillcolor="white [3201]" strokecolor="white [3212]" strokeweight="2pt">
            <v:path arrowok="t"/>
            <w10:wrap anchorx="margin"/>
          </v:rect>
        </w:pict>
      </w:r>
      <w:r w:rsidR="00181BA7" w:rsidRPr="00DA76A7">
        <w:rPr>
          <w:rFonts w:ascii="Arial" w:hAnsi="Arial" w:cs="Arial"/>
          <w:color w:val="000000" w:themeColor="text1"/>
          <w:sz w:val="22"/>
          <w:szCs w:val="22"/>
        </w:rPr>
        <w:t>На практика видно, что покупатели франшизы без особых проблем разрушают в суде франчайзинговые сделки, это происходит по тому, что продавец франшизы не предпринял ряд важных мер для систематизации информации, составляющей ноу-хау, а также, что не мало важно, не принял мер для защиты данной информации. И конечно же результат для продавца такой франшизы довольно плачевен. Если в суде признается недействительной франчайзинговая сделка с одним франчайзи, то по цепочке рушится вся франчайзинговая сеть, а продавец франшизы, с обязательством возвратить все уплаченные средства по этим франчайзинговым сделкам своим вчерашним покупателям, уходит с рынка.</w:t>
      </w:r>
    </w:p>
    <w:p w:rsidR="00181BA7" w:rsidRPr="00DA76A7" w:rsidRDefault="00181BA7" w:rsidP="00181BA7">
      <w:pPr>
        <w:pStyle w:val="a7"/>
        <w:spacing w:before="0" w:beforeAutospacing="0" w:after="0" w:afterAutospacing="0"/>
        <w:ind w:firstLine="567"/>
        <w:jc w:val="both"/>
        <w:textAlignment w:val="baseline"/>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Как отмечал Р. Б. Ситдиков, «На сегодняшний день содержащем раздел, в единственном универсальном международном соглашении, посвященный охране ноу-хау, в области интеллектуальной собственности закреплено определение, которое не выделяет ноу-хау между прочих сведений коммерческого закрытого характера.» Так, раздел 7 соглашения по торговым аспектам прав интеллектуальной собственности(ТРИПС), [1]в котором идет речь о рассматриваемом понятии, называется «Охрана закрытой информации». В п. 2 ст. 39 этого раздела рассказывается: «Физическим и юридическим лицам предоставляется возможность препятствовать тому, что та информация, которая правомерно оказавшаяся под их контролем, была раскрыта, получена или использована другими лицами без их согласия способом, противоречащим частной коммерческой практике, при условии, что такая информация: является секретной в том смысле, что она в определенной конфигурации или в целом в подборе ее компонентов не является общеизвестной и легкодоступной в тех кругах, которые обычно имеют дело с подобной информацией; ввиду своей секретности имеет коммерческую ценность и является объектом надлежащих в данных обстоятельствах шагов, направленных на сохранение ее секретности со стороны лица, правомерно контролирующего эту информацию» «Согласно статье 1465 Гражданского кодекса Российской Федерации (далее ГК РФ) ноу-хау это сведения разного характера, в том числе  о итогах интеллектуальной деятельности в научно-технической сфере, а также сведения о способностях осуществления профессиональной деятельности, которые обладают действительную или потенциальную коммерческую значимость в силу неизвестности их третьим лицам[2]. Весьма давно есть понимание надобности охраны секретной информации, к которой относится и ноу-хау.  Так, в Древнем Риме существовал закон, который предусматривал штраф, если чужих рабов принуждали к выдачи тайн своего хозяина. Еще древнем мире появилась идея вести торговые книги, тайна которых считалась разновидностью коммерческой тайны. Эти книги обязаны были вести: промышленники, торговцы и банкиры, для того, чтобы отражать их деятельность и материальное положение. На законном основании это считалось гарантией защиты тайны. Данные из этих торговых книг могли сообщаться только в целях установления правосудия, по фискальным соображениям, то есть для уточнения налогов, по делам связных с наследованием имущества, в случаях прекращения существования товарищества или наступления банкротства.</w:t>
      </w:r>
      <w:r w:rsidRPr="00DA76A7">
        <w:rPr>
          <w:rFonts w:ascii="Arial" w:hAnsi="Arial" w:cs="Arial"/>
          <w:color w:val="000000" w:themeColor="text1"/>
          <w:sz w:val="22"/>
          <w:szCs w:val="22"/>
        </w:rPr>
        <w:t xml:space="preserve"> В</w:t>
      </w:r>
      <w:r w:rsidRPr="00DA76A7">
        <w:rPr>
          <w:rFonts w:ascii="Arial" w:hAnsi="Arial" w:cs="Arial"/>
          <w:color w:val="000000" w:themeColor="text1"/>
          <w:sz w:val="22"/>
          <w:szCs w:val="22"/>
          <w:shd w:val="clear" w:color="auto" w:fill="FFFFFF"/>
        </w:rPr>
        <w:t xml:space="preserve"> качестве задач правовой охраны в области интеллектуальной деятельности выступают обеспечение исключительных прав правообладателей и личных неимущественных прав авторов, а кроме того защита от незаконного использования. Режим коммерческой тайны установлен в отношении ноу-хау. В законодательном порядке зафиксированы определённые аспекты ноу-хау: не общеизвестность, то есть закрытость информации, ценность ноу-хау, а кроме того разнообразие информации и то, что ноу-хау является выступает в качестве объекта определенной деятельности по сохранению его конфиденциальности. Закрепляя правовой режим ноу-хау, законно не может определить точный перечень сведений, которые могут быть защищены. Как секреты производства получают охраны самые разные сведения, дающие их обладателю некоторые преимущества перед своими конкурентами, они могут позволить сберечь время, материальные блага, людские ресурсы. На практике к информации, которая составляет коммерческую тайну, а значит, и к ноу-хау, будут относить в том подобные следующие сведения: сведения, которые могут раскрыть стратегические и перспективные направления работы организации;  сведения о подготовке, принятии и выполнения отдельных решений руководства фирмы по производственным, коммерческим, кадровым, организационным, научным и другим вопросам;  сведения о планах структурных перемен и кадровых перестановок;  сведения о планах получения кредитов, инвестиций, закупок и продаж;  сведения о целях, рассматриваемых вопросах, результатах, фактах проведения совещаний и заседаний руководства организации; сведения о целях, задачах и тактике переговоров с клиентами и деловыми партнерами, а также полномочиях представителей; сведения о подготовке и результатах проведения переговоров с клиентами и деловыми партнерами фирмы; картотека заявителей и корреспондентов, имеющая данные о них;  сведения </w:t>
      </w:r>
      <w:r w:rsidR="00666D87">
        <w:rPr>
          <w:rFonts w:ascii="Arial" w:hAnsi="Arial" w:cs="Arial"/>
          <w:noProof/>
          <w:color w:val="000000" w:themeColor="text1"/>
          <w:sz w:val="22"/>
          <w:szCs w:val="22"/>
        </w:rPr>
        <w:pict>
          <v:rect id="Прямоугольник 3" o:spid="_x0000_s1028" style="position:absolute;left:0;text-align:left;margin-left:458.95pt;margin-top:-26.2pt;width:12.75pt;height:12pt;z-index:25165516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" fillcolor="white [3201]" strokecolor="white [3212]" strokeweight="2pt">
            <v:path arrowok="t"/>
          </v:rect>
        </w:pict>
      </w:r>
      <w:r w:rsidRPr="00DA76A7">
        <w:rPr>
          <w:rFonts w:ascii="Arial" w:hAnsi="Arial" w:cs="Arial"/>
          <w:color w:val="000000" w:themeColor="text1"/>
          <w:sz w:val="22"/>
          <w:szCs w:val="22"/>
          <w:shd w:val="clear" w:color="auto" w:fill="FFFFFF"/>
        </w:rPr>
        <w:t xml:space="preserve">о взаимоотношениях с </w:t>
      </w:r>
      <w:r w:rsidR="00666D87">
        <w:rPr>
          <w:rFonts w:ascii="Arial" w:hAnsi="Arial" w:cs="Arial"/>
          <w:noProof/>
          <w:color w:val="000000" w:themeColor="text1"/>
          <w:sz w:val="22"/>
          <w:szCs w:val="22"/>
        </w:rPr>
        <w:pict>
          <v:rect id="Прямоугольник 4" o:spid="_x0000_s1030" style="position:absolute;left:0;text-align:left;margin-left:451.45pt;margin-top:-28.45pt;width:21.75pt;height:21pt;z-index:25165619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" fillcolor="white [3201]" strokecolor="white [3212]" strokeweight="2pt">
            <v:path arrowok="t"/>
          </v:rect>
        </w:pict>
      </w:r>
      <w:r w:rsidRPr="00DA76A7">
        <w:rPr>
          <w:rFonts w:ascii="Arial" w:hAnsi="Arial" w:cs="Arial"/>
          <w:color w:val="000000" w:themeColor="text1"/>
          <w:sz w:val="22"/>
          <w:szCs w:val="22"/>
          <w:shd w:val="clear" w:color="auto" w:fill="FFFFFF"/>
        </w:rPr>
        <w:t xml:space="preserve">конкурентами, их финансовом положении, планах, проводимых мероприятиях и т. д.;  сведения о порядке и состоянии организации охраны, пропускного режима, системах сигнализации;  сведения о работниках фирмы, их собственных и деловых качествах, связях и взаимоотношениях, их биографические данные, домашние адреса и телефоны;  сведения об организации взаимодействия с правоохранительными органами и охранными структурами по вопросам охраны и безопасности фирмы;  сведения о финансовом состоянии клиентов, их кредитоспособности, задолженности и неплатежах; Все сведения обозначенные нами, относящиеся к экономическим и организационным, абсолютно имеют шансы обладать всеми признаками, необходимыми для правовой охраны ноу-хау, а именно конфиденциальностью, коммерческой ценностью, в силу их неизвестности третьим лицам. Данный перечень является наглядным примером сведений, не являющихся результатом интеллектуальной деятельности, т. е. носит информационный характер. </w:t>
      </w:r>
      <w:r w:rsidRPr="00DA76A7">
        <w:rPr>
          <w:rFonts w:ascii="Arial" w:hAnsi="Arial" w:cs="Arial"/>
          <w:color w:val="000000" w:themeColor="text1"/>
          <w:sz w:val="22"/>
          <w:szCs w:val="22"/>
          <w:shd w:val="clear" w:color="auto" w:fill="FFFFFF"/>
        </w:rPr>
        <w:tab/>
      </w:r>
    </w:p>
    <w:p w:rsidR="00181BA7" w:rsidRPr="00DA76A7" w:rsidRDefault="00666D87" w:rsidP="00181BA7">
      <w:pPr>
        <w:pStyle w:val="a7"/>
        <w:spacing w:before="0" w:beforeAutospacing="0" w:after="0" w:afterAutospacing="0"/>
        <w:ind w:firstLine="567"/>
        <w:jc w:val="both"/>
        <w:textAlignment w:val="baseline"/>
        <w:rPr>
          <w:rFonts w:ascii="Arial" w:hAnsi="Arial" w:cs="Arial"/>
          <w:color w:val="000000" w:themeColor="text1"/>
          <w:sz w:val="22"/>
          <w:szCs w:val="22"/>
          <w:shd w:val="clear" w:color="auto" w:fill="FFFFFF"/>
        </w:rPr>
      </w:pPr>
      <w:r>
        <w:rPr>
          <w:rFonts w:ascii="Arial" w:hAnsi="Arial" w:cs="Arial"/>
          <w:noProof/>
          <w:color w:val="000000" w:themeColor="text1"/>
          <w:sz w:val="22"/>
          <w:szCs w:val="22"/>
        </w:rPr>
        <w:pict>
          <v:rect id="Прямоугольник 6" o:spid="_x0000_s1031" style="position:absolute;left:0;text-align:left;margin-left:552.7pt;margin-top:114.35pt;width:42pt;height:25.5pt;z-index:251657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" fillcolor="white [3201]" strokecolor="white [3212]" strokeweight="2pt">
            <v:path arrowok="t"/>
          </v:rect>
        </w:pict>
      </w:r>
      <w:r w:rsidR="00181BA7" w:rsidRPr="00DA76A7">
        <w:rPr>
          <w:rFonts w:ascii="Arial" w:hAnsi="Arial" w:cs="Arial"/>
          <w:color w:val="000000" w:themeColor="text1"/>
          <w:sz w:val="22"/>
          <w:szCs w:val="22"/>
          <w:shd w:val="clear" w:color="auto" w:fill="FFFFFF"/>
        </w:rPr>
        <w:t>Так, согласно ст. 1225 ГК РФ к итогам интеллектуальной деятельности прямо относятся и секреты производства (ноу-хау). Исходя из смысла статьи 1228 ГК РФ результат интеллектуальной деятельности должен быть конечным результатом творческого труда [2]. Подобные итоги обладают важным значением для инновационного развития общества; стимулирования создания именно результатов интеллектуальной деятельности. Исходя из этого для целей определения правовой природы ноу-хау следует проводить классификацию не только по сферам использования данных сведений, потому что как в технической, так и в экономической сфере возможно создание сведений, являющихся результатом интеллектуальной деятельности, и разделить эти сведения прежде всего на результаты интеллектуальной деятельности и на прочие конфиденциальные сведения, носящие информационный характер.</w:t>
      </w:r>
      <w:r w:rsidR="00181BA7" w:rsidRPr="00DA76A7">
        <w:rPr>
          <w:rFonts w:ascii="Arial" w:hAnsi="Arial" w:cs="Arial"/>
          <w:color w:val="000000" w:themeColor="text1"/>
          <w:sz w:val="22"/>
          <w:szCs w:val="22"/>
          <w:shd w:val="clear" w:color="auto" w:fill="FFFFFF"/>
        </w:rPr>
        <w:tab/>
      </w:r>
      <w:r w:rsidR="00181BA7" w:rsidRPr="00DA76A7">
        <w:rPr>
          <w:rFonts w:ascii="Arial" w:hAnsi="Arial" w:cs="Arial"/>
          <w:color w:val="000000" w:themeColor="text1"/>
          <w:sz w:val="22"/>
          <w:szCs w:val="22"/>
          <w:shd w:val="clear" w:color="auto" w:fill="FFFFFF"/>
        </w:rPr>
        <w:tab/>
      </w:r>
    </w:p>
    <w:p w:rsidR="00181BA7" w:rsidRPr="00DA76A7" w:rsidRDefault="00181BA7" w:rsidP="00181BA7">
      <w:pPr>
        <w:pStyle w:val="a7"/>
        <w:spacing w:before="0" w:beforeAutospacing="0" w:after="0" w:afterAutospacing="0"/>
        <w:ind w:firstLine="567"/>
        <w:jc w:val="both"/>
        <w:textAlignment w:val="baseline"/>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Как отмечает О.В .Добрынин, «в силу особого статуса ноу-хау на практике при передаче прав на ноу-хау имеется большое количество сложностей. При заключении договоров о передаче ноу-хау следует использовать не только общие правила о передаче интеллектуальной собственности, но и помнить о соблюдении режима конфиденциальности информации, а также сложность при подтверждении использования лицензиатом ноу-хау» [4, 130].</w:t>
      </w:r>
    </w:p>
    <w:p w:rsidR="00181BA7" w:rsidRPr="00DA76A7" w:rsidRDefault="00666D87" w:rsidP="00181BA7">
      <w:pPr>
        <w:pStyle w:val="a7"/>
        <w:spacing w:before="0" w:beforeAutospacing="0" w:after="0" w:afterAutospacing="0"/>
        <w:ind w:firstLine="567"/>
        <w:jc w:val="both"/>
        <w:textAlignment w:val="baseline"/>
        <w:rPr>
          <w:rFonts w:ascii="Arial" w:hAnsi="Arial" w:cs="Arial"/>
          <w:color w:val="000000" w:themeColor="text1"/>
          <w:sz w:val="22"/>
          <w:szCs w:val="22"/>
          <w:shd w:val="clear" w:color="auto" w:fill="FFFFFF"/>
        </w:rPr>
      </w:pPr>
      <w:r>
        <w:rPr>
          <w:rFonts w:ascii="Arial" w:hAnsi="Arial" w:cs="Arial"/>
          <w:noProof/>
          <w:color w:val="000000" w:themeColor="text1"/>
          <w:sz w:val="22"/>
          <w:szCs w:val="22"/>
        </w:rPr>
        <w:pict>
          <v:rect id="Прямоугольник 5" o:spid="_x0000_s1029" style="position:absolute;left:0;text-align:left;margin-left:22.5pt;margin-top:307.95pt;width:16.5pt;height:13.5pt;z-index:251658240;visibility:visible;mso-position-horizontal-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" fillcolor="white [3201]" strokecolor="white [3212]" strokeweight="2pt">
            <v:path arrowok="t"/>
            <w10:wrap anchorx="margin"/>
          </v:rect>
        </w:pict>
      </w:r>
      <w:r w:rsidR="00181BA7" w:rsidRPr="00DA76A7">
        <w:rPr>
          <w:rFonts w:ascii="Arial" w:hAnsi="Arial" w:cs="Arial"/>
          <w:color w:val="000000" w:themeColor="text1"/>
          <w:sz w:val="22"/>
          <w:szCs w:val="22"/>
          <w:shd w:val="clear" w:color="auto" w:fill="FFFFFF"/>
        </w:rPr>
        <w:t xml:space="preserve">На сегодняшний день в РФ тайна изготовления не выступает в качестве распространенного предмета, на основании которого контрагенты выстраивают свои деловые взаимоотношения. Однако, постоянное качественное развитие технологий постоянно сопровождается перечнем разнообразных процессов, которые нужно оптимизировать. В качестве одной из ключевых целей на сегодняшний день выступает определение современного состояния правового регулирования отношений, которые появляются в связи с созданием и использованием секрета производства, выявления проблем существующей в области правовой охраны ноу-хау. Крайне полезной является и разработка практических рекомендаций для обладателей «ноу-хау» с целью более эффективной защиты их прав. Необходимым представляется не только дальнейшее улучшение законодательства, но и судебной системы. Специализация судей и юридических служб могла бы позволить добиваться быстрого, объективного, беспристрастного, законного разрешения инцидентов, которые возникают в сфере правовой охраны и защиты ноу-хау. Правовой механизм секрета производства позволяет сберечь конфиденциальность информации, которая имеет коммерческую ценность. Процедура установления режима коммерческой тайны, которая не требует обращаться в государственные органы, делает ноу-хау доступным и действенным инструментом правовой охраны информации. Однако, согласно ч. 1 ст. 5 Закона о коммерческой тайне[3], правообладатель по востребованию «органа государственной власти, другого государственного органа, органа местного самоуправления дает им на безмездной основе информацию, составляющую коммерческую тайну», тем самым можно сделать вывод о слабой защите правообладателя секрета производства перед государством. На мой взгляд нужно определить конкретный исчерпывающий список государственных органов, которые станут владеть доступом к информации, составляющей коммерческую тайну: органы дознания, следствия, прокуратуры, судебные органы [6, 21]. </w:t>
      </w:r>
    </w:p>
    <w:p w:rsidR="00181BA7" w:rsidRPr="00DA76A7" w:rsidRDefault="00181BA7" w:rsidP="00181BA7">
      <w:pPr>
        <w:pStyle w:val="a7"/>
        <w:spacing w:before="0" w:beforeAutospacing="0" w:after="0" w:afterAutospacing="0"/>
        <w:ind w:firstLine="567"/>
        <w:jc w:val="both"/>
        <w:textAlignment w:val="baseline"/>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В </w:t>
      </w:r>
      <w:r w:rsidRPr="00DA76A7">
        <w:rPr>
          <w:rFonts w:ascii="Arial" w:hAnsi="Arial" w:cs="Arial"/>
          <w:color w:val="000000" w:themeColor="text1"/>
          <w:sz w:val="22"/>
          <w:szCs w:val="22"/>
          <w:shd w:val="clear" w:color="auto" w:fill="FFFFFF"/>
          <w:lang w:val="en-US"/>
        </w:rPr>
        <w:t>XXI</w:t>
      </w:r>
      <w:r w:rsidRPr="00DA76A7">
        <w:rPr>
          <w:rFonts w:ascii="Arial" w:hAnsi="Arial" w:cs="Arial"/>
          <w:color w:val="000000" w:themeColor="text1"/>
          <w:sz w:val="22"/>
          <w:szCs w:val="22"/>
          <w:shd w:val="clear" w:color="auto" w:fill="FFFFFF"/>
        </w:rPr>
        <w:t xml:space="preserve"> веке с неизменным развитием информационного общества актуальность защиты секретов производства будет каждый день возрастать. Ноу-хау до сих пора выступает проблемным объектом с точки зрения правовой охраны, тем более при защите средствами авторского или же патентного права при раскрытии важных элементов программных продуктов. Кроме того, общепризнана легкость копирования и распространения любых документов электронном формате. Эффективная правовая охрана ноу-хау необходима всем участникам гражданского оборота.</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pStyle w:val="a7"/>
        <w:shd w:val="clear" w:color="auto" w:fill="FFFFFF"/>
        <w:spacing w:before="0" w:beforeAutospacing="0" w:after="0" w:afterAutospacing="0"/>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Соглашение по торговым аспектам прав интеллектуальной собственности (ТРИПС)// Собрание законодательства РФ, 10 сентября 2012 года, N 37. [Электронный ресурс]: </w:t>
      </w:r>
      <w:hyperlink r:id="rId245" w:history="1">
        <w:r w:rsidRPr="00DA76A7">
          <w:rPr>
            <w:rStyle w:val="af0"/>
            <w:rFonts w:ascii="Arial" w:hAnsi="Arial" w:cs="Arial"/>
            <w:color w:val="000000" w:themeColor="text1"/>
            <w:sz w:val="22"/>
            <w:szCs w:val="22"/>
            <w:u w:val="none"/>
          </w:rPr>
          <w:t>http://www.consultant.ru/</w:t>
        </w:r>
      </w:hyperlink>
      <w:r w:rsidRPr="00DA76A7">
        <w:rPr>
          <w:rFonts w:ascii="Arial" w:hAnsi="Arial" w:cs="Arial"/>
          <w:color w:val="000000" w:themeColor="text1"/>
          <w:sz w:val="22"/>
          <w:szCs w:val="22"/>
        </w:rPr>
        <w:t xml:space="preserve"> (дата обращения: 27.02.2018).</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Гражданский кодекс Российской Федерации: ч. 4 от 18 декабря 2006 года № 230-ФЗ // Собрание законодательства РФ, 25 декабря 2006 года, № 52 ч. 1, ст. 5496. [Электронный ресурс]: </w:t>
      </w:r>
      <w:hyperlink r:id="rId246" w:history="1">
        <w:r w:rsidRPr="00DA76A7">
          <w:rPr>
            <w:rStyle w:val="af0"/>
            <w:rFonts w:ascii="Arial" w:hAnsi="Arial" w:cs="Arial"/>
            <w:color w:val="000000" w:themeColor="text1"/>
            <w:sz w:val="22"/>
            <w:szCs w:val="22"/>
            <w:u w:val="none"/>
          </w:rPr>
          <w:t>http://www.consultant.ru/</w:t>
        </w:r>
      </w:hyperlink>
      <w:r w:rsidRPr="00DA76A7">
        <w:rPr>
          <w:rStyle w:val="af0"/>
          <w:rFonts w:ascii="Arial" w:hAnsi="Arial" w:cs="Arial"/>
          <w:color w:val="000000" w:themeColor="text1"/>
          <w:sz w:val="22"/>
          <w:szCs w:val="22"/>
          <w:u w:val="none"/>
        </w:rPr>
        <w:t xml:space="preserve"> </w:t>
      </w:r>
      <w:r w:rsidRPr="00DA76A7">
        <w:rPr>
          <w:rFonts w:ascii="Arial" w:hAnsi="Arial" w:cs="Arial"/>
          <w:color w:val="000000" w:themeColor="text1"/>
          <w:sz w:val="22"/>
          <w:szCs w:val="22"/>
        </w:rPr>
        <w:t>(дата обращения: 27.02.2018).</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Федеральный закон «О коммерческой тайне» от 29.07.2004 N 98-ФЗ// Собрание законодательства РФ, 09 августа 2004 года, № 32. Ст. 3283. [Электронный ресурс]: </w:t>
      </w:r>
      <w:hyperlink r:id="rId247" w:history="1">
        <w:r w:rsidRPr="00DA76A7">
          <w:rPr>
            <w:rStyle w:val="af0"/>
            <w:rFonts w:ascii="Arial" w:hAnsi="Arial" w:cs="Arial"/>
            <w:color w:val="000000" w:themeColor="text1"/>
            <w:sz w:val="22"/>
            <w:szCs w:val="22"/>
            <w:u w:val="none"/>
          </w:rPr>
          <w:t>http://www.consultant.ru/</w:t>
        </w:r>
      </w:hyperlink>
      <w:r w:rsidRPr="00DA76A7">
        <w:rPr>
          <w:rFonts w:ascii="Arial" w:hAnsi="Arial" w:cs="Arial"/>
          <w:color w:val="000000" w:themeColor="text1"/>
          <w:sz w:val="22"/>
          <w:szCs w:val="22"/>
        </w:rPr>
        <w:t xml:space="preserve"> (дата обращения: 3.03.2018).</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Добрынин О.В. Особенности правовой регламентации ноу-хау: дис. … канд. юрид. наук. - Москва, 2003. -180 с.</w:t>
      </w:r>
    </w:p>
    <w:p w:rsidR="00181BA7" w:rsidRPr="00DA76A7" w:rsidRDefault="00666D8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Pr>
          <w:rFonts w:ascii="Arial" w:hAnsi="Arial" w:cs="Arial"/>
          <w:noProof/>
          <w:color w:val="000000" w:themeColor="text1"/>
          <w:sz w:val="22"/>
          <w:szCs w:val="22"/>
        </w:rPr>
        <w:pict>
          <v:rect id="Прямоугольник 7" o:spid="_x0000_s1032" style="position:absolute;left:0;text-align:left;margin-left:0;margin-top:29.75pt;width:55.5pt;height:41.25pt;z-index:251659264;visibility:visible;mso-position-horizontal:left;mso-position-horizontal-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" fillcolor="white [3201]" strokecolor="white [3212]" strokeweight="2pt">
            <v:path arrowok="t"/>
            <w10:wrap anchorx="margin"/>
          </v:rect>
        </w:pict>
      </w:r>
      <w:r>
        <w:rPr>
          <w:rFonts w:ascii="Arial" w:hAnsi="Arial" w:cs="Arial"/>
          <w:noProof/>
          <w:color w:val="000000" w:themeColor="text1"/>
          <w:sz w:val="22"/>
          <w:szCs w:val="22"/>
        </w:rPr>
        <w:pict>
          <v:rect id="Прямоугольник 9" o:spid="_x0000_s1034" style="position:absolute;left:0;text-align:left;margin-left:460.45pt;margin-top:-27.7pt;width:9.75pt;height:16.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" fillcolor="white [3201]" strokecolor="white [3212]" strokeweight="2pt">
            <v:path arrowok="t"/>
          </v:rect>
        </w:pict>
      </w:r>
      <w:r>
        <w:rPr>
          <w:rFonts w:ascii="Arial" w:hAnsi="Arial" w:cs="Arial"/>
          <w:noProof/>
          <w:color w:val="000000" w:themeColor="text1"/>
          <w:sz w:val="22"/>
          <w:szCs w:val="22"/>
        </w:rPr>
        <w:pict>
          <v:rect id="Прямоугольник 8" o:spid="_x0000_s1033" style="position:absolute;left:0;text-align:left;margin-left:464.2pt;margin-top:-26.95pt;width:6.75pt;height:18.7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" fillcolor="white [3201]" strokecolor="white [3212]" strokeweight="2pt">
            <v:path arrowok="t"/>
          </v:rect>
        </w:pict>
      </w:r>
      <w:r w:rsidR="00181BA7" w:rsidRPr="00DA76A7">
        <w:rPr>
          <w:rFonts w:ascii="Arial" w:hAnsi="Arial" w:cs="Arial"/>
          <w:color w:val="000000" w:themeColor="text1"/>
          <w:sz w:val="22"/>
          <w:szCs w:val="22"/>
        </w:rPr>
        <w:t xml:space="preserve">5. </w:t>
      </w:r>
      <w:hyperlink r:id="rId248" w:history="1">
        <w:r w:rsidR="00181BA7" w:rsidRPr="00DA76A7">
          <w:rPr>
            <w:rStyle w:val="af0"/>
            <w:rFonts w:ascii="Arial" w:hAnsi="Arial" w:cs="Arial"/>
            <w:color w:val="000000" w:themeColor="text1"/>
            <w:sz w:val="22"/>
            <w:szCs w:val="22"/>
            <w:u w:val="none"/>
          </w:rPr>
          <w:t>Дозорцев В.А.</w:t>
        </w:r>
      </w:hyperlink>
      <w:r w:rsidR="00181BA7" w:rsidRPr="00DA76A7">
        <w:rPr>
          <w:rFonts w:ascii="Arial" w:hAnsi="Arial" w:cs="Arial"/>
          <w:color w:val="000000" w:themeColor="text1"/>
          <w:sz w:val="22"/>
          <w:szCs w:val="22"/>
        </w:rPr>
        <w:t> Понятие секрета промысла (ноу-хау) // Интеллектуальные права: Понятие. Система. Задачи кодификации. Сборник статей. Москва, 2003. – С. 237-276.</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6.  Мухамедшин И.С. Ноу-хау и патентная форма охраны // Вопросы изобретательства. - 2009. - № 1.- С. 17-22. </w:t>
      </w:r>
    </w:p>
    <w:p w:rsidR="00181BA7" w:rsidRPr="00DA76A7" w:rsidRDefault="00181BA7" w:rsidP="00181BA7">
      <w:pPr>
        <w:pStyle w:val="a7"/>
        <w:shd w:val="clear" w:color="auto" w:fill="FFFFFF"/>
        <w:spacing w:before="0" w:beforeAutospacing="0" w:after="0" w:afterAutospacing="0"/>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7. </w:t>
      </w:r>
      <w:r w:rsidRPr="00DA76A7">
        <w:rPr>
          <w:rFonts w:ascii="Arial" w:hAnsi="Arial" w:cs="Arial"/>
          <w:color w:val="000000" w:themeColor="text1"/>
          <w:sz w:val="22"/>
          <w:szCs w:val="22"/>
          <w:shd w:val="clear" w:color="auto" w:fill="FFFFFF"/>
        </w:rPr>
        <w:t>Стародубова Л. В. К вопросу о правовом механизме охраны секретов производства // Вестник Самарской гуманитарной академии. Серия «Право». - 2012.- № 2.- С. 75-79.</w:t>
      </w:r>
    </w:p>
    <w:p w:rsidR="00181BA7" w:rsidRPr="00DA76A7" w:rsidRDefault="00181BA7" w:rsidP="00181BA7">
      <w:pPr>
        <w:pStyle w:val="ac"/>
        <w:ind w:firstLine="567"/>
        <w:jc w:val="both"/>
        <w:rPr>
          <w:rFonts w:ascii="Arial" w:hAnsi="Arial" w:cs="Arial"/>
          <w:b/>
          <w:i/>
          <w:color w:val="000000" w:themeColor="text1"/>
        </w:rPr>
      </w:pPr>
    </w:p>
    <w:p w:rsidR="00181BA7" w:rsidRPr="00DA76A7" w:rsidRDefault="00181BA7" w:rsidP="00181BA7">
      <w:pPr>
        <w:pStyle w:val="ac"/>
        <w:jc w:val="center"/>
        <w:rPr>
          <w:rFonts w:ascii="Arial" w:hAnsi="Arial" w:cs="Arial"/>
          <w:b/>
          <w:color w:val="000000" w:themeColor="text1"/>
        </w:rPr>
      </w:pPr>
      <w:r w:rsidRPr="00DA76A7">
        <w:rPr>
          <w:rFonts w:ascii="Arial" w:hAnsi="Arial" w:cs="Arial"/>
          <w:b/>
          <w:color w:val="000000" w:themeColor="text1"/>
        </w:rPr>
        <w:t>ЗАЩИТА ПРАВ ДЕТЕЙ В РЕКЛАМНОЙ ДЕЯТЕЛЬНОСТИ: ПРОБЛЕМЫ И ПЕРСПЕКТИВЫ РАЗВИТИЯ</w:t>
      </w:r>
    </w:p>
    <w:p w:rsidR="00181BA7" w:rsidRPr="00DA76A7" w:rsidRDefault="00181BA7" w:rsidP="00181BA7">
      <w:pPr>
        <w:pStyle w:val="ac"/>
        <w:jc w:val="center"/>
        <w:rPr>
          <w:rFonts w:ascii="Arial" w:hAnsi="Arial" w:cs="Arial"/>
          <w:b/>
          <w:color w:val="000000" w:themeColor="text1"/>
        </w:rPr>
      </w:pPr>
    </w:p>
    <w:p w:rsidR="00181BA7" w:rsidRPr="00DA76A7" w:rsidRDefault="00181BA7" w:rsidP="00181BA7">
      <w:pPr>
        <w:pStyle w:val="ac"/>
        <w:jc w:val="center"/>
        <w:rPr>
          <w:rFonts w:ascii="Arial" w:hAnsi="Arial" w:cs="Arial"/>
          <w:b/>
          <w:color w:val="000000" w:themeColor="text1"/>
        </w:rPr>
      </w:pPr>
      <w:r w:rsidRPr="00DA76A7">
        <w:rPr>
          <w:rFonts w:ascii="Arial" w:hAnsi="Arial" w:cs="Arial"/>
          <w:b/>
          <w:color w:val="000000" w:themeColor="text1"/>
        </w:rPr>
        <w:t>Сыкало Мария Андреевна</w:t>
      </w:r>
    </w:p>
    <w:p w:rsidR="00181BA7" w:rsidRPr="00DA76A7" w:rsidRDefault="00181BA7" w:rsidP="00181BA7">
      <w:pPr>
        <w:pStyle w:val="ac"/>
        <w:jc w:val="center"/>
        <w:rPr>
          <w:rFonts w:ascii="Arial" w:hAnsi="Arial" w:cs="Arial"/>
          <w:color w:val="000000" w:themeColor="text1"/>
        </w:rPr>
      </w:pPr>
      <w:r w:rsidRPr="00DA76A7">
        <w:rPr>
          <w:rFonts w:ascii="Arial" w:hAnsi="Arial" w:cs="Arial"/>
          <w:color w:val="000000" w:themeColor="text1"/>
        </w:rPr>
        <w:t>студент 4-курса очного отделения юридического факультета</w:t>
      </w:r>
    </w:p>
    <w:p w:rsidR="00181BA7" w:rsidRPr="00DA76A7" w:rsidRDefault="00181BA7" w:rsidP="00181BA7">
      <w:pPr>
        <w:pStyle w:val="ac"/>
        <w:jc w:val="center"/>
        <w:rPr>
          <w:rFonts w:ascii="Arial" w:hAnsi="Arial" w:cs="Arial"/>
          <w:color w:val="000000" w:themeColor="text1"/>
        </w:rPr>
      </w:pPr>
      <w:r w:rsidRPr="00DA76A7">
        <w:rPr>
          <w:rFonts w:ascii="Arial" w:hAnsi="Arial" w:cs="Arial"/>
          <w:color w:val="000000" w:themeColor="text1"/>
        </w:rPr>
        <w:t>Северо-Кавказский филиал Российского государственного университета правосудия</w:t>
      </w:r>
    </w:p>
    <w:p w:rsidR="00181BA7" w:rsidRPr="00DA76A7" w:rsidRDefault="00181BA7" w:rsidP="00181BA7">
      <w:pPr>
        <w:pStyle w:val="ac"/>
        <w:jc w:val="center"/>
        <w:rPr>
          <w:rFonts w:ascii="Arial" w:hAnsi="Arial" w:cs="Arial"/>
          <w:color w:val="000000" w:themeColor="text1"/>
        </w:rPr>
      </w:pPr>
      <w:r w:rsidRPr="00DA76A7">
        <w:rPr>
          <w:rFonts w:ascii="Arial" w:hAnsi="Arial" w:cs="Arial"/>
          <w:color w:val="000000" w:themeColor="text1"/>
        </w:rPr>
        <w:t>350002, Российская Федерация, г. Краснодар, ул. Леваневского, 187/1</w:t>
      </w:r>
    </w:p>
    <w:p w:rsidR="00181BA7" w:rsidRPr="00DA76A7" w:rsidRDefault="00181BA7" w:rsidP="00181BA7">
      <w:pPr>
        <w:pStyle w:val="ac"/>
        <w:jc w:val="center"/>
        <w:rPr>
          <w:rFonts w:ascii="Arial" w:hAnsi="Arial" w:cs="Arial"/>
          <w:color w:val="000000" w:themeColor="text1"/>
        </w:rPr>
      </w:pPr>
      <w:r w:rsidRPr="00DA76A7">
        <w:rPr>
          <w:rFonts w:ascii="Arial" w:hAnsi="Arial" w:cs="Arial"/>
          <w:color w:val="000000" w:themeColor="text1"/>
        </w:rPr>
        <w:t xml:space="preserve">тел.: 918-455-51-74, </w:t>
      </w:r>
      <w:r w:rsidRPr="00DA76A7">
        <w:rPr>
          <w:rFonts w:ascii="Arial" w:hAnsi="Arial" w:cs="Arial"/>
          <w:color w:val="000000" w:themeColor="text1"/>
          <w:lang w:val="en-US"/>
        </w:rPr>
        <w:t>e</w:t>
      </w:r>
      <w:r w:rsidRPr="00DA76A7">
        <w:rPr>
          <w:rFonts w:ascii="Arial" w:hAnsi="Arial" w:cs="Arial"/>
          <w:color w:val="000000" w:themeColor="text1"/>
        </w:rPr>
        <w:t>-</w:t>
      </w:r>
      <w:r w:rsidRPr="00DA76A7">
        <w:rPr>
          <w:rFonts w:ascii="Arial" w:hAnsi="Arial" w:cs="Arial"/>
          <w:color w:val="000000" w:themeColor="text1"/>
          <w:lang w:val="en-US"/>
        </w:rPr>
        <w:t>mail</w:t>
      </w:r>
      <w:r w:rsidRPr="00DA76A7">
        <w:rPr>
          <w:rFonts w:ascii="Arial" w:hAnsi="Arial" w:cs="Arial"/>
          <w:color w:val="000000" w:themeColor="text1"/>
        </w:rPr>
        <w:t xml:space="preserve">: </w:t>
      </w:r>
      <w:hyperlink r:id="rId249" w:history="1">
        <w:r w:rsidRPr="00DA76A7">
          <w:rPr>
            <w:rStyle w:val="af0"/>
            <w:rFonts w:ascii="Arial" w:hAnsi="Arial" w:cs="Arial"/>
            <w:color w:val="000000" w:themeColor="text1"/>
            <w:u w:val="none"/>
            <w:lang w:val="en-US"/>
          </w:rPr>
          <w:t>m</w:t>
        </w:r>
        <w:r w:rsidRPr="00DA76A7">
          <w:rPr>
            <w:rStyle w:val="af0"/>
            <w:rFonts w:ascii="Arial" w:hAnsi="Arial" w:cs="Arial"/>
            <w:color w:val="000000" w:themeColor="text1"/>
            <w:u w:val="none"/>
          </w:rPr>
          <w:t>_</w:t>
        </w:r>
        <w:r w:rsidRPr="00DA76A7">
          <w:rPr>
            <w:rStyle w:val="af0"/>
            <w:rFonts w:ascii="Arial" w:hAnsi="Arial" w:cs="Arial"/>
            <w:color w:val="000000" w:themeColor="text1"/>
            <w:u w:val="none"/>
            <w:lang w:val="en-US"/>
          </w:rPr>
          <w:t>sykalo</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mail</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hyperlink>
    </w:p>
    <w:p w:rsidR="00181BA7" w:rsidRDefault="00181BA7" w:rsidP="00181BA7">
      <w:pPr>
        <w:pStyle w:val="ac"/>
        <w:jc w:val="center"/>
        <w:rPr>
          <w:rFonts w:ascii="Arial" w:hAnsi="Arial" w:cs="Arial"/>
          <w:color w:val="000000" w:themeColor="text1"/>
        </w:rPr>
      </w:pPr>
    </w:p>
    <w:p w:rsidR="005C2070" w:rsidRDefault="005C2070" w:rsidP="00181BA7">
      <w:pPr>
        <w:pStyle w:val="ac"/>
        <w:jc w:val="center"/>
        <w:rPr>
          <w:rFonts w:ascii="Arial" w:hAnsi="Arial" w:cs="Arial"/>
          <w:color w:val="000000" w:themeColor="text1"/>
        </w:rPr>
      </w:pPr>
    </w:p>
    <w:p w:rsidR="005C2070" w:rsidRPr="00DA76A7" w:rsidRDefault="005C2070" w:rsidP="00181BA7">
      <w:pPr>
        <w:pStyle w:val="ac"/>
        <w:jc w:val="center"/>
        <w:rPr>
          <w:rFonts w:ascii="Arial" w:hAnsi="Arial" w:cs="Arial"/>
          <w:color w:val="000000" w:themeColor="text1"/>
        </w:rPr>
      </w:pPr>
    </w:p>
    <w:p w:rsidR="00181BA7" w:rsidRPr="00DA76A7" w:rsidRDefault="00181BA7" w:rsidP="00181BA7">
      <w:pPr>
        <w:pStyle w:val="ac"/>
        <w:jc w:val="center"/>
        <w:rPr>
          <w:rFonts w:ascii="Arial" w:hAnsi="Arial" w:cs="Arial"/>
          <w:b/>
          <w:color w:val="000000" w:themeColor="text1"/>
          <w:lang w:val="en-US"/>
        </w:rPr>
      </w:pPr>
      <w:r w:rsidRPr="00DA76A7">
        <w:rPr>
          <w:rFonts w:ascii="Arial" w:hAnsi="Arial" w:cs="Arial"/>
          <w:b/>
          <w:color w:val="000000" w:themeColor="text1"/>
          <w:lang w:val="en-US"/>
        </w:rPr>
        <w:t>PROTECTING THE RIGHTS OF CHILDREN IN ADVERTISING: PROBLEMS AND PROSPECTS OF DEVELOPMENT</w:t>
      </w:r>
    </w:p>
    <w:p w:rsidR="00181BA7" w:rsidRPr="00DA76A7" w:rsidRDefault="00181BA7" w:rsidP="00181BA7">
      <w:pPr>
        <w:pStyle w:val="ac"/>
        <w:jc w:val="center"/>
        <w:rPr>
          <w:rFonts w:ascii="Arial" w:hAnsi="Arial" w:cs="Arial"/>
          <w:color w:val="000000" w:themeColor="text1"/>
          <w:lang w:val="en-US"/>
        </w:rPr>
      </w:pPr>
    </w:p>
    <w:p w:rsidR="00181BA7" w:rsidRPr="00DA76A7" w:rsidRDefault="00181BA7" w:rsidP="00181BA7">
      <w:pPr>
        <w:pStyle w:val="ac"/>
        <w:jc w:val="center"/>
        <w:rPr>
          <w:rFonts w:ascii="Arial" w:hAnsi="Arial" w:cs="Arial"/>
          <w:b/>
          <w:color w:val="000000" w:themeColor="text1"/>
          <w:lang w:val="en-US"/>
        </w:rPr>
      </w:pPr>
      <w:r w:rsidRPr="00DA76A7">
        <w:rPr>
          <w:rFonts w:ascii="Arial" w:hAnsi="Arial" w:cs="Arial"/>
          <w:b/>
          <w:color w:val="000000" w:themeColor="text1"/>
          <w:lang w:val="en-US"/>
        </w:rPr>
        <w:t>Sykalo Maria Andreevna</w:t>
      </w:r>
    </w:p>
    <w:p w:rsidR="00181BA7" w:rsidRPr="00DA76A7" w:rsidRDefault="00181BA7" w:rsidP="00181BA7">
      <w:pPr>
        <w:pStyle w:val="ac"/>
        <w:jc w:val="center"/>
        <w:rPr>
          <w:rFonts w:ascii="Arial" w:hAnsi="Arial" w:cs="Arial"/>
          <w:color w:val="000000" w:themeColor="text1"/>
          <w:lang w:val="en-US"/>
        </w:rPr>
      </w:pPr>
      <w:r w:rsidRPr="00DA76A7">
        <w:rPr>
          <w:rFonts w:ascii="Arial" w:hAnsi="Arial" w:cs="Arial"/>
          <w:color w:val="000000" w:themeColor="text1"/>
          <w:lang w:val="en-US"/>
        </w:rPr>
        <w:t>student 4nd year of full-time department of the law faculty</w:t>
      </w:r>
    </w:p>
    <w:p w:rsidR="00181BA7" w:rsidRPr="00DA76A7" w:rsidRDefault="00181BA7" w:rsidP="00181BA7">
      <w:pPr>
        <w:pStyle w:val="ac"/>
        <w:jc w:val="center"/>
        <w:rPr>
          <w:rFonts w:ascii="Arial" w:hAnsi="Arial" w:cs="Arial"/>
          <w:color w:val="000000" w:themeColor="text1"/>
          <w:lang w:val="en-US"/>
        </w:rPr>
      </w:pPr>
      <w:r w:rsidRPr="00DA76A7">
        <w:rPr>
          <w:rFonts w:ascii="Arial" w:hAnsi="Arial" w:cs="Arial"/>
          <w:color w:val="000000" w:themeColor="text1"/>
          <w:lang w:val="en-US"/>
        </w:rPr>
        <w:t>North-Caucasian branch of Russian state university of justice</w:t>
      </w:r>
    </w:p>
    <w:p w:rsidR="00181BA7" w:rsidRPr="00DA76A7" w:rsidRDefault="00181BA7" w:rsidP="00181BA7">
      <w:pPr>
        <w:pStyle w:val="ac"/>
        <w:jc w:val="center"/>
        <w:rPr>
          <w:rFonts w:ascii="Arial" w:hAnsi="Arial" w:cs="Arial"/>
          <w:color w:val="000000" w:themeColor="text1"/>
          <w:lang w:val="en-US"/>
        </w:rPr>
      </w:pPr>
      <w:r w:rsidRPr="00DA76A7">
        <w:rPr>
          <w:rFonts w:ascii="Arial" w:hAnsi="Arial" w:cs="Arial"/>
          <w:color w:val="000000" w:themeColor="text1"/>
          <w:lang w:val="en-US"/>
        </w:rPr>
        <w:t>350002, Russian Federation, Krasnodar, Levanevskogo str., 187/1</w:t>
      </w:r>
    </w:p>
    <w:p w:rsidR="00181BA7" w:rsidRPr="00DA76A7" w:rsidRDefault="00181BA7" w:rsidP="00181BA7">
      <w:pPr>
        <w:pStyle w:val="ac"/>
        <w:jc w:val="center"/>
        <w:rPr>
          <w:rFonts w:ascii="Arial" w:hAnsi="Arial" w:cs="Arial"/>
          <w:color w:val="000000" w:themeColor="text1"/>
          <w:lang w:val="en-US"/>
        </w:rPr>
      </w:pPr>
      <w:r w:rsidRPr="00DA76A7">
        <w:rPr>
          <w:rFonts w:ascii="Arial" w:hAnsi="Arial" w:cs="Arial"/>
          <w:color w:val="000000" w:themeColor="text1"/>
          <w:lang w:val="en-US"/>
        </w:rPr>
        <w:t>tel.: 918-455-51-74, e-mail: m_sykalo@mail.ru</w:t>
      </w:r>
    </w:p>
    <w:p w:rsidR="00181BA7" w:rsidRPr="00DA76A7" w:rsidRDefault="00181BA7" w:rsidP="00181BA7">
      <w:pPr>
        <w:pStyle w:val="ac"/>
        <w:jc w:val="both"/>
        <w:rPr>
          <w:rFonts w:ascii="Arial" w:hAnsi="Arial" w:cs="Arial"/>
          <w:b/>
          <w:i/>
          <w:color w:val="000000" w:themeColor="text1"/>
          <w:lang w:val="en-US"/>
        </w:rPr>
      </w:pPr>
    </w:p>
    <w:p w:rsidR="00181BA7" w:rsidRPr="00DA76A7" w:rsidRDefault="00181BA7" w:rsidP="00181BA7">
      <w:pPr>
        <w:pStyle w:val="ac"/>
        <w:tabs>
          <w:tab w:val="left" w:pos="8310"/>
        </w:tabs>
        <w:ind w:firstLine="567"/>
        <w:jc w:val="both"/>
        <w:rPr>
          <w:rFonts w:ascii="Arial" w:hAnsi="Arial" w:cs="Arial"/>
          <w:i/>
          <w:color w:val="000000" w:themeColor="text1"/>
        </w:rPr>
      </w:pPr>
      <w:r w:rsidRPr="00DA76A7">
        <w:rPr>
          <w:rFonts w:ascii="Arial" w:hAnsi="Arial" w:cs="Arial"/>
          <w:b/>
          <w:i/>
          <w:color w:val="000000" w:themeColor="text1"/>
        </w:rPr>
        <w:t xml:space="preserve">Аннотация. </w:t>
      </w:r>
      <w:r w:rsidRPr="00DA76A7">
        <w:rPr>
          <w:rFonts w:ascii="Arial" w:hAnsi="Arial" w:cs="Arial"/>
          <w:i/>
          <w:color w:val="000000" w:themeColor="text1"/>
        </w:rPr>
        <w:t>В данной статье рассмотрены возникающие теоретические и практические споры использования образа несовершеннолетних детей в рекламной деятельности в гражданском праве.</w:t>
      </w:r>
    </w:p>
    <w:p w:rsidR="00181BA7" w:rsidRPr="00DA76A7" w:rsidRDefault="00181BA7" w:rsidP="00181BA7">
      <w:pPr>
        <w:pStyle w:val="ac"/>
        <w:tabs>
          <w:tab w:val="left" w:pos="8310"/>
        </w:tabs>
        <w:ind w:firstLine="567"/>
        <w:jc w:val="both"/>
        <w:rPr>
          <w:rFonts w:ascii="Arial" w:hAnsi="Arial" w:cs="Arial"/>
          <w:i/>
          <w:color w:val="000000" w:themeColor="text1"/>
          <w:lang w:val="en-US"/>
        </w:rPr>
      </w:pPr>
      <w:r w:rsidRPr="00DA76A7">
        <w:rPr>
          <w:rFonts w:ascii="Arial" w:hAnsi="Arial" w:cs="Arial"/>
          <w:b/>
          <w:i/>
          <w:color w:val="000000" w:themeColor="text1"/>
          <w:lang w:val="en-US"/>
        </w:rPr>
        <w:t xml:space="preserve">Annotation. </w:t>
      </w:r>
      <w:r w:rsidRPr="00DA76A7">
        <w:rPr>
          <w:rFonts w:ascii="Arial" w:hAnsi="Arial" w:cs="Arial"/>
          <w:i/>
          <w:color w:val="000000" w:themeColor="text1"/>
          <w:lang w:val="en-US"/>
        </w:rPr>
        <w:t>In this paper considered emerging theoretical and practical disputes using the image of minor children in advertising in civil law.</w:t>
      </w:r>
    </w:p>
    <w:p w:rsidR="00181BA7" w:rsidRPr="00DA76A7" w:rsidRDefault="00181BA7" w:rsidP="00181BA7">
      <w:pPr>
        <w:pStyle w:val="ac"/>
        <w:tabs>
          <w:tab w:val="left" w:pos="8310"/>
        </w:tabs>
        <w:ind w:firstLine="567"/>
        <w:jc w:val="both"/>
        <w:rPr>
          <w:rFonts w:ascii="Arial" w:hAnsi="Arial" w:cs="Arial"/>
          <w:i/>
          <w:color w:val="000000" w:themeColor="text1"/>
        </w:rPr>
      </w:pPr>
      <w:r w:rsidRPr="00DA76A7">
        <w:rPr>
          <w:rFonts w:ascii="Arial" w:hAnsi="Arial" w:cs="Arial"/>
          <w:b/>
          <w:i/>
          <w:color w:val="000000" w:themeColor="text1"/>
        </w:rPr>
        <w:t>Ключевые слова:</w:t>
      </w:r>
      <w:r w:rsidRPr="00DA76A7">
        <w:rPr>
          <w:rFonts w:ascii="Arial" w:hAnsi="Arial" w:cs="Arial"/>
          <w:i/>
          <w:color w:val="000000" w:themeColor="text1"/>
        </w:rPr>
        <w:t xml:space="preserve"> реклама, несовершеннолетние, защита прав несовершеннолетних, объект рекламирования, запрещенная реклама, информационная продукция, рекламодатель, товар.</w:t>
      </w:r>
    </w:p>
    <w:p w:rsidR="00181BA7" w:rsidRPr="00DA76A7" w:rsidRDefault="00181BA7" w:rsidP="00181BA7">
      <w:pPr>
        <w:pStyle w:val="ac"/>
        <w:tabs>
          <w:tab w:val="left" w:pos="8310"/>
        </w:tabs>
        <w:ind w:firstLine="567"/>
        <w:jc w:val="both"/>
        <w:rPr>
          <w:rFonts w:ascii="Arial" w:hAnsi="Arial" w:cs="Arial"/>
          <w:b/>
          <w:i/>
          <w:color w:val="000000" w:themeColor="text1"/>
          <w:lang w:val="en-US"/>
        </w:rPr>
      </w:pPr>
      <w:r w:rsidRPr="00DA76A7">
        <w:rPr>
          <w:rFonts w:ascii="Arial" w:hAnsi="Arial" w:cs="Arial"/>
          <w:b/>
          <w:i/>
          <w:color w:val="000000" w:themeColor="text1"/>
          <w:lang w:val="en-US"/>
        </w:rPr>
        <w:t>Key words</w:t>
      </w:r>
      <w:r w:rsidRPr="00DA76A7">
        <w:rPr>
          <w:rFonts w:ascii="Arial" w:hAnsi="Arial" w:cs="Arial"/>
          <w:i/>
          <w:color w:val="000000" w:themeColor="text1"/>
          <w:lang w:val="en-US"/>
        </w:rPr>
        <w:t>: advertising, minors, protection of the rights of minors, the object of advertising, prohibited advertising, information product, advertiser, product.</w:t>
      </w:r>
    </w:p>
    <w:p w:rsidR="00181BA7" w:rsidRPr="00DA76A7" w:rsidRDefault="00181BA7" w:rsidP="00181BA7">
      <w:pPr>
        <w:pStyle w:val="ac"/>
        <w:tabs>
          <w:tab w:val="left" w:pos="8310"/>
        </w:tabs>
        <w:ind w:firstLine="567"/>
        <w:jc w:val="both"/>
        <w:rPr>
          <w:rFonts w:ascii="Arial" w:hAnsi="Arial" w:cs="Arial"/>
          <w:b/>
          <w:color w:val="000000" w:themeColor="text1"/>
          <w:lang w:val="en-US"/>
        </w:rPr>
      </w:pP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 xml:space="preserve">В современных условиях развития системы информационных коммуникаций и широкого внедрения электронных средств массовой информации государство, вместе с обществом уделяют достаточно большое внимание к содержанию общедоступной информации. Но на данный момент большинство информации не подлежит выходу в «свет» из-за возможности нарушения чьих-либо прав. Сегодня я бы хотела рассмотреть проблему защиты прав именно несовершеннолетних в рекламной деятельности, ведь по мнению многих исследователей, современные дети стали самой «лакомой» аудиторией для рекламодателей, потому что они приобрели большую покупательскую способность, а также большее влияние на своих родителей по сравнению с предыдущим поколением. </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18 июня 1995 года был принят ФЗ № 108 в целях защиты от не нанесения СМИ большого вреда развитию детей, где законодатели ссылались на то, что размещение любой рекламы в детских программах оказывает вредное воздействие на них, поэтому такая реклама не допускалась [2, 4]. Однако после продолжительных переговоров органов законодательства и руководства теле- и радио- компаний и производителей детских передач, которые утверждали, что «без рекламы невозможно обеспечить финансирование вещания для детей» был принят новый закон от 13 марта 2006 года №38-ФЗ, где включили отдельную статью посвященную защите прав несовершеннолетних [1, 4].</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На основании статьи 6 ФЗ «О рекламе» в целях защиты несовершеннолетних от злоупотреблений их доверием и недостатком опыта в рекламе не допускаются:</w:t>
      </w:r>
    </w:p>
    <w:p w:rsidR="00181BA7" w:rsidRPr="00DA76A7" w:rsidRDefault="00181BA7" w:rsidP="00181BA7">
      <w:pPr>
        <w:pStyle w:val="ac"/>
        <w:ind w:firstLine="567"/>
        <w:jc w:val="both"/>
        <w:rPr>
          <w:rFonts w:ascii="Arial" w:hAnsi="Arial" w:cs="Arial"/>
          <w:i/>
          <w:color w:val="000000" w:themeColor="text1"/>
        </w:rPr>
      </w:pPr>
      <w:r w:rsidRPr="00DA76A7">
        <w:rPr>
          <w:rFonts w:ascii="Arial" w:hAnsi="Arial" w:cs="Arial"/>
          <w:i/>
          <w:color w:val="000000" w:themeColor="text1"/>
        </w:rPr>
        <w:t>1) дискредитация родителей и воспитателей, подрыв доверия к ним у несовершеннолетних;</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Например, такая реклама: «У твоего папы аллергия на животных и он никогда не купит тебе щенка? Отправь смс на номер 4444 и в твоем телефоне появится щенок!»</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Из этого примера следует, что реклама непосредственно обращена к несовершеннолетнему и побуждает его к совершению поступка в обход или вопреки мнению родителей, то есть реклама направлена на подрыв доверия к родителю.</w:t>
      </w:r>
    </w:p>
    <w:p w:rsidR="00181BA7" w:rsidRPr="00DA76A7" w:rsidRDefault="00181BA7" w:rsidP="00181BA7">
      <w:pPr>
        <w:pStyle w:val="ac"/>
        <w:ind w:firstLine="567"/>
        <w:jc w:val="both"/>
        <w:rPr>
          <w:rFonts w:ascii="Arial" w:hAnsi="Arial" w:cs="Arial"/>
          <w:i/>
          <w:color w:val="000000" w:themeColor="text1"/>
        </w:rPr>
      </w:pPr>
      <w:r w:rsidRPr="00DA76A7">
        <w:rPr>
          <w:rFonts w:ascii="Arial" w:hAnsi="Arial" w:cs="Arial"/>
          <w:i/>
          <w:color w:val="000000" w:themeColor="text1"/>
        </w:rPr>
        <w:t>2) побуждение несовершеннолетних к тому, чтобы они убедили родителей или других лиц приобрести рекламируемый товар;</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Например, реклама банка: «Счастливых людей становится больше! Низкие ставки, минимум документов и т.д., обращайтесь в Банк». При этом слова находятся на изображении улыбающегося ребенка, придерживающего велосипед.</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Арбитражный Суд Восточно-Сибирского округа пришел к выводу, что изображение улыбающегося ребенка, придерживающего велосипед вместе со смысловой нагрузкой текста рекламы, может являться посылом для детей о том, что нужно потребовать родителей приобрести этот велосипед или другого товара в силу своего желания [4, 4].</w:t>
      </w:r>
    </w:p>
    <w:p w:rsidR="00181BA7" w:rsidRPr="00DA76A7" w:rsidRDefault="00181BA7" w:rsidP="00181BA7">
      <w:pPr>
        <w:pStyle w:val="ac"/>
        <w:ind w:firstLine="567"/>
        <w:jc w:val="both"/>
        <w:rPr>
          <w:rFonts w:ascii="Arial" w:hAnsi="Arial" w:cs="Arial"/>
          <w:i/>
          <w:color w:val="000000" w:themeColor="text1"/>
        </w:rPr>
      </w:pPr>
      <w:r w:rsidRPr="00DA76A7">
        <w:rPr>
          <w:rFonts w:ascii="Arial" w:hAnsi="Arial" w:cs="Arial"/>
          <w:i/>
          <w:color w:val="000000" w:themeColor="text1"/>
        </w:rPr>
        <w:t>3) создание у несовершеннолетних искаженного представления о доступности товара для семьи с любым уровнем достатка;</w:t>
      </w:r>
    </w:p>
    <w:p w:rsidR="00181BA7" w:rsidRPr="00DA76A7" w:rsidRDefault="00181BA7" w:rsidP="00181BA7">
      <w:pPr>
        <w:pStyle w:val="ac"/>
        <w:ind w:firstLine="567"/>
        <w:jc w:val="both"/>
        <w:rPr>
          <w:rFonts w:ascii="Arial" w:hAnsi="Arial" w:cs="Arial"/>
          <w:i/>
          <w:color w:val="000000" w:themeColor="text1"/>
        </w:rPr>
      </w:pPr>
      <w:r w:rsidRPr="00DA76A7">
        <w:rPr>
          <w:rFonts w:ascii="Arial" w:hAnsi="Arial" w:cs="Arial"/>
          <w:i/>
          <w:color w:val="000000" w:themeColor="text1"/>
        </w:rPr>
        <w:t>4) создание у несовершеннолетних впечатления о том, что обладание рекламируемым товаром ставит их в предпочтительное положение перед их сверстниками;</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Например, реклама ноутбуков: «Будь лучшим в новом учебном году с МедиаМаркет. Ноутбук Асус.»</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 xml:space="preserve">ФАС по примеру таких дел, пришло к выводу, что использование образа, вызывающего негативную реакцию, например, предпочтительное положение перед сверстниками, подсознательно формирует установку на приобретение этого товара.  </w:t>
      </w:r>
    </w:p>
    <w:p w:rsidR="00181BA7" w:rsidRPr="00DA76A7" w:rsidRDefault="00181BA7" w:rsidP="00181BA7">
      <w:pPr>
        <w:pStyle w:val="ac"/>
        <w:ind w:firstLine="567"/>
        <w:jc w:val="both"/>
        <w:rPr>
          <w:rFonts w:ascii="Arial" w:hAnsi="Arial" w:cs="Arial"/>
          <w:i/>
          <w:color w:val="000000" w:themeColor="text1"/>
        </w:rPr>
      </w:pPr>
      <w:r w:rsidRPr="00DA76A7">
        <w:rPr>
          <w:rFonts w:ascii="Arial" w:hAnsi="Arial" w:cs="Arial"/>
          <w:i/>
          <w:color w:val="000000" w:themeColor="text1"/>
        </w:rPr>
        <w:t>5) формирование комплекса неполноценности у несовершеннолетних, не обладающих рекламируемым товаром;</w:t>
      </w:r>
    </w:p>
    <w:p w:rsidR="00181BA7" w:rsidRPr="00DA76A7" w:rsidRDefault="00181BA7" w:rsidP="00181BA7">
      <w:pPr>
        <w:pStyle w:val="ac"/>
        <w:ind w:firstLine="567"/>
        <w:jc w:val="both"/>
        <w:rPr>
          <w:rFonts w:ascii="Arial" w:hAnsi="Arial" w:cs="Arial"/>
          <w:i/>
          <w:color w:val="000000" w:themeColor="text1"/>
        </w:rPr>
      </w:pPr>
      <w:r w:rsidRPr="00DA76A7">
        <w:rPr>
          <w:rFonts w:ascii="Arial" w:hAnsi="Arial" w:cs="Arial"/>
          <w:i/>
          <w:color w:val="000000" w:themeColor="text1"/>
        </w:rPr>
        <w:t>6) показ несовершеннолетних в опасных ситуациях, включая ситуации, побуждающие к совершению действий, представляющих угрозу их жизни и (или) здоровью, в том числе к причинению вреда своему здоровью;</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Например: «Банк Возрождение. Банк, который всегда с тобой. Вчера выбирали автомобиль для нашей большой семьи. Поместятся все! Решение по кредиту за один день.». Указанный текст сопровождался изображением трех малолетних детей, сидящих в открытом багажнике автомобиля.</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Федеральная антимонопольная служба и суд указали на то, что нахождение несовершеннолетних в багажнике автомобиля является ситуацией опасной для их жизни и здоровья, независимо от того движется транспортное средство или нет [5, 4].</w:t>
      </w:r>
    </w:p>
    <w:p w:rsidR="00181BA7" w:rsidRPr="00DA76A7" w:rsidRDefault="00181BA7" w:rsidP="00181BA7">
      <w:pPr>
        <w:pStyle w:val="ac"/>
        <w:ind w:firstLine="567"/>
        <w:jc w:val="both"/>
        <w:rPr>
          <w:rFonts w:ascii="Arial" w:hAnsi="Arial" w:cs="Arial"/>
          <w:i/>
          <w:color w:val="000000" w:themeColor="text1"/>
        </w:rPr>
      </w:pPr>
      <w:r w:rsidRPr="00DA76A7">
        <w:rPr>
          <w:rFonts w:ascii="Arial" w:hAnsi="Arial" w:cs="Arial"/>
          <w:i/>
          <w:color w:val="000000" w:themeColor="text1"/>
        </w:rPr>
        <w:t>7) преуменьшение уровня необходимых для использования рекламируемого товара навыков у несовершеннолетних той возрастной группы, для которой этот товар предназначен;</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Например, запрещенная реклама пароочистителя «Вапороне», в которой ребенок самостоятельно с помощью прибора, у которого струя пара достигает температуры 120 градусов, чистил мягкие игрушки, говоря: «А у нас тоже есть Вапороне!».</w:t>
      </w:r>
    </w:p>
    <w:p w:rsidR="00181BA7" w:rsidRPr="00DA76A7" w:rsidRDefault="00181BA7" w:rsidP="00181BA7">
      <w:pPr>
        <w:pStyle w:val="ac"/>
        <w:ind w:firstLine="567"/>
        <w:jc w:val="both"/>
        <w:rPr>
          <w:rFonts w:ascii="Arial" w:hAnsi="Arial" w:cs="Arial"/>
          <w:i/>
          <w:color w:val="000000" w:themeColor="text1"/>
        </w:rPr>
      </w:pPr>
      <w:r w:rsidRPr="00DA76A7">
        <w:rPr>
          <w:rFonts w:ascii="Arial" w:hAnsi="Arial" w:cs="Arial"/>
          <w:i/>
          <w:color w:val="000000" w:themeColor="text1"/>
        </w:rPr>
        <w:t>8) формирование у несовершеннолетних комплекса неполноценности, связанного с их внешней непривлекательностью.</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Например, 8 июля 2011 года Экспертный совет рассмотрел наружную рекламу услуги «Обещанный платеж» ОАО «Мобильные ТелеСистемы», где молодой человек испытывает разочарование при встрече с девушкой, которая носит брекеты (герои рекламы предположительно являлись несовершеннолетними). Совет расценил рекламу, как развивающую у несовершеннолетних комплекс неполноценности, сопряженный с их внешней непривлекательностью. После чего Совет рекомендовал Управлению Федеральной антимонопольной службы по Москве возбудить дело о несоответствии п.8 ст.6 ФЗ «О рекламе» [6, 4].</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Ответственность за нарушение вышеназванных требований несет конечно же рекламодатель.</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 xml:space="preserve">На основании п. 10 ст.5 ФЗ «О рекламе» в целях защиты несовершеннолетних не допускается размещение рекламы в учебниках для начального и основного общего образования, школьных тетрадях и дневниках. </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 xml:space="preserve">В ст. 14 этого ФЗ ограничивается распространение рекламы в детских и образовательных передачах на телевидении, а именно допускается только непосредственно в начале передачи и непосредственно перед ее окончанием, при этом в зависимости от длительности передачи установлена максимальная продолжительность трансляции рекламы в начале и в конце передачи. </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В статье с 21 ФЗ «О рекламе» содержится запрещение использовать образы несовершеннолетних и обращаться к несовершеннолетним в рекламе алкогольной продукции; пива и напитков, изготавливаемых на его основе; табака, табачных изделий и курительных принадлежностей.</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В ст. 24 ФЗ «О рекламе» содержится запрет на обращение к несовершеннолетним в рекламе лекарственных средств, медицинской техники, изделий медицинского назначения и медицинских услуг, включая медицинские услуги по искусственному прерыванию беременности.</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В ст. 26 и 27 ФЗ «О рекламе» содержится запрещение использовать образы несовершеннолетних и обращаться к несовершеннолетним в рекламе продукции военного назначения и оружия, в рекламе основанных на риске игр, пари.</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Также можно выделить ФЗ «О защите детей от информации, причиняющей вред их здоровью и развитию», а именно главу 2, где определенна классификация информационной продукции, поделенная на пять категорий [3, 4]:</w:t>
      </w:r>
    </w:p>
    <w:p w:rsidR="00181BA7" w:rsidRPr="00DA76A7" w:rsidRDefault="00181BA7" w:rsidP="00D45D6B">
      <w:pPr>
        <w:pStyle w:val="ac"/>
        <w:numPr>
          <w:ilvl w:val="0"/>
          <w:numId w:val="93"/>
        </w:numPr>
        <w:ind w:left="0" w:firstLine="567"/>
        <w:jc w:val="both"/>
        <w:rPr>
          <w:rFonts w:ascii="Arial" w:hAnsi="Arial" w:cs="Arial"/>
          <w:color w:val="000000" w:themeColor="text1"/>
        </w:rPr>
      </w:pPr>
      <w:r w:rsidRPr="00DA76A7">
        <w:rPr>
          <w:rFonts w:ascii="Arial" w:hAnsi="Arial" w:cs="Arial"/>
          <w:color w:val="000000" w:themeColor="text1"/>
        </w:rPr>
        <w:t>информационная продукция для детей, не достигших возраста шести лет (0+);</w:t>
      </w:r>
    </w:p>
    <w:p w:rsidR="00181BA7" w:rsidRPr="00DA76A7" w:rsidRDefault="00181BA7" w:rsidP="00D45D6B">
      <w:pPr>
        <w:pStyle w:val="ac"/>
        <w:numPr>
          <w:ilvl w:val="0"/>
          <w:numId w:val="93"/>
        </w:numPr>
        <w:ind w:left="0" w:firstLine="567"/>
        <w:jc w:val="both"/>
        <w:rPr>
          <w:rFonts w:ascii="Arial" w:hAnsi="Arial" w:cs="Arial"/>
          <w:color w:val="000000" w:themeColor="text1"/>
        </w:rPr>
      </w:pPr>
      <w:r w:rsidRPr="00DA76A7">
        <w:rPr>
          <w:rFonts w:ascii="Arial" w:hAnsi="Arial" w:cs="Arial"/>
          <w:color w:val="000000" w:themeColor="text1"/>
        </w:rPr>
        <w:t>информационная продукция для детей, достигших возраста шести лет (6+);</w:t>
      </w:r>
    </w:p>
    <w:p w:rsidR="00181BA7" w:rsidRPr="00DA76A7" w:rsidRDefault="00181BA7" w:rsidP="00D45D6B">
      <w:pPr>
        <w:pStyle w:val="ac"/>
        <w:numPr>
          <w:ilvl w:val="0"/>
          <w:numId w:val="93"/>
        </w:numPr>
        <w:ind w:left="0" w:firstLine="567"/>
        <w:jc w:val="both"/>
        <w:rPr>
          <w:rFonts w:ascii="Arial" w:hAnsi="Arial" w:cs="Arial"/>
          <w:color w:val="000000" w:themeColor="text1"/>
        </w:rPr>
      </w:pPr>
      <w:r w:rsidRPr="00DA76A7">
        <w:rPr>
          <w:rFonts w:ascii="Arial" w:hAnsi="Arial" w:cs="Arial"/>
          <w:color w:val="000000" w:themeColor="text1"/>
        </w:rPr>
        <w:t>информационная продукция для детей, достигших возраста двенадцати лет (12+);</w:t>
      </w:r>
    </w:p>
    <w:p w:rsidR="00181BA7" w:rsidRPr="00DA76A7" w:rsidRDefault="00181BA7" w:rsidP="00D45D6B">
      <w:pPr>
        <w:pStyle w:val="ac"/>
        <w:numPr>
          <w:ilvl w:val="0"/>
          <w:numId w:val="93"/>
        </w:numPr>
        <w:ind w:left="0" w:firstLine="567"/>
        <w:jc w:val="both"/>
        <w:rPr>
          <w:rFonts w:ascii="Arial" w:hAnsi="Arial" w:cs="Arial"/>
          <w:color w:val="000000" w:themeColor="text1"/>
        </w:rPr>
      </w:pPr>
      <w:r w:rsidRPr="00DA76A7">
        <w:rPr>
          <w:rFonts w:ascii="Arial" w:hAnsi="Arial" w:cs="Arial"/>
          <w:color w:val="000000" w:themeColor="text1"/>
        </w:rPr>
        <w:t>информационная продукция для детей, достигших возраста шестнадцати лет (16+);</w:t>
      </w:r>
    </w:p>
    <w:p w:rsidR="00181BA7" w:rsidRPr="00DA76A7" w:rsidRDefault="00181BA7" w:rsidP="00D45D6B">
      <w:pPr>
        <w:pStyle w:val="ac"/>
        <w:numPr>
          <w:ilvl w:val="0"/>
          <w:numId w:val="93"/>
        </w:numPr>
        <w:ind w:left="0" w:firstLine="567"/>
        <w:jc w:val="both"/>
        <w:rPr>
          <w:rFonts w:ascii="Arial" w:hAnsi="Arial" w:cs="Arial"/>
          <w:color w:val="000000" w:themeColor="text1"/>
        </w:rPr>
      </w:pPr>
      <w:r w:rsidRPr="00DA76A7">
        <w:rPr>
          <w:rFonts w:ascii="Arial" w:hAnsi="Arial" w:cs="Arial"/>
          <w:color w:val="000000" w:themeColor="text1"/>
        </w:rPr>
        <w:t>информационная продукция, запрещенная для детей (18+).</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Согласно ч. 1 ст. 12 ФЗ «О защите детей от информации, причиняющей вред их здоровью и развитию» категория информационной продукции может обозначаться знаком информационной продукции и (или) текстовым предупреждением об ограничении распространения информационной продукции среди детей.</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В общем, из всего выше перечисленного можно сделать вывод о том, что защита прав детей в современной России относится к числу актуальных проблем, порожденных многими факторами, как например, недостаточно регламентированное законодательство или ненадлежайшее его исполнение.</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Ведь ранее действовавший Закон «О рекламе» 1995 года содержал общее положение о том, что текстовое, звуковое или визуальное использование образов несовершеннолетних в рекламе, не относящейся непосредственно к товарам для несовершеннолетних, не допускается. Действующее же законодательство такого положения не содержит и многие ученые-юристы, говорят, что это вряд ли можно отнести к достоинствам действующего ФЗ «О рекламе».</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На наш же взгляд, это очень дискуссионный вопрос, ведь когда эта норма действовала, то не было особых критерий отнесения товара, предназначенного для несовершеннолетних. Теоретически в то время, можно было нарушить закон, осуществляя рекламу таких товаров, как шоколад, зубная паста, фруктовый сок и так далее. Все зависело от толкования этого положения.</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 xml:space="preserve">Сейчас же при отсутствии этой нормы постоянно возникают новые споры: участие детей в рекламе бытовой химии, некоторых продуктов питания, движимого и недвижимого имущества и так далее. Эти споры сложили обширную судебную практику, где суд рассматривал каждое конкретное дело и приходил примерно к одинаковому решению: общим критерием отнесением товаров к детским является использование этих товаров непосредственно ребенком, направленное на удовлетворение потребностей несовершеннолетнего. Можно сказать, что суд выносит такие же решения, как и при действовавшем Законе «О рекламе» 1995 года, так как просто не знает, как правильно и на законных основаниях разрешить вызванный спор с действующим на сегодняшний день законодательством. К сожалению, на данный момент, имея конкретный список запретов, рекламодатели все равно, косвенно, но затрагивают нормы статьи 6 ФЗ «О рекламе». </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Мы считаем, что наше законодательство должно внести ряд изменений, а именно прописать конкретный список той продукции, в рекламе которой нельзя использовать образы несовершеннолетних. На наш взгляд, это лучшее решение вопросов, связанных с несовершеннолетними и рекламой в Российской Федерации.</w:t>
      </w:r>
    </w:p>
    <w:p w:rsidR="00181BA7" w:rsidRPr="00DA76A7" w:rsidRDefault="00181BA7" w:rsidP="00181BA7">
      <w:pPr>
        <w:pStyle w:val="ac"/>
        <w:ind w:firstLine="567"/>
        <w:jc w:val="both"/>
        <w:rPr>
          <w:rFonts w:ascii="Arial" w:hAnsi="Arial" w:cs="Arial"/>
          <w:color w:val="000000" w:themeColor="text1"/>
        </w:rPr>
      </w:pPr>
      <w:r w:rsidRPr="00DA76A7">
        <w:rPr>
          <w:rFonts w:ascii="Arial" w:hAnsi="Arial" w:cs="Arial"/>
          <w:color w:val="000000" w:themeColor="text1"/>
        </w:rPr>
        <w:t>Защита прав детей в рекламной деятельности будет лишь тогда эффективна, когда будут иметь четкое понимание того, что наше будущее- это наши дети, и то каким оно будет, будет зависеть от нас самих и нашего правосознания.</w:t>
      </w:r>
    </w:p>
    <w:p w:rsidR="00181BA7" w:rsidRPr="00DA76A7" w:rsidRDefault="00181BA7" w:rsidP="00181BA7">
      <w:pPr>
        <w:pStyle w:val="ac"/>
        <w:ind w:firstLine="567"/>
        <w:jc w:val="both"/>
        <w:rPr>
          <w:rFonts w:ascii="Arial" w:hAnsi="Arial" w:cs="Arial"/>
          <w:color w:val="000000" w:themeColor="text1"/>
        </w:rPr>
      </w:pPr>
    </w:p>
    <w:p w:rsidR="00181BA7" w:rsidRPr="00DA76A7" w:rsidRDefault="00181BA7" w:rsidP="00181BA7">
      <w:pPr>
        <w:pStyle w:val="ac"/>
        <w:ind w:firstLine="567"/>
        <w:jc w:val="center"/>
        <w:rPr>
          <w:rFonts w:ascii="Arial" w:hAnsi="Arial" w:cs="Arial"/>
          <w:b/>
          <w:color w:val="000000" w:themeColor="text1"/>
        </w:rPr>
      </w:pPr>
      <w:r w:rsidRPr="00DA76A7">
        <w:rPr>
          <w:rFonts w:ascii="Arial" w:hAnsi="Arial" w:cs="Arial"/>
          <w:b/>
          <w:color w:val="000000" w:themeColor="text1"/>
        </w:rPr>
        <w:t>Список литературы:</w:t>
      </w:r>
    </w:p>
    <w:p w:rsidR="00181BA7" w:rsidRPr="00DA76A7" w:rsidRDefault="00181BA7" w:rsidP="00D45D6B">
      <w:pPr>
        <w:pStyle w:val="ac"/>
        <w:numPr>
          <w:ilvl w:val="0"/>
          <w:numId w:val="94"/>
        </w:numPr>
        <w:jc w:val="both"/>
        <w:rPr>
          <w:rFonts w:ascii="Arial" w:hAnsi="Arial" w:cs="Arial"/>
          <w:color w:val="000000" w:themeColor="text1"/>
        </w:rPr>
      </w:pPr>
      <w:r w:rsidRPr="00DA76A7">
        <w:rPr>
          <w:rFonts w:ascii="Arial" w:hAnsi="Arial" w:cs="Arial"/>
          <w:color w:val="000000" w:themeColor="text1"/>
        </w:rPr>
        <w:t>Федеральный закон «О рекламе» от 13.03.2006 N 38-ФЗ (с изменениями, вступившими в силу с 01.01.2017 года). [Электронный ресурс] //Официальный интернет-портал правовой информации // СПС. КонсультантПлюс. – Режим доступа: http://www.consultant.ru/ (дата обращения: 20.03.2018);</w:t>
      </w:r>
    </w:p>
    <w:p w:rsidR="00181BA7" w:rsidRPr="00DA76A7" w:rsidRDefault="00181BA7" w:rsidP="00D45D6B">
      <w:pPr>
        <w:pStyle w:val="ac"/>
        <w:numPr>
          <w:ilvl w:val="0"/>
          <w:numId w:val="94"/>
        </w:numPr>
        <w:jc w:val="both"/>
        <w:rPr>
          <w:rFonts w:ascii="Arial" w:hAnsi="Arial" w:cs="Arial"/>
          <w:color w:val="000000" w:themeColor="text1"/>
        </w:rPr>
      </w:pPr>
      <w:r w:rsidRPr="00DA76A7">
        <w:rPr>
          <w:rFonts w:ascii="Arial" w:hAnsi="Arial" w:cs="Arial"/>
          <w:color w:val="000000" w:themeColor="text1"/>
        </w:rPr>
        <w:t>Федеральный закон «О рекламе» от 18.07.1995 N 108-ФЗ (последняя редакция) [Электронный ресурс]. Утратил силу с 1 июля 2006 г.// Официальный интернет-портал правовой информации // СПС. КонсультантПлюс. – Режим доступа: http://www.consultant.ru/ (дата обращения: 20.03.2018);</w:t>
      </w:r>
    </w:p>
    <w:p w:rsidR="00181BA7" w:rsidRPr="00DA76A7" w:rsidRDefault="00181BA7" w:rsidP="00D45D6B">
      <w:pPr>
        <w:pStyle w:val="ac"/>
        <w:numPr>
          <w:ilvl w:val="0"/>
          <w:numId w:val="94"/>
        </w:numPr>
        <w:jc w:val="both"/>
        <w:rPr>
          <w:rFonts w:ascii="Arial" w:hAnsi="Arial" w:cs="Arial"/>
          <w:color w:val="000000" w:themeColor="text1"/>
        </w:rPr>
      </w:pPr>
      <w:r w:rsidRPr="00DA76A7">
        <w:rPr>
          <w:rFonts w:ascii="Arial" w:hAnsi="Arial" w:cs="Arial"/>
          <w:color w:val="000000" w:themeColor="text1"/>
        </w:rPr>
        <w:t>Федеральный закон «О защите детей от информации, причиняющей вред их здоровью и развитию» от 29.12.2010 N 436-ФЗ (с изменениями, вступившими в силу с 29.06.2015 года).// Официальный интернет-портал правовой информации // СПС. КонсультантПлюс. – Режим доступа: http://www.consultant.ru/ (дата обращения: 20.03.2018);</w:t>
      </w:r>
    </w:p>
    <w:p w:rsidR="00181BA7" w:rsidRPr="00DA76A7" w:rsidRDefault="00181BA7" w:rsidP="00D45D6B">
      <w:pPr>
        <w:pStyle w:val="ac"/>
        <w:numPr>
          <w:ilvl w:val="0"/>
          <w:numId w:val="94"/>
        </w:numPr>
        <w:jc w:val="both"/>
        <w:rPr>
          <w:rFonts w:ascii="Arial" w:hAnsi="Arial" w:cs="Arial"/>
          <w:color w:val="000000" w:themeColor="text1"/>
        </w:rPr>
      </w:pPr>
      <w:r w:rsidRPr="00DA76A7">
        <w:rPr>
          <w:rFonts w:ascii="Arial" w:hAnsi="Arial" w:cs="Arial"/>
          <w:color w:val="000000" w:themeColor="text1"/>
        </w:rPr>
        <w:t>Постановление Федерального арбитражного суда Восточно-Сибирского округа N Ф02-5159/11.// Официальный интернет-портал правовой информации // СПС. Гарант.ру –Режим доступа: http://www.garant.ru/ (дата обращения: 20.03.2018);</w:t>
      </w:r>
    </w:p>
    <w:p w:rsidR="00181BA7" w:rsidRPr="00DA76A7" w:rsidRDefault="00181BA7" w:rsidP="00D45D6B">
      <w:pPr>
        <w:pStyle w:val="ac"/>
        <w:numPr>
          <w:ilvl w:val="0"/>
          <w:numId w:val="94"/>
        </w:numPr>
        <w:jc w:val="both"/>
        <w:rPr>
          <w:rFonts w:ascii="Arial" w:hAnsi="Arial" w:cs="Arial"/>
          <w:color w:val="000000" w:themeColor="text1"/>
        </w:rPr>
      </w:pPr>
      <w:r w:rsidRPr="00DA76A7">
        <w:rPr>
          <w:rFonts w:ascii="Arial" w:hAnsi="Arial" w:cs="Arial"/>
          <w:color w:val="000000" w:themeColor="text1"/>
        </w:rPr>
        <w:t>Постановление Шестнадцатого арбитражного апелляционного суда N 16АП-1716/14.// Официальный интернет-портал правовой информации // СПС. КонсультантПлюс. – Режим доступа: http://www.consultant.ru/ (дата обращения: 20.03.2018);</w:t>
      </w:r>
    </w:p>
    <w:p w:rsidR="00181BA7" w:rsidRPr="00DA76A7" w:rsidRDefault="00181BA7" w:rsidP="00D45D6B">
      <w:pPr>
        <w:pStyle w:val="ac"/>
        <w:numPr>
          <w:ilvl w:val="0"/>
          <w:numId w:val="94"/>
        </w:numPr>
        <w:jc w:val="both"/>
        <w:rPr>
          <w:rFonts w:ascii="Arial" w:hAnsi="Arial" w:cs="Arial"/>
          <w:color w:val="000000" w:themeColor="text1"/>
        </w:rPr>
      </w:pPr>
      <w:r w:rsidRPr="00DA76A7">
        <w:rPr>
          <w:rFonts w:ascii="Arial" w:hAnsi="Arial" w:cs="Arial"/>
          <w:color w:val="000000" w:themeColor="text1"/>
        </w:rPr>
        <w:t>Статья «Реклама МТС вызывает у несовершеннолетних комплексы»// Официальный интернет-портал правовой информации .// УФАС по г. Москве. – Режим доступа: http://moscow.fas.gov.ru/ (дата обращения: 20.03.2018).</w:t>
      </w:r>
    </w:p>
    <w:p w:rsidR="00181BA7" w:rsidRPr="00DA76A7" w:rsidRDefault="00181BA7" w:rsidP="00181BA7">
      <w:pPr>
        <w:pStyle w:val="ac"/>
        <w:ind w:firstLine="567"/>
        <w:jc w:val="both"/>
        <w:rPr>
          <w:rFonts w:ascii="Arial" w:hAnsi="Arial" w:cs="Arial"/>
          <w:color w:val="000000" w:themeColor="text1"/>
        </w:rPr>
      </w:pP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ПРОБЛЕМА ОПРЕДЕЛЕНИЯ ПОНЯТИЯ «СОБСТВЕННОСТЬ» В СОВРЕМЕННОЙ  ЮРИДИЧЕСКОЙ НАУКЕ</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Трапезникова Анастасия Ивановна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4-го курса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Пермский государственный национальный исследовательский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614068, Россия, г. Пермь, ул. Петропавловская, 121</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8-951-922-49-30,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50" w:history="1">
        <w:r w:rsidRPr="00DA76A7">
          <w:rPr>
            <w:rStyle w:val="af0"/>
            <w:rFonts w:ascii="Arial" w:hAnsi="Arial" w:cs="Arial"/>
            <w:color w:val="000000" w:themeColor="text1"/>
            <w:sz w:val="22"/>
            <w:szCs w:val="22"/>
            <w:u w:val="none"/>
            <w:lang w:val="en-US"/>
          </w:rPr>
          <w:t>trapeznikowa</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anastasia</w:t>
        </w:r>
        <w:r w:rsidRPr="00DA76A7">
          <w:rPr>
            <w:rStyle w:val="af0"/>
            <w:rFonts w:ascii="Arial" w:hAnsi="Arial" w:cs="Arial"/>
            <w:color w:val="000000" w:themeColor="text1"/>
            <w:sz w:val="22"/>
            <w:szCs w:val="22"/>
            <w:u w:val="none"/>
          </w:rPr>
          <w:t>2017@</w:t>
        </w:r>
        <w:r w:rsidRPr="00DA76A7">
          <w:rPr>
            <w:rStyle w:val="af0"/>
            <w:rFonts w:ascii="Arial" w:hAnsi="Arial" w:cs="Arial"/>
            <w:color w:val="000000" w:themeColor="text1"/>
            <w:sz w:val="22"/>
            <w:szCs w:val="22"/>
            <w:u w:val="none"/>
            <w:lang w:val="en-US"/>
          </w:rPr>
          <w:t>yandex</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PROBLEM OF DEFINITION OF THE CONCEPT OF «OWNERSHIP»</w:t>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 MODERN LEGAL SCIENCE</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Trapeznikova Anastasia Ivanovna</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of the 4th year of full-time department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Perm state university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614068, Russia, Perm, Peter and Paul str., 121</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8-951-922-49-30, e-mail: trapeznikowa.anastasia2017@yandex.ru</w:t>
      </w:r>
    </w:p>
    <w:p w:rsidR="00181BA7" w:rsidRPr="00DA76A7" w:rsidRDefault="00181BA7" w:rsidP="00181BA7">
      <w:pPr>
        <w:rPr>
          <w:rFonts w:ascii="Arial" w:hAnsi="Arial" w:cs="Arial"/>
          <w:b/>
          <w:color w:val="000000" w:themeColor="text1"/>
          <w:sz w:val="22"/>
          <w:szCs w:val="22"/>
          <w:lang w:val="en-US"/>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рассматривается проблема, связанная с определением понятия «собственность» в современной юридической науке. Анализируются различные подходы учёных-юристов относительно определения данного понятия. Отмечается дискуссионность рассматриваемого вопроса. Подчеркивается необходимость традиционного понимания собственности как экономической категории, представляющей собой отношение принадлежности материальных благ определенному субъекту.</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deals with the problem associated with the definition of the concept of «ownership» in modern legal science. Analyzes various approaches of legal scholars regarding the definition of this concept. The discussion of the issue under discussion is noted. The need for a traditional understanding of property as an economic category, representing the relation of the ownership of material goods to a particular subject, is stressed.</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собственность; право собственности; отношения принадлежности материальных благ. </w:t>
      </w:r>
    </w:p>
    <w:p w:rsidR="00181BA7" w:rsidRPr="00DA76A7" w:rsidRDefault="00181BA7" w:rsidP="00181BA7">
      <w:pPr>
        <w:ind w:firstLine="567"/>
        <w:jc w:val="both"/>
        <w:rPr>
          <w:rFonts w:ascii="Arial" w:hAnsi="Arial" w:cs="Arial"/>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ownership; property rights; relations of ownership of material goods</w:t>
      </w:r>
      <w:r w:rsidRPr="00DA76A7">
        <w:rPr>
          <w:rFonts w:ascii="Arial" w:hAnsi="Arial" w:cs="Arial"/>
          <w:color w:val="000000" w:themeColor="text1"/>
          <w:sz w:val="22"/>
          <w:szCs w:val="22"/>
          <w:lang w:val="en-US"/>
        </w:rPr>
        <w:t>.</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цивилистической науке и правоприменительной практике дефиниция категории «собственность» играет важнейшую роль. Такой взгляд  поддерживает  подавляющее большинство ученых нашего времени  и единично оспаривается представителями наук.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советский период основанная на учении К. Маркса,  правовая наука традиционно рассматривала собственность в качестве экономической категории. Сам же К. Маркс определял собственность как присвоение индивидом средств и орудий производства [3, 24].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Современные представители юридической доктрины,  продолжая  взгляды советских ученых,  исследуя институт права собственности,  также основываются  на  экономической природе собственности. Так, Е.А. Суханов при изучении вопроса о собственности отмечает, что это определенное экономическое отношение, которое подвергается оформлению правом. При этом такое экономическое отношение можно рассматривать с двух сторон: вещественной и общественной (социальной). Первая заключается в отношении лица к имуществу (в том числе вещи) как к своему, присвоенному, которое может быть использовано лицом непременно по своему усмотрению и в своих интересах. Общественная же сторона характеризуется  отношениями между людьми по поводу присвоенного имущества, заключающееся в том, что все лица не должны препятствовать присвоившему имущество лицу в самостоятельном   использовании такого имущества, а также  возможность присвоившего лица по своему усмотрению отстранять и не допускать других лиц к использованию такого имущества [6, 510].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Ю.К. Толстой, занимаясь исследованием собственности и права собственности,  отмечал, что вопрос о сущности категории собственности не может быть решен без определения экономических отношений, которые регулируются правом собственности [7, 138].</w:t>
      </w:r>
      <w:r w:rsidRPr="00DA76A7">
        <w:rPr>
          <w:rFonts w:ascii="Arial" w:hAnsi="Arial" w:cs="Arial"/>
          <w:color w:val="000000" w:themeColor="text1"/>
          <w:sz w:val="22"/>
          <w:szCs w:val="22"/>
          <w:vertAlign w:val="superscript"/>
        </w:rPr>
        <w:t xml:space="preserve"> </w:t>
      </w:r>
      <w:r w:rsidRPr="00DA76A7">
        <w:rPr>
          <w:rFonts w:ascii="Arial" w:hAnsi="Arial" w:cs="Arial"/>
          <w:color w:val="000000" w:themeColor="text1"/>
          <w:sz w:val="22"/>
          <w:szCs w:val="22"/>
          <w:shd w:val="clear" w:color="auto" w:fill="FFFFFF"/>
        </w:rPr>
        <w:t>В.П. Камышанский при изучении аналогичной проблемы утверждал, что экономические отношения собственности выступают материальной основой любого общества. Под собственностью он понимал  общественные отношения, складывающиеся  между субъектами по поводу вещей и заключающиеся в присвоенности   материальных благ лицу, который относится к вещам, как к своим,  а также отчужденность этих благ от других лиц</w:t>
      </w:r>
      <w:r w:rsidRPr="00DA76A7">
        <w:rPr>
          <w:rFonts w:ascii="Arial" w:hAnsi="Arial" w:cs="Arial"/>
          <w:color w:val="000000" w:themeColor="text1"/>
          <w:sz w:val="22"/>
          <w:szCs w:val="22"/>
          <w:shd w:val="clear" w:color="auto" w:fill="FFFFFF"/>
          <w:vertAlign w:val="superscript"/>
        </w:rPr>
        <w:t xml:space="preserve"> </w:t>
      </w:r>
      <w:r w:rsidRPr="00DA76A7">
        <w:rPr>
          <w:rFonts w:ascii="Arial" w:hAnsi="Arial" w:cs="Arial"/>
          <w:color w:val="000000" w:themeColor="text1"/>
          <w:sz w:val="22"/>
          <w:szCs w:val="22"/>
          <w:shd w:val="clear" w:color="auto" w:fill="FFFFFF"/>
        </w:rPr>
        <w:t>[2, 44].</w:t>
      </w:r>
      <w:r w:rsidRPr="00DA76A7">
        <w:rPr>
          <w:rFonts w:ascii="Arial" w:hAnsi="Arial" w:cs="Arial"/>
          <w:color w:val="000000" w:themeColor="text1"/>
          <w:sz w:val="22"/>
          <w:szCs w:val="22"/>
        </w:rPr>
        <w:t xml:space="preserve"> Аналогичной позиции придерживаются Л.В. Щенникова, В.К. Андреев и ряд других ученых.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 этого следует, что под собственностью следует понимать экономическую категорию, которая состоит в присвоенности, принадлежности материальных благ определенному субъекту или группе таких субъектов. В свою очередь,  под правом собственности понимают особое правовое явление, благодаря которому осуществляется регулирование основных экономических  отношений.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Продемонстрированный подход к пониманию собственности,  распространенный в современном гражданском праве показывает     преемственность взглядов ученых-цивилистов, являясь сформированным еще советской цивилистикой. Однако данный подход в науке выступает далеко не единичным. В  юридической литературе распространены и другие мнения относительно понимания собственности.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Внимания заслуживает точка зрения таких правоведов, как В.П. Павлов, К.И. Скловский и других ученых, которая принципиально отличается от изложенной выше точки зрения.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В.П. Павлов исходит из понимания права в субъективном смысле, как жизненного блага. Поэтому, опираясь на личные свойства ее носителя, значимые признаки собственности необходимо определять в качестве совокупности приемов и способов действий конкретного лица с вещами.  Под собственностью, по мнению В.П. Павлова, следует видеть личностную характеристику совместно с такими присущими лицу чертами как жизнь, честь, имя [4, 165].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Можно выделить и мнение ученого С.С. Алексеева, позиция которого относительно собственности отличается от предыдущих авторов. Он считает, что под собственностью следует понимать нечто «свое», «собственное» для человека, отношение к вещам, как к самому себе. Собственность – это продолжение человека в вещах, продолжение его персонального господства, абсолютной власти по отношению к внешним предметам</w:t>
      </w:r>
      <w:r w:rsidRPr="00DA76A7">
        <w:rPr>
          <w:rFonts w:ascii="Arial" w:hAnsi="Arial" w:cs="Arial"/>
          <w:color w:val="000000" w:themeColor="text1"/>
          <w:sz w:val="22"/>
          <w:szCs w:val="22"/>
          <w:shd w:val="clear" w:color="auto" w:fill="FFFFFF"/>
          <w:vertAlign w:val="superscript"/>
        </w:rPr>
        <w:t xml:space="preserve"> </w:t>
      </w:r>
      <w:r w:rsidRPr="00DA76A7">
        <w:rPr>
          <w:rFonts w:ascii="Arial" w:hAnsi="Arial" w:cs="Arial"/>
          <w:color w:val="000000" w:themeColor="text1"/>
          <w:sz w:val="22"/>
          <w:szCs w:val="22"/>
        </w:rPr>
        <w:t xml:space="preserve">[1, 50].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Особо интересной представляется и мнение К.И. Скловского, который, характеризуя собственность, утверждает, что собственность или же право собственности прямо не выражает экономических отношений собственности, а представляет собой наиболее полное воплощение личности в вещи</w:t>
      </w:r>
      <w:r w:rsidRPr="00DA76A7">
        <w:rPr>
          <w:rFonts w:ascii="Arial" w:hAnsi="Arial" w:cs="Arial"/>
          <w:color w:val="000000" w:themeColor="text1"/>
          <w:sz w:val="22"/>
          <w:szCs w:val="22"/>
          <w:vertAlign w:val="superscript"/>
        </w:rPr>
        <w:t xml:space="preserve"> </w:t>
      </w:r>
      <w:r w:rsidRPr="00DA76A7">
        <w:rPr>
          <w:rFonts w:ascii="Arial" w:hAnsi="Arial" w:cs="Arial"/>
          <w:color w:val="000000" w:themeColor="text1"/>
          <w:sz w:val="22"/>
          <w:szCs w:val="22"/>
        </w:rPr>
        <w:t>[5, 51].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Исходя из приведенных различных позиций ученых-правоведов,  можно сделать вывод о том, что вопрос о сущности собственности  в юридической литературе до сих пор является дискуссионным. На наш взгляд, наиболее приемлемым выступает традиционное понимание собственности как экономической категории, представляющей собой отношение принадлежности материальных благ, заключающееся в установлении над ними такого хозяйственного господства, которое позволяет собственнику по своей воле устранять и не допускать всех прочих лиц к использованию своего имущества, а также самостоятельно определять характер такого использования. </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Список литературы: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Алексеев С.С. Право собственности. Проблемы теории. – М.: Норма, 2007. – 240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Камышанский В.П. Право собственности: проблемы и ограничения. – М.: ЮНИТА-ДАНА: Закон и право, 2000. – 303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Маркс К., Энгельс Ф. Сочинения 2-е издание. – М.: Государственное издательство политической литературы, т.46. 1962. – 615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4. Павлов В.П. Проблемы теории собственности в российском гражданском праве. – М.: ВИНИТИ, 2000. –  428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5. Скловский  К.И. Собственность в гражданском праве: уч.-практ. пособие.5-е издание. – М.: Статут, 2010. – 893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6. Суханов Е.А. Российское гражданское право. Т.1. – М.: Статут, 2014. – 958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7. Толстой Ю.К. Понятие права собственности // Проблемы гражданского и административного права. –  Л:ЛГУ, 1954. – № 12. –  С. 136–213.  </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ПРЕДСТАВИТЕЛЬНАЯ ФУНКЦИЯ ЗАКОНОДАТЕЛЬНОГО ОРГАНА ГОСУДАРСТВЕННОЙ ВЛАСТИ СУБЪЕКТА РОССИЙСКОЙ ФЕДЕРАЦИИ</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Третьякова Катерина Юрьевна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заочного отделения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Северо-Кавказский филиал Российского государственного университета правосудия</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350038, Краснодарский край, г. Краснодар, ул. им. Филатова, 18/2, кв. 167,</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тел.:+79286267204,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tretyakova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frskuban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Default="00181BA7" w:rsidP="00181BA7">
      <w:pPr>
        <w:jc w:val="center"/>
        <w:rPr>
          <w:rFonts w:ascii="Arial" w:hAnsi="Arial" w:cs="Arial"/>
          <w:b/>
          <w:color w:val="000000" w:themeColor="text1"/>
          <w:sz w:val="22"/>
          <w:szCs w:val="22"/>
        </w:rPr>
      </w:pPr>
    </w:p>
    <w:p w:rsidR="00F519EB" w:rsidRPr="00DA76A7" w:rsidRDefault="00F519EB"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REPRESENTATIVE FUNCTION OF THE REGIONAL PARLIAMENT IN RUSSIA</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Tretyakova Katerina Yuryevna</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graduate student of the second year of correspondence education </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North-Caucasian branch of the Russian state university of justice</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350038, Krasnodar Territory, Krasnodar, Filatova str., 18/2, apt. 167,</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+ 79286267204, e-mail: k.tretyakova@frskuban.ru</w:t>
      </w:r>
    </w:p>
    <w:p w:rsidR="00181BA7" w:rsidRPr="00DA76A7" w:rsidRDefault="00181BA7" w:rsidP="00181BA7">
      <w:pPr>
        <w:ind w:firstLine="567"/>
        <w:jc w:val="center"/>
        <w:rPr>
          <w:rFonts w:ascii="Arial" w:hAnsi="Arial" w:cs="Arial"/>
          <w:b/>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Горбань А.Е.</w:t>
      </w:r>
    </w:p>
    <w:p w:rsidR="00181BA7" w:rsidRPr="00DA76A7" w:rsidRDefault="00181BA7" w:rsidP="00181BA7">
      <w:pPr>
        <w:ind w:firstLine="567"/>
        <w:jc w:val="center"/>
        <w:rPr>
          <w:rFonts w:ascii="Arial" w:hAnsi="Arial" w:cs="Arial"/>
          <w:b/>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Статья имеет своей целью рассмотрение с точки зрения теории права и науки конституционного права представительной функции регионального парламента как одной из основных направлений деятельности данного органа. Представительство как основа демократии требует особого внимания в рамках концепции построения правового демократического государства в России.</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has an aim to considerate representative functions of the regional Parliament as one of the main activities of this body from the point of view of the theory of law and constitutional law science. Representation is the basis of democracy, so it requires particular attention in the framework of the concept of democratic state in Russia.</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конституционное право; парламент; представительство; представительная функция; демократия; законодательный орган субъекта РФ.</w:t>
      </w:r>
    </w:p>
    <w:p w:rsidR="00181BA7" w:rsidRPr="00DA76A7" w:rsidRDefault="00181BA7" w:rsidP="00181BA7">
      <w:pPr>
        <w:ind w:firstLine="567"/>
        <w:jc w:val="both"/>
        <w:rPr>
          <w:rFonts w:ascii="Arial" w:hAnsi="Arial" w:cs="Arial"/>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constitutional law; Parliament; representation; representative function; democracy; the legislative body of a constituent entity of the Russian Federation</w:t>
      </w:r>
      <w:r w:rsidRPr="00DA76A7">
        <w:rPr>
          <w:rFonts w:ascii="Arial" w:hAnsi="Arial" w:cs="Arial"/>
          <w:color w:val="000000" w:themeColor="text1"/>
          <w:sz w:val="22"/>
          <w:szCs w:val="22"/>
          <w:lang w:val="en-US"/>
        </w:rPr>
        <w:t>.</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Построение правового и действительно демократического государства в России – цель государственных органов и всего российского общества в целом последней четверти века, со дня принятия Конституции РФ в 1993 г., которая провозгласила Российскую Федерацию правовым демократическим государством.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Демократия – это понятие, которое в зависимости от сферы своего применения понимается по-разному. С учетом всех возможных распространенных точек зрения на определение понятия данной категории, С. А. Авакьян предлагает несколько интерпретаций демократии: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1) демократия – это, прежде всего, такой строй и образ жизни, когда народ самостоятельно управляет всеми государственным и общественными делами;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демократия – это также свобода личности, т.е. наличие у каждого широкого объема законодательно закрепленных личных, социальных, политических и экономических прав и свобод, их гарантий и средств защиты;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демократия – это основа конституционного строя, проявляющаяся в обеспечении гласности, полного предоставления информации, права обсуждать важнейшие государственные и общественные проблемы, высказывать свое мнение и добиваться законными способами его учета в решениях и действиях соответствующих органов;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демократия – это внутреннее осознание (ощущение) гражданином своей полезности обществу, необходимости участия в его жизни;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демократия – это и политический режим, когда закон и реальность адекватны (т.е. соответствуют друг другу);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демократия как основа конституционного строя – это и дисциплина, организованность, ответственность личности перед обществом и государством (а не только их ответственность перед личностью)[3,260].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Собрав воедино все представленные толкования термина «демократия» в науке конституционного права, можно говорить о важности такой функции органов государственной власти, в том числе и на уровне субъектов РФ, как представительство.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отмечает А. А. Корнева, «представительство и демократия формировались на протяжении длительного исторического периода. Эти институты неразрывно связаны между собой, а в данном случае представляют собой общее целое, объективируясь в единое целое – принцип представительной демократии» [7, 158]. Представительная демократия означает передачу народом части принадлежащей ему власти формируемым им органам государственной власти (парламентам, президентам, учредительным собраниям и т.д.) [5, 225]. Сами демократические режимы тоже могут быть неоднородными. В частности, особыми их разновидностями выступают либерально-демократические и консервативно-демократические режимы. Если либерально-демократические режимы характеризуются тем, что приоритет отдается личности, ее правам и свободам, а роль государства сводится к защите этих прав и свобод, собственности граждан, то консервативно-демократические режимы опираются не столько на конституцию, сколько на политические традиции, которые являются основой данных режимов [6, 44].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демократическом государственном строе высшим и представительным законодательным органом является парламент. Он представляет суверенитет народа, и только он один правомочен выражать волю народа в форме закона [9, 99]. В Конституции РФ используются либо оба понятия «законодательный» и «представительный» (например, ст. 66), либо только «законодательный» (например, ст. 125), либо же только «представительный» (ст. 77). Как полагает В. А. Лебедев, «это и не удивительно, поскольку легитимной может быть только такая законодательная власть, которая основана на выборах» [9, 6]. Анализ норм Конституции РФ, в которых используются указанные термины, не позволяет сделать вывод о том, какое определение для авторов проекта Конституции РФ было более предпочтительным. Нормы Конституции РФ конкретизированы в специальном законодательстве, в названии и содержании которого применяются термины «законодательный» и «представительный» (Федеральный закон от 6 октября 1999 г.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 № 184-ФЗ).</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литературе отмечается, что «характеристика «законодательный» указывает на законотворчество, т.е. разработку и принятие законов, как основную функцию соответствующего органа государственной власти субъекта РФ». Представительная власть – «совокупность полномочий, делегированных народом или его  частью своим выборным представителям, объединенным в специальном коллегиальном учреждении (парламенте, муниципальном совете), на строго определенный срок, а также совокупность самих представительных органов власти» [12, 31].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Особый интерес представляет изучение представительной функции парламентов на уровне субъектов РФ. Ж. И. Осканова и Б. Д. Накашидзе отмечают, что «развитие институтов демократии в субъектах Российской Федерации является одной из основополагающих функций органов государственной власти субъектов Российской Федерации, что находит свое отражение в конституциях и уставах субъектов Российской Федерации. Данная функция реализуется в законодательстве субъектов РФ об институтах прямой и представительной демократии, а также в практической деятельности органов государственной власти субъектов Федерации по его осуществлению. Особенности отдельных субъектов Федерации накладывают отпечаток на облик институтов демократии в этих регионах, однако все они развиваются в едином конституционно-правовом поле России и их развитие подчиняется общим закономерностям» [11, 21].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Само название Закона № 184-ФЗ явно указывает на представительную функцию региональных парламентов. Однако все же стоит отметить, что законодательная (законотворческая) функция последних является ведущей. Это обусловлено самим содержанием теории разделения властей. Однако выделение на законодательном уровне представительной функции региональных парламентов не противоречит концепции разделения власти только на три ветви. По нашему мнению, демократическое государство не может существовать без законодательно закрепленных полномочий законодательных органов субъектов РФ по представлению интересов народа. Т. Н. Митрохина и Э. С. Черная отмечают, что Законом № 184-ФЗ «устанавливается перечень основных полномочий законодательного (представительного) органа государственной власти субъекта РФ, которые относятся к явным функциям представительного органа власти субъекта Федерации» [10, 13].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основой любого демократического федеративного правового государства является представительство. Представительная функция государственной власти, а именно законодательных органов на федеральном и региональном уровнях осуществляется соответствующими парламентами. Нормы Конституции РФ и специальных законов, регламентирующих правовой статус законодательных (представительных) органов государственной власти субъектов РФ, подтверждают значимость представительной функции последних. Все же ведущей является законотворческая функция (в силу содержания концепции разделения властей), однако представительство является если не главной, то все равно чрезвычайно важной функцией региональных парламентов.</w:t>
      </w:r>
    </w:p>
    <w:p w:rsidR="00181BA7" w:rsidRPr="00DA76A7" w:rsidRDefault="00181BA7" w:rsidP="00181BA7">
      <w:pPr>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Конституция Российской Федерации от 12 декабря 1993 г. (с учетом поправок) // Собрание законодательства Российской Федерации. 2014. 4 августа. № 31. Ст. 4398.</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закон от 6 октября 1999 г. № 184-ФЗ (ред. от 30 октября 2017 г.) // Российская газета. № 206. 1999. 19 октября.</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Авакьян С.А. Конституционный лексикон: государственно-правовой терминологический словарь. - М.: Юстицинформ, 2015. - 640 с.</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Авакьян С. А., Арбузкин А. М., Кененова И. П. и др. Организация государственной власти в России и зарубежных странах: учебно-методический комплекс / отв. ред. С. А. Авакьян. - М.: Юстицинформ,  2014.-  692 с.</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Головистикова А.Н., Дмитриев Ю.А. Проблемы теории государства и права: учебник. - М.: ЭКСМО, 2005. - 649 с.</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Григорьева И. В. Теория государства и права: учебное пособие. - Тамбов: Изд-во Тамб. гос. техн. ун-та, 2009. - 304 с.</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Корнева А.А. Представительство и демократия: истоки формирования и развития // Государственный суверенитет и верховенство права: международное и национальное измерения: материалы круглых столов. - 2015. - С. 154-158.</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Лебедев В.А. Законодательные (представительные) органы государственной власти в субъектах Российской Федерации // Вестник Челябинского государственного университета. - 2002. - № 2 (4). - С. 5-10.</w:t>
      </w:r>
    </w:p>
    <w:p w:rsidR="00181BA7" w:rsidRPr="00DA76A7" w:rsidRDefault="00181BA7" w:rsidP="00D45D6B">
      <w:pPr>
        <w:pStyle w:val="a6"/>
        <w:numPr>
          <w:ilvl w:val="0"/>
          <w:numId w:val="11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Мелехин А.В. Теория государства и права: учебник с учебно-методическими материалами. - М.: Маркет ДС, 2009. - 545 с.</w:t>
      </w:r>
    </w:p>
    <w:p w:rsidR="00181BA7" w:rsidRPr="00DA76A7" w:rsidRDefault="00181BA7" w:rsidP="00D45D6B">
      <w:pPr>
        <w:pStyle w:val="a6"/>
        <w:numPr>
          <w:ilvl w:val="0"/>
          <w:numId w:val="11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Митрохина Т.Н., Черная Э.С. Функциональность регионального парламента в современной России // Теории и проблемы политических исследований. - 2012. - № 1. - С. 10-26.</w:t>
      </w:r>
    </w:p>
    <w:p w:rsidR="00181BA7" w:rsidRPr="00DA76A7" w:rsidRDefault="00181BA7" w:rsidP="00D45D6B">
      <w:pPr>
        <w:pStyle w:val="a6"/>
        <w:numPr>
          <w:ilvl w:val="0"/>
          <w:numId w:val="11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Осканова Ж.И., Накашидзе Б.Д. Понятие «институты демократии в субъектах российской федерации» и их становление // Государственное управление.  - 2011. - № 28. - С. 21.</w:t>
      </w:r>
    </w:p>
    <w:p w:rsidR="00181BA7" w:rsidRPr="00DA76A7" w:rsidRDefault="00181BA7" w:rsidP="00D45D6B">
      <w:pPr>
        <w:pStyle w:val="a6"/>
        <w:numPr>
          <w:ilvl w:val="0"/>
          <w:numId w:val="11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Шегаев И.С., Полозов А.-Г. Новейший политологический глоссарий: основные категории понятия, термины.  .: Издательство Перо, 2015. - 242 с.</w:t>
      </w:r>
    </w:p>
    <w:p w:rsidR="00181BA7" w:rsidRPr="00DA76A7" w:rsidRDefault="00181BA7"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p>
    <w:p w:rsidR="00181BA7" w:rsidRPr="00DA76A7" w:rsidRDefault="00181BA7" w:rsidP="00181BA7">
      <w:pPr>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К ВОПРОСУ О ВОЗМОЖНОСТИ КОМПЕНСАЦИИ МОРАЛЬНОГО ВРЕДА ЮРИДИЧЕСКИМ ЛИЦАМ</w:t>
      </w:r>
    </w:p>
    <w:p w:rsidR="00181BA7" w:rsidRPr="00DA76A7" w:rsidRDefault="00181BA7" w:rsidP="00181BA7">
      <w:pPr>
        <w:jc w:val="center"/>
        <w:outlineLvl w:val="0"/>
        <w:rPr>
          <w:rFonts w:ascii="Arial" w:hAnsi="Arial" w:cs="Arial"/>
          <w:b/>
          <w:bCs/>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Хайдарова Нигина Анваровна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2 - 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Российско-Таджикский (Славянский) университет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тел.: (+992) 2230460,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51" w:history="1">
        <w:r w:rsidRPr="00DA76A7">
          <w:rPr>
            <w:rStyle w:val="af0"/>
            <w:rFonts w:ascii="Arial" w:hAnsi="Arial" w:cs="Arial"/>
            <w:color w:val="000000" w:themeColor="text1"/>
            <w:sz w:val="22"/>
            <w:szCs w:val="22"/>
            <w:u w:val="none"/>
            <w:lang w:val="en-US"/>
          </w:rPr>
          <w:t>nigina</w:t>
        </w:r>
        <w:r w:rsidRPr="00DA76A7">
          <w:rPr>
            <w:rStyle w:val="af0"/>
            <w:rFonts w:ascii="Arial" w:hAnsi="Arial" w:cs="Arial"/>
            <w:color w:val="000000" w:themeColor="text1"/>
            <w:sz w:val="22"/>
            <w:szCs w:val="22"/>
            <w:u w:val="none"/>
          </w:rPr>
          <w:t>-93@</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181BA7" w:rsidRPr="00DA76A7" w:rsidRDefault="00181BA7" w:rsidP="00181BA7">
      <w:pPr>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TO THE QUESTION OF THE POSSIBILITY OF COMPENSATION</w:t>
      </w:r>
      <w:r w:rsidRPr="00DA76A7">
        <w:rPr>
          <w:rFonts w:ascii="Arial" w:hAnsi="Arial" w:cs="Arial"/>
          <w:b/>
          <w:color w:val="000000" w:themeColor="text1"/>
          <w:sz w:val="22"/>
          <w:szCs w:val="22"/>
          <w:lang w:val="en-US"/>
        </w:rPr>
        <w:br/>
        <w:t>MORAL HARM TO LEGAL ENTITIES</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Khaidarova Nigina Anvarovna</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2230460,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252" w:history="1">
        <w:r w:rsidRPr="00DA76A7">
          <w:rPr>
            <w:rStyle w:val="af0"/>
            <w:rFonts w:ascii="Arial" w:hAnsi="Arial" w:cs="Arial"/>
            <w:color w:val="000000" w:themeColor="text1"/>
            <w:sz w:val="22"/>
            <w:szCs w:val="22"/>
            <w:u w:val="none"/>
            <w:lang w:val="en-US"/>
          </w:rPr>
          <w:t>nigina-93@mail.ru</w:t>
        </w:r>
      </w:hyperlink>
    </w:p>
    <w:p w:rsidR="00181BA7" w:rsidRPr="00DA76A7" w:rsidRDefault="00181BA7" w:rsidP="00181BA7">
      <w:pPr>
        <w:ind w:firstLine="567"/>
        <w:jc w:val="center"/>
        <w:rPr>
          <w:rFonts w:ascii="Arial" w:hAnsi="Arial" w:cs="Arial"/>
          <w:color w:val="000000" w:themeColor="text1"/>
          <w:sz w:val="22"/>
          <w:szCs w:val="22"/>
          <w:lang w:val="en-US"/>
        </w:rPr>
      </w:pPr>
    </w:p>
    <w:p w:rsidR="00482214" w:rsidRPr="00482214" w:rsidRDefault="00181BA7" w:rsidP="00482214">
      <w:pPr>
        <w:ind w:firstLine="567"/>
        <w:jc w:val="right"/>
        <w:rPr>
          <w:rFonts w:ascii="Arial" w:hAnsi="Arial" w:cs="Arial"/>
          <w:color w:val="000000" w:themeColor="text1"/>
          <w:sz w:val="22"/>
          <w:szCs w:val="22"/>
        </w:rPr>
      </w:pPr>
      <w:r w:rsidRPr="00240D8D">
        <w:rPr>
          <w:rFonts w:ascii="Arial" w:hAnsi="Arial" w:cs="Arial"/>
          <w:color w:val="000000" w:themeColor="text1"/>
          <w:sz w:val="22"/>
          <w:szCs w:val="22"/>
          <w:lang w:val="en-US"/>
        </w:rPr>
        <w:t xml:space="preserve">                      </w:t>
      </w:r>
      <w:r w:rsidR="00482214" w:rsidRPr="00482214">
        <w:rPr>
          <w:rFonts w:ascii="Arial" w:hAnsi="Arial" w:cs="Arial"/>
          <w:color w:val="000000" w:themeColor="text1"/>
          <w:sz w:val="22"/>
          <w:szCs w:val="22"/>
        </w:rPr>
        <w:t>Научный руководитель: к.ю.н., ст. преподаватель Имомзода С.А.</w:t>
      </w:r>
    </w:p>
    <w:p w:rsidR="00181BA7" w:rsidRPr="00DA76A7" w:rsidRDefault="00181BA7" w:rsidP="00181BA7">
      <w:pPr>
        <w:ind w:firstLine="567"/>
        <w:rPr>
          <w:rFonts w:ascii="Arial" w:hAnsi="Arial" w:cs="Arial"/>
          <w:b/>
          <w:color w:val="000000" w:themeColor="text1"/>
          <w:sz w:val="22"/>
          <w:szCs w:val="22"/>
        </w:rPr>
      </w:pPr>
      <w:r w:rsidRPr="00DA76A7">
        <w:rPr>
          <w:rFonts w:ascii="Arial" w:hAnsi="Arial" w:cs="Arial"/>
          <w:color w:val="000000" w:themeColor="text1"/>
          <w:sz w:val="22"/>
          <w:szCs w:val="22"/>
        </w:rPr>
        <w:t xml:space="preserve">                      </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рассматривается возможность компенсации морального вреда в отношении юридических лиц. Для устранения противоречий в этом вопросе предлагается идея о легализации универсального способа защиты нематериальных благ и личных неимущественных прав, а также имущественных прав (в случаях, предусмотренных законом) как граждан, так и юридических лиц - компенсации нематериального вреда, которая должна прийти на смену противоречивой компенсации морального вреда.</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considers the possibility of compensation for moral harm in relation to legal entities. To eliminate contradictions in this issue, we propose the idea of legalizing a universal way of protecting intangible goods and personal non-property rights, as well as property rights (in cases stipulated by law) for both citizens and legal entities - compensation for non-material harm, which should replace the contradictory compensation moral harm.</w:t>
      </w:r>
    </w:p>
    <w:p w:rsidR="00181BA7" w:rsidRPr="00DA76A7" w:rsidRDefault="00181BA7" w:rsidP="00181BA7">
      <w:pPr>
        <w:ind w:firstLine="567"/>
        <w:jc w:val="both"/>
        <w:rPr>
          <w:rFonts w:ascii="Arial" w:hAnsi="Arial" w:cs="Arial"/>
          <w:i/>
          <w:color w:val="000000" w:themeColor="text1"/>
          <w:sz w:val="22"/>
          <w:szCs w:val="22"/>
          <w:lang w:val="en-US"/>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моральный вред, компенсация морального вреда, нравственные и психические страдания.</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moral damage, compensation for moral harm, moral and mental suffering.</w:t>
      </w:r>
    </w:p>
    <w:p w:rsidR="00181BA7" w:rsidRPr="00DA76A7" w:rsidRDefault="00181BA7" w:rsidP="00181BA7">
      <w:pPr>
        <w:ind w:firstLine="567"/>
        <w:jc w:val="both"/>
        <w:rPr>
          <w:rFonts w:ascii="Arial" w:hAnsi="Arial" w:cs="Arial"/>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Компенсация морального вреда - один из самых дискуссионных способов защиты в отечественном праве.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Проблема компенсации морального вреда юридическим лицам является отнюдь не праздной и имеет огромное значение для гражданского оборота. С одной стороны, моральный вред - это физические и (или) нравственные страдания, которые традиционно ассоциируются только с физическими лицами (людьми), поэтому резонно предположить, что лишь они имеют право на компенсацию морального вреда.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Сегодня требования о компенсации морального вреда юридическим лицам - не редкость.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противовес противникам компенсации морального вреда юридическим лицам приведу мнения сторонников такой компенсации, а в заключение выскажу собственную позицию по данному вопросу.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начала отмечу: одним из первых цивилистов, намекавших на возможность компенсации морального вреда юридическим лицам, был И.А. Покровский. В частоности, он писал, «юридическое лицо не есть нечто мертвое и безжизненное; оно является, напротив, некоторой живой клеточкой социального организма. Эту жизненность, активность придает ему, как и физическому лицу, воля - воля корпорации или воля учредителя, продолжающая одушевлять созданное им учреждение» [3, 103].</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Среди современных исследователей М.Н. Малеина одна из первых выдвинула идею о необходимости обязательного предоставления законом «такого способа защиты, как компенсация морального вреда, в случае нарушения любых неимущественных прав юридического лица» [1, 29].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 Абова в дополнение пишет: юридическое лицо вправе воспользоваться компенсацией морального вреда для опровержения сведений, порочащих его деловую репутацию [2, 837].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современной судебной и судебно-арбитражной практике моральный вред юридического лица в основном отождествляется с потерей (умалением) его деловой репутации. Однако, думается, сфера применения компенсации морального вреда юридическим лицам не должна ограничиваться защитой деловой репутации от распространения не соответствующих действительности порочащих сведений. Указанная компенсация должна иметь куда более широкий спектр применения. Для этого моральный вред юридических лиц необходимо понимать в более общем понимании.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Профессор О.Н. Садиков приходит к выводу: российский закон допускает компенсацию морального вреда по требованию юридических лиц, деловая репутация которых умаляется. Указанное обстоятельство О.Н. Садиков доказывает методом «от противного»: «...непризнание за юридическим лицом права на возмещение морального вреда по тому соображению, что оно неспособно «претерпевать нравственные и физические страдания, ставит под сомнение возможность применять к юридическим лицам многие известные цивилистические категории, требующие обращения к нравственным и психическим критериям, таким как вина, добросовестность, обман, угроза и т.д.» [4, 60-67].</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Мы разделяем классическое (традиционное) и неклассическое (нетрадиционное) понимание морального вреда и его компенсации. В первом случае моральный вред - физические и (или) нравственные страдания, испытывать которые может лишь человек, поэтому только физическое лицо имеет право на компенсацию морального вреда. Во втором случае, который представляется более демократичным и справедливым, моральный вред не ограничивается физическими и нравственными страданиями, а включает в себя иные неблагоприятные последствия нематериального характера, не поддающиеся точному денежному исчислению и являющиеся отрицательными и существенными для потерпевшего. Согласно этому подходу моральный вред возможен и в отношении организаций, поэтому юридические лица наряду с гражданами вправе требовать компенсацию морального вреда. Однако в данном случае предпочтительнее говорить о нематериальном вреде и его компенсации, а в случаях умаления деловой репутации   - о компенсации нематериального (репутационного) вреда. Для устранения каких-либо противоречий в рассматриваемых категориях я неоднократно выдвигал идею о легализации универсального способа защиты нематериальных благ и личных неимущественных прав, а также имущественных прав (в случаях, предусмотренных законом) как граждан, так и юридических лиц - компенсации нематериального вреда, которая должна прийти на смену противоречивой компенсации морального вреда. По своей сути предлагаемая компенсация нематериального вреда будет расширенным вариантом ныне существующей компенсации морального вреда; она не будет ограничиваться денежным утешением исключительно за понесенные физические и (или) нравственные страдания. Указанная компенсация должна полностью соответствовать конституционному принципу равенства как необходимому условию реализации прав и свобод субъектов права.</w:t>
      </w:r>
    </w:p>
    <w:p w:rsidR="00181BA7" w:rsidRPr="00DA76A7" w:rsidRDefault="00181BA7" w:rsidP="00181BA7">
      <w:pPr>
        <w:ind w:firstLine="567"/>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f2"/>
        <w:numPr>
          <w:ilvl w:val="0"/>
          <w:numId w:val="96"/>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Малеина М.Н. Компенсация за неимущественный вред // Вестник Верховного Суда СССР. - 1991. - № 5. - С. 29-37. </w:t>
      </w:r>
    </w:p>
    <w:p w:rsidR="00181BA7" w:rsidRPr="00DA76A7" w:rsidRDefault="00181BA7" w:rsidP="00D45D6B">
      <w:pPr>
        <w:pStyle w:val="af2"/>
        <w:numPr>
          <w:ilvl w:val="0"/>
          <w:numId w:val="96"/>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Комментарий к Гражданскому кодексу РФ: В 2 т. / Под ред. Т.Е. Абовой, А.Ю. Кабалкина. 4-е изд. - М.: Юрайт, 2010. Т. 1.– 1067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w:t>
      </w:r>
    </w:p>
    <w:p w:rsidR="00181BA7" w:rsidRPr="00DA76A7" w:rsidRDefault="00181BA7" w:rsidP="00D45D6B">
      <w:pPr>
        <w:pStyle w:val="af2"/>
        <w:numPr>
          <w:ilvl w:val="0"/>
          <w:numId w:val="96"/>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Покровский И.А. Основные проблемы гражданского права. - М.: Статут, 2003. – 857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w:t>
      </w:r>
    </w:p>
    <w:p w:rsidR="00181BA7" w:rsidRPr="00DA76A7" w:rsidRDefault="00181BA7" w:rsidP="00D45D6B">
      <w:pPr>
        <w:pStyle w:val="af2"/>
        <w:numPr>
          <w:ilvl w:val="0"/>
          <w:numId w:val="96"/>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Садиков О.Н. Защита деловой репутации юридического лица // Комментарий судебно-арбитражной практики: Вып. 5 / Под ред. В.Ф. Яковлева. - М.: Юридическая литература, - 1998. - С. 60 – 67.</w:t>
      </w:r>
    </w:p>
    <w:p w:rsidR="00181BA7" w:rsidRPr="00DA76A7" w:rsidRDefault="00181BA7" w:rsidP="00181BA7">
      <w:pPr>
        <w:ind w:firstLine="567"/>
        <w:rPr>
          <w:rFonts w:ascii="Arial" w:hAnsi="Arial" w:cs="Arial"/>
          <w:color w:val="000000" w:themeColor="text1"/>
          <w:sz w:val="22"/>
          <w:szCs w:val="22"/>
        </w:rPr>
      </w:pPr>
    </w:p>
    <w:p w:rsidR="00F519EB" w:rsidRPr="00DA76A7" w:rsidRDefault="00F519EB" w:rsidP="00181BA7">
      <w:pPr>
        <w:ind w:firstLine="567"/>
        <w:contextualSpacing/>
        <w:textAlignment w:val="baseline"/>
        <w:rPr>
          <w:rFonts w:ascii="Arial" w:hAnsi="Arial" w:cs="Arial"/>
          <w:b/>
          <w:color w:val="000000" w:themeColor="text1"/>
          <w:sz w:val="22"/>
          <w:szCs w:val="22"/>
        </w:rPr>
      </w:pPr>
    </w:p>
    <w:p w:rsidR="00E45BB4" w:rsidRPr="00DA76A7" w:rsidRDefault="00E45BB4" w:rsidP="00E45BB4">
      <w:pPr>
        <w:jc w:val="center"/>
        <w:rPr>
          <w:rFonts w:ascii="Arial" w:hAnsi="Arial" w:cs="Arial"/>
          <w:b/>
          <w:color w:val="000000" w:themeColor="text1"/>
          <w:sz w:val="22"/>
          <w:szCs w:val="22"/>
        </w:rPr>
      </w:pPr>
      <w:r w:rsidRPr="00DA76A7">
        <w:rPr>
          <w:rFonts w:ascii="Arial" w:hAnsi="Arial" w:cs="Arial"/>
          <w:b/>
          <w:color w:val="000000" w:themeColor="text1"/>
          <w:sz w:val="22"/>
          <w:szCs w:val="22"/>
        </w:rPr>
        <w:t>ПРАВОВОЙ РЕЖИМ КОМПЕНСАЦИИ МОРАЛЬНОГО ВРЕДА В РЕСПУБЛИКЕ ТАДЖИКИСТАН</w:t>
      </w:r>
    </w:p>
    <w:p w:rsidR="00E45BB4" w:rsidRPr="00DA76A7" w:rsidRDefault="00E45BB4" w:rsidP="00E45BB4">
      <w:pPr>
        <w:jc w:val="both"/>
        <w:rPr>
          <w:rFonts w:ascii="Arial" w:hAnsi="Arial" w:cs="Arial"/>
          <w:color w:val="000000" w:themeColor="text1"/>
          <w:sz w:val="22"/>
          <w:szCs w:val="22"/>
        </w:rPr>
      </w:pPr>
    </w:p>
    <w:p w:rsidR="00E45BB4" w:rsidRPr="00DA76A7" w:rsidRDefault="00E45BB4" w:rsidP="00E45BB4">
      <w:pPr>
        <w:jc w:val="center"/>
        <w:rPr>
          <w:rFonts w:ascii="Arial" w:hAnsi="Arial" w:cs="Arial"/>
          <w:b/>
          <w:color w:val="000000" w:themeColor="text1"/>
          <w:sz w:val="22"/>
          <w:szCs w:val="22"/>
        </w:rPr>
      </w:pPr>
      <w:r w:rsidRPr="00DA76A7">
        <w:rPr>
          <w:rFonts w:ascii="Arial" w:hAnsi="Arial" w:cs="Arial"/>
          <w:b/>
          <w:color w:val="000000" w:themeColor="text1"/>
          <w:sz w:val="22"/>
          <w:szCs w:val="22"/>
        </w:rPr>
        <w:t>Хайдарова Нигина Анваровна</w:t>
      </w:r>
    </w:p>
    <w:p w:rsidR="00E45BB4" w:rsidRPr="00DA76A7" w:rsidRDefault="00E45BB4" w:rsidP="00E45BB4">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E45BB4" w:rsidRPr="00DA76A7" w:rsidRDefault="00E45BB4" w:rsidP="00E45BB4">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w:t>
      </w:r>
    </w:p>
    <w:p w:rsidR="00E45BB4" w:rsidRPr="00DA76A7" w:rsidRDefault="00E45BB4" w:rsidP="00E45BB4">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М.Турсунзаде, 30</w:t>
      </w:r>
    </w:p>
    <w:p w:rsidR="00E45BB4" w:rsidRPr="00DA76A7" w:rsidRDefault="00E45BB4" w:rsidP="00E45BB4">
      <w:pPr>
        <w:jc w:val="center"/>
        <w:rPr>
          <w:rFonts w:ascii="Arial" w:hAnsi="Arial" w:cs="Arial"/>
          <w:color w:val="000000" w:themeColor="text1"/>
          <w:sz w:val="22"/>
          <w:szCs w:val="22"/>
        </w:rPr>
      </w:pPr>
      <w:r w:rsidRPr="00DA76A7">
        <w:rPr>
          <w:rFonts w:ascii="Arial" w:hAnsi="Arial" w:cs="Arial"/>
          <w:color w:val="000000" w:themeColor="text1"/>
          <w:sz w:val="22"/>
          <w:szCs w:val="22"/>
        </w:rPr>
        <w:t>тел.: (+992) 93 453 53 52,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53" w:history="1">
        <w:r w:rsidRPr="00DA76A7">
          <w:rPr>
            <w:rStyle w:val="af0"/>
            <w:rFonts w:ascii="Arial" w:hAnsi="Arial" w:cs="Arial"/>
            <w:color w:val="000000" w:themeColor="text1"/>
            <w:sz w:val="22"/>
            <w:szCs w:val="22"/>
            <w:u w:val="none"/>
            <w:lang w:val="en-US"/>
          </w:rPr>
          <w:t>nigina</w:t>
        </w:r>
        <w:r w:rsidRPr="00DA76A7">
          <w:rPr>
            <w:rStyle w:val="af0"/>
            <w:rFonts w:ascii="Arial" w:hAnsi="Arial" w:cs="Arial"/>
            <w:color w:val="000000" w:themeColor="text1"/>
            <w:sz w:val="22"/>
            <w:szCs w:val="22"/>
            <w:u w:val="none"/>
          </w:rPr>
          <w:t>-93@</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E45BB4" w:rsidRPr="00DA76A7" w:rsidRDefault="00E45BB4" w:rsidP="00E45BB4">
      <w:pPr>
        <w:jc w:val="both"/>
        <w:rPr>
          <w:rFonts w:ascii="Arial" w:hAnsi="Arial" w:cs="Arial"/>
          <w:color w:val="000000" w:themeColor="text1"/>
          <w:sz w:val="22"/>
          <w:szCs w:val="22"/>
        </w:rPr>
      </w:pPr>
    </w:p>
    <w:p w:rsidR="00E45BB4" w:rsidRPr="00DA76A7" w:rsidRDefault="00E45BB4" w:rsidP="00E45BB4">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REGIME OF COMPENSATION OF MORAL HARM IN THE REPUBLIC OF TAJIKISTAN</w:t>
      </w:r>
    </w:p>
    <w:p w:rsidR="00E45BB4" w:rsidRPr="00DA76A7" w:rsidRDefault="00E45BB4" w:rsidP="00E45BB4">
      <w:pPr>
        <w:jc w:val="center"/>
        <w:rPr>
          <w:rFonts w:ascii="Arial" w:hAnsi="Arial" w:cs="Arial"/>
          <w:b/>
          <w:color w:val="000000" w:themeColor="text1"/>
          <w:sz w:val="22"/>
          <w:szCs w:val="22"/>
          <w:lang w:val="en-US"/>
        </w:rPr>
      </w:pPr>
    </w:p>
    <w:p w:rsidR="00E45BB4" w:rsidRPr="00DA76A7" w:rsidRDefault="00E45BB4" w:rsidP="00E45BB4">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Khaidarova Nigina Anvarovna</w:t>
      </w:r>
    </w:p>
    <w:p w:rsidR="00E45BB4" w:rsidRPr="00DA76A7" w:rsidRDefault="00E45BB4" w:rsidP="00E45BB4">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E45BB4" w:rsidRPr="00DA76A7" w:rsidRDefault="00E45BB4" w:rsidP="00E45BB4">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E45BB4" w:rsidRPr="00F519EB" w:rsidRDefault="00E45BB4" w:rsidP="00E45BB4">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w:t>
      </w:r>
      <w:r w:rsidRPr="00F519EB">
        <w:rPr>
          <w:rFonts w:ascii="Arial" w:eastAsiaTheme="minorHAnsi" w:hAnsi="Arial" w:cs="Arial"/>
          <w:iCs/>
          <w:color w:val="000000" w:themeColor="text1"/>
        </w:rPr>
        <w:t>. Tursunzade str.,</w:t>
      </w:r>
      <w:r w:rsidRPr="00F519EB">
        <w:rPr>
          <w:rFonts w:ascii="Arial" w:eastAsiaTheme="minorHAnsi" w:hAnsi="Arial" w:cs="Arial"/>
          <w:color w:val="000000" w:themeColor="text1"/>
        </w:rPr>
        <w:t xml:space="preserve"> 30</w:t>
      </w:r>
    </w:p>
    <w:p w:rsidR="00E45BB4" w:rsidRPr="00F519EB" w:rsidRDefault="00E45BB4" w:rsidP="00E45BB4">
      <w:pPr>
        <w:jc w:val="center"/>
        <w:rPr>
          <w:rFonts w:ascii="Arial" w:hAnsi="Arial" w:cs="Arial"/>
          <w:color w:val="000000" w:themeColor="text1"/>
          <w:sz w:val="22"/>
          <w:szCs w:val="22"/>
          <w:lang w:val="en-US"/>
        </w:rPr>
      </w:pPr>
      <w:r w:rsidRPr="00F519EB">
        <w:rPr>
          <w:rFonts w:ascii="Arial" w:hAnsi="Arial" w:cs="Arial"/>
          <w:color w:val="000000" w:themeColor="text1"/>
          <w:sz w:val="22"/>
          <w:szCs w:val="22"/>
          <w:lang w:val="en-US"/>
        </w:rPr>
        <w:t xml:space="preserve">tel.: (+992) 93 453 53 52, </w:t>
      </w:r>
      <w:r w:rsidRPr="00F519EB">
        <w:rPr>
          <w:rFonts w:ascii="Arial" w:hAnsi="Arial" w:cs="Arial"/>
          <w:color w:val="000000" w:themeColor="text1"/>
          <w:sz w:val="22"/>
          <w:szCs w:val="22"/>
        </w:rPr>
        <w:t>е</w:t>
      </w:r>
      <w:r w:rsidRPr="00F519EB">
        <w:rPr>
          <w:rFonts w:ascii="Arial" w:hAnsi="Arial" w:cs="Arial"/>
          <w:color w:val="000000" w:themeColor="text1"/>
          <w:sz w:val="22"/>
          <w:szCs w:val="22"/>
          <w:lang w:val="en-US"/>
        </w:rPr>
        <w:t xml:space="preserve">-mail: </w:t>
      </w:r>
      <w:hyperlink r:id="rId254" w:history="1">
        <w:r w:rsidRPr="00F519EB">
          <w:rPr>
            <w:rStyle w:val="af0"/>
            <w:rFonts w:ascii="Arial" w:hAnsi="Arial" w:cs="Arial"/>
            <w:color w:val="000000" w:themeColor="text1"/>
            <w:sz w:val="22"/>
            <w:szCs w:val="22"/>
            <w:u w:val="none"/>
            <w:lang w:val="en-US"/>
          </w:rPr>
          <w:t>nigina-93@mail.ru</w:t>
        </w:r>
      </w:hyperlink>
    </w:p>
    <w:p w:rsidR="00E45BB4" w:rsidRPr="00F519EB" w:rsidRDefault="00E45BB4" w:rsidP="00E45BB4">
      <w:pPr>
        <w:ind w:firstLine="567"/>
        <w:jc w:val="center"/>
        <w:rPr>
          <w:rFonts w:ascii="Arial" w:hAnsi="Arial" w:cs="Arial"/>
          <w:color w:val="000000" w:themeColor="text1"/>
          <w:sz w:val="22"/>
          <w:szCs w:val="22"/>
          <w:lang w:val="en-US"/>
        </w:rPr>
      </w:pPr>
    </w:p>
    <w:p w:rsidR="00E45BB4" w:rsidRPr="00DA76A7" w:rsidRDefault="00E45BB4" w:rsidP="00E45BB4">
      <w:pPr>
        <w:ind w:firstLine="567"/>
        <w:jc w:val="right"/>
        <w:rPr>
          <w:rFonts w:ascii="Arial" w:hAnsi="Arial" w:cs="Arial"/>
          <w:color w:val="000000" w:themeColor="text1"/>
          <w:sz w:val="22"/>
          <w:szCs w:val="22"/>
        </w:rPr>
      </w:pPr>
      <w:r w:rsidRPr="00F519EB">
        <w:rPr>
          <w:rFonts w:ascii="Arial" w:hAnsi="Arial" w:cs="Arial"/>
          <w:color w:val="000000" w:themeColor="text1"/>
          <w:sz w:val="22"/>
          <w:szCs w:val="22"/>
          <w:lang w:val="en-US"/>
        </w:rPr>
        <w:t xml:space="preserve">                      </w:t>
      </w:r>
      <w:r w:rsidRPr="00F519EB">
        <w:rPr>
          <w:rFonts w:ascii="Arial" w:hAnsi="Arial" w:cs="Arial"/>
          <w:color w:val="000000" w:themeColor="text1"/>
          <w:sz w:val="22"/>
          <w:szCs w:val="22"/>
        </w:rPr>
        <w:t xml:space="preserve">Научный руководитель: к.ю.н., </w:t>
      </w:r>
      <w:r w:rsidR="00F519EB" w:rsidRPr="00F519EB">
        <w:rPr>
          <w:rFonts w:ascii="Arial" w:hAnsi="Arial" w:cs="Arial"/>
          <w:color w:val="000000" w:themeColor="text1"/>
          <w:sz w:val="22"/>
          <w:szCs w:val="22"/>
        </w:rPr>
        <w:t>ст. преподаватель</w:t>
      </w:r>
      <w:r w:rsidRPr="00F519EB">
        <w:rPr>
          <w:rFonts w:ascii="Arial" w:hAnsi="Arial" w:cs="Arial"/>
          <w:color w:val="000000" w:themeColor="text1"/>
          <w:sz w:val="22"/>
          <w:szCs w:val="22"/>
        </w:rPr>
        <w:t xml:space="preserve"> Имомзода С.А.</w:t>
      </w:r>
    </w:p>
    <w:p w:rsidR="00E45BB4" w:rsidRPr="00DA76A7" w:rsidRDefault="00E45BB4" w:rsidP="00E45BB4">
      <w:pPr>
        <w:ind w:firstLine="567"/>
        <w:jc w:val="right"/>
        <w:rPr>
          <w:rFonts w:ascii="Arial" w:hAnsi="Arial" w:cs="Arial"/>
          <w:b/>
          <w:color w:val="000000" w:themeColor="text1"/>
          <w:sz w:val="22"/>
          <w:szCs w:val="22"/>
        </w:rPr>
      </w:pPr>
    </w:p>
    <w:p w:rsidR="00E45BB4" w:rsidRPr="00DA76A7" w:rsidRDefault="00E45BB4" w:rsidP="00E45BB4">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раскрывается правовой режим компенсации морального вреда по законодательству Республики Таджикистан. Выявляется что обязательным условием, за исключением отдельных случаев, указанных в законе, наступления ответственности за причинение морального вреда является вина причинителя. Компенсация морального вреда всегда определяется только в денежной форме независимо от подлежащего возмещению имущественного вреда.</w:t>
      </w:r>
    </w:p>
    <w:p w:rsidR="00E45BB4" w:rsidRPr="00DA76A7" w:rsidRDefault="00E45BB4" w:rsidP="00E45BB4">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reveals the legal regime of compensation for moral harm under the legislation of the Republic of Tajikistan. It is revealed that, with the exception of certain cases specified in the law, the imposition of responsibility for causing moral harm is the fault of the causer. Compensation for moral damage is always determined only in monetary form, regardless of the property damage to be compensated.</w:t>
      </w:r>
    </w:p>
    <w:p w:rsidR="00E45BB4" w:rsidRPr="00DA76A7" w:rsidRDefault="00E45BB4" w:rsidP="00E45BB4">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моральный вред, компенсация морального вреда, нравственные и психические страдания.</w:t>
      </w:r>
    </w:p>
    <w:p w:rsidR="00E45BB4" w:rsidRPr="00DA76A7" w:rsidRDefault="00E45BB4" w:rsidP="00E45BB4">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moral damage, compensation for moral harm, moral and mental suffering.</w:t>
      </w:r>
    </w:p>
    <w:p w:rsidR="00E45BB4" w:rsidRPr="00DA76A7" w:rsidRDefault="00E45BB4" w:rsidP="00E45BB4">
      <w:pPr>
        <w:ind w:firstLine="567"/>
        <w:jc w:val="both"/>
        <w:rPr>
          <w:rFonts w:ascii="Arial" w:hAnsi="Arial" w:cs="Arial"/>
          <w:color w:val="000000" w:themeColor="text1"/>
          <w:sz w:val="22"/>
          <w:szCs w:val="22"/>
          <w:lang w:val="en-US"/>
        </w:rPr>
      </w:pP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Понятие моральный вред включает в себя нравственные, физические страдания (последние немыслимы без первых), причиненные действиями (бездействием), посягающими на принадлежащие человеку и гражданину от рождения или в силу закона нематериальные блага (жизнь, здоровье, достоинство личности, деловую репутацию, неприкосновенность частной жизни, личную и семейную тайну и т.п.).</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Моральный вред - это также действия (бездействие), нарушающие личные неимущественные права (на пользование своим именем, авторства и другие неимущественные права в соответствии с законами об охране прав на результаты интеллектуальной деятельности) либо имущественные права гражданина.</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Моральный вред, в частности, может заключаться в нравственных переживаниях в связи с утратой родственников, невозможностью продолжать активную общественную жизнь, потерей работы, раскрытием семейной, врачебной тайны, распространением не соответствующих действительности сведений, порочащих честь, достоинство или деловую репутацию гражданина, временным ограничением или лишением каких-либо прав, физической болью, связанной с причиненным увечьем, иным повреждением здоровья, либо в связи с заболеванием, перенесенным в результате нравственных страданий, и др.[1, 74].</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Обязательным условием наступления ответственности за причинение морального вреда является вина причинителя. Однако из этого правила есть исключения [2, 2]. Они прямо предусмотрены в ст. 1115 Гражданского кодекса РТ, в частности в случаях, когда:</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вред причинен жизни и здоровью гражданина источником повышенной опасности;</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вред причинен гражданину в результате его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незаконного наложения административного взыскания в виде ареста или исправительных работ;</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-вред причинен распространением сведений, порочащих честь, достоинство и деловую репутацию;</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иных случаях, предусмотренных законом.</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касается сроков исковой давности по делам о компенсации морального вреда, то общему правилу, если требование о компенсации морального вреда вытекает из нарушения имущественных или иных прав, для защиты которых законом установлены исковая давность, срок обращения в суд, то на такое требование распространяются общие сроки исковой давности или обращения в суд [3,23].</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Срок исковой давности не применяется, если требование о компенсации морального вреда вытекает из нарушения личных неимущественных прав и других нематериальных благ. При этом нужно учитывать исключения, предусмотренные законом.</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Компенсация морального вреда всегда определяется только в денежной форме независимо от подлежащего возмещению имущественного вреда.</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рассмотрении иска о компенсации морального вреда по каждому конкретному делу следует выяснять характер взаимоотношений сторон, установить, какими правовыми нормами они регулируются, допускает ли законодательство возможность компенсации морального вреда по данному виду правоотношений.</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Суд обязан установить, чем подтверждается факт причинения потерпевшему нравственных или физических страданий, при каких обстоятельствах и какими действиями (бездействием) они нанесены, степень вины причинителя, какие нравственные или физические страдания перенесены потерпевшим, в какой сумме он оценивает их компенсацию и другие обстоятельства, имеющие значение для разрешения конкретного спора.</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Размер компенсации зависит от характера и объема причиненных истцу нравственных или физических страданий, степени вины ответчика в каждом конкретном случае, иных заслуживающих внимания обстоятельств и не может быть поставлен в зависимость от размера удовлетворенного иска о возмещении материального вреда, убытков и других материальных требований. При определении размера компенсации вреда должны учитываться требования разумности и справедливости.</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Степень нравственных или физических страданий оценивается судом с учетом фактических обстоятельств причинения морального вреда, индивидуальных особенностей потерпевшего и других конкретных обстоятельств, свидетельствующих о тяжести перенесенных им страданий.</w:t>
      </w:r>
    </w:p>
    <w:p w:rsidR="00E45BB4" w:rsidRPr="00DA76A7" w:rsidRDefault="00E45BB4" w:rsidP="00E45BB4">
      <w:pPr>
        <w:pStyle w:val="a7"/>
        <w:spacing w:before="0" w:beforeAutospacing="0" w:after="0" w:afterAutospacing="0"/>
        <w:ind w:firstLine="567"/>
        <w:jc w:val="both"/>
        <w:rPr>
          <w:rFonts w:ascii="Arial" w:hAnsi="Arial" w:cs="Arial"/>
          <w:color w:val="000000" w:themeColor="text1"/>
          <w:sz w:val="22"/>
          <w:szCs w:val="22"/>
        </w:rPr>
      </w:pPr>
    </w:p>
    <w:p w:rsidR="00E45BB4" w:rsidRPr="00DA76A7" w:rsidRDefault="00E45BB4" w:rsidP="00E45BB4">
      <w:pPr>
        <w:pStyle w:val="a7"/>
        <w:spacing w:before="0" w:beforeAutospacing="0" w:after="0" w:afterAutospacing="0"/>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 литературы:</w:t>
      </w:r>
    </w:p>
    <w:p w:rsidR="00E45BB4" w:rsidRPr="00DA76A7" w:rsidRDefault="00E45BB4" w:rsidP="00E45BB4">
      <w:pPr>
        <w:pStyle w:val="a6"/>
        <w:numPr>
          <w:ilvl w:val="0"/>
          <w:numId w:val="95"/>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Карманова Е.В. Компенсационная функция гражданско-правовой ответственности в соотношении с компенсацией морального вреда // Современное право. - 2014. - № 5. - С. 73 - 78.</w:t>
      </w:r>
    </w:p>
    <w:p w:rsidR="00E45BB4" w:rsidRPr="00DA76A7" w:rsidRDefault="00E45BB4" w:rsidP="00E45BB4">
      <w:pPr>
        <w:pStyle w:val="a6"/>
        <w:numPr>
          <w:ilvl w:val="0"/>
          <w:numId w:val="95"/>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Смык О. Моральный вред без вины // ЭЖ-Юрист. - 2012. - № 45. - С. 2.</w:t>
      </w:r>
    </w:p>
    <w:p w:rsidR="00E45BB4" w:rsidRPr="00DA76A7" w:rsidRDefault="00E45BB4" w:rsidP="00E45BB4">
      <w:pPr>
        <w:pStyle w:val="a6"/>
        <w:numPr>
          <w:ilvl w:val="0"/>
          <w:numId w:val="95"/>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Трошина С. Возмещение морального вреда судом // Административное право. - 2013. - №1. - С. 21 - 25.</w:t>
      </w:r>
    </w:p>
    <w:p w:rsidR="00E45BB4" w:rsidRPr="00DA76A7" w:rsidRDefault="00E45BB4" w:rsidP="00E45BB4">
      <w:pPr>
        <w:shd w:val="clear" w:color="auto" w:fill="FFFFFF"/>
        <w:ind w:firstLine="567"/>
        <w:jc w:val="both"/>
        <w:rPr>
          <w:rFonts w:ascii="Arial" w:hAnsi="Arial" w:cs="Arial"/>
          <w:color w:val="000000" w:themeColor="text1"/>
          <w:sz w:val="22"/>
          <w:szCs w:val="22"/>
        </w:rPr>
      </w:pPr>
    </w:p>
    <w:p w:rsidR="00E45BB4" w:rsidRPr="00DA76A7" w:rsidRDefault="00E45BB4" w:rsidP="00181BA7">
      <w:pPr>
        <w:ind w:firstLine="567"/>
        <w:contextualSpacing/>
        <w:textAlignment w:val="baseline"/>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К ВОПРОСУ О РАЗВИТИИ ПРЕДПРИНИМАТЕЛЬСКОГО ПРАВА Р</w:t>
      </w:r>
      <w:r w:rsidR="00E45BB4" w:rsidRPr="00DA76A7">
        <w:rPr>
          <w:rFonts w:ascii="Arial" w:hAnsi="Arial" w:cs="Arial"/>
          <w:b/>
          <w:color w:val="000000" w:themeColor="text1"/>
          <w:sz w:val="22"/>
          <w:szCs w:val="22"/>
        </w:rPr>
        <w:t xml:space="preserve">ЕСПУБЛИКИ </w:t>
      </w:r>
      <w:r w:rsidRPr="00DA76A7">
        <w:rPr>
          <w:rFonts w:ascii="Arial" w:hAnsi="Arial" w:cs="Arial"/>
          <w:b/>
          <w:color w:val="000000" w:themeColor="text1"/>
          <w:sz w:val="22"/>
          <w:szCs w:val="22"/>
        </w:rPr>
        <w:t>Т</w:t>
      </w:r>
      <w:r w:rsidR="00E45BB4" w:rsidRPr="00DA76A7">
        <w:rPr>
          <w:rFonts w:ascii="Arial" w:hAnsi="Arial" w:cs="Arial"/>
          <w:b/>
          <w:color w:val="000000" w:themeColor="text1"/>
          <w:sz w:val="22"/>
          <w:szCs w:val="22"/>
        </w:rPr>
        <w:t>АДЖИКИСТАН</w:t>
      </w:r>
      <w:r w:rsidRPr="00DA76A7">
        <w:rPr>
          <w:rFonts w:ascii="Arial" w:hAnsi="Arial" w:cs="Arial"/>
          <w:b/>
          <w:color w:val="000000" w:themeColor="text1"/>
          <w:sz w:val="22"/>
          <w:szCs w:val="22"/>
        </w:rPr>
        <w:t xml:space="preserve"> И Р</w:t>
      </w:r>
      <w:r w:rsidR="00E45BB4" w:rsidRPr="00DA76A7">
        <w:rPr>
          <w:rFonts w:ascii="Arial" w:hAnsi="Arial" w:cs="Arial"/>
          <w:b/>
          <w:color w:val="000000" w:themeColor="text1"/>
          <w:sz w:val="22"/>
          <w:szCs w:val="22"/>
        </w:rPr>
        <w:t xml:space="preserve">ОССИЙСКОЙ </w:t>
      </w:r>
      <w:r w:rsidRPr="00DA76A7">
        <w:rPr>
          <w:rFonts w:ascii="Arial" w:hAnsi="Arial" w:cs="Arial"/>
          <w:b/>
          <w:color w:val="000000" w:themeColor="text1"/>
          <w:sz w:val="22"/>
          <w:szCs w:val="22"/>
        </w:rPr>
        <w:t>Ф</w:t>
      </w:r>
      <w:r w:rsidR="00E45BB4" w:rsidRPr="00DA76A7">
        <w:rPr>
          <w:rFonts w:ascii="Arial" w:hAnsi="Arial" w:cs="Arial"/>
          <w:b/>
          <w:color w:val="000000" w:themeColor="text1"/>
          <w:sz w:val="22"/>
          <w:szCs w:val="22"/>
        </w:rPr>
        <w:t>ЕДЕРАЦИИ</w:t>
      </w:r>
      <w:r w:rsidRPr="00DA76A7">
        <w:rPr>
          <w:rFonts w:ascii="Arial" w:hAnsi="Arial" w:cs="Arial"/>
          <w:b/>
          <w:color w:val="000000" w:themeColor="text1"/>
          <w:sz w:val="22"/>
          <w:szCs w:val="22"/>
        </w:rPr>
        <w:t xml:space="preserve"> В ПЕРИОД С 1990г. ПО НАСТОЯЩЕЕ ВРЕМЯ</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Хаутов Георгий Муратович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 +992501041294,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khautov</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TO QESSION OF PROGRESS</w:t>
      </w:r>
      <w:r w:rsidRPr="00DA76A7">
        <w:rPr>
          <w:rFonts w:ascii="Arial" w:hAnsi="Arial" w:cs="Arial"/>
          <w:b/>
          <w:color w:val="000000" w:themeColor="text1"/>
          <w:sz w:val="22"/>
          <w:szCs w:val="22"/>
          <w:shd w:val="clear" w:color="auto" w:fill="FFFFFF"/>
          <w:lang w:val="en-US"/>
        </w:rPr>
        <w:t xml:space="preserve"> OF THE ENTREPRENEURIAL LAW OF THE RUSSIAN FEDERATION AND THE REPUBLIC OF TAJIKISTAN IN THE PERIOD FROM 1990-PRESENT TIME</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Khautov George Muratovich</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the 2 nd year graduation full-time department of law faculty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 30</w:t>
      </w: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tel.: +992501041294, e-mail: g.khautov@mail.ru</w:t>
      </w:r>
    </w:p>
    <w:p w:rsidR="00181BA7" w:rsidRPr="00DA76A7" w:rsidRDefault="00181BA7" w:rsidP="00181BA7">
      <w:pPr>
        <w:ind w:firstLine="567"/>
        <w:jc w:val="center"/>
        <w:rPr>
          <w:rFonts w:ascii="Arial" w:hAnsi="Arial" w:cs="Arial"/>
          <w:b/>
          <w:color w:val="000000" w:themeColor="text1"/>
          <w:sz w:val="22"/>
          <w:szCs w:val="22"/>
          <w:lang w:val="en-US"/>
        </w:rPr>
      </w:pPr>
    </w:p>
    <w:p w:rsidR="00181BA7" w:rsidRPr="00DA76A7" w:rsidRDefault="00181BA7" w:rsidP="00181BA7">
      <w:pPr>
        <w:ind w:firstLine="567"/>
        <w:jc w:val="right"/>
        <w:rPr>
          <w:rFonts w:ascii="Arial" w:eastAsia="Calibri"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Исмоилов Ш.М.</w:t>
      </w:r>
      <w:r w:rsidRPr="00DA76A7">
        <w:rPr>
          <w:rFonts w:ascii="Arial" w:eastAsia="Calibri" w:hAnsi="Arial" w:cs="Arial"/>
          <w:color w:val="000000" w:themeColor="text1"/>
          <w:sz w:val="22"/>
          <w:szCs w:val="22"/>
        </w:rPr>
        <w:t xml:space="preserve"> </w:t>
      </w:r>
    </w:p>
    <w:p w:rsidR="00181BA7" w:rsidRPr="00DA76A7" w:rsidRDefault="00181BA7" w:rsidP="00181BA7">
      <w:pPr>
        <w:ind w:firstLine="567"/>
        <w:jc w:val="both"/>
        <w:rPr>
          <w:rFonts w:ascii="Arial" w:eastAsia="Calibri" w:hAnsi="Arial" w:cs="Arial"/>
          <w:b/>
          <w:i/>
          <w:color w:val="000000" w:themeColor="text1"/>
          <w:sz w:val="22"/>
          <w:szCs w:val="22"/>
        </w:rPr>
      </w:pPr>
    </w:p>
    <w:p w:rsidR="00181BA7" w:rsidRPr="00DA76A7" w:rsidRDefault="00181BA7" w:rsidP="00181BA7">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Аннотация.</w:t>
      </w:r>
      <w:r w:rsidRPr="00DA76A7">
        <w:rPr>
          <w:rFonts w:ascii="Arial" w:eastAsia="Calibri" w:hAnsi="Arial" w:cs="Arial"/>
          <w:i/>
          <w:color w:val="000000" w:themeColor="text1"/>
          <w:sz w:val="22"/>
          <w:szCs w:val="22"/>
        </w:rPr>
        <w:t xml:space="preserve"> В данной статье рассматриваются особенности развития предпринимательского права как отрасли  в период развала Советского Союза по настоящее время.</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this article the peculiarities of the development of entrepreneurial law as an industry in the period of the collapse of the Soviet Union to the present time.</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предпринимательское право, предпринимательская деятельность, законодательство, развитие.</w:t>
      </w:r>
    </w:p>
    <w:p w:rsidR="00181BA7" w:rsidRPr="00DA76A7" w:rsidRDefault="00181BA7" w:rsidP="00181BA7">
      <w:pPr>
        <w:ind w:firstLine="567"/>
        <w:contextualSpacing/>
        <w:jc w:val="both"/>
        <w:textAlignment w:val="baseline"/>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business law, entrepreneurial activity, legislation, development.</w:t>
      </w:r>
    </w:p>
    <w:p w:rsidR="00181BA7" w:rsidRPr="00DA76A7" w:rsidRDefault="00181BA7" w:rsidP="00181BA7">
      <w:pPr>
        <w:shd w:val="clear" w:color="auto" w:fill="FFFFFF"/>
        <w:ind w:firstLine="567"/>
        <w:jc w:val="both"/>
        <w:rPr>
          <w:rFonts w:ascii="Arial" w:eastAsia="Calibri" w:hAnsi="Arial" w:cs="Arial"/>
          <w:i/>
          <w:color w:val="000000" w:themeColor="text1"/>
          <w:sz w:val="22"/>
          <w:szCs w:val="22"/>
          <w:lang w:val="en-US"/>
        </w:rPr>
      </w:pPr>
      <w:r w:rsidRPr="00DA76A7">
        <w:rPr>
          <w:rFonts w:ascii="Arial" w:eastAsia="Calibri" w:hAnsi="Arial" w:cs="Arial"/>
          <w:i/>
          <w:color w:val="000000" w:themeColor="text1"/>
          <w:sz w:val="22"/>
          <w:szCs w:val="22"/>
          <w:lang w:val="en-US"/>
        </w:rPr>
        <w:t xml:space="preserve">    </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СССР наука хозяйственного и предпринимательского права получила очень сильное развитие. В конце 80-х – начале 90-годов страна была близка к принятию Хозяйственного кодекса СССР, чему помешал, вероятнее всего, распад страны. После распада Советского Союза на пост-советском пространстве образовались два основных центра с сильной школой хозяйственного права: в России – во главе с академиком В.В. Лаптевым и Украине – во главе с академиком В.К. Мамутовым. 2014 правовых систем, то при их формировании теория хозяйственного права не была воспринята, за исключением Украины. Они строятся на основе концепции единого гражданского права, в соответствии с которой правовое регулирование сферы хозяйствования осуществляется исключительно на основе гражданского кодекса. Например, Гражданский кодекс Российской Федерации, был объявлен своеобразной «экономической конституцией» [6, 8]. А по мнению С.С. Алексеева, по ряду сторон данный кодекс «не уступает, а в определенном отношении превосходит значение Конституции». Примечательной же чертой российского Гражданского кодекса является «последовательное и концентрированное выражение в нем идеологии частного права». Конечно, это не означает, что в России отсутствует хозяйственное законодательство, но «идеология частного права» не может не влиять на формирование правовой системы. Так, в России отсутствует предпринимательский (хозяйственный) кодекс, хотя Указом Президента РФ «Об исследовательской программе «Пути и формы укрепления российского государства» от 29 апреля 1994 г. № 848 необходимость его разработки была [2, 53]. Проект предпринимательского (хозяйственного) кодекса РФ был разработан Институтом государства и права РАН совместно с другими организациями, но принят не был. В дальнейшем эта идея была реанимирована Торгово-промышленной палатой РФ в виде разработанной концепции Предпринимательского кодекса РФ. Однако и сама идея, и ее авторы получили в награду мощную критику под лозунгом «Фронда не пройдет!». Это может свидетельствовать о полном господстве концепции единого гражданского права (частноправовой концепции). Не понятно только, какие классы вели, как утверждает С.С. Алексеев, столь «жесткую» и «классовую» войну во время принятия ГК РФ. Вместе с тем, в РФ и РТ наука хозяйственного права развивается очень активно. О сложности научных поисков свидетельствует терминологическое разнообразие, наблюдаемое в правовой литературе. Во время существования Советского Союза законы Таджикской ССР принимались на основе законов Союзного государства После приобретения полной независимости Республике Таджикистан пришлось самостоятельно принимать законы и другие нормативные акты, разрабатывать методические документы по становлению и развитию предпринимательской деятельности в стране Таким образом, несмотря на то, что принятые законы в годы существования СССР по развитию рыночных отношений и основам предпринимательства реализовались не полностью, основы предпринимательства в Республике Таджикистан были заложены именно в последние годы существования СССР После принятия ГК РФ и ГК РТ в научной юридической терминологии стали использоваться такие понятия как: «предпринимательское (хозяйственное) право», «хозяйственное (предпринимательское) право», «коммерческое право», «торговое право». Эти термины, безусловно, не полностью соответствуют понятию «хозяйственное право».</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Ближе всего к понятию «хозяйственное право» является предпринимательское (хозяйственное) право, рассматриваемое как отрасль права, нормы которой регулируют отношения, складывающиеся как при осуществлении, так и при организации предпринимательской (хозяйственной) деятельности. Предпринимательская деятельность при этом направлена на получение прибыли, что, впрочем, соответствует положению абз. 3 ст. 2 ГК РФ. Авторы, правда, признают, что в рыночной экономике может иметь место и «нетипичная» некоммерческая деятельность, также охватываемая предпринимателем. Интересно заметить, что, по словам автора, «подготовка и прохождение проекта Гражданского кодекса через государственные инстанции проходили в ... борьбе по большей части подспудной, коридорно-аппаратной … острой, жесткой, по марксистскому лексикону – прямо-таки классовой»[1, 35]. Вот вам и наука! А наиболее адекватно отрасль права, регулирующая хозяйственную деятельность, обозначается термином «хозяйственное право» [9, 175]. Возникает вопрос, в чем заключается логика и необходимость применения к известному юридическому явлению термина, который заведомо не полностью раскрывает его суть и содержание? Как представляется, по своему содержанию понятие «предпринимательское (хозяйственное) право» полностью соответствует классической теории хозяйственного права, а новое название – является ни чем иным как «данью моде» и, видимо, в какой-то мере необходимостью согласовать его с гражданским кодексом.</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Говоря о Республики Таджикистан в период с 1991—2000 годы, важно отметить что данный промежуток времени стал началом перехода к рыночной эко</w:t>
      </w:r>
      <w:r w:rsidRPr="00DA76A7">
        <w:rPr>
          <w:rFonts w:ascii="Arial" w:eastAsia="Calibri" w:hAnsi="Arial" w:cs="Arial"/>
          <w:color w:val="000000" w:themeColor="text1"/>
          <w:sz w:val="22"/>
          <w:szCs w:val="22"/>
        </w:rPr>
        <w:softHyphen/>
        <w:t>номике, а также формирования законодательных основ предприниматель</w:t>
      </w:r>
      <w:r w:rsidRPr="00DA76A7">
        <w:rPr>
          <w:rFonts w:ascii="Arial" w:eastAsia="Calibri" w:hAnsi="Arial" w:cs="Arial"/>
          <w:color w:val="000000" w:themeColor="text1"/>
          <w:sz w:val="22"/>
          <w:szCs w:val="22"/>
        </w:rPr>
        <w:softHyphen/>
        <w:t>ской деятельности в суверенной стране, появления первых институтов предпринимательства а также бурного разгосударствления и приватизации соб</w:t>
      </w:r>
      <w:r w:rsidRPr="00DA76A7">
        <w:rPr>
          <w:rFonts w:ascii="Arial" w:eastAsia="Calibri" w:hAnsi="Arial" w:cs="Arial"/>
          <w:color w:val="000000" w:themeColor="text1"/>
          <w:sz w:val="22"/>
          <w:szCs w:val="22"/>
        </w:rPr>
        <w:softHyphen/>
        <w:t>ственности, развития частной и коллективных видов собственности.</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Данный промежуток времени характеризуется созданием основных предпосылок для развития предпринимательства В связи тем, что процесс формирования законодательных основ перехода к рыночным отношениям занимает определенный период времени в республике было принято решение о том, что законы, нормативно-методические акты, касающиеся рыночных преобразований и развития предпринимательской деятельности, принятые в пери</w:t>
      </w:r>
      <w:r w:rsidRPr="00DA76A7">
        <w:rPr>
          <w:rFonts w:ascii="Arial" w:eastAsia="Calibri" w:hAnsi="Arial" w:cs="Arial"/>
          <w:color w:val="000000" w:themeColor="text1"/>
          <w:sz w:val="22"/>
          <w:szCs w:val="22"/>
        </w:rPr>
        <w:softHyphen/>
        <w:t>од существования СССР, будут действовать вплоть до принятия собствен</w:t>
      </w:r>
      <w:r w:rsidRPr="00DA76A7">
        <w:rPr>
          <w:rFonts w:ascii="Arial" w:eastAsia="Calibri" w:hAnsi="Arial" w:cs="Arial"/>
          <w:color w:val="000000" w:themeColor="text1"/>
          <w:sz w:val="22"/>
          <w:szCs w:val="22"/>
        </w:rPr>
        <w:softHyphen/>
        <w:t>ных нормативно-законодательных и методических документов .</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результате основой для развития предпринимательских основ в экономике и развития рыночных отношений стали законы «Об аренде в Таджикской ССР», «О разгосударствлении и приватизации собственно</w:t>
      </w:r>
      <w:r w:rsidRPr="00DA76A7">
        <w:rPr>
          <w:rFonts w:ascii="Arial" w:eastAsia="Calibri" w:hAnsi="Arial" w:cs="Arial"/>
          <w:color w:val="000000" w:themeColor="text1"/>
          <w:sz w:val="22"/>
          <w:szCs w:val="22"/>
        </w:rPr>
        <w:softHyphen/>
        <w:t>сти в Таджикской ССР» и другие нормативно-методические акты [4, 100]. Необходимо отметить, что в 1991—1997 годы в стране шла гражданская во</w:t>
      </w:r>
      <w:r w:rsidRPr="00DA76A7">
        <w:rPr>
          <w:rFonts w:ascii="Arial" w:eastAsia="Calibri" w:hAnsi="Arial" w:cs="Arial"/>
          <w:color w:val="000000" w:themeColor="text1"/>
          <w:sz w:val="22"/>
          <w:szCs w:val="22"/>
        </w:rPr>
        <w:softHyphen/>
        <w:t>йна, что не могло не повлиять на процессы разгосударствления и прива</w:t>
      </w:r>
      <w:r w:rsidRPr="00DA76A7">
        <w:rPr>
          <w:rFonts w:ascii="Arial" w:eastAsia="Calibri" w:hAnsi="Arial" w:cs="Arial"/>
          <w:color w:val="000000" w:themeColor="text1"/>
          <w:sz w:val="22"/>
          <w:szCs w:val="22"/>
        </w:rPr>
        <w:softHyphen/>
        <w:t>тизации собственности, арендные отношения и в целом на переход стра</w:t>
      </w:r>
      <w:r w:rsidRPr="00DA76A7">
        <w:rPr>
          <w:rFonts w:ascii="Arial" w:eastAsia="Calibri" w:hAnsi="Arial" w:cs="Arial"/>
          <w:color w:val="000000" w:themeColor="text1"/>
          <w:sz w:val="22"/>
          <w:szCs w:val="22"/>
        </w:rPr>
        <w:softHyphen/>
        <w:t>ны к рыночным отношениям</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Тем не менее в этот непростой период осуществлялось преобразо</w:t>
      </w:r>
      <w:r w:rsidRPr="00DA76A7">
        <w:rPr>
          <w:rFonts w:ascii="Arial" w:eastAsia="Calibri" w:hAnsi="Arial" w:cs="Arial"/>
          <w:color w:val="000000" w:themeColor="text1"/>
          <w:sz w:val="22"/>
          <w:szCs w:val="22"/>
        </w:rPr>
        <w:softHyphen/>
        <w:t>вание отношений собственности и формирование типов хозяйств, адек</w:t>
      </w:r>
      <w:r w:rsidRPr="00DA76A7">
        <w:rPr>
          <w:rFonts w:ascii="Arial" w:eastAsia="Calibri" w:hAnsi="Arial" w:cs="Arial"/>
          <w:color w:val="000000" w:themeColor="text1"/>
          <w:sz w:val="22"/>
          <w:szCs w:val="22"/>
        </w:rPr>
        <w:softHyphen/>
        <w:t>ватных рыночной экономике Появлялись новые типы коллективных и частных предприятий, постепенно формировалась соответствующая инфраструктура, осуществлялся переход к свободным рыночным ценам. В декабре 1991 года был принят закон «О предпринимательской деятель</w:t>
      </w:r>
      <w:r w:rsidRPr="00DA76A7">
        <w:rPr>
          <w:rFonts w:ascii="Arial" w:eastAsia="Calibri" w:hAnsi="Arial" w:cs="Arial"/>
          <w:color w:val="000000" w:themeColor="text1"/>
          <w:sz w:val="22"/>
          <w:szCs w:val="22"/>
        </w:rPr>
        <w:softHyphen/>
        <w:t>ности в Республике Таджикистан». В республике бурными темпами началось развитие акционерных обществ, товариществ и других организа</w:t>
      </w:r>
      <w:r w:rsidRPr="00DA76A7">
        <w:rPr>
          <w:rFonts w:ascii="Arial" w:eastAsia="Calibri" w:hAnsi="Arial" w:cs="Arial"/>
          <w:color w:val="000000" w:themeColor="text1"/>
          <w:sz w:val="22"/>
          <w:szCs w:val="22"/>
        </w:rPr>
        <w:softHyphen/>
        <w:t>ционно-правовых форм деятельности хозяйствующих субъектов.</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данный период был принят ряд новых законов: «О товарной бирже и биржевой торговле в Республике Таджикистан» (1991), «О потре</w:t>
      </w:r>
      <w:r w:rsidRPr="00DA76A7">
        <w:rPr>
          <w:rFonts w:ascii="Arial" w:eastAsia="Calibri" w:hAnsi="Arial" w:cs="Arial"/>
          <w:color w:val="000000" w:themeColor="text1"/>
          <w:sz w:val="22"/>
          <w:szCs w:val="22"/>
        </w:rPr>
        <w:softHyphen/>
        <w:t>бительской кооперации в Республике Таджикистан» (1992), «О земель</w:t>
      </w:r>
      <w:r w:rsidRPr="00DA76A7">
        <w:rPr>
          <w:rFonts w:ascii="Arial" w:eastAsia="Calibri" w:hAnsi="Arial" w:cs="Arial"/>
          <w:color w:val="000000" w:themeColor="text1"/>
          <w:sz w:val="22"/>
          <w:szCs w:val="22"/>
        </w:rPr>
        <w:softHyphen/>
        <w:t>ной реформе» (1992) и другие . Законодательная база предприниматель</w:t>
      </w:r>
      <w:r w:rsidRPr="00DA76A7">
        <w:rPr>
          <w:rFonts w:ascii="Arial" w:eastAsia="Calibri" w:hAnsi="Arial" w:cs="Arial"/>
          <w:color w:val="000000" w:themeColor="text1"/>
          <w:sz w:val="22"/>
          <w:szCs w:val="22"/>
        </w:rPr>
        <w:softHyphen/>
        <w:t>ства нашла отражение в Гражданском Кодексе Республики Таджикистан. «Налоговый кодекс Республики Таджикистан» (1998), «Таможенный ко</w:t>
      </w:r>
      <w:r w:rsidRPr="00DA76A7">
        <w:rPr>
          <w:rFonts w:ascii="Arial" w:eastAsia="Calibri" w:hAnsi="Arial" w:cs="Arial"/>
          <w:color w:val="000000" w:themeColor="text1"/>
          <w:sz w:val="22"/>
          <w:szCs w:val="22"/>
        </w:rPr>
        <w:softHyphen/>
        <w:t>декс Республики Таджикистан» (1995), «Жилищный кодекс Республики Таджикистан» (1997), «Трудовой кодекс Республики Таджикистан» (1997) и «Земельный кодекс Республики Таджикистан» (1996)  в значитель</w:t>
      </w:r>
      <w:r w:rsidRPr="00DA76A7">
        <w:rPr>
          <w:rFonts w:ascii="Arial" w:eastAsia="Calibri" w:hAnsi="Arial" w:cs="Arial"/>
          <w:color w:val="000000" w:themeColor="text1"/>
          <w:sz w:val="22"/>
          <w:szCs w:val="22"/>
        </w:rPr>
        <w:softHyphen/>
        <w:t>ной степени сопутствовали развитию предпринимательских отношений.</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Возвращаясь к развитию предпринимательского права в Российской Федерации нельзя не отметить важность оптимального правового обеспечения некоммерческой деятельности. Такую деятельность могут осуществлять субъекты хозяйствования разных форм собственности, в том числе и государственные корпорации, в соответствии с Законом РФ от 12 января 1996 г. № 7-ФЗ «О некоммерческих организациях» [11, 118] и рядом других [2, 56]. В данной ситуации, логичнее всего было бы возвратиться к понятному названию «хозяйственное право». В России остаются также живучими и другие точки зрения, в соответствии с которыми хозяйственное право признается комплексной отраслью или комплексным образованием, отраслью права второго уровня, сочетающую в себе различные признаки и методы ряда базовых отраслей [8, 135], и т.п. В предмет хозяйственного права при этом включаются все те же отношения по горизонтали и вертикали, что в целом соответствует классическому пониманию сути теории хозяйственного права. </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Важно отметить что, теории коммерческого права также разрабатываются в рамках гражданского права и являются своеобразной альтернативой хозяйственному праву. Ныне выделяются несколько точек зрения, имеющих, на наш взгляд, незначительные расхождения. Утверждается даже, что на сегодняшний день в России сформировалось несколько школ коммерческого права (например, московская, петербургская, уральская)[3, 75]. Не вдаваясь в особенности научных школ, отметим три точки зрения относительно понятия коммерческого права: 1) коммерческим правом признается наука и учебная дисциплина, которые своим содержанием имеют изучение правового регулирования торговой деятельности. При этом коммерческое право в содержательном отношении рассматривается как подотрасль гражданского права [10, 183]; 2) коммерческое право отождествляется с предпринимательским правом, которое является функциональной подотраслью гражданского права [7, 208]; 3) коммерческое право признается смежной отраслью права, которая имеет комплексный характер и определяется как совокупность норм частного права общего и специального характера, регулирующих общественные отношения, складывающиеся в результате торговой деятельности [5, 94].</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Также важно отметить период с 2001—2010 годы в Республике Таджикистан, которые характеризуются дальнейшим развитием правовых основ предпринимательской деятельности, а также активным формированием институтов предпринимательства, широким использованием наряду с собственными средствами банковских кредитов, наплывом иностранных инвестиций в страну.</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После подписания 27 июня 1997 года соглашения о мире и единстве таджикского народа было необхоимо время для полной стабилизации политической ситуации в стране. В 2000 году в стране уже было мирное положение, и это можно отметить как начало нового этапа развития рыночных отношений и предпринимательской деятельности.</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Продолжалось дальнейшее укрепление законодательной базы предпринимательской деятельности. Так, в 2001—2010 годах были приняты законы Республики Таджикистан: «Об обществах с ограниченной ответственностью» (2002), «О защите информации» (2002), «О финансовой аренде (лизинге)» (2003), «О содействии занятости населения» (2003), «О рекламе» (2003), «О личном подсобном хозяйстве» (2003), «О несостоятельности (банкротстве)» (2003), «О лицензировании отдельных видов деятельности» (2004), «О защите прав потребителя» (2004), «О государственных предприятиях» (2004), «О борьбе с коррупцией» (2005), «О конкуренции и ограничении монополистической деятельности на товарных рынках» (2006), «Об оценочной деятельности» (2006), «Об общественных объединениях» (2007), «Об акционерных обществах» (2007), «О товарных знаках и знаках обслуживания» (2007), «О коммерческой тайне» (2008), «О банковской деятельности» (2009), «О продовольственной безопасности» (2010), «О технологическом парке» (2010) и другие. В 2004 году были приняты новые Таможенный Кодекс Республики Таджикистан и Налоговый Кодекс Республики Таджикистан.</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республике продолжался процесс разгосударствления и приватизации собственности. Так, если в 1991—2000 годах было приватизировано 6033 государственных предприятия то в 2001—2010 годы — 5407.</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Сельскохозяйственные предприятия в основном преобразовались в дехканские хозяйства. Если в 2000 году насчитывалось 12074 дехканских хозяйства то в 2010 — 51372. При этом надо отметить, что если в 2001—2009 годах количество граждан, занятых индивидуальной трудовой деятельностью, увеличилась с 70,3 тысячи человек до 137,7 тысячи, то в 2010 году их число резко сократилось до 94,3 тысячи человек.</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данный период на развитие предпринимательства отрицательно повлияли недостаточность средств и возможностей для развития отдельных видов предпринимательской деятельности, неразвитость институтов и институциональных основ, отсутствие необходимой инфраструктуры, мировой финансовый кризис и так далее.</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Данный промежуток времени характеризуется ростом предприятий малого бизнеса. Так, если в 2001 году их насчитывалось 1181, то в 2005 — 1669, в 010 — 2865. Значительно возросло число работающих в них: в 2001 году — 13,2 тысячи человек, в 2005 — 17,2 тысячи, в 2010 — 19,9 тысячи . Выручка от реализованной продукции увеличилась с 58,5 млн сомони в 2001 году до 435,2 млн в 2005 году и 1836,2 млн в 2010 году Кроме того, высокими темпами стали поступать инвестиции в экономику страны.</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период с 2010 год по настоящее время характеризуется бурным развитием предпринимательства, совершенствованием институтов предпринимательской деятельности и координации их взаимодействия, уточнением взаимоотношении государственных структур с предпринимательскими структурами, использованием франчайзинга, лизинга, широким вовлечением наряду с собственными средствами банковских кредитов, инвестиций, вступлением страны в ВТО. В этот период укрепилась нормативно-правовая база предпринимательской деятельности.      Был принят ряд новых законов Республики Таджикистан, в частности, только в 2014—2017 годах: «О государственной защите и поддержке предпринимательства», «Об исламской банковской деятельности», «Об экспортном контроле», «О государственной промышленной политике» «О рационализаторской деятельности», «О проверках деятельности хозяйствующих субъектов», «О нефти и газе», «Об инвестициях», «О страховой деятельности», «О платежных услугах и платежной системе», «О дехканском (фермерском) хозяйстве», «О защите конкуренции»[4, 115].</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Были внесены изменения в Налоговый Кодекс, Водный Кодекс и другие нормативные акты В данный период времени процессы перехода к рыночной экономике ускорились.</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 2015 году 243,8 тысячи человек было занято индивидуальной трудовой деятельностью, что превосходит уровень 2010 года почти в 2,6 раза [12, 97]. Только за период с 2010 по 2015 годы число действовавших малых предприятий увеличилось более чем в 1,8 раза и составило 5176 единиц. Количество работающих в них возросло в 1,43 раза и составило 28,4 тысячи человек. Объем выручки от реализованной продукции в 2015 году составил 6170,9 млн. сомони, то есть в 3,36 раза больше по сравнению с 2010 годом.</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Объем поступлений инвестиций составил 977,8 млн долларов, что в 2,13 раза больше уровня 2010 года Обобщающий показатель развития экономики — валовой внутренний продукт — 48,4 млрд. сомони, что выше уровня 2010  года почти в 1,96 раза, и 2000 года — в 27,08 раза.</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Не смотря на позитивные сдвиги некоторые институты рынка все еще работают неполноценно, что препятствует развитию предпринимательства Это касается банков, бирж, страхования, не достигнута полная согласованность между налоговыми и предпринимательскими структурами, не обеспечена микро и макроэкономическая стабильность в развитии отраслей народного хозяйства. Весомый урон внес продолжающийся до сего времени банковский кризис Вместе с тем в последние годы существенно укрепились законодательные основы предпринимательской деятельности и, соответственно, предпринимательство постепенно развивается</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Говоря о процессе становления и развития предпринимательства в Республике Таджикистан, он проходил с большими трудностями В период с с1991—2000 года, процесс перехода к рыночным отношениям сопровождался гражданской войной в стране С 2000 по 2010 года выделялись несовершенство институциональных основ, трудности получения льготных банковских кредитов, мировой финансовый кризис 2008—2009 годов. С 2010 по настоящее время характеризуется кризисом в банковской сфере, неплатежеспособностью крупных банков, очередным экономическим кризисом, связанным в основном с кризисом в Российской Федерации. Все это отрицательно повлияло на развитие предпринимательства в стране.</w:t>
      </w:r>
    </w:p>
    <w:p w:rsidR="00181BA7" w:rsidRPr="00DA76A7" w:rsidRDefault="00181BA7" w:rsidP="00181BA7">
      <w:pPr>
        <w:shd w:val="clear" w:color="auto" w:fill="FFFFFF"/>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Однако анализ показывает, что уже четвертое десятилетие в Республике Таджикистан развивается предпринимательство. В этот период заложены институциональные основы предпринимательства, в частности, приняты законодательные основы его развития, усовершенствована его инфраструктура В то же время необходимо дальнейшее активное развитие этого важного направления экономической сферы страны Важно развивать институциональные основы, обеспечивать гармоничную деятельность всех институтов предпринимательства, совершенствовать инфраструктуру бизнеса, развивать производственное предпринимательство, повышать эффективности банковской системы.</w:t>
      </w:r>
    </w:p>
    <w:p w:rsidR="00E45BB4" w:rsidRPr="00DA76A7" w:rsidRDefault="00181BA7" w:rsidP="00181BA7">
      <w:pPr>
        <w:shd w:val="clear" w:color="auto" w:fill="FFFFFF"/>
        <w:ind w:firstLine="567"/>
        <w:contextualSpacing/>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 xml:space="preserve">                                                       </w:t>
      </w:r>
    </w:p>
    <w:p w:rsidR="00181BA7" w:rsidRPr="00DA76A7" w:rsidRDefault="00181BA7" w:rsidP="00E45BB4">
      <w:pPr>
        <w:shd w:val="clear" w:color="auto" w:fill="FFFFFF"/>
        <w:ind w:firstLine="567"/>
        <w:contextualSpacing/>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Список литературы:</w:t>
      </w:r>
    </w:p>
    <w:p w:rsidR="00181BA7" w:rsidRPr="00DA76A7" w:rsidRDefault="00181BA7" w:rsidP="00181BA7">
      <w:pPr>
        <w:shd w:val="clear" w:color="auto" w:fill="FFFFFF"/>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1. Алексеев С.С. Впереди времени – значит вовремя. Известия Уральского государственного университета. – 1998.– № 9. – С.-98-102.</w:t>
      </w:r>
    </w:p>
    <w:p w:rsidR="00181BA7" w:rsidRPr="00DA76A7" w:rsidRDefault="00181BA7" w:rsidP="00181BA7">
      <w:pPr>
        <w:shd w:val="clear" w:color="auto" w:fill="FFFFFF"/>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2.  Белых В.С. Теория хозяйственного права в условиях становления и развития рыночных отношений в России. Государство и право. – 1995. – № 11. –С.- 112-114.</w:t>
      </w:r>
    </w:p>
    <w:p w:rsidR="00181BA7" w:rsidRPr="00DA76A7" w:rsidRDefault="00181BA7" w:rsidP="00181BA7">
      <w:pPr>
        <w:shd w:val="clear" w:color="auto" w:fill="FFFFFF"/>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3. Бойкова О.С. Торговое право: учебное пособие. – М : Издательско- торговая корпорация «Дашков и К°», 2009. – 450 с.</w:t>
      </w:r>
    </w:p>
    <w:p w:rsidR="00181BA7" w:rsidRPr="00DA76A7" w:rsidRDefault="00181BA7" w:rsidP="00181BA7">
      <w:pPr>
        <w:shd w:val="clear" w:color="auto" w:fill="FFFFFF"/>
        <w:tabs>
          <w:tab w:val="left" w:pos="851"/>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4. Мозолин В.П. Гражданский кодекс как «экономическая Конституция страны». – 2009. – № 4. – 121 с.</w:t>
      </w:r>
    </w:p>
    <w:p w:rsidR="00181BA7" w:rsidRPr="00DA76A7" w:rsidRDefault="00181BA7" w:rsidP="00181BA7">
      <w:pPr>
        <w:pStyle w:val="a6"/>
        <w:shd w:val="clear" w:color="auto" w:fill="FFFFFF"/>
        <w:tabs>
          <w:tab w:val="left" w:pos="851"/>
        </w:tabs>
        <w:spacing w:after="0" w:line="240" w:lineRule="auto"/>
        <w:ind w:left="0" w:firstLine="567"/>
        <w:jc w:val="both"/>
        <w:rPr>
          <w:rFonts w:ascii="Arial" w:eastAsia="Calibri" w:hAnsi="Arial" w:cs="Arial"/>
          <w:color w:val="000000" w:themeColor="text1"/>
        </w:rPr>
      </w:pPr>
      <w:r w:rsidRPr="00DA76A7">
        <w:rPr>
          <w:rFonts w:ascii="Arial" w:hAnsi="Arial" w:cs="Arial"/>
          <w:color w:val="000000" w:themeColor="text1"/>
        </w:rPr>
        <w:t xml:space="preserve">5. Законодательство стран СНГ// [Электронный ресурс] // СОЮЗПРАВОИНФОРМ . Pежим доступа:URL: http://base. spinform. </w:t>
      </w:r>
      <w:r w:rsidRPr="00DA76A7">
        <w:rPr>
          <w:rFonts w:ascii="Arial" w:hAnsi="Arial" w:cs="Arial"/>
          <w:color w:val="000000" w:themeColor="text1"/>
          <w:lang w:val="en-US"/>
        </w:rPr>
        <w:t>ru</w:t>
      </w:r>
      <w:r w:rsidRPr="00DA76A7">
        <w:rPr>
          <w:rFonts w:ascii="Arial" w:hAnsi="Arial" w:cs="Arial"/>
          <w:color w:val="000000" w:themeColor="text1"/>
        </w:rPr>
        <w:t xml:space="preserve"> (дата обращения: 28.03.18)</w:t>
      </w:r>
    </w:p>
    <w:p w:rsidR="00181BA7" w:rsidRPr="00DA76A7" w:rsidRDefault="00181BA7" w:rsidP="00181BA7">
      <w:pPr>
        <w:tabs>
          <w:tab w:val="left" w:pos="851"/>
        </w:tabs>
        <w:ind w:firstLine="567"/>
        <w:contextualSpacing/>
        <w:jc w:val="both"/>
        <w:rPr>
          <w:rFonts w:ascii="Arial" w:hAnsi="Arial" w:cs="Arial"/>
          <w:color w:val="000000" w:themeColor="text1"/>
          <w:sz w:val="22"/>
          <w:szCs w:val="22"/>
        </w:rPr>
      </w:pPr>
      <w:r w:rsidRPr="00DA76A7">
        <w:rPr>
          <w:rFonts w:ascii="Arial" w:eastAsia="Calibri" w:hAnsi="Arial" w:cs="Arial"/>
          <w:color w:val="000000" w:themeColor="text1"/>
          <w:sz w:val="22"/>
          <w:szCs w:val="22"/>
        </w:rPr>
        <w:t>6.</w:t>
      </w:r>
      <w:r w:rsidRPr="00DA76A7">
        <w:rPr>
          <w:rFonts w:ascii="Arial" w:hAnsi="Arial" w:cs="Arial"/>
          <w:color w:val="000000" w:themeColor="text1"/>
          <w:sz w:val="22"/>
          <w:szCs w:val="22"/>
        </w:rPr>
        <w:t xml:space="preserve"> Коммерческое право: учебное пособие / под ред. Н.В. Постового. – М. : ИД «Юриспруденция», 2006. – 188 с.</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7. Попондопуло В.Ф. Коммерческое (предпринимательское) право: учебник. – М.: Норма, 2008. – 800 с.</w:t>
      </w:r>
    </w:p>
    <w:p w:rsidR="00181BA7" w:rsidRPr="00DA76A7" w:rsidRDefault="00181BA7" w:rsidP="00181BA7">
      <w:pPr>
        <w:shd w:val="clear" w:color="auto" w:fill="FFFFFF"/>
        <w:ind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8. Предпринимательское (хозяйственное) право: учебник. //[Вознесенская Н.Н. и др.]; под ред. В.В. Лаптева, С.С. Занковского ; – М. : Волтерс Клувер, 2006. – 560 с.</w:t>
      </w:r>
    </w:p>
    <w:p w:rsidR="00181BA7" w:rsidRPr="00DA76A7" w:rsidRDefault="00181BA7" w:rsidP="00181BA7">
      <w:pPr>
        <w:shd w:val="clear" w:color="auto" w:fill="FFFFFF"/>
        <w:ind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9.  Предпринимательское (хозяйственное) право: учебник: в 2 Т.  отв. ред. О.М. Олейник. – М. : Юристъ. 1999. – 727 с.</w:t>
      </w:r>
    </w:p>
    <w:p w:rsidR="00181BA7" w:rsidRPr="00DA76A7" w:rsidRDefault="00181BA7" w:rsidP="00181BA7">
      <w:pPr>
        <w:shd w:val="clear" w:color="auto" w:fill="FFFFFF"/>
        <w:ind w:firstLine="567"/>
        <w:contextualSpacing/>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10.  Пугинский Б.И. Коммерческое право России. – М. : Юрайт-М, 2001. – 314 с</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11. Централизованный банк правовой информации Республики Таджикистан.</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Электронный ресурс] режим доступа: URL: http://adlia . tj. (дата обращения: 26.03.18г.)</w:t>
      </w:r>
    </w:p>
    <w:p w:rsidR="00181BA7" w:rsidRPr="00DA76A7" w:rsidRDefault="00181BA7" w:rsidP="00181BA7">
      <w:pPr>
        <w:ind w:firstLine="567"/>
        <w:contextualSpacing/>
        <w:jc w:val="both"/>
        <w:rPr>
          <w:rFonts w:ascii="Arial" w:hAnsi="Arial" w:cs="Arial"/>
          <w:color w:val="000000" w:themeColor="text1"/>
          <w:sz w:val="22"/>
          <w:szCs w:val="22"/>
        </w:rPr>
      </w:pPr>
      <w:r w:rsidRPr="00DA76A7">
        <w:rPr>
          <w:rFonts w:ascii="Arial" w:eastAsia="Calibri" w:hAnsi="Arial" w:cs="Arial"/>
          <w:color w:val="000000" w:themeColor="text1"/>
          <w:sz w:val="22"/>
          <w:szCs w:val="22"/>
        </w:rPr>
        <w:t>12. Щербина В. Деякі проблеми удосконалення господарського і господарського процесуального законодавства. Право України. – 2010. – № 8. С.-180-182.</w:t>
      </w:r>
    </w:p>
    <w:p w:rsidR="00181BA7" w:rsidRDefault="00181BA7" w:rsidP="00181BA7">
      <w:pPr>
        <w:shd w:val="clear" w:color="auto" w:fill="FFFFFF"/>
        <w:ind w:firstLine="567"/>
        <w:jc w:val="both"/>
        <w:rPr>
          <w:rFonts w:ascii="Arial" w:eastAsia="Calibri" w:hAnsi="Arial" w:cs="Arial"/>
          <w:color w:val="000000" w:themeColor="text1"/>
          <w:sz w:val="22"/>
          <w:szCs w:val="22"/>
        </w:rPr>
      </w:pPr>
    </w:p>
    <w:p w:rsidR="00F519EB" w:rsidRPr="00DA76A7" w:rsidRDefault="00F519EB" w:rsidP="00181BA7">
      <w:pPr>
        <w:shd w:val="clear" w:color="auto" w:fill="FFFFFF"/>
        <w:ind w:firstLine="567"/>
        <w:jc w:val="both"/>
        <w:rPr>
          <w:rFonts w:ascii="Arial" w:eastAsia="Calibri" w:hAnsi="Arial" w:cs="Arial"/>
          <w:color w:val="000000" w:themeColor="text1"/>
          <w:sz w:val="22"/>
          <w:szCs w:val="22"/>
        </w:rPr>
      </w:pPr>
    </w:p>
    <w:p w:rsidR="00181BA7" w:rsidRPr="00DA76A7" w:rsidRDefault="00181BA7" w:rsidP="00181BA7">
      <w:pPr>
        <w:jc w:val="center"/>
        <w:rPr>
          <w:rFonts w:ascii="Arial" w:hAnsi="Arial" w:cs="Arial"/>
          <w:b/>
          <w:bCs/>
          <w:color w:val="000000" w:themeColor="text1"/>
          <w:sz w:val="22"/>
          <w:szCs w:val="22"/>
        </w:rPr>
      </w:pPr>
      <w:r w:rsidRPr="00DA76A7">
        <w:rPr>
          <w:rFonts w:ascii="Arial" w:hAnsi="Arial" w:cs="Arial"/>
          <w:b/>
          <w:bCs/>
          <w:color w:val="000000" w:themeColor="text1"/>
          <w:sz w:val="22"/>
          <w:szCs w:val="22"/>
        </w:rPr>
        <w:t xml:space="preserve">К ВОПРОСУ </w:t>
      </w:r>
      <w:r w:rsidR="00E45BB4" w:rsidRPr="00DA76A7">
        <w:rPr>
          <w:rFonts w:ascii="Arial" w:hAnsi="Arial" w:cs="Arial"/>
          <w:b/>
          <w:bCs/>
          <w:color w:val="000000" w:themeColor="text1"/>
          <w:sz w:val="22"/>
          <w:szCs w:val="22"/>
        </w:rPr>
        <w:t xml:space="preserve">О </w:t>
      </w:r>
      <w:r w:rsidRPr="00DA76A7">
        <w:rPr>
          <w:rFonts w:ascii="Arial" w:hAnsi="Arial" w:cs="Arial"/>
          <w:b/>
          <w:bCs/>
          <w:color w:val="000000" w:themeColor="text1"/>
          <w:sz w:val="22"/>
          <w:szCs w:val="22"/>
        </w:rPr>
        <w:t>САМОСТОЯТЕЛЬНОСТИ ОТРАСЛИ ПРЕДПРИНИМАТЕЛЬСКОГО ПРАВА</w:t>
      </w:r>
    </w:p>
    <w:p w:rsidR="00181BA7" w:rsidRPr="00DA76A7" w:rsidRDefault="00181BA7" w:rsidP="00181BA7">
      <w:pPr>
        <w:jc w:val="center"/>
        <w:rPr>
          <w:rFonts w:ascii="Arial" w:hAnsi="Arial" w:cs="Arial"/>
          <w:b/>
          <w:bCs/>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Хаутов Георгий Муратович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Тел.:+992501041294,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khautov</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E45BB4" w:rsidRPr="00DA76A7" w:rsidRDefault="00E45BB4" w:rsidP="00181BA7">
      <w:pPr>
        <w:jc w:val="center"/>
        <w:rPr>
          <w:rFonts w:ascii="Arial" w:hAnsi="Arial" w:cs="Arial"/>
          <w:b/>
          <w:bCs/>
          <w:color w:val="000000" w:themeColor="text1"/>
          <w:sz w:val="22"/>
          <w:szCs w:val="22"/>
        </w:rPr>
      </w:pPr>
    </w:p>
    <w:p w:rsidR="00181BA7" w:rsidRPr="00DA76A7" w:rsidRDefault="00181BA7" w:rsidP="00181BA7">
      <w:pPr>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TO QESSION OF OF AUTONOMY</w:t>
      </w:r>
      <w:r w:rsidRPr="00DA76A7">
        <w:rPr>
          <w:rFonts w:ascii="Arial" w:hAnsi="Arial" w:cs="Arial"/>
          <w:color w:val="000000" w:themeColor="text1"/>
          <w:sz w:val="22"/>
          <w:szCs w:val="22"/>
          <w:lang w:val="en-US"/>
        </w:rPr>
        <w:t xml:space="preserve"> </w:t>
      </w:r>
      <w:r w:rsidRPr="00DA76A7">
        <w:rPr>
          <w:rFonts w:ascii="Arial" w:hAnsi="Arial" w:cs="Arial"/>
          <w:b/>
          <w:bCs/>
          <w:color w:val="000000" w:themeColor="text1"/>
          <w:sz w:val="22"/>
          <w:szCs w:val="22"/>
          <w:lang w:val="en-US"/>
        </w:rPr>
        <w:t>BRANCH ENTREPRENEURIAL LAW</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Khautov George Muratovich</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the 2 nd year graduation full-time department of law faculty</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 30</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+992501041294, e-mail: </w:t>
      </w:r>
      <w:hyperlink r:id="rId255" w:history="1">
        <w:r w:rsidRPr="00DA76A7">
          <w:rPr>
            <w:rStyle w:val="af0"/>
            <w:rFonts w:ascii="Arial" w:hAnsi="Arial" w:cs="Arial"/>
            <w:color w:val="000000" w:themeColor="text1"/>
            <w:sz w:val="22"/>
            <w:szCs w:val="22"/>
            <w:u w:val="none"/>
            <w:lang w:val="en-US"/>
          </w:rPr>
          <w:t>g.khautov@mail.ru</w:t>
        </w:r>
      </w:hyperlink>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bCs/>
          <w:color w:val="000000" w:themeColor="text1"/>
          <w:sz w:val="22"/>
          <w:szCs w:val="22"/>
        </w:rPr>
      </w:pPr>
      <w:r w:rsidRPr="00DA76A7">
        <w:rPr>
          <w:rFonts w:ascii="Arial" w:hAnsi="Arial" w:cs="Arial"/>
          <w:bCs/>
          <w:color w:val="000000" w:themeColor="text1"/>
          <w:sz w:val="22"/>
          <w:szCs w:val="22"/>
        </w:rPr>
        <w:t xml:space="preserve">Научный руководитель: д.ю.н., профессор Исмоилов Ш.М. </w:t>
      </w:r>
    </w:p>
    <w:p w:rsidR="00181BA7" w:rsidRPr="00DA76A7" w:rsidRDefault="00181BA7" w:rsidP="00181BA7">
      <w:pPr>
        <w:ind w:firstLine="567"/>
        <w:jc w:val="both"/>
        <w:rPr>
          <w:rFonts w:ascii="Arial" w:hAnsi="Arial" w:cs="Arial"/>
          <w:b/>
          <w:color w:val="000000" w:themeColor="text1"/>
          <w:sz w:val="22"/>
          <w:szCs w:val="22"/>
        </w:rPr>
      </w:pPr>
      <w:r w:rsidRPr="00DA76A7">
        <w:rPr>
          <w:rFonts w:ascii="Arial" w:hAnsi="Arial" w:cs="Arial"/>
          <w:b/>
          <w:color w:val="000000" w:themeColor="text1"/>
          <w:sz w:val="22"/>
          <w:szCs w:val="22"/>
        </w:rPr>
        <w:t xml:space="preserve">   </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вопросы самостоятельности отрасли предпринимательского права, также рассматриваются различные взгляды правоведов пост советского пространства на данный вопрос.</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 xml:space="preserve"> </w:t>
      </w: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this article, questions of the independence of the business law branch are considered, and various views of legal experts of the post-Soviet space on this issue are also considered.</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предпринимательское право, предприниматель, предпринимательская деятельность, концепции предпринимательского права.</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entrepreneurial law, entrepreneur, entrepreneurial activity, concepts of business law.</w:t>
      </w:r>
    </w:p>
    <w:p w:rsidR="00181BA7" w:rsidRPr="00DA76A7" w:rsidRDefault="00181BA7" w:rsidP="00181BA7">
      <w:pPr>
        <w:ind w:firstLine="567"/>
        <w:jc w:val="both"/>
        <w:rPr>
          <w:rFonts w:ascii="Arial" w:hAnsi="Arial" w:cs="Arial"/>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Совокупность правовых норм, регулирующих однородные общественные отношения, — это и есть отрасль права. Абсолютно все без исключения отрасли права являются структурными элементами системы права. Отрасль права отличается своеобразным режимом юридического регулирования который охватывает целые участки, комплексы однородных общественных отношений.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протяжении всей истории существования права формировались различные знания об отрасли права как правовом феномене. Подчиняясь различным закономерностям развития права, они поэтапно приобретали облик самостоятельного научного направления. Преобразования, произошедшие в теории права, качественно изменили понятие и методологию учения о праве, составляющие в совокупности первостепенную теоретическую основу понимания отрасли права. Научное представление об отрасли права может складываться на основе знания тенденций и закономерностей формирования и развития системы права. Подгруппа «система права» является главной в изучении не только отрасли, но и всего права в целом, выступает одним из самых важных показателей всех важнейших признаков права, его сущности и социальной ценности, имеет объективный характер, показывает связь всех составляющих ее элементов, свидетельствует об большом количестве вариаций и взаимозависимости [1, 11].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Мы не можем не отметить что, система права носит объективный характер. Это подтверждается тем, что в современных цивилизованных государствах существуют однородные отрасли права, идентичные для всех стран (конституционное, гражданское, семейное, уголовное и др.). При проведении тех или иных законодательных изменений либо дополнений, система права сохраняет устойчивость, стабильность. Правовые реформы обычно осуществляются в рамках общей схемы строения права, существующей объективно и неподвластной законодателю. Будучи устойчивой к изменениям законодательства, она служит основой для преемственности правовой формы, сохраняя для новых поколений выработанные многовековой практикой элементы общих компонентов права: нормы, институты, отрасли [2, 321].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 всех структурных частей отрасли права являются самыми крупными составляющими частями системы права. Они представляют собой совокупность относительно обособленных, автономных юридических норм, регулирующих определённую часть либо сферу общественных отношений» [3,563]. Любая отрасль воплощает специфический режим правового регулирования, характеризуемый особыми приемами регулятивного воздействия: свой порядок возникновения прав и обязанностей субъектов права, их обеспечения и охраны, специфика мер государственного принуждения при нарушении норм соответствующей отрасли, особые принципы, общие положения, пронизывающие содержание ее норм. Отрасль права обычно имеет многоуровневую структуру. В большинстве отраслей выделяются общая и особенная части, либо другими словами частная часть. В общей части формулируются нормативные предписания, являющиеся основой для первостепенных, конкретных норм отрасли, как бы «обслуживающие» их и распространяющие свое действие, как правило, на весь круг отношений, регулируемых отраслью. Общая часть или частная включает в себя общеотраслевые принципы права, определяет задачи и предмет отрасли, а также ее объем. Она соединяет, закрепляет содержание отрасли. Нормы общей части развиваются и конкретизируются в институтах и отдельных положениях Особенной части. Такая структура позволяет компактно изложить нормативный материал, исключить повторения, облегчить толкование и применение норм [4, 231].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Разделение правовой системы на отрасли права обуславливается практической и теоретической необходимостью. Так, в практическом аспекте это разделение обеспечивает разделение основных законодательных актов и специализацию юристов практиков. В теоретическом аспекте деление позволяет нам определить интересы основных правовых школ, разграничить диссертации и другие теоретические исследования в области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Говоря о вопросе обретения независимости Республики Таджикистан нам важно отметить что непосредственно само обретение независимости привело к важным изменениям в экономической и общественной жизни, результатом чего явились переход к рыночной экономике и демократические изменения, направленные на построение правового государства. Столь значительные изменения в общественной и экономической жизни повлияли и на систему права, и на составляющие ее структурные элементы (отрасли права, подотрасли права и правовые институты). Именно так, в современном обществе образование новых отраслей является закономерной причиной объективных изменений, происходящих в социально-политической системе. Усложнение общественных отношений связывает важность возникновения новых социально-правовых регуляторов.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системе таджикского права традиционно к основным отраслям права относят конституционное, гражданское, уголовное, административное. Вместе с тем достаточно часто в качестве самостоятельных выделяются такие отрасли, как налоговое право, финансовое право, таможенное право, и т.д.</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Развитие и формирование предпринимательского права и законодательства о предпринимательстве ставят проблему понимания природы и местонахождения этого образования в системе права и законодательства Республики Таджикистан. Критерии, которыми обосновывается самостоятельность иных отраслей права, обычно, являются дискуссионными. Причина этого заключена в неоднозначности понимания таких общетеоретических категорий, как предмет и метод правового регулирования. Так как в понимании сущности и правовой природы предпринимательского права среди ученых нет единства, считаем необходимым рассмотреть основные концепции (школы) предпринимательского права, существующие в науке.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Существует три основные концепции предпринимательского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Предпринимательское право является самостоятельной отраслью права.         Сторонники этой точки зрения являются последователями так называемой «концепции хозяйственного права», разработанной под руководством академиков России и Украины В.В. Лаптева и В.К. Мамутова. Эта концепция исходила из однородности отношений в сфере народного хозяйства — властно-управленческих (по вертикали) и договорных (по горизонтали) — и была направлена на оправдание планово-административной. Сторонники данной точки зрения исходят из того, что предпринимательское (хозяйственное) право это совокупность юридических норм, регулирующих хозяйственные отношения.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Основополагающие аргументы ученых, критикующих эту позицию, следующие. Во-первых, отрасль хозяйственного права обосновывается под новым наименованием — хозяйственно-предпринимательское право, под которым понимается по существу то же самое хозяйственное право, что и раньше; повторяются известные положения хозяйственно-правовой концепции с использованием современной терминологии. Во-вторых, отсутствует учет разной правовой природы отношений по горизонтали и вертикали и способов их регулирования (частноправовых и публично-правовых) [6, 34]. В-третьих, в структуру предмета предпринимательского права авторы включают, помимо предпринимательских отношений, также отношения по регулированию экономики со стороны государства, настаивая на « определенном единстве» указанных отношений [7, 20].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Важным преимуществом позиции понимания предпринимательского права как самостоятельной отрасли права являются ее целостность и комплексность подхода (понимание предпринимательского права не только как отрасли права, но и как отрасли законодательства). Однако выдвигаемые учеными аргументы, скорее, свидетельствуют в пользу предпринимательского права как самостоятельной отрасли законодательства, нежели отрасли права. Так как создание правовых условий для развития предпринимательства, четкое и всестороннее определение в законодательстве предпринимательской деятельности, сочетание частных и публичных интересов (по терминологии В. В. Лаптева) — все это может быть в наибольшей степени достигнуто в комплексном кодифицированном законодательном акте, который должен быть определяющим в отрасли законодательства о предпринимательств</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Предпринимательское право является частью гражданского права. Эта концепция прямо противоположна концепции предпринимательского (хозяйственного) права как самостоятельной отрасли права и имеет большее хождение и в учебной, и в научной литературе. Данная концепция основана на признании известной целостности и единства предпринимательского (хозяйственного) законодательства, отсюда следует с чем предпринимательское (хозяйственное), право выступает как подотрасль гражданского права, а предпринимательское (хозяйственное) законодательство — как комплексная отрасль законодательства.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Г.Т. Казиева, определяя место предпринимательского права в системе права как подотрасли гражданского права и считает, что, с одной стороны, наличие в предмете и методе предпринимательского права публично-правовых элементов не может служить основанием для выделения его как отрасли права (в т.ч. комплексной), с другой стороны, признавая, что в предпринимательском праве присутствуют публично-правовые элементы и вертикальные отношения, относит предпринимательское право к подотрасли гражданского права, основываясь на концепции организационных граждан­ско-правовых отношений, т.е. считает допустимым наличие публично-правовых элементов в предпринимательском праве на уровне подотрасли гражданского права [13, 127-134]. Аналогичную точку зрения о том, что предпринимательское право является подотраслью гражданского права высказывают казахстанские ученые И.В. Амирханова [2, 50],                Д.В. Акрачкова [1, 24].</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Привлекательность данной концепции, по нашему мнению, заключается в отстаивании частных начал в предпринимательстве. Однако следует согласиться со мнением, что эта концепция не учитывает несомненного единства в сфере регулирования, которое существует между гражданско-правовыми и административно-правовыми нормами, регулирующими предпринимательскую деятельность.</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это представители этой концепции, обычно относят публично предпринимательские нормы к административным, но не предпринимательским или доказывают, что публично-правовое регулирование предпринимательской деятельности не требует оформления специальной правовой отрасли, так как соответствующие нормы права имеют разноотраслевой характер.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несмотря на обоснования сторонников данной концепции, мы считаем, что предпринимательское право не является подотраслью гражданского права, так как гражданское право не может регулировать публично-правовые отношения в предпринимательской деятельности.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Предпринимательское (хозяйственное) право является комплексной отраслью права, где объединяются публично-правовые и частноправовые нормы различной отраслевой принадлежности, такие как гражданское право, международное право, административное право, финансовое право и т.п…</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Концепция предпринимательского права как комплексной отрасли права довольно долго разрабатывается не только в Республики Таджикистан и странах СНГ, но и в странах Дальнего зарубежья (концепция «бизнес-права» или business law). С этих позиций не утрачивают сделанные более 60 лет назад выводы В. К. Райхера о том, что комплексные отрасли права должны соответствовать  определенным трём условиям.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Комплекс правовых норм должен соответствовать определённому, своеобразному  кругу общественных отношений, т.е. иметь предметное единство.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Регулируемый таким комплексом специфический круг отношений должен обладать большой общественной значимостью. Образующий такую совокупность нормативно-правовой материал должен иметь обширный объём [13, 189, 190].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казахстанского правоведа М. К. Сулейменова, который считает что предпринимательское право понимается двояко. В узком смысле предпринимательское право, безусловно, представляет собой часть гражданского права. Предпринимательская деятельность это подвид гражданско-правовой деятельности. В то же время предпринимательское право также понимается в широком смысле как комплексное образование, объединяющее раные нормы различных отраслей права (гражданского, трудового, административного, таможенного, финансового, и др.).</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важно отметить, что идея комплексных отраслей права имеет и своих сторонников, и своих противников. Так, А. Г.Диденко выделяет, что переплетение частноправовых и публично-правовых начал не означает их органического единства [15,102-103]. Таким же образом М.Н. Семякин полагает, что объединять по своей сути разнородные группы отношений (публично-правовые и предпринимательские частноправовые) «в одну рубрику только потому, что они в той или иной мере связаны с предпринимательством, и относить их к предмету какой-либо одной отрасли права — независимо, будь это предпринимательское или гражданское право, или иная отрасль, — достаточных научных оснований на сегодняшний день не имеется».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Мы считаем, что спор между противниками и сторонниками  комплексных отраслей права возникает из-за отличий во взглядах на соотношение понятий «отрасль законодательства» и «отрасль права». По мнению некоторых ученых, «если в системе законодательства сформировалась комплексная отрасль законодательства, это означает, что и в системе права существует такая же комплексная отрасль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О.С.Иоффе считает, что «право делится на отрасли по объективной природе юридических норм, а законодательство — по классификационному признаку, субъективно избранному законодателем» [12, 43]. Аналогичным образом Ю.Г. Басин считает, что законодательство формируется субъективным образом, с учетом целей принятия актов законодательства, задач и условий их применения.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западном правоведении сложились примерно такие же подходы к решению вопроса о месте предпринимательского права в системе права. Так, в европейской доктрине, по мнению Й.Пуделька, предпринимательское право не является самостоятельной отраслью права, так как объединяет нормы других отраслей права — гражданского,  уголовного и административного. А. Жакомэн Г. Шранц, также считают, что хозяйственное право не является отраслью права или отраслью законодательства, так как представляет собой новый, отличный от других способ разработки или применения норм права, регулирующих экономические отношения, — это и есть право, рассматриваемое с точки зрения его экономических последствий.</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Помимо этого в западной правовой науке также имеются сторонники признания предпринимательского права как самостоятельной отраслью права. При этом в рамках данного подхода мнения европейских ученых разделились и появились сторонники понимания хозяйственного права в узком и широком смысле. Сторонники узкой трактовки включают в хозяйственное право нормы, регулирующие отношения по государственному регулированию экономики (в т.ч. правовое регулирование национализации, ценообразования, налоговое, таможенное и валютное регулирование и т.п.). Исходя из вышеизложенного, хозяйственное право понимается многими как хозяйственное публичное право. Широкая трактовка хозяйственного права сводится к признанию комплексной, т.е. частноправовой и публично-правовой природы предпринимательского права. Первый эту идею обосновал и высказал в своей известной монографии «Имперское хозяйственное право» Гольдшмидт, противопоставив частное хозяйство, которое основывалось на принципе свободы экономической деятельности, общественному хозяйству.</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 вышеизложенного, можно сделать вывод о том, что в зарубежной юридической литературе сторонники широкого понимания предпринимательского права включают в него разные нормы различных отраслей права (гражданского, международного, административного, трудового, , финансового, уголовного и других отраслей права), регулирующие отношения, возникшие в процессе осуществления хозяйственной деятельности.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юридической науке очень интересным, по нашему мнению, является рассмотрение предпринимательского права как составной части экономического права. Так, например, В.И. Видячина, И.И. Веленто, В.С.Елисеев говорят о формировании экономического права. В зарубежной литературе тоже имеются сторонники экономического права. Так, Ж. Амель и Ж. Лагард отождествляют экономическое и предпринимательское право. Сторонники данной теории считают, что экономическое право призвано регулировать предпринимательские (хозяйственные) отношения.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в таджикском и российском законодательстве особо не признаются экономические отношения предметом правового регулирования. В таком случае</w:t>
      </w:r>
      <w:r w:rsidRPr="00DA76A7">
        <w:rPr>
          <w:rFonts w:ascii="Arial" w:hAnsi="Arial" w:cs="Arial"/>
          <w:color w:val="000000" w:themeColor="text1"/>
          <w:sz w:val="22"/>
          <w:szCs w:val="22"/>
          <w:shd w:val="clear" w:color="auto" w:fill="FFFFFF"/>
        </w:rPr>
        <w:t> </w:t>
      </w:r>
      <w:r w:rsidRPr="00DA76A7">
        <w:rPr>
          <w:rFonts w:ascii="Arial" w:hAnsi="Arial" w:cs="Arial"/>
          <w:color w:val="000000" w:themeColor="text1"/>
          <w:sz w:val="22"/>
          <w:szCs w:val="22"/>
        </w:rPr>
        <w:t xml:space="preserve"> отношения при осуществлении экономической деятельности оказались включенными в предметы различных правовых отраслей. К примеру, в силу определенной предметной специфики бюджетные, имущественные, налоговые, гражданские, трудовые, природоресурсные отношения регулируются нормами разных отраслей права, но единая — экономическая — основа всех этих отношений дает возможность создавать предпосылки для применения к ним некоторых правовых положений, являющихся общими для них.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Мы считаем что, несмотря на критику по отношению комплексности предпринимательского права считаем, что понимание предпринимательского права как комплексной отрасли права является правильным. Даже если вопрос о комплексных отраслях права остается спорным и исходя из этого наличие комплексных отраслей законодательства является общепризнанным и в соответствии с этим, предпринимательское право признается как отрасль законодательства.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мы уже ранее отмечали, для деления права на отрасли используются два критерия — метод и предмет правового регулирования. В науке предпринимательского права вопросы относительно метода и предмета являются одними из самых дискуссионных. Мы рассмотрим основные взгляды ученых.</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Представители концепции хозяйственного права, истолковывающие предпринимательское (хозяйственное) право как самостоятельную отрасль, обычно, выделяют три группы отношений, входящих в предмет предпринимательского права: </w:t>
      </w:r>
    </w:p>
    <w:p w:rsidR="00181BA7" w:rsidRPr="00DA76A7" w:rsidRDefault="00181BA7" w:rsidP="00181BA7">
      <w:pPr>
        <w:tabs>
          <w:tab w:val="left" w:pos="993"/>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отношения, складывающиеся при осуществлении предпринимательской деятельности; </w:t>
      </w:r>
    </w:p>
    <w:p w:rsidR="00181BA7" w:rsidRPr="00DA76A7" w:rsidRDefault="00181BA7" w:rsidP="00181BA7">
      <w:pPr>
        <w:tabs>
          <w:tab w:val="left" w:pos="993"/>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отношения, складывающиеся при регулировании предпринимательской деятельности;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внутрихозяйственные отношения.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Затрагивая противоположное мнение важно отметить что рассматривая вопрос о методе  и предмете предпринимательского права, также, следует исходить из того, что это комплексная отрасль права. Комплексная отрасль права как вторичная структура не имеет своего предмета и метода. Она регулирует такие же отношения, которые регулируются нормами основных отраслей права, используя методы основных отраслей права. Именно поэтому в предпринимательском праве четко выделяются отношения, которые регулируются исключительно нормами гражданского права (например, обязательства), исключительно нормами административного права (например, налогообложение, лицензирование, регистрация, квотирование и т.п.). Помимо этого есть и такие сферы, где регулирование нормами частного и публичного права переплетается.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Ученые, трактующие предпринимательское право как комплексную отрасль, включают в предмет регулирования предпринимательского права отношения, связанные: с осуществлением самой предпринимательской деятельности (к примеру сделки); с государственным регулированием предпринимательской деятельности (государственная регистрация предпринимателей, лицензирование предпринимательской деятельности и т.д.); с корпоративным (внутрихозяйственным) регулированием отношений. Такую же трактовку предлагает казахстанский ученый С.П. Мороз. Так, она выделяет три группы, входящие в предмет предпринимательского права: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предпринимательские имущественные (горизонтальные отношения);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2) предпринимательские управленческие (вертикальные отношения);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3) предпринимательские внутрифирменные (корпоративные отношения).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 вышеизложенного выше мы можем сделать вывод о том, что представители двух вышеизложенных концепций («самостоятельной» и «комплексной») выдвигают по определению предмета предпринимательского права схожую формулу. Мы считаем, это и является тем самым предметом предпринимательского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Украинский ученый профессор О.П. Подцерковный, исходя из Хозяйственного кодекса Украины, и полагаясь на него, определяет предмет хозяйственно-правового регулирования и выделяет два элемента предмета хозяйственного (предпринимательского) права: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первый функциональный — подразумевает выделение отношений, имеющих направленность на организационный процесс и осуществления хозяйственной деятельности;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второй субъективный элемент — подразумевает  выделение субъектного состава отношений — субъекты хозяйствования и участники отношений в сфере хозяйствования.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Описание предмета правового регулирования отвечает на вопрос, какие общественные отношения регулируются. Изучив основные взгляды на предмет предпринимательского права, мы считаем важным затронуть вопрос о том, какими правовыми способами и приемами и как регулируются общественные отношения в предпринимательской деятельности, т.е. о методе предпринимательского права, согласно которому определяется совокупность способов или способ правового воздействия на участников правоотношений. Отрасль права не получает надлежащего содержания до тех пор, пока не определен метод правового регулирования.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Говоря о вопросе методе предпринимательского права, который также является одним из самых спорных в науке, так как учеными предлагается разное сочетание методов предпринимательского права, а иногда даже отрицание метода в предпринимательском праве. Так, например, М.К. Сулейменов утверждает: «У предпринимательского права нет своих методов. Все измышления хозяйственников о каком-то самостоятельном методе от лукавого. На самом деле есть два метода: метод публичного права — власти — подчинения и метод частного права — равенства участников отношений. Эти методы и применяются в различных комбинациях в предпринимательском праве». В этом случае позволим себе не согласиться с таким выводом уважаемого ученого, так как метод предпринимательского права существует, и мы это постараемся доказать далее. А существование двух методов, —бесспорно.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литературе хозяйственного (предпринимательского) права обычно содержат несколько методов правового регулирования: автономных решений (метод согласования); обязательных предписаний; рекомендаций. Однако все принципы базируются на двух принципах: обще дозволительном, т.е. разрешено все, что не запретно законом, и обязывающем, т.е. разрешено то, что предписано законом.</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вышеизложенного, подходя к вопросу метода предпринимательского права были проанализированы работы  В.С. Белых. Ученый, проведя подробный анализ взглядов, мнений и суждений разных авторов, приходит к выводу, что в основных отраслях права (конституционное, гражданское, административное и др.) правовой метод подразумевает не совокупность способов (средств, приемов), а определенный, конкретный способ влияния на соответствующие общественные отношения. Напротив, в комплексных отраслях, гармонично сочетающих публично-правовые и частноправовые начала, применяются два и более метода правового регулирования. Причем эти методы занимают равное положение, взаимодействуя между собой и дополняя друг друга. В определении метода как комплекс способов (средств, приемов) содержится порочная логико-языковая конструкция — когда одно явление определяется через другое.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завершение своего анализа В.С. Белых указывает, что «правовой метод» нужно рассматривать в  узком и широком значениях. В широком значении говорится о методах частного и публичного права как суперотраслях, с выделением двух методов — дозволительного и императивного. В узком, другими словами отраслевом значении понятие «правовой метод» заполняется определенным содержанием, с учетом характера и специфики регулируемых отношений. Важно отметить что в сфере гражданского права применяется такой метод правового регулирования, как юридическое равенство, в области административного — метод подчинения. В иных отраслях права указанные методы также находят свое соответствующее применение в какой либо комбинации. К примеру, в земельном, экологическом и природоресурсном праве пропорционально сочетаются и метод подчинения, и метод юридического равенства. Такая же картина наблюдается в сфере действия предпринимательского права [3, 39].</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Важно выделить мнение которое присутствует в рассуждениях В. С.Белых, и поэтому мы поддерживаем данную точку зрения, так как исходя из всех взглядов и суждений о методе предпринимательского права, мы считаем, наиболее правильней исходить из того, что правовой метод в отраслевом значении обязан определяться с учетом характера регулируемых отношений, а также специфики регулируемых отношений. Однако в данном случае, мы считаем важным необходимость затронуть один очень важный факт о том, что не только в комплексных отраслях (отраслевых) права применяются разные методы регулирования. Например, И.В. Павлов высказывает такое мнение: «В каждой отдельной отрасли права применяется не один, а несколько методов правового регулирования, взятых в их сочетаниях». С этим мнением сложно не согласиться, так как, действительно, во всех отраслях права используются множество методов правового регулирования. Так к примеру, в гражданском праве, помимо метода подчинения, применяется метод равенства в публичном договоре, в правоотношениях между опекуном и недееспособным и в других случаях. К примеру в административном праве также метод подчинения является не единственным. Мы считаем что, метод предпринимательского права существует и характеризуется применением двух методов регулирования: императивный — основанный на власти и подчинении, диспозитивный метод, основанный на равенстве сторон.</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вышеизложенного, предпринимательское право является комплексной отраслью права, т.е. она является совокупностью правовых норм, которые регулируют общественные отношения в сфере предпринимательской деятельности. Предметом его являются предпринимательские имущественные, управленческие внутрифирменные (корпоративные) отношения. Обосновывается применением двух методов —   дозволительного и императивного метода правового регулирования. Исходя из этого, важнейшей задачей правовой системы является максимальное обеспечение комплексного воздействия как публично-правовых так и частноправовых, начал на правовое регулирование предпринимательских отношений. Так как предпринимательское право является комплексной отраслью права, ее отраслевой правовой режим обеспечивает координированное комплексное использование различных первичных отраслевых юридических режимов, включаемых в сферу как частного права, так и публичного.</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юридической науке Республики Таджикистан, и даже СНГ, в целом единодушному признанию предпринимательского права как комплексной отрасли права препятствуют сложившиеся традиции в понимании и терминологическом обозначении отраслей права. Однако, мы считаем, если признать предпринимательское право комплексной отраслью в системе права, то это будет иметь большое значение для активизации научных разработок теоретических проблем в области предпринимательского права и совершенствования обширного законодательства о предпринимательстве с помощью кодификации и систематизации законодательства о предпринимательстве, усилит интеграцию правового материала, разработку общетеоретических положений предпринимательского права.</w:t>
      </w:r>
    </w:p>
    <w:p w:rsidR="00181BA7" w:rsidRPr="00DA76A7" w:rsidRDefault="00181BA7" w:rsidP="00181BA7">
      <w:pPr>
        <w:ind w:firstLine="567"/>
        <w:jc w:val="both"/>
        <w:rPr>
          <w:rFonts w:ascii="Arial" w:hAnsi="Arial" w:cs="Arial"/>
          <w:b/>
          <w:color w:val="000000" w:themeColor="text1"/>
          <w:sz w:val="22"/>
          <w:szCs w:val="22"/>
        </w:rPr>
      </w:pPr>
    </w:p>
    <w:p w:rsidR="00181BA7" w:rsidRPr="00DA76A7" w:rsidRDefault="00181BA7" w:rsidP="00181BA7">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Белых B.C. Правовое регулирование предпринимательской деятельности в России: монография. — М. Изд. «Проспект», 2005. — 194 с.</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Головистикова А.Н., Дмитриев Ю.А. Проблемы теории государства и права. — М.: Эксмо, 2005. — 832 с.</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Джурабаев Г., Сайгаков М., Каримов Б. Актуальные проблемы становления и развития предпринимательства в промышленности Таджикистана. - Душанбе, 2002. – 157 с.</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Жилинский С.Э. Правовая основа предпринимательской деятельности (предпринимательское право): курс лекций. — М.: Изд. группа Норма-Инфра-М, 1998. — 218 с.</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Иоффе О.С. О хозяйственном праве (теория и практика) // Гражданское законодательство: статьи, комментарии, практика. — Алматы: Юрист, 2004. - Вып. 20. С.— 112-115.</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Комилов С.Д., Забиров Н.Х. Предпринимательство: вопросы развития и государственного регулирования. - Душанбе: РИА Статус, 2004. - 122 с. </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Лаптев В.В. Предпринимательское право: понятие и субъекты. — М.: Юристь, 1997. – 213с. </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Мамутов В.К. Сближение современных систем современности правового регулирования хозяйственной деятельности // Государство и право. — 1999. — № 1. С.— 168-170.</w:t>
      </w:r>
    </w:p>
    <w:p w:rsidR="00181BA7" w:rsidRPr="00DA76A7" w:rsidRDefault="00181BA7" w:rsidP="00D45D6B">
      <w:pPr>
        <w:pStyle w:val="a6"/>
        <w:numPr>
          <w:ilvl w:val="0"/>
          <w:numId w:val="9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Мамутов В.К. Юридическую науку — на решение проблемы содействия развитию экономики. — Екатеринбург: Бизнес, менеджмент и право, 2008. — 136с.</w:t>
      </w:r>
    </w:p>
    <w:p w:rsidR="00181BA7" w:rsidRPr="00DA76A7" w:rsidRDefault="00181BA7" w:rsidP="00D45D6B">
      <w:pPr>
        <w:pStyle w:val="a6"/>
        <w:numPr>
          <w:ilvl w:val="0"/>
          <w:numId w:val="9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Назаров А.А. Региональные особенности формирования и развития предпринимательства // Вестник Таджикского государственного университета права, бизнеса и политики. -2012. -№ 1. С.- 56 – 60.                                                                                                                                                                                                                                                                                                                                                                                                                                                                                                          </w:t>
      </w:r>
    </w:p>
    <w:p w:rsidR="00181BA7" w:rsidRPr="00DA76A7" w:rsidRDefault="00181BA7" w:rsidP="00D45D6B">
      <w:pPr>
        <w:pStyle w:val="a6"/>
        <w:numPr>
          <w:ilvl w:val="0"/>
          <w:numId w:val="9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Подцерковный О.П., Васильева А.С. Хозяйственное право Украины— Харьков: ООО «Одиссей», 2010. — 488 с.</w:t>
      </w:r>
    </w:p>
    <w:p w:rsidR="00181BA7" w:rsidRPr="00DA76A7" w:rsidRDefault="00181BA7" w:rsidP="00D45D6B">
      <w:pPr>
        <w:pStyle w:val="a6"/>
        <w:numPr>
          <w:ilvl w:val="0"/>
          <w:numId w:val="9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Предпринимательское право Российской Федерации / отв.ред. Е.П. Губин, П.Г. Лахно. — М.- 2006. — 242 с.                                                                                                                                                                                                                                                                                                                                                                                                                                                                                                                                                                                                                                                                                                                                                                                                                                                                                                                                                                                                                                                                                                                                                                                                                                                                                                                                                                                                                                                                                                         </w:t>
      </w:r>
    </w:p>
    <w:p w:rsidR="00181BA7" w:rsidRPr="00DA76A7" w:rsidRDefault="00181BA7" w:rsidP="00D45D6B">
      <w:pPr>
        <w:pStyle w:val="a6"/>
        <w:numPr>
          <w:ilvl w:val="0"/>
          <w:numId w:val="9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Саниахметова Н.А. Предпринимательское (хозяйственное) право Украины: учебник. — Харьков: Одиссей. - 2005. — 800 с.</w:t>
      </w:r>
    </w:p>
    <w:p w:rsidR="00181BA7" w:rsidRPr="00DA76A7" w:rsidRDefault="00181BA7" w:rsidP="00D45D6B">
      <w:pPr>
        <w:pStyle w:val="a6"/>
        <w:numPr>
          <w:ilvl w:val="0"/>
          <w:numId w:val="9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Сулейменов М.К. Пути совершенствования законодательства о предпринимательстве (о проекте Предпринимательского кодекса // Систематизация законодательства в сфере предпринимательства: состояние и перспективы: материалы междунар. науч.-практ. конф. 21 сент. 2012 г. — Астана: ГУ «Институт законодательства Республики Казахстан». С.- 228-230.</w:t>
      </w:r>
    </w:p>
    <w:p w:rsidR="00181BA7" w:rsidRPr="00DA76A7" w:rsidRDefault="00181BA7" w:rsidP="00D45D6B">
      <w:pPr>
        <w:pStyle w:val="a6"/>
        <w:numPr>
          <w:ilvl w:val="0"/>
          <w:numId w:val="9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Султанов З.С., Насиров Н.Н., Асророва З.И. Предпринимательство (малое): состояние, проблемы и перспективы развития в Республики Таджикистан/ [Электронный ресурс] Режим доступа: URL: aot.tj/public/userfiles/Postanovlenie/СНЗ.doc  (дата обращения: 20.03.18г.) </w:t>
      </w:r>
    </w:p>
    <w:p w:rsidR="00181BA7" w:rsidRPr="00DA76A7" w:rsidRDefault="00181BA7" w:rsidP="00D45D6B">
      <w:pPr>
        <w:pStyle w:val="a6"/>
        <w:numPr>
          <w:ilvl w:val="0"/>
          <w:numId w:val="9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Челышев М.Ю. Основы учения о межотраслевых связях гражданского оборота. — Казань: Изд-во. Казан. гос. ун­та, 2008. — 228 с.</w:t>
      </w:r>
    </w:p>
    <w:p w:rsidR="00181BA7" w:rsidRPr="00DA76A7" w:rsidRDefault="00181BA7" w:rsidP="00181BA7">
      <w:pPr>
        <w:shd w:val="clear" w:color="auto" w:fill="FFFFFF"/>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ПОНЯТИЕ И ОСОБЕННОСТИ ДОГОВОРА БАНКОВСКОГО ВКЛАДА</w:t>
      </w:r>
    </w:p>
    <w:p w:rsidR="00181BA7" w:rsidRPr="00DA76A7" w:rsidRDefault="00181BA7" w:rsidP="00181BA7">
      <w:pPr>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Холматов Тоир Рахматуллоевич</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907-15-51-69,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toh</w:t>
      </w:r>
      <w:r w:rsidRPr="00DA76A7">
        <w:rPr>
          <w:rFonts w:ascii="Arial" w:hAnsi="Arial" w:cs="Arial"/>
          <w:color w:val="000000" w:themeColor="text1"/>
          <w:sz w:val="22"/>
          <w:szCs w:val="22"/>
        </w:rPr>
        <w:t>_1992@</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181BA7" w:rsidRPr="00DA76A7" w:rsidRDefault="00181BA7" w:rsidP="00181BA7">
      <w:pPr>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CONCEPT AND FEATURES OF THE BANK CONTRIBUTION AGREEMENT</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Kholmatov Toir Rahmatulloevich</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81BA7" w:rsidRPr="00DA76A7" w:rsidRDefault="00181BA7" w:rsidP="00181BA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907-15-51-69, e-mail: toh_1992@mail.ru</w:t>
      </w:r>
    </w:p>
    <w:p w:rsidR="00181BA7" w:rsidRPr="00DA76A7" w:rsidRDefault="00181BA7" w:rsidP="00181BA7">
      <w:pPr>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Исмоилов Ш.М.</w:t>
      </w:r>
    </w:p>
    <w:p w:rsidR="00181BA7" w:rsidRPr="00DA76A7" w:rsidRDefault="00181BA7" w:rsidP="00181BA7">
      <w:pPr>
        <w:ind w:firstLine="567"/>
        <w:jc w:val="center"/>
        <w:rPr>
          <w:rFonts w:ascii="Arial" w:hAnsi="Arial" w:cs="Arial"/>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общие положения договора банковского вклада, а именно понятие и основные отличительные особенности данного договора.</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this article the general provisions of the bank deposit contract are considered, namely the concept and the main distinctive features of this contract.</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договор банковского вклада, банк, вкладчик.</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bank deposit agreement, bank, depositor.</w:t>
      </w:r>
    </w:p>
    <w:p w:rsidR="00181BA7" w:rsidRPr="00DA76A7" w:rsidRDefault="00181BA7" w:rsidP="00181BA7">
      <w:pPr>
        <w:ind w:firstLine="567"/>
        <w:jc w:val="both"/>
        <w:rPr>
          <w:rFonts w:ascii="Arial" w:hAnsi="Arial" w:cs="Arial"/>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Договор банковского вклада выделен в отдельную главу части второй ГК РФ. Это дает основания утверждать, что он рассматривается законодателем как самостоятельный вид гражданско-правового договора.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договору банковского вклада (депозита) одна сторона (банк), принявшая поступившую от другой стороны (вкладчика) или поступившую для нее денежную сумму (вклад), обязуется возвратить сумму вклада и выплатить проценты на нее на условиях и в порядке, предусмотренных договором[1, 346].</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Договор банковского вклада является реальным, поскольку считается заключенным и порождает у сторон права и обязанности только с момента внесения вкладчиком в банк денежной суммы (вклада). Договор банковского вклада является односторонним и возмездным, так как после его заключения порождает только право вкладчика требовать возврата внесенной во вклад денежной суммы, а также выплаты процентов и соответствующую ему обязанность банка. </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вкладчиком выступает гражданин, данный договор признается публичным, т.е. на взаимоотношения граждан-вкладчиков и банков распространяется действие ст. 426 ГКРФ. Соответственно для  банка законом устанавливается обязанность по оказанию депозитных услуг гражданам, которые он по характеру своей деятельности должен осуществлять в отношении каждого, кто к нему обратится. Банк не вправе оказывать предпочтение одному вкладчику перед другим в отношении заключения данного договора, кроме случаев, прямо установленных законом или иными правовыми актами. Необходимо отметить, что цена депозитных услуг, т.е. размер процентов на вклад, а также иные условия договора банковского вклада должны устанавливаться одинаковыми для всех вкладчиков, за исключением случаев, когда законом или иными правовыми актами допускается предоставление льгот для отдельных их категорий. Отказ  банка от заключения договора банковского вклада при наличии у него возможности предоставить гражданину-потребителю депозитные услуги не допускается.</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случае необоснованного уклонения банка от заключения данного договора, вкладчик вправе обратиться в суд с требованием о понуждении заключить договор и о возмещении убытков, причиненных необоснованным уклонением от его заключения. При этом любые условия, не соответствующие требованиям об установлении их одинаковыми для всех вкладчиков (за исключением случаев, когда законом или иными правовыми актами допускается предоставление льгот для отдельных их категорий), являются ничтожными. Необходимо учитывать, что в связи с реальностью данного договора, гражданин-вкладчик не вправе требовать принудительного заключения договора банковского вклада, а банк не может быть признан необоснованно уклоняющимся от его заключения при отсутствии доказательств внесения денежной суммы во вклад[3,328].</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случаях, когда в качестве вкладчика выступает юридическое лицо,  этот договор перестает обладать свойствами публичности.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Кредитная организация также имеет правомочие отказаться от заключения договора банковского вклада с физическим или юридическим лицом в случаях отсутствия по своему местонахождению юридического лица, его постоянно действующего органа управления, иного органа или лица, которые имеют право действовать от имени юридического лица без доверенности; непредставления физическим или юридическим лицом документов, подтверждающих соответствующие сведения, либо представления недостоверных документов, а также наличия в отношении физического или юридического лица сведений об участии в террористической деятельности.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Договор банковского вклада обладает некоторыми особенностями, отличающими его, в том числе и от иных таких же реальных, возмездных и односторонних договоров и составляющими признаки договора банковского вклада:</w:t>
      </w:r>
    </w:p>
    <w:p w:rsidR="00181BA7" w:rsidRPr="00DA76A7" w:rsidRDefault="00181BA7" w:rsidP="00D45D6B">
      <w:pPr>
        <w:pStyle w:val="a6"/>
        <w:widowControl w:val="0"/>
        <w:numPr>
          <w:ilvl w:val="0"/>
          <w:numId w:val="99"/>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объектом  договора банковского вклада могут служить только денежные средства</w:t>
      </w:r>
      <w:r w:rsidRPr="00DA76A7">
        <w:rPr>
          <w:rFonts w:ascii="Arial" w:hAnsi="Arial" w:cs="Arial"/>
          <w:i/>
          <w:iCs/>
          <w:color w:val="000000" w:themeColor="text1"/>
        </w:rPr>
        <w:t xml:space="preserve"> </w:t>
      </w:r>
      <w:r w:rsidRPr="00DA76A7">
        <w:rPr>
          <w:rFonts w:ascii="Arial" w:hAnsi="Arial" w:cs="Arial"/>
          <w:color w:val="000000" w:themeColor="text1"/>
        </w:rPr>
        <w:t>(как наличные, так и безналичные), которые передаются вкладчиком банку. Так как  денежные средства заменимы и обезличенны, они не могут просто «храниться» в банке, на который по той же причине не может быть возложена обязанность по выдаче тех же денежных средств, которые были внесены вкладчиком. Именно по данной причине договор банковского вклада отличается от таких реальных и возмездных договоров, как договор хранения и договор доверительного управления имуществом, содержание которых включает в себя обязанность соответственно хранителя и доверительного управляющего по возврату контрагенту принятого от последнего имущества;</w:t>
      </w:r>
    </w:p>
    <w:p w:rsidR="00181BA7" w:rsidRPr="00DA76A7" w:rsidRDefault="00181BA7" w:rsidP="00D45D6B">
      <w:pPr>
        <w:pStyle w:val="a6"/>
        <w:widowControl w:val="0"/>
        <w:numPr>
          <w:ilvl w:val="0"/>
          <w:numId w:val="99"/>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содержание договора банковского вклада в значительной мере определяется императивными нормами гражданского законодательства и не может произвольно по воле сторон расширяться или сужаться по сравнению с тем, как оно определено законодательством. В рамках императивно установленного содержания договора, которое включает в себя право требования вкладчика выдачи суммы вклада и выплаты процентов на нее и соответствующую обязанность банка, стороны наделены некоторой инициативой лишь в определении условий возврата суммы вклада, не противоречащих закону.</w:t>
      </w:r>
    </w:p>
    <w:p w:rsidR="00181BA7" w:rsidRPr="00DA76A7" w:rsidRDefault="00181BA7" w:rsidP="00181BA7">
      <w:pPr>
        <w:pStyle w:val="a6"/>
        <w:widowControl w:val="0"/>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Данная особенность  отличает договор банковского вклада от договора займа, при котором сторонам дается возможность значительным образом изменять содержание договора, например: освободить заемщика от уплаты процентов; определить в договоре последствия утраты обеспечения обязательств заемщиком; предусмотреть договорное условие об использовании заемщиком полученных средств на определенные цели (целевой заем) и последствия нарушения этого условия.</w:t>
      </w:r>
    </w:p>
    <w:p w:rsidR="00181BA7" w:rsidRPr="00DA76A7" w:rsidRDefault="00181BA7" w:rsidP="00D45D6B">
      <w:pPr>
        <w:pStyle w:val="a6"/>
        <w:widowControl w:val="0"/>
        <w:numPr>
          <w:ilvl w:val="0"/>
          <w:numId w:val="99"/>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существенными особенностями отличается порядок исполнения обязательства, вытекающего из договора банковского вклада. В отличие от многих других гражданско-правовых договоров, все действия банка в договоре банковского вклада (выдача суммы вклада либо ее перечисление на банковский счет вкладчика) совершаются только по требованию (поручению) вкладчика. Не допускается инициативное исполнение банком обязательства по договору банковского вклада (при отсутствии соответствующего требования вкладчика).</w:t>
      </w:r>
    </w:p>
    <w:p w:rsidR="00181BA7" w:rsidRPr="00DA76A7" w:rsidRDefault="00181BA7" w:rsidP="00181BA7">
      <w:pPr>
        <w:tabs>
          <w:tab w:val="left" w:pos="851"/>
          <w:tab w:val="left" w:pos="993"/>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Даже в тех случаях, когда договором банковского вклада установлен срок исполнения обязательства (срочный вклад) либо условие, при наступлении которого банк должен исполнить свое обязательство (условный вклад), наступление указанного срока или выполнение необходимого условия само по себе (без требования вкладчика) не означает, что банк может наконец предоставить кредитору возложенное на него исполнение и тем самым прекратить обязательство. Для таких случаев предусмотрены иные последствия: соответствующий договор банковского вклада считается продленным на условиях вклада до востребования, если иное не предусмотрено договором.</w:t>
      </w:r>
    </w:p>
    <w:p w:rsidR="00181BA7" w:rsidRPr="00DA76A7" w:rsidRDefault="00181BA7" w:rsidP="00D45D6B">
      <w:pPr>
        <w:pStyle w:val="a6"/>
        <w:widowControl w:val="0"/>
        <w:numPr>
          <w:ilvl w:val="0"/>
          <w:numId w:val="99"/>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 договоре банковского вклада обязанность должника (банка) перед кредитором (вкладчиком) по выплате процентов за пользование суммой вклада носит относительно самостоятельный характер. Более того, начисленные банком, но не выплаченные вкладчику проценты (в силу отсутствия соответствующего требования последнего) увеличивают сумму вклада, в результате чего проценты за последующие периоды пользования вкладом начисляются как на основную сумму вклада, так и на ранее начисленные, но не выплаченные проценты, увеличивающие сумму вклада. Отмеченная особенность отличает договор банковского вклада от договора денежного займа, кредита, да и всех остальных гражданско-правовых договоров, возлагающих на одного из контрагентов денежное долговое обязательство (включая обязательство коммерческого кредита), где начисление процентов производится лишь на сумму первоначально образовавшегося долга, а выплата «процентов на проценты» (сложных процентов) по общему правилу не допускается.</w:t>
      </w:r>
    </w:p>
    <w:p w:rsidR="00181BA7" w:rsidRPr="00DA76A7" w:rsidRDefault="00181BA7" w:rsidP="00D45D6B">
      <w:pPr>
        <w:pStyle w:val="a6"/>
        <w:widowControl w:val="0"/>
        <w:numPr>
          <w:ilvl w:val="0"/>
          <w:numId w:val="99"/>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 договоре банковского вклада обязательство должника (банка), включающее в себя обязанности последнего по выдаче суммы вклада и выплате процентов (что характерно также для таких договоров, как договоры займа или кредита), дополняется обязанностью постоянно иметь в наличии определенную денежную сумму, имея в виду, что основная обязанность банка по выдаче суммы вклада и выплате процентов должна быть исполнена по первому требованию вкладчика (исключение составляют лишь срочные вклады юридических лиц).</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Рассмотренные  особенности договора банковского вклада (в своей совокупности) позволяют отграничить его от любых иных гражданско-правовых договоров.</w:t>
      </w:r>
    </w:p>
    <w:p w:rsidR="00181BA7" w:rsidRPr="00DA76A7" w:rsidRDefault="00181BA7" w:rsidP="00181BA7">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Исходя из вышеизложенного, договор банковского вклада, хотя и относится к реальным, односторонним и возмездным, все же обладает рядом отличительных черт и вынесен законодателем в рамки отдельной нормы гражданского регулирования.</w:t>
      </w:r>
    </w:p>
    <w:p w:rsidR="00181BA7" w:rsidRPr="00DA76A7" w:rsidRDefault="00181BA7" w:rsidP="00181BA7">
      <w:pPr>
        <w:ind w:firstLine="567"/>
        <w:jc w:val="both"/>
        <w:rPr>
          <w:rFonts w:ascii="Arial" w:hAnsi="Arial" w:cs="Arial"/>
          <w:bCs/>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Список литературы:</w:t>
      </w:r>
    </w:p>
    <w:p w:rsidR="00181BA7" w:rsidRPr="00DA76A7" w:rsidRDefault="00181BA7" w:rsidP="00D45D6B">
      <w:pPr>
        <w:pStyle w:val="a6"/>
        <w:widowControl w:val="0"/>
        <w:numPr>
          <w:ilvl w:val="0"/>
          <w:numId w:val="113"/>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Гражданский кодекс Российской Федерации (часть вторая) от 26.01.1996 № 14-ФЗ (в ред. Федеральных Законов от 14.06.2012 № 78-ФЗ) // Собрание законодательства РФ. - 1996. - № 5. - ст. 834; Собрание законодательства РФ. - 2012. - № 25. - ст. 3268.</w:t>
      </w:r>
    </w:p>
    <w:p w:rsidR="00181BA7" w:rsidRPr="00DA76A7" w:rsidRDefault="00181BA7" w:rsidP="00D45D6B">
      <w:pPr>
        <w:pStyle w:val="a6"/>
        <w:widowControl w:val="0"/>
        <w:numPr>
          <w:ilvl w:val="0"/>
          <w:numId w:val="113"/>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Белов В.А. Практика применения Гражданского кодекса Российской Федерации, частей второй и третьей. - М.: Юрайт, 2011. - 872 с.</w:t>
      </w:r>
    </w:p>
    <w:p w:rsidR="00181BA7" w:rsidRPr="00DA76A7" w:rsidRDefault="00181BA7" w:rsidP="00D45D6B">
      <w:pPr>
        <w:pStyle w:val="a6"/>
        <w:widowControl w:val="0"/>
        <w:numPr>
          <w:ilvl w:val="0"/>
          <w:numId w:val="113"/>
        </w:numPr>
        <w:tabs>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Суханов Е.А. Обязательственное право. - М.: Волтерс Клувер, 2010. - 527 с.</w:t>
      </w:r>
    </w:p>
    <w:p w:rsidR="00181BA7" w:rsidRPr="00DA76A7" w:rsidRDefault="00181BA7" w:rsidP="00181BA7">
      <w:pPr>
        <w:tabs>
          <w:tab w:val="left" w:pos="993"/>
        </w:tabs>
        <w:ind w:firstLine="567"/>
        <w:jc w:val="both"/>
        <w:rPr>
          <w:rFonts w:ascii="Arial" w:hAnsi="Arial" w:cs="Arial"/>
          <w:color w:val="000000" w:themeColor="text1"/>
          <w:sz w:val="22"/>
          <w:szCs w:val="22"/>
        </w:rPr>
      </w:pPr>
    </w:p>
    <w:p w:rsidR="00181BA7" w:rsidRPr="00DA76A7" w:rsidRDefault="00181BA7" w:rsidP="00181BA7">
      <w:pPr>
        <w:ind w:firstLine="567"/>
        <w:jc w:val="center"/>
        <w:rPr>
          <w:rFonts w:ascii="Arial" w:hAnsi="Arial" w:cs="Arial"/>
          <w:b/>
          <w:bCs/>
          <w:color w:val="000000" w:themeColor="text1"/>
          <w:sz w:val="22"/>
          <w:szCs w:val="22"/>
        </w:rPr>
      </w:pPr>
    </w:p>
    <w:p w:rsidR="00E45BB4" w:rsidRPr="00DA76A7" w:rsidRDefault="00E45BB4" w:rsidP="00E45BB4">
      <w:pPr>
        <w:jc w:val="center"/>
        <w:rPr>
          <w:rFonts w:ascii="Arial" w:hAnsi="Arial" w:cs="Arial"/>
          <w:b/>
          <w:bCs/>
          <w:color w:val="000000" w:themeColor="text1"/>
          <w:sz w:val="22"/>
          <w:szCs w:val="22"/>
        </w:rPr>
      </w:pPr>
      <w:r w:rsidRPr="00DA76A7">
        <w:rPr>
          <w:rFonts w:ascii="Arial" w:hAnsi="Arial" w:cs="Arial"/>
          <w:b/>
          <w:bCs/>
          <w:color w:val="000000" w:themeColor="text1"/>
          <w:sz w:val="22"/>
          <w:szCs w:val="22"/>
        </w:rPr>
        <w:t>СУЩЕСТВЕННЫЕ УСЛОВИЯ И ПОРЯДОК ЗАКЛЮЧЕНИЯ ДОГОВОРА БАНКОВСКОГО ВКЛАДА</w:t>
      </w:r>
    </w:p>
    <w:p w:rsidR="00E45BB4" w:rsidRPr="00DA76A7" w:rsidRDefault="00E45BB4" w:rsidP="00E45BB4">
      <w:pPr>
        <w:jc w:val="center"/>
        <w:rPr>
          <w:rFonts w:ascii="Arial" w:hAnsi="Arial" w:cs="Arial"/>
          <w:b/>
          <w:color w:val="000000" w:themeColor="text1"/>
          <w:sz w:val="22"/>
          <w:szCs w:val="22"/>
        </w:rPr>
      </w:pPr>
    </w:p>
    <w:p w:rsidR="00E45BB4" w:rsidRPr="00DA76A7" w:rsidRDefault="00E45BB4" w:rsidP="00E45BB4">
      <w:pPr>
        <w:jc w:val="center"/>
        <w:rPr>
          <w:rFonts w:ascii="Arial" w:hAnsi="Arial" w:cs="Arial"/>
          <w:b/>
          <w:color w:val="000000" w:themeColor="text1"/>
          <w:sz w:val="22"/>
          <w:szCs w:val="22"/>
        </w:rPr>
      </w:pPr>
      <w:r w:rsidRPr="00DA76A7">
        <w:rPr>
          <w:rFonts w:ascii="Arial" w:hAnsi="Arial" w:cs="Arial"/>
          <w:b/>
          <w:color w:val="000000" w:themeColor="text1"/>
          <w:sz w:val="22"/>
          <w:szCs w:val="22"/>
        </w:rPr>
        <w:t>Холматов Тоир Рахматуллоевич</w:t>
      </w:r>
    </w:p>
    <w:p w:rsidR="00E45BB4" w:rsidRPr="00DA76A7" w:rsidRDefault="00E45BB4" w:rsidP="00E45BB4">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E45BB4" w:rsidRPr="00DA76A7" w:rsidRDefault="00E45BB4" w:rsidP="00E45BB4">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E45BB4" w:rsidRPr="00DA76A7" w:rsidRDefault="00E45BB4" w:rsidP="00E45BB4">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E45BB4" w:rsidRPr="00DA76A7" w:rsidRDefault="00E45BB4" w:rsidP="00E45BB4">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907-15-51-69,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toh</w:t>
      </w:r>
      <w:r w:rsidRPr="00DA76A7">
        <w:rPr>
          <w:rFonts w:ascii="Arial" w:hAnsi="Arial" w:cs="Arial"/>
          <w:color w:val="000000" w:themeColor="text1"/>
          <w:sz w:val="22"/>
          <w:szCs w:val="22"/>
        </w:rPr>
        <w:t>_1992@</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E45BB4" w:rsidRPr="00DA76A7" w:rsidRDefault="00E45BB4" w:rsidP="00E45BB4">
      <w:pPr>
        <w:jc w:val="center"/>
        <w:rPr>
          <w:rFonts w:ascii="Arial" w:hAnsi="Arial" w:cs="Arial"/>
          <w:color w:val="000000" w:themeColor="text1"/>
          <w:sz w:val="22"/>
          <w:szCs w:val="22"/>
        </w:rPr>
      </w:pPr>
    </w:p>
    <w:p w:rsidR="00E45BB4" w:rsidRPr="00DA76A7" w:rsidRDefault="00E45BB4" w:rsidP="00E45BB4">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SIGNIFICANT CONDITIONS AND PROCEDURE FOR CONCLUSION OF THE BANK CONTRIBUTION AGREEMENT</w:t>
      </w:r>
    </w:p>
    <w:p w:rsidR="00E45BB4" w:rsidRPr="00DA76A7" w:rsidRDefault="00E45BB4" w:rsidP="00E45BB4">
      <w:pPr>
        <w:jc w:val="center"/>
        <w:rPr>
          <w:rFonts w:ascii="Arial" w:hAnsi="Arial" w:cs="Arial"/>
          <w:color w:val="000000" w:themeColor="text1"/>
          <w:sz w:val="22"/>
          <w:szCs w:val="22"/>
          <w:lang w:val="en-US"/>
        </w:rPr>
      </w:pPr>
    </w:p>
    <w:p w:rsidR="00E45BB4" w:rsidRPr="00DA76A7" w:rsidRDefault="00E45BB4" w:rsidP="00E45BB4">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Kholmatov Toir Rahmatulloevich</w:t>
      </w:r>
    </w:p>
    <w:p w:rsidR="00E45BB4" w:rsidRPr="00DA76A7" w:rsidRDefault="00E45BB4" w:rsidP="00E45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E45BB4" w:rsidRPr="00DA76A7" w:rsidRDefault="00E45BB4" w:rsidP="00E45BB4">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E45BB4" w:rsidRPr="00DA76A7" w:rsidRDefault="00E45BB4" w:rsidP="00E45BB4">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E45BB4" w:rsidRPr="00DA76A7" w:rsidRDefault="00E45BB4" w:rsidP="00E45BB4">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907-15-51-69, e-mail: toh_1992@mail.ru</w:t>
      </w:r>
    </w:p>
    <w:p w:rsidR="00E45BB4" w:rsidRPr="00DA76A7" w:rsidRDefault="00E45BB4" w:rsidP="00E45BB4">
      <w:pPr>
        <w:ind w:firstLine="567"/>
        <w:jc w:val="center"/>
        <w:rPr>
          <w:rFonts w:ascii="Arial" w:hAnsi="Arial" w:cs="Arial"/>
          <w:color w:val="000000" w:themeColor="text1"/>
          <w:sz w:val="22"/>
          <w:szCs w:val="22"/>
          <w:lang w:val="en-US"/>
        </w:rPr>
      </w:pPr>
    </w:p>
    <w:p w:rsidR="00E45BB4" w:rsidRPr="00DA76A7" w:rsidRDefault="00E45BB4" w:rsidP="00E45BB4">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Исмоилов Ш.М.</w:t>
      </w:r>
    </w:p>
    <w:p w:rsidR="00E45BB4" w:rsidRPr="00DA76A7" w:rsidRDefault="00E45BB4" w:rsidP="00E45BB4">
      <w:pPr>
        <w:ind w:firstLine="567"/>
        <w:jc w:val="center"/>
        <w:rPr>
          <w:rFonts w:ascii="Arial" w:hAnsi="Arial" w:cs="Arial"/>
          <w:color w:val="000000" w:themeColor="text1"/>
          <w:sz w:val="22"/>
          <w:szCs w:val="22"/>
        </w:rPr>
      </w:pPr>
    </w:p>
    <w:p w:rsidR="00E45BB4" w:rsidRPr="00DA76A7" w:rsidRDefault="00E45BB4" w:rsidP="00E45BB4">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существенные условия и порядок заключения договора банковского вклада.</w:t>
      </w:r>
    </w:p>
    <w:p w:rsidR="00E45BB4" w:rsidRPr="00DA76A7" w:rsidRDefault="00E45BB4" w:rsidP="00E45BB4">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this article, we consider the essential conditions and the procedure for concluding a bank deposit contract.</w:t>
      </w:r>
    </w:p>
    <w:p w:rsidR="00E45BB4" w:rsidRPr="00DA76A7" w:rsidRDefault="00E45BB4" w:rsidP="00E45BB4">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банк, вкладчик, срочный договор, договор по востребованию,  сберегательная книжка.</w:t>
      </w:r>
    </w:p>
    <w:p w:rsidR="00E45BB4" w:rsidRPr="00DA76A7" w:rsidRDefault="00E45BB4" w:rsidP="00E45BB4">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bank, depositor, fixed-term contract, demand contract, savings book.</w:t>
      </w:r>
    </w:p>
    <w:p w:rsidR="00E45BB4" w:rsidRPr="00DA76A7" w:rsidRDefault="00E45BB4" w:rsidP="00E45BB4">
      <w:pPr>
        <w:ind w:firstLine="567"/>
        <w:jc w:val="both"/>
        <w:rPr>
          <w:rFonts w:ascii="Arial" w:hAnsi="Arial" w:cs="Arial"/>
          <w:i/>
          <w:color w:val="000000" w:themeColor="text1"/>
          <w:sz w:val="22"/>
          <w:szCs w:val="22"/>
          <w:lang w:val="en-US"/>
        </w:rPr>
      </w:pP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Согласно п. 1 ст. 834 ГК РФ сторонами договора являются банк и вкладчик (п. 1 ст. 834 ГК). </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Банк представляет собой кредитную организацию, которая имеет исключительное право осуществлять, в совокупности, следующие банковские операции: привлечение во вклады денежных средств физических и юридических лиц, размещение указанных средств от своего имени и за свой счет на условиях возвратности, платности, срочности, открытие и ведение банковских счетов физических и юридических лиц[2, 156]. В то же время для осуществления данной операции банку необходимо получить соответствующее разрешение (лицензию), которую выдает Центральный Банк РФ.</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Заключение договоров банковского вклада разрешается не только банкам, но и другим, небанковским кредитным организациям, имеющим право осуществлять отдельные банковские операции, допустимые сочетания которых устанавливаются ЦБ РФ. К таким организациям относятся небанковские депозитно-кредитные организации. На отношения этих организаций и юридических лиц-вкладчиков распространяются правила о договоре банковского вклада (п. 4 ст. 834 ГК). Необходимо учитывать то, что небанковские кредитные организации не вправе привлекать вклады физических лиц.</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Вкладчиком банка может быть любое юридическое или физическое лицо. </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зависимости от субъектного состава договора банковского представляется возможным говорить о двух отдельных видах этого договора:</w:t>
      </w:r>
    </w:p>
    <w:p w:rsidR="00E45BB4" w:rsidRPr="00DA76A7" w:rsidRDefault="00E45BB4" w:rsidP="00E45BB4">
      <w:pPr>
        <w:tabs>
          <w:tab w:val="left" w:pos="851"/>
          <w:tab w:val="left" w:pos="1134"/>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w:t>
      </w:r>
      <w:r w:rsidRPr="00DA76A7">
        <w:rPr>
          <w:rFonts w:ascii="Arial" w:hAnsi="Arial" w:cs="Arial"/>
          <w:color w:val="000000" w:themeColor="text1"/>
          <w:sz w:val="22"/>
          <w:szCs w:val="22"/>
        </w:rPr>
        <w:tab/>
        <w:t>договор банковского вклада между кредитной организацией и юридическим лицом;</w:t>
      </w:r>
    </w:p>
    <w:p w:rsidR="00E45BB4" w:rsidRPr="00DA76A7" w:rsidRDefault="00E45BB4" w:rsidP="00E45BB4">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w:t>
      </w:r>
      <w:r w:rsidRPr="00DA76A7">
        <w:rPr>
          <w:rFonts w:ascii="Arial" w:hAnsi="Arial" w:cs="Arial"/>
          <w:color w:val="000000" w:themeColor="text1"/>
          <w:sz w:val="22"/>
          <w:szCs w:val="22"/>
        </w:rPr>
        <w:tab/>
        <w:t>договор банковского вклада между банком и физическим лицом.</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Договор банковского вклада, в котором вкладчиком является гражданин, признается публичным договором. Поэтому банк не вправе отказать ему в приеме вклада при следующих условиях:</w:t>
      </w:r>
    </w:p>
    <w:p w:rsidR="00E45BB4" w:rsidRPr="00DA76A7" w:rsidRDefault="00E45BB4" w:rsidP="00E45BB4">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w:t>
      </w:r>
      <w:r w:rsidRPr="00DA76A7">
        <w:rPr>
          <w:rFonts w:ascii="Arial" w:hAnsi="Arial" w:cs="Arial"/>
          <w:color w:val="000000" w:themeColor="text1"/>
          <w:sz w:val="22"/>
          <w:szCs w:val="22"/>
        </w:rPr>
        <w:tab/>
        <w:t>согласно учредительным документам и лицензии банк имеет право на осуществление сберегательных операций;</w:t>
      </w:r>
    </w:p>
    <w:p w:rsidR="00E45BB4" w:rsidRPr="00DA76A7" w:rsidRDefault="00E45BB4" w:rsidP="00E45BB4">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w:t>
      </w:r>
      <w:r w:rsidRPr="00DA76A7">
        <w:rPr>
          <w:rFonts w:ascii="Arial" w:hAnsi="Arial" w:cs="Arial"/>
          <w:color w:val="000000" w:themeColor="text1"/>
          <w:sz w:val="22"/>
          <w:szCs w:val="22"/>
        </w:rPr>
        <w:tab/>
        <w:t>прием вклада не приведет к нарушению законодательства и обязательных экономических нормативов, установленных ЦБ РФ;</w:t>
      </w:r>
    </w:p>
    <w:p w:rsidR="00E45BB4" w:rsidRPr="00DA76A7" w:rsidRDefault="00E45BB4" w:rsidP="00E45BB4">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w:t>
      </w:r>
      <w:r w:rsidRPr="00DA76A7">
        <w:rPr>
          <w:rFonts w:ascii="Arial" w:hAnsi="Arial" w:cs="Arial"/>
          <w:color w:val="000000" w:themeColor="text1"/>
          <w:sz w:val="22"/>
          <w:szCs w:val="22"/>
        </w:rPr>
        <w:tab/>
        <w:t>банк не приостановил дальнейшего приема вкладов от населения по причинам экономического или иного характера;</w:t>
      </w:r>
    </w:p>
    <w:p w:rsidR="00E45BB4" w:rsidRPr="00DA76A7" w:rsidRDefault="00E45BB4" w:rsidP="00E45BB4">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w:t>
      </w:r>
      <w:r w:rsidRPr="00DA76A7">
        <w:rPr>
          <w:rFonts w:ascii="Arial" w:hAnsi="Arial" w:cs="Arial"/>
          <w:color w:val="000000" w:themeColor="text1"/>
          <w:sz w:val="22"/>
          <w:szCs w:val="22"/>
        </w:rPr>
        <w:tab/>
        <w:t>у банка имеются необходимые производственные и технические возможности для приема вклада;</w:t>
      </w:r>
    </w:p>
    <w:p w:rsidR="00E45BB4" w:rsidRPr="00DA76A7" w:rsidRDefault="00E45BB4" w:rsidP="00E45BB4">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w:t>
      </w:r>
      <w:r w:rsidRPr="00DA76A7">
        <w:rPr>
          <w:rFonts w:ascii="Arial" w:hAnsi="Arial" w:cs="Arial"/>
          <w:color w:val="000000" w:themeColor="text1"/>
          <w:sz w:val="22"/>
          <w:szCs w:val="22"/>
        </w:rPr>
        <w:tab/>
        <w:t>отсутствуют другие причины, лишающие банк возможности принять вклад.</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Внесение банковского вклада возможно  не только самим вкладчиком, но и третьими лицами. Любое лицо может  внести денежные средства на имя и на счет вкладчика банка, открытый ранее его владельцем. В данном случае требуется, чтобы это лицо предоставило банку сведения о счете, необходимые для зачисления на него суммы вклада.</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Данная сделка, заключенная указанным лицом с банком, рассматривается как договор в пользу третьего лица. При этом последний не вправе без согласия вкладчика расторгать свой договор с банком вкладчика, выговоренными в его пользу. До указанного времени вкладчиком является вноситель средств, и он может в полном объеме ими распоряжаться. Согласие выгодоприобретателя воспользоваться правами вкладчика считается выраженным в тот момент, когда он предъявил к банку первое требование, основанное на этих правах, либо иным образом выразил свое намерение. Это может быть требование о выдаче вклада или его части, внесение нового вклада на открытый в его пользу депозитный счет, оформление завещания на вклад, выдача доверенности на право распоряжения вкладом и т.п.</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зависимости от срока исполнения выделяют договор банковского вклада до востребования, который заключается на условиях выдачи вклада по первому требованию либо срочный вклад - на условиях возврата вклада по истечении определенного договором срока. Договором может быть предусмотрено внесение вкладов на иных условиях их возврата, не противоречащих.</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срочном вкладе вкладчик не может требовать возврата внесенных им средств ранее наступления определенного в договоре обстоятельства. Наиболее распространены срочные вклады на определенный период времени, в течение которого банк вправе пользоваться средствами вкладчика. Однако существуют и другие разновидности срочных вкладов.</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возвращении вкладчику вклада по его требованию до истечения срока либо до наступления иных обстоятельств, указанных в договоре банковского вклада, проценты по вкладу выплачиваются в размере, соответствующем размеру процентов, выплачиваемых банком по вкладам до востребования, если договором не предусмотрен иной размер процентов.</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вкладчик не требует возврата суммы срочного вклада по истечении срока либо суммы вклада, внесенного на иных условиях возврата, - при наступлении предусмотренных договором обстоятельств, договор считается продленным на условиях вклада до востребования, если иное не предусмотрено договором[3, 247].</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Законодатель предусматривает последствия преобразования срочного вклада во вклад до востребования по инициативе вкладчика. При данных изменениях банк не связан первоначальными обязательствами по выплате процентов за пользование средствами вкладчика в течение всего срока действия договора, а выплачивает такому вкладчику проценты в меньшем размере, т.е. в том, который установлен банком для аналогичных вкладов до востребования, если иной размер процентов на этот случай специально не был предусмотрен в договоре. Проценты начисляются на весь период фактического пользования средствами вкладчика. </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Банк вправе по вкладам до востребования в одностороннем порядке изменять (уменьшать или увеличивать) размер процентной ставки за пользование средствами вкладчика, если иное не предусмотрено договором. При уменьшении процентной ставки вкладчик может уведомляться разными способами: под расписку, по почте заказным письмом с уведомлением о вручении и т.п. Способ уведомления вкладчика может быть согласован в договоре (например, по факсу и т.п.).</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Договор банковского вклада заключается  в письменной форме, то есть удостоверено сберегательной книжкой, сберегательным или депозитным сертификатом либо иным выданным банком вкладчику документом, отвечающим требованиям, предусмотренным для таких документов законом, установленными в соответствии с ним банковскими правилами и применяемыми в банковской практике обычаями делового оборота. Договор является ничтожным при несоблюдении письменной формы.</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Закон специально регулирует удостоверение внесения вклада сберегательной книжкой и сберегательным или депозитным сертификатом. В качестве общего правила заключение договора банковского вклада с гражданином и внесение денежных средств на его счет по вкладу удостоверяются сберегательной книжкой, хотя иное может быть предусмотрено соглашением сторон.</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Договором банковского вклада может быть предусмотрена выдача именной сберегательной книжки или сберегательной книжки на предъявителя. Именная является документом, лишь удостоверяющим принадлежность вклада определенному лицу, а сберегательная книжки на предъявителя признана законом ценной бумагой.</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вклад юридического лица сберегательной книжкой не оформляется.</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Все операции по счету также должны быть отражены в книжке с указанием остатка денежных средств на счете. Предъявление вкладчиком сберегательной книжки является обязательным условием выдачи банком вклада, выплаты процентов по нему и исполнения распоряжений вкладчика о перечислении денежных средств со счета другим лицам. Но она может быть утрачена или прийти в негодность. В этом случае применяются различные правила в зависимости от вида сберкнижки.</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утрачена или приведена в негодное для предъявления состояние именная сберегательная книжка, банк по заявлению вкладчика выдает ему новую.</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Восстановление прав по утраченной сберегательной книжке на предъявителя осуществляется в порядке, предусмотренном гражданским процессуальным законодательством. В настоящее время такой порядок (вызывное производство) установлен в гл. 34 ГПК.</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Рассмотрев данный вопрос, мы можем прийти к выводу о существовании на современном этапе разных видов договоров банковского вклада, классифицирующихся в зависимости от субъектного состава, момента исполнения. Основные условия данных договоров и порядок их исполнения закреплены в гражданском законодательстве и позволяют регулировать основные вопросы, возникающие на практике.</w:t>
      </w:r>
    </w:p>
    <w:p w:rsidR="00E45BB4" w:rsidRPr="00DA76A7" w:rsidRDefault="00E45BB4" w:rsidP="00E45BB4">
      <w:pPr>
        <w:ind w:firstLine="567"/>
        <w:jc w:val="both"/>
        <w:rPr>
          <w:rFonts w:ascii="Arial" w:hAnsi="Arial" w:cs="Arial"/>
          <w:color w:val="000000" w:themeColor="text1"/>
          <w:sz w:val="22"/>
          <w:szCs w:val="22"/>
        </w:rPr>
      </w:pPr>
    </w:p>
    <w:p w:rsidR="00E45BB4" w:rsidRPr="00DA76A7" w:rsidRDefault="00E45BB4" w:rsidP="00E45BB4">
      <w:pPr>
        <w:ind w:firstLine="567"/>
        <w:jc w:val="center"/>
        <w:rPr>
          <w:rFonts w:ascii="Arial" w:hAnsi="Arial" w:cs="Arial"/>
          <w:b/>
          <w:bCs/>
          <w:color w:val="000000" w:themeColor="text1"/>
          <w:sz w:val="22"/>
          <w:szCs w:val="22"/>
        </w:rPr>
      </w:pPr>
      <w:r w:rsidRPr="00DA76A7">
        <w:rPr>
          <w:rFonts w:ascii="Arial" w:hAnsi="Arial" w:cs="Arial"/>
          <w:b/>
          <w:bCs/>
          <w:color w:val="000000" w:themeColor="text1"/>
          <w:sz w:val="22"/>
          <w:szCs w:val="22"/>
        </w:rPr>
        <w:t>Список литературы:</w:t>
      </w:r>
    </w:p>
    <w:p w:rsidR="00E45BB4" w:rsidRPr="00DA76A7" w:rsidRDefault="00E45BB4" w:rsidP="00E45BB4">
      <w:pPr>
        <w:pStyle w:val="a6"/>
        <w:widowControl w:val="0"/>
        <w:numPr>
          <w:ilvl w:val="0"/>
          <w:numId w:val="98"/>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Гражданский кодекс Российской Федерации (часть вторая) от 26.01.1996 № 14-ФЗ (в ред. Федеральных Законов от 14.06.2012 № 78-ФЗ) // Собрание законодательства РФ. - 1996. - № 5. - ст. 834; Собрание законодательства РФ. - 2012. - № 25. - ст. 3268.</w:t>
      </w:r>
    </w:p>
    <w:p w:rsidR="00E45BB4" w:rsidRPr="00DA76A7" w:rsidRDefault="00E45BB4" w:rsidP="00E45BB4">
      <w:pPr>
        <w:pStyle w:val="a6"/>
        <w:widowControl w:val="0"/>
        <w:numPr>
          <w:ilvl w:val="0"/>
          <w:numId w:val="98"/>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Олейник О.М. Основы банковского права. - М.: Юристъ, 2011. - 278 с.</w:t>
      </w:r>
    </w:p>
    <w:p w:rsidR="00E45BB4" w:rsidRPr="00DA76A7" w:rsidRDefault="00E45BB4" w:rsidP="00E45BB4">
      <w:pPr>
        <w:pStyle w:val="a6"/>
        <w:widowControl w:val="0"/>
        <w:numPr>
          <w:ilvl w:val="0"/>
          <w:numId w:val="98"/>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Приходько А.В. Банковское право. - М.: Итеми, 2011. - 489 с.</w:t>
      </w:r>
    </w:p>
    <w:p w:rsidR="00E45BB4" w:rsidRPr="00DA76A7" w:rsidRDefault="00E45BB4" w:rsidP="00E45BB4">
      <w:pPr>
        <w:tabs>
          <w:tab w:val="left" w:pos="851"/>
          <w:tab w:val="left" w:pos="993"/>
        </w:tabs>
        <w:ind w:firstLine="567"/>
        <w:jc w:val="both"/>
        <w:rPr>
          <w:rFonts w:ascii="Arial" w:hAnsi="Arial" w:cs="Arial"/>
          <w:color w:val="000000" w:themeColor="text1"/>
          <w:sz w:val="22"/>
          <w:szCs w:val="22"/>
        </w:rPr>
      </w:pPr>
    </w:p>
    <w:p w:rsidR="00E45BB4" w:rsidRPr="00DA76A7" w:rsidRDefault="00E45BB4" w:rsidP="00181BA7">
      <w:pPr>
        <w:ind w:firstLine="567"/>
        <w:jc w:val="center"/>
        <w:rPr>
          <w:rFonts w:ascii="Arial" w:hAnsi="Arial" w:cs="Arial"/>
          <w:b/>
          <w:bCs/>
          <w:color w:val="000000" w:themeColor="text1"/>
          <w:sz w:val="22"/>
          <w:szCs w:val="22"/>
        </w:rPr>
      </w:pP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РЕКЛАМА И ОФЕРТА</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rPr>
      </w:pP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Цыцурина Мария Николаевна</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3-го курса очного отделения факультета непрерывного образования</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Северо-Кавказский филиал Российского государственного университета правосудия</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350020, Россия, г. Краснодар, ул. Брянская,49</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.:+79189813587, e-mail: </w:t>
      </w:r>
      <w:hyperlink r:id="rId256" w:history="1">
        <w:r w:rsidRPr="00DA76A7">
          <w:rPr>
            <w:rStyle w:val="af0"/>
            <w:rFonts w:ascii="Arial" w:eastAsia="Calibri" w:hAnsi="Arial" w:cs="Arial"/>
            <w:color w:val="000000" w:themeColor="text1"/>
            <w:sz w:val="22"/>
            <w:szCs w:val="22"/>
            <w:u w:val="none"/>
            <w:lang w:val="en-US"/>
          </w:rPr>
          <w:t>maria199723@mail.ru</w:t>
        </w:r>
      </w:hyperlink>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ADVERTISING AND OFFERING</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Tsytsurina Maria Nikolaevna</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of the 3 rd year full-time department of the faculty of continuous education</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North-Caucasian Branch of the Russian State University of Justice</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350020, Russia, Krasnodar, st. Bryanskaya, 49</w:t>
      </w:r>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+ 79189813587, e-mail: </w:t>
      </w:r>
      <w:hyperlink r:id="rId257" w:history="1">
        <w:r w:rsidRPr="00DA76A7">
          <w:rPr>
            <w:rStyle w:val="af0"/>
            <w:rFonts w:ascii="Arial" w:eastAsia="Calibri" w:hAnsi="Arial" w:cs="Arial"/>
            <w:color w:val="000000" w:themeColor="text1"/>
            <w:sz w:val="22"/>
            <w:szCs w:val="22"/>
            <w:u w:val="none"/>
            <w:lang w:val="en-US"/>
          </w:rPr>
          <w:t>maria199723@mail.ru</w:t>
        </w:r>
      </w:hyperlink>
    </w:p>
    <w:p w:rsidR="00181BA7" w:rsidRPr="00DA76A7" w:rsidRDefault="00181BA7" w:rsidP="00181BA7">
      <w:pPr>
        <w:pStyle w:val="a7"/>
        <w:shd w:val="clear" w:color="auto" w:fill="FFFFFF"/>
        <w:spacing w:before="0" w:beforeAutospacing="0" w:after="0" w:afterAutospacing="0"/>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w:t>
      </w:r>
    </w:p>
    <w:p w:rsidR="00181BA7" w:rsidRPr="00DA76A7" w:rsidRDefault="00181BA7" w:rsidP="00181BA7">
      <w:pPr>
        <w:pStyle w:val="a7"/>
        <w:shd w:val="clear" w:color="auto" w:fill="FFFFFF"/>
        <w:spacing w:before="0" w:beforeAutospacing="0" w:after="0" w:afterAutospacing="0"/>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анализируется практика применения субъектами гражданских правоотношений института оферты, проблемы его толкования и смешение с таким понятием, как «реклама». Автором ставится цель выделить причины этих проблем и определить пути их комплексного решения.</w:t>
      </w:r>
    </w:p>
    <w:p w:rsidR="00181BA7" w:rsidRPr="00DA76A7" w:rsidRDefault="00181BA7" w:rsidP="00181BA7">
      <w:pPr>
        <w:pStyle w:val="a7"/>
        <w:shd w:val="clear" w:color="auto" w:fill="FFFFFF"/>
        <w:spacing w:before="0" w:beforeAutospacing="0" w:after="0" w:afterAutospacing="0"/>
        <w:ind w:firstLine="567"/>
        <w:contextualSpacing/>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this article, the practice of applying subjects of citizens to legal relations of the offer institute, the problems of its interpretation and confusion with such a concept as «advertising» is analyzed. The author sets the task to solve these problems and determine the ways of their integrated solution.</w:t>
      </w:r>
    </w:p>
    <w:p w:rsidR="00181BA7" w:rsidRPr="00DA76A7" w:rsidRDefault="00181BA7" w:rsidP="00181BA7">
      <w:pPr>
        <w:pStyle w:val="a7"/>
        <w:shd w:val="clear" w:color="auto" w:fill="FFFFFF"/>
        <w:spacing w:before="0" w:beforeAutospacing="0" w:after="0" w:afterAutospacing="0"/>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00AC759E" w:rsidRPr="00DA76A7">
        <w:rPr>
          <w:rFonts w:ascii="Arial" w:hAnsi="Arial" w:cs="Arial"/>
          <w:b/>
          <w:i/>
          <w:color w:val="000000" w:themeColor="text1"/>
          <w:sz w:val="22"/>
          <w:szCs w:val="22"/>
        </w:rPr>
        <w:t>:</w:t>
      </w:r>
      <w:r w:rsidRPr="00DA76A7">
        <w:rPr>
          <w:rFonts w:ascii="Arial" w:hAnsi="Arial" w:cs="Arial"/>
          <w:i/>
          <w:color w:val="000000" w:themeColor="text1"/>
          <w:sz w:val="22"/>
          <w:szCs w:val="22"/>
        </w:rPr>
        <w:t xml:space="preserve"> оферта, договор публичной оферты, реклама, правовое регулирование рекламной деятельности.</w:t>
      </w:r>
    </w:p>
    <w:p w:rsidR="00181BA7" w:rsidRPr="00DA76A7" w:rsidRDefault="00181BA7" w:rsidP="00181BA7">
      <w:pPr>
        <w:pStyle w:val="a7"/>
        <w:shd w:val="clear" w:color="auto" w:fill="FFFFFF"/>
        <w:spacing w:before="0" w:beforeAutospacing="0" w:after="0" w:afterAutospacing="0"/>
        <w:ind w:firstLine="567"/>
        <w:contextualSpacing/>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00AC759E" w:rsidRPr="00DA76A7">
        <w:rPr>
          <w:rFonts w:ascii="Arial" w:hAnsi="Arial" w:cs="Arial"/>
          <w:b/>
          <w:i/>
          <w:color w:val="000000" w:themeColor="text1"/>
          <w:sz w:val="22"/>
          <w:szCs w:val="22"/>
          <w:lang w:val="en-US"/>
        </w:rPr>
        <w:t>:</w:t>
      </w:r>
      <w:r w:rsidRPr="00DA76A7">
        <w:rPr>
          <w:rFonts w:ascii="Arial" w:hAnsi="Arial" w:cs="Arial"/>
          <w:i/>
          <w:color w:val="000000" w:themeColor="text1"/>
          <w:sz w:val="22"/>
          <w:szCs w:val="22"/>
          <w:lang w:val="en-US"/>
        </w:rPr>
        <w:t xml:space="preserve"> Offer, public offer contract, advertising, legal regulation of advertising activities.</w:t>
      </w:r>
    </w:p>
    <w:p w:rsidR="00181BA7" w:rsidRPr="00DA76A7" w:rsidRDefault="00181BA7" w:rsidP="00181BA7">
      <w:pPr>
        <w:pStyle w:val="a7"/>
        <w:spacing w:before="0" w:beforeAutospacing="0" w:after="0" w:afterAutospacing="0"/>
        <w:ind w:firstLine="567"/>
        <w:contextualSpacing/>
        <w:jc w:val="both"/>
        <w:rPr>
          <w:rFonts w:ascii="Arial" w:hAnsi="Arial" w:cs="Arial"/>
          <w:noProof/>
          <w:color w:val="000000" w:themeColor="text1"/>
          <w:sz w:val="22"/>
          <w:szCs w:val="22"/>
          <w:lang w:val="en-US"/>
        </w:rPr>
      </w:pPr>
    </w:p>
    <w:p w:rsidR="00AC759E" w:rsidRPr="00C84297" w:rsidRDefault="00AC759E" w:rsidP="00AC759E">
      <w:pPr>
        <w:pStyle w:val="a7"/>
        <w:spacing w:after="0" w:afterAutospacing="0"/>
        <w:ind w:firstLine="567"/>
        <w:contextualSpacing/>
        <w:jc w:val="both"/>
        <w:rPr>
          <w:rFonts w:ascii="Arial" w:hAnsi="Arial" w:cs="Arial"/>
          <w:noProof/>
          <w:color w:val="000000" w:themeColor="text1"/>
          <w:sz w:val="22"/>
          <w:szCs w:val="22"/>
        </w:rPr>
      </w:pPr>
      <w:r w:rsidRPr="00C84297">
        <w:rPr>
          <w:rFonts w:ascii="Arial" w:hAnsi="Arial" w:cs="Arial"/>
          <w:noProof/>
          <w:color w:val="000000" w:themeColor="text1"/>
          <w:sz w:val="22"/>
          <w:szCs w:val="22"/>
        </w:rPr>
        <w:t>Оферта как институт права в современный период развития гражданского законодательства имеет широкое распространение. Его содержание и сфера применения рассматриваются в различных правовых аспектах в теории гражданского права. Однако остается неясно как положения оферты применяются на практике субъектами правоотношений.</w:t>
      </w:r>
    </w:p>
    <w:p w:rsidR="00AC759E" w:rsidRPr="00C84297" w:rsidRDefault="00AC759E" w:rsidP="00AC759E">
      <w:pPr>
        <w:pStyle w:val="a7"/>
        <w:spacing w:after="0" w:afterAutospacing="0"/>
        <w:ind w:firstLine="567"/>
        <w:contextualSpacing/>
        <w:jc w:val="both"/>
        <w:rPr>
          <w:rFonts w:ascii="Arial" w:hAnsi="Arial" w:cs="Arial"/>
          <w:noProof/>
          <w:color w:val="000000" w:themeColor="text1"/>
          <w:sz w:val="22"/>
          <w:szCs w:val="22"/>
        </w:rPr>
      </w:pPr>
      <w:r w:rsidRPr="00C84297">
        <w:rPr>
          <w:rFonts w:ascii="Arial" w:hAnsi="Arial" w:cs="Arial"/>
          <w:noProof/>
          <w:color w:val="000000" w:themeColor="text1"/>
          <w:sz w:val="22"/>
          <w:szCs w:val="22"/>
        </w:rPr>
        <w:t xml:space="preserve">Распространяемая информация, имеющая признаки оферты, ко многому обязывает лиц, которые ее публикуют. Поскольку с любым обратившимся по данному «объявлению» должно быть заключено соглашение именно на озвученных ранее условиях, это исходит из самого существа оферты.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noProof/>
          <w:sz w:val="22"/>
          <w:szCs w:val="22"/>
        </w:rPr>
        <w:t xml:space="preserve">По общему правилу, гражданско-правовые договоры заключаются путем направления одной стороны оферты (предложения заключить договор) и ее акцепта (принятия предложения) другой стороной. Правовое регулирование в отношении оферты осуществляет Гражданский кодекс Российской Федерации (далее – ГК РФ). В соответствии с ним, под офертой понимается: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w:t>
      </w:r>
      <w:r w:rsidRPr="00C84297">
        <w:rPr>
          <w:rFonts w:ascii="Arial" w:hAnsi="Arial" w:cs="Arial"/>
          <w:color w:val="000000" w:themeColor="text1"/>
          <w:sz w:val="22"/>
          <w:szCs w:val="22"/>
        </w:rPr>
        <w:t>предложение (п.1 ст.435 ГК РФ) [1]. Законодателем выдвинуто главное требование к оферте, она должна содержать в себе все существенные условия. Помимо этого, оферта должна: 1) быть достаточно определенной; 2) выражать намерения лица считать себя заключившим соглашение с адресатом; 3) иметь конкретных адресатов.</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Указанный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выстилавшийся набор существенных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междометный является максимальным.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Соответственно,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лик после того как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адресат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добродушно примет предложение, без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внесения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ломящийся каких-либо изменений или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дополнений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необоротистый со своей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стороны,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дожившийся</w:t>
      </w:r>
      <w:r w:rsidRPr="00C84297">
        <w:rPr>
          <w:rFonts w:ascii="Arial" w:hAnsi="Arial" w:cs="Arial"/>
          <w:color w:val="000000" w:themeColor="text1"/>
          <w:sz w:val="22"/>
          <w:szCs w:val="22"/>
        </w:rPr>
        <w:t xml:space="preserve">оферент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сможет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обеспеченнее менять условия,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содержащиеся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подсеивавшийся в оферте. Смысл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этого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приостанавливающий требования 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сверкавший состоит в том, что  она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должна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ужимка быть настолько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определенная,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дебош чтобы можно было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путем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развьючивающий ее принятия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достигнут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староватый ь соглашения о всем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договоре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гетманский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Достаточная определенность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мине</w:t>
      </w:r>
      <w:r w:rsidRPr="00C84297">
        <w:rPr>
          <w:rFonts w:ascii="Arial" w:hAnsi="Arial" w:cs="Arial"/>
          <w:color w:val="000000" w:themeColor="text1"/>
          <w:sz w:val="22"/>
          <w:szCs w:val="22"/>
        </w:rPr>
        <w:t xml:space="preserve">согласно ГК РФ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предполагает,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тросома</w:t>
      </w:r>
      <w:r w:rsidRPr="00C84297">
        <w:rPr>
          <w:rFonts w:ascii="Arial" w:hAnsi="Arial" w:cs="Arial"/>
          <w:color w:val="000000" w:themeColor="text1"/>
          <w:sz w:val="22"/>
          <w:szCs w:val="22"/>
        </w:rPr>
        <w:t xml:space="preserve">что содержание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должно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своевольник оставлять сомнений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относительно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досчитывающий того, что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именно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бесшерстный желает предложить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оферент.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турбобурени</w:t>
      </w:r>
      <w:r w:rsidRPr="00C84297">
        <w:rPr>
          <w:rFonts w:ascii="Arial" w:hAnsi="Arial" w:cs="Arial"/>
          <w:color w:val="000000" w:themeColor="text1"/>
          <w:sz w:val="22"/>
          <w:szCs w:val="22"/>
        </w:rPr>
        <w:t xml:space="preserve">Любая неопределенность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отношении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чащоба различных элементов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будущего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графоманка соглашения -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указания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сплотившийся</w:t>
      </w:r>
      <w:r w:rsidRPr="00C84297">
        <w:rPr>
          <w:rFonts w:ascii="Arial" w:hAnsi="Arial" w:cs="Arial"/>
          <w:color w:val="000000" w:themeColor="text1"/>
          <w:sz w:val="22"/>
          <w:szCs w:val="22"/>
        </w:rPr>
        <w:t xml:space="preserve">сторон, их прав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обязанностей,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мифотворческий</w:t>
      </w:r>
      <w:r w:rsidRPr="00C84297">
        <w:rPr>
          <w:rFonts w:ascii="Arial" w:hAnsi="Arial" w:cs="Arial"/>
          <w:color w:val="000000" w:themeColor="text1"/>
          <w:sz w:val="22"/>
          <w:szCs w:val="22"/>
        </w:rPr>
        <w:t xml:space="preserve">предмета может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привести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столярка к различному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пониманию</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вклеившийся содержания оферты, что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повлечет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септицемия за собой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утрату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шпалера офертой своего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назначения.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обременить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Второе требование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относится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истрепывающийся к направленности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графоман Она должна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выражать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никогда намерение лица,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которое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гандикап выступает с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предложением,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заведовать считать себя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заключившим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низвергающий договор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условиях,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синклит указанных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договоре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недостаточность</w:t>
      </w:r>
      <w:r w:rsidRPr="00C84297">
        <w:rPr>
          <w:rFonts w:ascii="Arial" w:hAnsi="Arial" w:cs="Arial"/>
          <w:color w:val="000000" w:themeColor="text1"/>
          <w:sz w:val="22"/>
          <w:szCs w:val="22"/>
        </w:rPr>
        <w:t xml:space="preserve">с адресатом,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случае,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горбить если последний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примет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стращанный предложение. Указанное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требование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наряжавший означает, что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пемзованный должна быть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составлена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запрягающийся таким образом,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чтобы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торгпред позволить адресату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сделать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скорей вывод: для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заключения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мерить договора достаточно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выражения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Горно-Алтайск совпадающей с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бунтовщик воли им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самим.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ссаживающий Отмеченный признак, как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предыдущий,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палеомагнетизм позволяет отграничить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ротативный от обычных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переговоров,</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подломившийся совершаемых устно или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письменно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набиравшийся и имеющих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целью</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хохотунья уточнить намерения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контрагента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заинтересованность или вызвать его на 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чтобы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наизнаменитейший он, в свою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очередь,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достланный выступил с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контрпредложением.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кримпленовый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Третье условие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связано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перенашивавший с адресностью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помечаемый Иначе говоря, из нее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должно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притереть быть ясно, к кому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именно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препятствовать она обращена.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Важно,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постижение</w:t>
      </w:r>
      <w:r w:rsidRPr="00C84297">
        <w:rPr>
          <w:rFonts w:ascii="Arial" w:hAnsi="Arial" w:cs="Arial"/>
          <w:color w:val="000000" w:themeColor="text1"/>
          <w:sz w:val="22"/>
          <w:szCs w:val="22"/>
        </w:rPr>
        <w:t xml:space="preserve">что это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лица,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кроватка которых можно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идентифицировать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поколупать на момент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отправки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линейчатый предложения.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будет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пудрящийся офертой предложение,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адресованное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игнорировавший любому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каждому,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ашхабадский неопределенному кругу лиц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(если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азотосодержащий только оно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подпадает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проповедовавшийся под признаки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публичной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аргументирующийся оферты - об этом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ниже).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Определенность адресата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недоглядывавшийся подвергалась большим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дискуссиям.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проворачивающий  Так, была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весьма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похищавший популярна точка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зрения,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рассасывавшийся по которой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олимпиец должна быть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всегда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удостоившийся адресована конкретному лицу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(лицам)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сердолик и никогда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может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Иосифович быть «брошена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толпу».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обтаявший Сторонникам такой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позиции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несколько была P.O.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Халфина,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перегородочный которая полагала, что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«предложение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растеньице не может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рассматриваться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раздвигать как оферта,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поскольку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укокошиваемый здесь еще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установлен</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безапелляционный один из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существенных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мифический элементов договора — его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сторона»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Булыгин [8, 207]. Ее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позицию</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прелестно поддержал Ф.И.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Гавзе,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отреставрированный утверждавший: «оферта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должна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настругать обладать определенными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чертами,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доламывавшийся в числе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которых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Ямщикова обязательная направленность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определенному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знаменосец лицу или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определенным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бытовик лицам» [6, 28].</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Существовала противоположная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точка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Донат зрения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пользу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приспособлять признания офертой при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условиях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снегозаносимый предложения, адресованного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неопределенному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наимягчайший кругу лиц, если из нее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усматривалась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бычковый воля оферента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заключить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взбучивший сделки «с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любым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возбуждавшийся и каждым».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Такой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парусина позиции придерживались И.Б.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Новицкий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тонкорунный и Л.А.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Лунц,</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негодовать склонявшиеся к тому что, «из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этого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притрусивший не следует,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чтобы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теплеть этой другой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стороной,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чесанный к которой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направляется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латающий предложение, было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всегда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дистилляция точно определенно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лицо.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погожий Даже при так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называемом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реализовывать публичном предложении 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моменту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недопаханный заключения договора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личность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неплакатный второй стороны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выясняется,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пробеленный и договор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заключается,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проводимость следовательно, с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определенным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дорывшийся лицом. Поэтому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договор</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безотрывно (оферты), обращаемые 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неопределенному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голосовавший лицу, следует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признать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лисичанский допустимым» [7,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122].</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дубликат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От оферты надо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отличать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обстряпанный приглашение делать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продолговато В соответствии с ГК РФ,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качестве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приравнивавшийся приглашений делать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безарматурный рассматривается большинство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рекламных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проблескивать объявлений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подобных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опровергавший им предложений, если они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имеют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перелущенный четко определенных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адресатов</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фазотрон и предназначены для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неопределенного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сцепившийся круга лиц (п.1 ст. 437) [1].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отличие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неприятельский от оферты,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приглашение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благодаривший делать оферты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никак</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Ксенофонтович не связывает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лицо,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подсыпанный от которого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такое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припекающийся приглашение исходит.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Сделав</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Николо его, он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может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ушивка получать оферты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рассматривать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русальный их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основании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богатеющий принципа свободы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заключения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двоеженство договора, выбора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контрагента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Клавин и свободы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определения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юрисконсультство его условий.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Исключение составляют так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называемые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посетовавший публичные оферты.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Публичной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припоминавшийся офертой признается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содержащее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босфорский все существенные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стряпчий договора предложение, из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которого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перепроверяемый усматривается воля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лица,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мужчина делающего предложение,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заключить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стяжной договор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указанных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стадо в предложении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условиях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процессорный с любым, кто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отзовется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Даллас (</w:t>
      </w:r>
      <w:hyperlink r:id="rId258" w:history="1">
        <w:r w:rsidRPr="00C84297">
          <w:rPr>
            <w:rStyle w:val="af0"/>
            <w:rFonts w:ascii="Arial" w:hAnsi="Arial" w:cs="Arial"/>
            <w:color w:val="000000" w:themeColor="text1"/>
            <w:sz w:val="22"/>
            <w:szCs w:val="22"/>
            <w:u w:val="none"/>
          </w:rPr>
          <w:t>п. 2 ст. 437</w:t>
        </w:r>
      </w:hyperlink>
      <w:r w:rsidRPr="00C84297">
        <w:rPr>
          <w:rFonts w:ascii="Arial" w:hAnsi="Arial" w:cs="Arial"/>
          <w:color w:val="000000" w:themeColor="text1"/>
          <w:sz w:val="22"/>
          <w:szCs w:val="22"/>
        </w:rPr>
        <w:t xml:space="preserve"> ГК РФ) [1].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Особенностью</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метод публичной оферты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является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убывание то, что она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адресована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спектральный широкому кругу лиц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может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кругом быть акцептована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любым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баснословность лицом, соответствующим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требованиям,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экскаваторостроительный указанным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обтравливать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На практике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публичные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переспорить оферты нередко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смешиваются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дистанцироваться с рекламой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иными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стиральный подобными предложениями,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адресованными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закупоренный неопределенному кругу лиц.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Принципиальное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увечье отличие публичной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оборудовавшийся от таких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предложений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маневренность заключается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следующем: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распарывавший публичная оферта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обладает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обрывавший большей определенностью -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указываются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драпать все существенные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терпеливый договора; намерение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оферента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пугающий заключить договор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является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великоросс явно выраженным.</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К публичной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пикообразный можно отнести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демонстрацию</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обрызгивающий товаров, образцов,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снимков</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показывавший в каталогах.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Такая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перезаключавший оферта действует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течение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прохаживающийся двух месяцев со дня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распространения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сеянка рекламы при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пригрозить что в ней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указан</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неарестантский иной срок.</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Выставление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месте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Роберт продажи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прилавках,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лаз в витринах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т.п.)</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всклокочивать товаров, демонстрация их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образцов</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заревевший или предоставление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сведений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вдевавший о продаваемых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товарах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оправдание (описаний, каталогов,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фотоснимков</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раскулачивший товаров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т.п.)</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аббревиатурный в месте их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продажи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просыпавший признается публичной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методика независимо от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того,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получасовой указаны ли цена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другие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расквартировавший существенные условия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договора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Силантьевна розничной купли-продажи, за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исключением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представший случая, когда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продавец</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альмукантарат явно определил, что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соответствующие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госпоставка товары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предназначены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массажистка для продажи (</w:t>
      </w:r>
      <w:hyperlink r:id="rId259" w:history="1">
        <w:r w:rsidRPr="00C84297">
          <w:rPr>
            <w:rStyle w:val="af0"/>
            <w:rFonts w:ascii="Arial" w:hAnsi="Arial" w:cs="Arial"/>
            <w:color w:val="000000" w:themeColor="text1"/>
            <w:sz w:val="22"/>
            <w:szCs w:val="22"/>
            <w:u w:val="none"/>
          </w:rPr>
          <w:t>п. 2 ст. 494</w:t>
        </w:r>
      </w:hyperlink>
      <w:r w:rsidRPr="00C84297">
        <w:rPr>
          <w:rFonts w:ascii="Arial" w:hAnsi="Arial" w:cs="Arial"/>
          <w:color w:val="000000" w:themeColor="text1"/>
          <w:sz w:val="22"/>
          <w:szCs w:val="22"/>
        </w:rPr>
        <w:t xml:space="preserve"> ГК РФ) [1].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По общему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правилу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досоветский реклама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является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матрикул публичной офертой.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Однако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неподписанный если ее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текст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вкопать предусматривает все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существенные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посветлевший условия договора,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которые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Рябушкин актуальны для всех без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исключения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подгрызать откликнувшихся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предложение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армяно-карабахский лиц, 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такая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Зинина реклама признается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публичной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миллиампер офертой.</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Значение оферты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состоит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небеззащитный в том, что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лицо,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замогильно направившее предложение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заключить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калькулятор договор,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вправе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приплавленный от него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отказаться,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сфабрикованный если только иное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предусмотрено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выколупнуть в предложении.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Получение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Янович лицом, направившим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отрадный ответа от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адресата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бинарный о полном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безоговорочном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жироскопический принятии предложения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является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грузнущий по общему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правилу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глотание моментом заключения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соглашения.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падать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Отказ от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многомиллионный может повлечь для ее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автора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фотоэмиссия отрицательные правовые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последствия,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почва так как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лицо,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окаменеть изъявившее согласие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заключить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развратность договор в этом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случае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переуплотнявший вправе обратиться в суд с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требованием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архиерей о возмещении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убытков,</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выписывать причиненных неисполнением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договора.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жучок </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В связи с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этим,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улучать рекламодатели нередко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используют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задувание оговорку –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данная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слепляемый реклама публичной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оптирующийся не является, что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значит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заручиться  следующее: рекламодатель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просто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напыжиться делает попытку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обезопасить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Гермес себя от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обязанности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завиднее заключать договоры со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всеми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проклеивший желающими именно на тех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условиях,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доваренный которые были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изложены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пригожество в рекламе либо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избежать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рельефно негативных правовых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последствий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контрамарочный</w:t>
      </w:r>
      <w:r w:rsidRPr="00C84297">
        <w:rPr>
          <w:rFonts w:ascii="Arial" w:hAnsi="Arial" w:cs="Arial"/>
          <w:color w:val="000000" w:themeColor="text1"/>
          <w:sz w:val="22"/>
          <w:szCs w:val="22"/>
        </w:rPr>
        <w:t xml:space="preserve">в случае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подписания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закабаляющий договора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условиях,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омеблировывать отличных от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обозначенных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намотавший в оферте.</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На практике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указание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мирза «предложение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является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трескотня офертой» может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означать: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вожделевший 1) существование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вероятности,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паскудить что потребитель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сможет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несложный заключить договор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указанных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собственнически в рекламе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условиях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паровоздушный и что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такая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сделавшийся реклама лишь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приглашает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незакрытый к обсуждению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условий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декретированный возможной сделки; 2)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данные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затащить условия рассчитаны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ограниченный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бело круг лиц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(например,</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иммигрировавший на постоянных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клиентов</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накорчеванный магазина, на лиц, уже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имеющих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лучеиспускание счет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данном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жолнер банке и т. д.).</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В Постановлении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Пленума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истаскивать ВАС РФ от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08.10.2012</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выплавившийся № 58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(далее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заштемпелевывающий – Постановление № 58)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отношении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сверившийся применения судами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положений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пропахивать Федерального закона от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13.03.2006</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напластовавший № 38-ФЗ «О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натужившийся (далее –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Закон</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габардин о рекламе)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разъяснено,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халтурить что определение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понятия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форсинг «реклама» содержится в п. 1 ст. 3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названного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приезд Закона [3]. Так, под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распогодиться следует понимать: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информацию,</w:instrText>
      </w:r>
      <w:r w:rsidR="00666D87" w:rsidRPr="00C84297">
        <w:rPr>
          <w:rFonts w:ascii="Arial" w:hAnsi="Arial" w:cs="Arial"/>
          <w:color w:val="000000" w:themeColor="text1"/>
          <w:sz w:val="22"/>
          <w:szCs w:val="22"/>
          <w:highlight w:val="white"/>
        </w:rPr>
        <w:fldChar w:fldCharType="end"/>
      </w:r>
      <w:r w:rsidR="00C84297" w:rsidRPr="00C84297">
        <w:rPr>
          <w:rFonts w:ascii="Arial" w:hAnsi="Arial" w:cs="Arial"/>
          <w:color w:val="000000" w:themeColor="text1"/>
          <w:sz w:val="22"/>
          <w:szCs w:val="22"/>
        </w:rPr>
        <w:t xml:space="preserve"> шир</w:t>
      </w:r>
      <w:r w:rsidRPr="00C84297">
        <w:rPr>
          <w:rFonts w:ascii="Arial" w:hAnsi="Arial" w:cs="Arial"/>
          <w:color w:val="000000" w:themeColor="text1"/>
          <w:sz w:val="22"/>
          <w:szCs w:val="22"/>
        </w:rPr>
        <w:t xml:space="preserve">распространенную любым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способом,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отогревший в любой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форме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окоп и с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использованием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любых средств,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адресованную</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w:t>
      </w:r>
      <w:r w:rsidR="00C84297" w:rsidRPr="00C84297">
        <w:rPr>
          <w:rFonts w:ascii="Arial" w:hAnsi="Arial" w:cs="Arial"/>
          <w:color w:val="000000" w:themeColor="text1"/>
          <w:sz w:val="22"/>
          <w:szCs w:val="22"/>
        </w:rPr>
        <w:t xml:space="preserve"> транссуд</w:t>
      </w:r>
      <w:r w:rsidRPr="00C84297">
        <w:rPr>
          <w:rFonts w:ascii="Arial" w:hAnsi="Arial" w:cs="Arial"/>
          <w:color w:val="000000" w:themeColor="text1"/>
          <w:sz w:val="22"/>
          <w:szCs w:val="22"/>
        </w:rPr>
        <w:t xml:space="preserve">неопределенному кругу лиц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направленную</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уродующий на привлечение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внимания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шасталка 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объекту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подскакивающий рекламирования, формирование или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поддержание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вклиниваемый интереса к нему и его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продвижение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мажордом на рынке [2].</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Реклама обладает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следующими</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второочередной признаками, которые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отличают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закрывший ее от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испуг 1) реклама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всегда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килоджоуль обращена 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неопределенному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полольный кругу лиц; 2)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целью</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заслоняющийся рекламы не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является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пандектный сообщение адресатам 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существенных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эсминец условиях будущего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договора.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учебный Общее 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взвешенность и публичной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оферты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бесхлопотно то, что они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обращены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выливающий к неопределенному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кругу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отстоянный лиц, однако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первая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омеблировать не сообщает обо всех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существенных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извлекавшийся условиях договора. Цель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подвариваемый состоит в том,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чтобы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багровый показать отличительные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свойства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посвятить товаров 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проинформировать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мотоцикл потребителей 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работах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проживающийся и услугах.</w:t>
      </w:r>
    </w:p>
    <w:p w:rsidR="00AC759E" w:rsidRPr="00C84297" w:rsidRDefault="00AC759E" w:rsidP="00C84297">
      <w:pPr>
        <w:ind w:firstLine="567"/>
        <w:jc w:val="both"/>
        <w:rPr>
          <w:rFonts w:ascii="Arial" w:hAnsi="Arial" w:cs="Arial"/>
          <w:color w:val="000000" w:themeColor="text1"/>
          <w:sz w:val="22"/>
          <w:szCs w:val="22"/>
        </w:rPr>
      </w:pPr>
      <w:r w:rsidRPr="00C84297">
        <w:rPr>
          <w:rFonts w:ascii="Arial" w:hAnsi="Arial" w:cs="Arial"/>
          <w:color w:val="000000" w:themeColor="text1"/>
          <w:sz w:val="22"/>
          <w:szCs w:val="22"/>
        </w:rPr>
        <w:t xml:space="preserve">Следует отметить, что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письме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дерзновенность ФАС России от 5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апреля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пожиток 2007 г.  №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АЦ/4624</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бездельничать «О понятии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«неопределенный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нелады круг лиц»»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разъясняется,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аналогический что «под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неопределенным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притыкающийся кругом лиц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понимаются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докладчик те лица,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которые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прекословие не могут быть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заранее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неэмиссионный определены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качестве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натруска получателя рекламной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информации</w:instrText>
      </w:r>
      <w:r w:rsidR="00666D87" w:rsidRPr="00C84297">
        <w:rPr>
          <w:rFonts w:ascii="Arial" w:hAnsi="Arial" w:cs="Arial"/>
          <w:color w:val="000000" w:themeColor="text1"/>
          <w:sz w:val="22"/>
          <w:szCs w:val="22"/>
          <w:highlight w:val="white"/>
        </w:rPr>
        <w:fldChar w:fldCharType="end"/>
      </w:r>
      <w:r w:rsidR="00C84297" w:rsidRPr="00C84297">
        <w:rPr>
          <w:rFonts w:ascii="Arial" w:hAnsi="Arial" w:cs="Arial"/>
          <w:color w:val="000000" w:themeColor="text1"/>
          <w:sz w:val="22"/>
          <w:szCs w:val="22"/>
        </w:rPr>
        <w:t xml:space="preserve"> </w:t>
      </w:r>
      <w:r w:rsidRPr="00C84297">
        <w:rPr>
          <w:rFonts w:ascii="Arial" w:hAnsi="Arial" w:cs="Arial"/>
          <w:color w:val="000000" w:themeColor="text1"/>
          <w:sz w:val="22"/>
          <w:szCs w:val="22"/>
        </w:rPr>
        <w:t xml:space="preserve">и конкретной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стороны</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адский правоотношения, возникающего по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поводу</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циркорамный реализации объекта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рекламирования.</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пристально Такой признак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рекламной</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печатающий информации, как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предназначенность</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нивхка ее для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неопределенного</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подбойка круга лиц,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означает</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лаканный отсутствие в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растыкаемый указания о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неком</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транжира лице или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лицах,</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выпечка для которых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реклама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отбуксировавший создана и на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восприятие</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починяемый которых реклама </w:t>
      </w:r>
      <w:r w:rsidR="00666D87" w:rsidRPr="00C84297">
        <w:rPr>
          <w:rFonts w:ascii="Arial" w:hAnsi="Arial" w:cs="Arial"/>
          <w:color w:val="000000" w:themeColor="text1"/>
          <w:sz w:val="22"/>
          <w:szCs w:val="22"/>
          <w:highlight w:val="white"/>
        </w:rPr>
        <w:fldChar w:fldCharType="begin"/>
      </w:r>
      <w:r w:rsidRPr="00C84297">
        <w:rPr>
          <w:rFonts w:ascii="Arial" w:hAnsi="Arial" w:cs="Arial"/>
          <w:color w:val="000000" w:themeColor="text1"/>
          <w:sz w:val="22"/>
          <w:szCs w:val="22"/>
        </w:rPr>
        <w:instrText>eq направлена»</w:instrText>
      </w:r>
      <w:r w:rsidR="00666D87" w:rsidRPr="00C84297">
        <w:rPr>
          <w:rFonts w:ascii="Arial" w:hAnsi="Arial" w:cs="Arial"/>
          <w:color w:val="000000" w:themeColor="text1"/>
          <w:sz w:val="22"/>
          <w:szCs w:val="22"/>
          <w:highlight w:val="white"/>
        </w:rPr>
        <w:fldChar w:fldCharType="end"/>
      </w:r>
      <w:r w:rsidRPr="00C84297">
        <w:rPr>
          <w:rFonts w:ascii="Arial" w:hAnsi="Arial" w:cs="Arial"/>
          <w:color w:val="000000" w:themeColor="text1"/>
          <w:sz w:val="22"/>
          <w:szCs w:val="22"/>
        </w:rPr>
        <w:t xml:space="preserve">  порешивший [4].</w:t>
      </w:r>
    </w:p>
    <w:p w:rsidR="00AC759E" w:rsidRPr="00DA76A7" w:rsidRDefault="00AC759E" w:rsidP="00C84297">
      <w:pPr>
        <w:pStyle w:val="a7"/>
        <w:shd w:val="clear" w:color="auto" w:fill="FFFFFF"/>
        <w:spacing w:before="0" w:beforeAutospacing="0" w:after="0" w:afterAutospacing="0"/>
        <w:ind w:firstLine="567"/>
        <w:contextualSpacing/>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Однако при этом в соответствии с Постановлением № 58 к рекламе не следует относить отвечающую указанным критериям информацию, обязательную к размещению в силу закона или делового обычая. Например, сведения о фирменном наименовании организации изготовителя, месте ее нахождения, режиме работы и др. или о товарах (работах, услугах), обеспечивающие возможность их правильного выбора.</w:t>
      </w:r>
    </w:p>
    <w:p w:rsidR="00AC759E" w:rsidRPr="00DA76A7" w:rsidRDefault="00AC759E" w:rsidP="00AC759E">
      <w:pPr>
        <w:pStyle w:val="a7"/>
        <w:shd w:val="clear" w:color="auto" w:fill="FFFFFF"/>
        <w:spacing w:after="0" w:afterAutospacing="0"/>
        <w:ind w:firstLine="567"/>
        <w:contextualSpacing/>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Пленум ВАС РФ основывается на том, что информация, исходно не преследующая цели, связанные с рекламой, не должна таковой признаваться. В то же время размещение сведений, вызывающих у потенциальных потребителей ассоциацию с определенным товаром или имеющих своей целью привлечение внимания к соответствующему товару, следует относить к рекламе.</w:t>
      </w:r>
    </w:p>
    <w:p w:rsidR="00AC759E" w:rsidRPr="00DA76A7" w:rsidRDefault="00AC759E" w:rsidP="00AC759E">
      <w:pPr>
        <w:pStyle w:val="a7"/>
        <w:shd w:val="clear" w:color="auto" w:fill="FFFFFF"/>
        <w:spacing w:after="0" w:afterAutospacing="0"/>
        <w:ind w:firstLine="567"/>
        <w:contextualSpacing/>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При исследовании наличия в информации признаков рекламы Пленум ВАС РФ указывает нижестоящим судам на необходимость руководствоваться положениями гл. 3 Закона о рекламе. Из пункта 16 информационного письма Президиума ВАС РФ от 25.12.1998 № 37 (далее – Письмо № 37) следует, что информация, очевидно ассоциирующаяся у потребителя с определенным товаром, должна рассматриваться как реклама этого товара [5].</w:t>
      </w:r>
    </w:p>
    <w:p w:rsidR="00AC759E" w:rsidRPr="00DA76A7" w:rsidRDefault="00AC759E" w:rsidP="00AC759E">
      <w:pPr>
        <w:pStyle w:val="a7"/>
        <w:shd w:val="clear" w:color="auto" w:fill="FFFFFF"/>
        <w:spacing w:after="0" w:afterAutospacing="0"/>
        <w:ind w:firstLine="567"/>
        <w:contextualSpacing/>
        <w:jc w:val="both"/>
        <w:rPr>
          <w:rFonts w:ascii="Arial" w:hAnsi="Arial" w:cs="Arial"/>
          <w:noProof/>
          <w:color w:val="000000" w:themeColor="text1"/>
          <w:sz w:val="22"/>
          <w:szCs w:val="22"/>
        </w:rPr>
      </w:pPr>
      <w:r w:rsidRPr="00DA76A7">
        <w:rPr>
          <w:rFonts w:ascii="Arial" w:hAnsi="Arial" w:cs="Arial"/>
          <w:noProof/>
          <w:color w:val="000000" w:themeColor="text1"/>
          <w:sz w:val="22"/>
          <w:szCs w:val="22"/>
        </w:rPr>
        <w:t>Исходя из вышеизложенного можно сделать заключение, что на практике применение института оферты субъектами правоотношений остается различным. Нередко происходит смешение понятий «оферта» и «реклама». Представляется необходимой доработка в сфере гражданского законодательства в отношении Закона о рекламе и внесение соответствующих поправок в ГК РФ.</w:t>
      </w:r>
    </w:p>
    <w:p w:rsidR="00AC759E" w:rsidRPr="00DA76A7" w:rsidRDefault="00AC759E" w:rsidP="00AC759E">
      <w:pPr>
        <w:pStyle w:val="a7"/>
        <w:shd w:val="clear" w:color="auto" w:fill="FFFFFF"/>
        <w:spacing w:after="0" w:afterAutospacing="0"/>
        <w:ind w:firstLine="567"/>
        <w:contextualSpacing/>
        <w:jc w:val="both"/>
        <w:rPr>
          <w:rFonts w:ascii="Arial" w:hAnsi="Arial" w:cs="Arial"/>
          <w:noProof/>
          <w:color w:val="000000" w:themeColor="text1"/>
          <w:sz w:val="22"/>
          <w:szCs w:val="22"/>
        </w:rPr>
      </w:pPr>
    </w:p>
    <w:p w:rsidR="00AC759E" w:rsidRPr="00DA76A7" w:rsidRDefault="00AC759E" w:rsidP="00AC759E">
      <w:pPr>
        <w:ind w:firstLine="567"/>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AC759E" w:rsidRPr="00DA76A7" w:rsidRDefault="00AC759E" w:rsidP="00AC759E">
      <w:pPr>
        <w:pStyle w:val="a7"/>
        <w:shd w:val="clear" w:color="auto" w:fill="FFFFFF"/>
        <w:tabs>
          <w:tab w:val="left" w:pos="851"/>
          <w:tab w:val="left" w:pos="993"/>
        </w:tabs>
        <w:spacing w:before="0" w:beforeAutospacing="0" w:after="0" w:afterAutospacing="0"/>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1.</w:t>
      </w:r>
      <w:r w:rsidRPr="00DA76A7">
        <w:rPr>
          <w:rFonts w:ascii="Arial" w:hAnsi="Arial" w:cs="Arial"/>
          <w:color w:val="000000" w:themeColor="text1"/>
          <w:sz w:val="22"/>
          <w:szCs w:val="22"/>
        </w:rPr>
        <w:tab/>
        <w:t>Гражданский кодекс Российской Федерации (часть первая) от 30 ноября 1994 года № 51-ФЗ (ред. от 29.12.2017 № 459-ФЗ) // СПС КонсультантПлюс. [Электронный ресурс]: http://www.consultant.ru/ (дата обращения 10.03.2018).</w:t>
      </w:r>
    </w:p>
    <w:p w:rsidR="00AC759E" w:rsidRPr="00DA76A7" w:rsidRDefault="00AC759E" w:rsidP="00AC759E">
      <w:pPr>
        <w:pStyle w:val="a7"/>
        <w:shd w:val="clear" w:color="auto" w:fill="FFFFFF"/>
        <w:tabs>
          <w:tab w:val="left" w:pos="851"/>
          <w:tab w:val="left" w:pos="993"/>
        </w:tabs>
        <w:spacing w:after="0"/>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2.</w:t>
      </w:r>
      <w:r w:rsidRPr="00DA76A7">
        <w:rPr>
          <w:rFonts w:ascii="Arial" w:hAnsi="Arial" w:cs="Arial"/>
          <w:color w:val="000000" w:themeColor="text1"/>
          <w:sz w:val="22"/>
          <w:szCs w:val="22"/>
        </w:rPr>
        <w:tab/>
        <w:t>Федеральный закон «О рекламе» от 13 марта 2006 года № 38-ФЗ (ред. от 31.12.2017 № 489-ФЗ) // СПС КонсультантПлюс. [Электронный ресурс]: http://www.consultant.ru/ (дата обращения 15.03.2018).</w:t>
      </w:r>
    </w:p>
    <w:p w:rsidR="00AC759E" w:rsidRPr="00DA76A7" w:rsidRDefault="00AC759E" w:rsidP="00AC759E">
      <w:pPr>
        <w:pStyle w:val="a7"/>
        <w:shd w:val="clear" w:color="auto" w:fill="FFFFFF"/>
        <w:tabs>
          <w:tab w:val="left" w:pos="851"/>
          <w:tab w:val="left" w:pos="993"/>
        </w:tabs>
        <w:spacing w:after="0"/>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3.</w:t>
      </w:r>
      <w:r w:rsidRPr="00DA76A7">
        <w:rPr>
          <w:rFonts w:ascii="Arial" w:hAnsi="Arial" w:cs="Arial"/>
          <w:color w:val="000000" w:themeColor="text1"/>
          <w:sz w:val="22"/>
          <w:szCs w:val="22"/>
        </w:rPr>
        <w:tab/>
        <w:t>Постановление Пленума ВАС РФ от 08.10.2012 № 58 «О некоторых вопросах практики применения арбитражными судами федерального закона «О рекламе»» // СПС КонсультантПлюс. [Электронный ресурс]: http://www.consultant.ru/ (дата обращения 15.03.2018).</w:t>
      </w:r>
    </w:p>
    <w:p w:rsidR="00AC759E" w:rsidRPr="00DA76A7" w:rsidRDefault="00AC759E" w:rsidP="00AC759E">
      <w:pPr>
        <w:pStyle w:val="a7"/>
        <w:shd w:val="clear" w:color="auto" w:fill="FFFFFF"/>
        <w:tabs>
          <w:tab w:val="left" w:pos="851"/>
          <w:tab w:val="left" w:pos="993"/>
        </w:tabs>
        <w:spacing w:after="0"/>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4.</w:t>
      </w:r>
      <w:r w:rsidRPr="00DA76A7">
        <w:rPr>
          <w:rFonts w:ascii="Arial" w:hAnsi="Arial" w:cs="Arial"/>
          <w:color w:val="000000" w:themeColor="text1"/>
          <w:sz w:val="22"/>
          <w:szCs w:val="22"/>
        </w:rPr>
        <w:tab/>
        <w:t>Письмо ФАС России от 5 апреля 2007 г.  № АЦ/4624 // СПС КонсультантПлюс. [Электронный ресурс]: http://www.consultant.ru/ (дата обращения 15.03.2018).</w:t>
      </w:r>
    </w:p>
    <w:p w:rsidR="00AC759E" w:rsidRPr="00DA76A7" w:rsidRDefault="00AC759E" w:rsidP="00AC759E">
      <w:pPr>
        <w:pStyle w:val="a7"/>
        <w:shd w:val="clear" w:color="auto" w:fill="FFFFFF"/>
        <w:tabs>
          <w:tab w:val="left" w:pos="851"/>
          <w:tab w:val="left" w:pos="993"/>
        </w:tabs>
        <w:spacing w:after="0"/>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5.</w:t>
      </w:r>
      <w:r w:rsidRPr="00DA76A7">
        <w:rPr>
          <w:rFonts w:ascii="Arial" w:hAnsi="Arial" w:cs="Arial"/>
          <w:color w:val="000000" w:themeColor="text1"/>
          <w:sz w:val="22"/>
          <w:szCs w:val="22"/>
        </w:rPr>
        <w:tab/>
        <w:t>Информационное письмо Президиума ВАС РФ от 25.12.1998 № 37 «Обзор практики рассмотрения споров, связанных с применением законодательства о рекламе» // СПС КонсультантПлюс [Электронный ресурс]. – Режим доступа: http://www.consultant.ru/ (дата обращения 20.03.2018).</w:t>
      </w:r>
    </w:p>
    <w:p w:rsidR="00AC759E" w:rsidRPr="00DA76A7" w:rsidRDefault="00AC759E" w:rsidP="00AC759E">
      <w:pPr>
        <w:pStyle w:val="a7"/>
        <w:shd w:val="clear" w:color="auto" w:fill="FFFFFF"/>
        <w:tabs>
          <w:tab w:val="left" w:pos="851"/>
          <w:tab w:val="left" w:pos="993"/>
        </w:tabs>
        <w:spacing w:after="0"/>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6.</w:t>
      </w:r>
      <w:r w:rsidRPr="00DA76A7">
        <w:rPr>
          <w:rFonts w:ascii="Arial" w:hAnsi="Arial" w:cs="Arial"/>
          <w:color w:val="000000" w:themeColor="text1"/>
          <w:sz w:val="22"/>
          <w:szCs w:val="22"/>
        </w:rPr>
        <w:tab/>
        <w:t>Гавзе Ф.И. Обязательственное право (общие положения). - Минск: Из-во БГУ им. В.И. Ленина. 1968. - 28 с.</w:t>
      </w:r>
    </w:p>
    <w:p w:rsidR="00AC759E" w:rsidRPr="00DA76A7" w:rsidRDefault="00AC759E" w:rsidP="00AC759E">
      <w:pPr>
        <w:pStyle w:val="a7"/>
        <w:shd w:val="clear" w:color="auto" w:fill="FFFFFF"/>
        <w:tabs>
          <w:tab w:val="left" w:pos="851"/>
          <w:tab w:val="left" w:pos="993"/>
        </w:tabs>
        <w:spacing w:after="0"/>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7.</w:t>
      </w:r>
      <w:r w:rsidRPr="00DA76A7">
        <w:rPr>
          <w:rFonts w:ascii="Arial" w:hAnsi="Arial" w:cs="Arial"/>
          <w:color w:val="000000" w:themeColor="text1"/>
          <w:sz w:val="22"/>
          <w:szCs w:val="22"/>
        </w:rPr>
        <w:tab/>
        <w:t>Новицкий И.Б., Лунц Л.А. Общее учение об обязательстве. - М.: Юридическая литература, 1950. – 122 с.</w:t>
      </w:r>
    </w:p>
    <w:p w:rsidR="00AC759E" w:rsidRPr="00DA76A7" w:rsidRDefault="00AC759E" w:rsidP="00AC759E">
      <w:pPr>
        <w:pStyle w:val="a7"/>
        <w:shd w:val="clear" w:color="auto" w:fill="FFFFFF"/>
        <w:tabs>
          <w:tab w:val="left" w:pos="851"/>
          <w:tab w:val="left" w:pos="993"/>
        </w:tabs>
        <w:spacing w:after="0" w:afterAutospacing="0"/>
        <w:ind w:firstLine="567"/>
        <w:contextualSpacing/>
        <w:jc w:val="both"/>
        <w:rPr>
          <w:rFonts w:ascii="Arial" w:hAnsi="Arial" w:cs="Arial"/>
          <w:noProof/>
          <w:color w:val="000000" w:themeColor="text1"/>
          <w:sz w:val="22"/>
          <w:szCs w:val="22"/>
        </w:rPr>
      </w:pPr>
      <w:r w:rsidRPr="00DA76A7">
        <w:rPr>
          <w:rFonts w:ascii="Arial" w:hAnsi="Arial" w:cs="Arial"/>
          <w:color w:val="000000" w:themeColor="text1"/>
          <w:sz w:val="22"/>
          <w:szCs w:val="22"/>
        </w:rPr>
        <w:t>8.</w:t>
      </w:r>
      <w:r w:rsidRPr="00DA76A7">
        <w:rPr>
          <w:rFonts w:ascii="Arial" w:hAnsi="Arial" w:cs="Arial"/>
          <w:color w:val="000000" w:themeColor="text1"/>
          <w:sz w:val="22"/>
          <w:szCs w:val="22"/>
        </w:rPr>
        <w:tab/>
        <w:t>Халфина Р.О. Общие учения о правоотношениях.  - М., 1974. – 207 с.</w:t>
      </w:r>
    </w:p>
    <w:p w:rsidR="00181BA7" w:rsidRPr="00DA76A7" w:rsidRDefault="00181BA7" w:rsidP="00AC759E">
      <w:pPr>
        <w:tabs>
          <w:tab w:val="left" w:pos="851"/>
          <w:tab w:val="left" w:pos="993"/>
        </w:tabs>
        <w:ind w:firstLine="567"/>
        <w:contextualSpacing/>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ОКАЗАНИ</w:t>
      </w:r>
      <w:r w:rsidR="00E45BB4" w:rsidRPr="00DA76A7">
        <w:rPr>
          <w:rFonts w:ascii="Arial" w:hAnsi="Arial" w:cs="Arial"/>
          <w:b/>
          <w:color w:val="000000" w:themeColor="text1"/>
          <w:sz w:val="22"/>
          <w:szCs w:val="22"/>
        </w:rPr>
        <w:t>Е</w:t>
      </w:r>
      <w:r w:rsidRPr="00DA76A7">
        <w:rPr>
          <w:rFonts w:ascii="Arial" w:hAnsi="Arial" w:cs="Arial"/>
          <w:b/>
          <w:color w:val="000000" w:themeColor="text1"/>
          <w:sz w:val="22"/>
          <w:szCs w:val="22"/>
        </w:rPr>
        <w:t xml:space="preserve"> ЮРИДИЧЕСКИХ УСЛУГ И ЕГО ПРАВОВЫЕ ПРОБЛЕМЫ В ГРАЖДАНСКОМ ЗАКОНОДАТЕЛЬСТВЕ РЕСПУБЛИКИ ТАДЖИКИСТАН</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Чалишев Раджабали Саторович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2 - го года обучения очного отделения юридического факультета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Российско-Таджикский (Славянский) университет </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906 99 41 45,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60" w:history="1">
        <w:r w:rsidRPr="00DA76A7">
          <w:rPr>
            <w:rStyle w:val="af0"/>
            <w:rFonts w:ascii="Arial" w:hAnsi="Arial" w:cs="Arial"/>
            <w:color w:val="000000" w:themeColor="text1"/>
            <w:sz w:val="22"/>
            <w:szCs w:val="22"/>
            <w:u w:val="none"/>
            <w:lang w:val="en-US"/>
          </w:rPr>
          <w:t>rajab</w:t>
        </w:r>
        <w:r w:rsidRPr="00DA76A7">
          <w:rPr>
            <w:rStyle w:val="af0"/>
            <w:rFonts w:ascii="Arial" w:hAnsi="Arial" w:cs="Arial"/>
            <w:color w:val="000000" w:themeColor="text1"/>
            <w:sz w:val="22"/>
            <w:szCs w:val="22"/>
            <w:u w:val="none"/>
          </w:rPr>
          <w:t>-01@</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PROVISION OF LEGAL SERVICES AND ITS LEGAL PROBLEMS IN THE CIVIL LEGISLATION OF THE REPUBLIC OF TAJIKISTAN</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shd w:val="clear" w:color="auto" w:fill="FFFFFF"/>
          <w:lang w:val="en-US"/>
        </w:rPr>
      </w:pP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Chalishev Radzhabali Satorovich</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181BA7" w:rsidRPr="00DA76A7" w:rsidRDefault="00181BA7" w:rsidP="00181BA7">
      <w:pPr>
        <w:pStyle w:val="a9"/>
        <w:ind w:firstLine="0"/>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906 99 41 45, e-mail:  </w:t>
      </w:r>
      <w:hyperlink r:id="rId261" w:history="1">
        <w:r w:rsidRPr="00DA76A7">
          <w:rPr>
            <w:rStyle w:val="af0"/>
            <w:rFonts w:ascii="Arial" w:hAnsi="Arial" w:cs="Arial"/>
            <w:color w:val="000000" w:themeColor="text1"/>
            <w:sz w:val="22"/>
            <w:szCs w:val="22"/>
            <w:u w:val="none"/>
            <w:lang w:val="en-US"/>
          </w:rPr>
          <w:t>rajab-01@mail.ru</w:t>
        </w:r>
      </w:hyperlink>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Рахимзода М.З.</w:t>
      </w:r>
    </w:p>
    <w:p w:rsidR="00181BA7" w:rsidRPr="00DA76A7" w:rsidRDefault="00181BA7" w:rsidP="00181B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настоящей статье рассматриваются, общие теоритические вопроси, связанные с оказанием юридических услуг и некоторые проблемы гражданского законодательства по данному направлению.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pacing w:val="-4"/>
          <w:sz w:val="22"/>
          <w:szCs w:val="22"/>
          <w:lang w:val="en-US"/>
        </w:rPr>
        <w:t>Annotation.</w:t>
      </w:r>
      <w:r w:rsidRPr="00DA76A7">
        <w:rPr>
          <w:rFonts w:ascii="Arial" w:hAnsi="Arial" w:cs="Arial"/>
          <w:i/>
          <w:color w:val="000000" w:themeColor="text1"/>
          <w:sz w:val="22"/>
          <w:szCs w:val="22"/>
          <w:lang w:val="en-US"/>
        </w:rPr>
        <w:t xml:space="preserve"> This article examines general theoretical issues related to the provision of legal services and some problems of civil law in this area.</w:t>
      </w: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услуга, юридическая услуга, гражданское законодательство, анализ, договор, договор перевозки. </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service, legal service, civil law, analysis, contract, contract of carriage.</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lang w:val="en-US"/>
        </w:rPr>
      </w:pP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В целях надлежащего правового регулирования процесса оказания услуг в ГК РТ этому вопросу посвящена целая глава. Анализ норм ГК РТ дает основания полгать, что договорное ре</w:t>
      </w:r>
      <w:r w:rsidRPr="00DA76A7">
        <w:rPr>
          <w:rFonts w:ascii="Arial" w:hAnsi="Arial" w:cs="Arial"/>
          <w:color w:val="000000" w:themeColor="text1"/>
          <w:sz w:val="22"/>
          <w:szCs w:val="22"/>
        </w:rPr>
        <w:softHyphen/>
        <w:t>гулирование возмездного оказания услуг можно подразделить на две большие группы: услуги, которые поглощены другими договорами; услуги, которые оказываются в рамках самостоя</w:t>
      </w:r>
      <w:r w:rsidRPr="00DA76A7">
        <w:rPr>
          <w:rFonts w:ascii="Arial" w:hAnsi="Arial" w:cs="Arial"/>
          <w:color w:val="000000" w:themeColor="text1"/>
          <w:sz w:val="22"/>
          <w:szCs w:val="22"/>
        </w:rPr>
        <w:softHyphen/>
        <w:t>тельных типов договоров - договоров об оказании услуг.</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К договорам первого типа традиционно относят и обязательства по перевозке, указывая при этом в качестве основания его объект - транспортные услуги.</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в определении транспортного обязательства Г.П. Савичева содержится указание на транспортные услуги: «обязательство, в силу которого одно лицо - перевозчик (эксплуатант) обязуется совершить в пользу другого лица - грузоотправителя, грузополучателя, пассажира, владельца багажа или грузобагажа - определенные юридические или фактические действия по оказанию транспортных услуг, связанных с перевозкой, а другое лицо - оплатить оказанные услуги в размере, установленном законодательством или соглашением сторон» [1, 30].</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Аналогичную позицию занимает и А.Г. Калпин, который считает, что предметом договора перевозки «служит деятельность перевозчика по перемещению груза или пассажира и багажа в пункт назначения и выдаче груза и багажа      управомоченному лицу.... Она представляет собой транс</w:t>
      </w:r>
      <w:r w:rsidRPr="00DA76A7">
        <w:rPr>
          <w:rFonts w:ascii="Arial" w:hAnsi="Arial" w:cs="Arial"/>
          <w:color w:val="000000" w:themeColor="text1"/>
          <w:sz w:val="22"/>
          <w:szCs w:val="22"/>
        </w:rPr>
        <w:softHyphen/>
        <w:t>портную услугу, выражающуюся в пространственном пере</w:t>
      </w:r>
      <w:r w:rsidRPr="00DA76A7">
        <w:rPr>
          <w:rFonts w:ascii="Arial" w:hAnsi="Arial" w:cs="Arial"/>
          <w:color w:val="000000" w:themeColor="text1"/>
          <w:sz w:val="22"/>
          <w:szCs w:val="22"/>
        </w:rPr>
        <w:softHyphen/>
        <w:t>мещении груза, пассажира, багажа» [2, 401].</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Данное утверждение оспаривается в юридической науке тем, что «тот факт, что отношения по перевозке по своей экономической природе являются отношениями по оказанию услуг, позволяет использовать категорию транспортные услуги в качестве объекта гражданско-правового регулирования, но не в качестве объекта обязательств по перевозке» [3, 246].</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Представляется, что к обязательствам об оказании услуг может быть отнесено только обязательство по перевозке пассажиров, так как только в рамках данного обязательства в качестве объекта воздействия при совершении действий по перемещению транспортными средствами выступает нематериальное благо - свобода передвижения, которому корреспондирует личное неимущественное право - право гражданина на свободное передвижение.</w:t>
      </w:r>
    </w:p>
    <w:p w:rsidR="00181BA7" w:rsidRPr="00DA76A7" w:rsidRDefault="00181BA7" w:rsidP="00181BA7">
      <w:pPr>
        <w:ind w:firstLine="567"/>
        <w:jc w:val="both"/>
        <w:rPr>
          <w:rFonts w:ascii="Arial" w:hAnsi="Arial" w:cs="Arial"/>
          <w:color w:val="000000" w:themeColor="text1"/>
          <w:sz w:val="22"/>
          <w:szCs w:val="22"/>
        </w:rPr>
      </w:pPr>
      <w:r w:rsidRPr="00DA76A7">
        <w:rPr>
          <w:rFonts w:ascii="Arial" w:eastAsia="Courier New" w:hAnsi="Arial" w:cs="Arial"/>
          <w:color w:val="000000" w:themeColor="text1"/>
          <w:sz w:val="22"/>
          <w:szCs w:val="22"/>
        </w:rPr>
        <w:t>При перевозке грузов и багажа воздействие оказывается на вещественные блага, следовательно, данные действия являются по своему характеру работами, а обязательства по перевозке грузов и багажа подлежат включению в группу обязательств по выполнению работ. Более подробно вопрос о правовой природе обязательств по перевозке грузов и багажа будет рассмотрен в следующем параграфе, посвященном проблемам отграничения обязательств об оказании услуг от иных гражданско-правовых обязательств.</w:t>
      </w:r>
      <w:r w:rsidRPr="00DA76A7">
        <w:rPr>
          <w:rFonts w:ascii="Arial" w:hAnsi="Arial" w:cs="Arial"/>
          <w:color w:val="000000" w:themeColor="text1"/>
          <w:sz w:val="22"/>
          <w:szCs w:val="22"/>
        </w:rPr>
        <w:t xml:space="preserve"> </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Исходя из различных объектов обязательства по перевозке пассажиров и обязательств по перевозке груза и багажа, в качестве которых выступают соответственно услуги и работы, вызывает сомнение и обоснованность выделения единого транспортного обязательства.</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Более предпочтительна позиция В.В. Витрянского, который полагает, что «в современных условиях уже нельзя говорить об одном-единственном договоре перевозке... Представляется, что теперь речь должна идти о системе договоров, опосредующих перевозки грузов, пассажиров и багажа» [4, 254]. Последовательно развивая эту идею, В.В. Витрянский приходит к следующему выводу: «Что же касается так называемых транспортных договоров, то очевидно, что этим понятием можно объединить договоры, используемые (применяемые) в транспортной деятельности. Однако следует учитывать, что в данном случае речь идет о самых различных договорах, относящихся к разным типам гражданско-правовых обязательств и отличающихся в том числе своей родовой принадлежностью» [5, 296].  </w:t>
      </w:r>
    </w:p>
    <w:p w:rsidR="00181BA7" w:rsidRPr="00DA76A7" w:rsidRDefault="00181BA7" w:rsidP="00181BA7">
      <w:pPr>
        <w:pStyle w:val="28"/>
        <w:shd w:val="clear" w:color="auto" w:fill="auto"/>
        <w:spacing w:line="240" w:lineRule="auto"/>
        <w:ind w:firstLine="567"/>
        <w:rPr>
          <w:rFonts w:ascii="Arial" w:eastAsia="Courier New" w:hAnsi="Arial" w:cs="Arial"/>
          <w:color w:val="000000" w:themeColor="text1"/>
          <w:sz w:val="22"/>
          <w:szCs w:val="22"/>
        </w:rPr>
      </w:pPr>
      <w:r w:rsidRPr="00DA76A7">
        <w:rPr>
          <w:rFonts w:ascii="Arial" w:eastAsia="Courier New" w:hAnsi="Arial" w:cs="Arial"/>
          <w:color w:val="000000" w:themeColor="text1"/>
          <w:sz w:val="22"/>
          <w:szCs w:val="22"/>
        </w:rPr>
        <w:t>Самостоятельный характер двух типов договоров перевозки: договора перевозки пассажиров и договора</w:t>
      </w:r>
      <w:r w:rsidRPr="00DA76A7">
        <w:rPr>
          <w:rFonts w:ascii="Arial" w:hAnsi="Arial" w:cs="Arial"/>
          <w:color w:val="000000" w:themeColor="text1"/>
          <w:sz w:val="22"/>
          <w:szCs w:val="22"/>
        </w:rPr>
        <w:t xml:space="preserve"> </w:t>
      </w:r>
      <w:r w:rsidRPr="00DA76A7">
        <w:rPr>
          <w:rFonts w:ascii="Arial" w:eastAsia="Courier New" w:hAnsi="Arial" w:cs="Arial"/>
          <w:color w:val="000000" w:themeColor="text1"/>
          <w:sz w:val="22"/>
          <w:szCs w:val="22"/>
        </w:rPr>
        <w:t>перевозки грузов подтверждается их конструктивными отличиями друг от друга, которые в свою очередь обусловлены различиями в их правовой природе. Договор перевозки пассажиров является консенсуальным, а договор перевозки грузов - реальный. Договор перевозки пассажиров заключается между транспортной организацией-перевозчиком и пассажиром и является двусторонним, в договоре перевозки грузов участвуют, как правило, перевозчик, грузоотправитель, грузополучатель. Кроме того, договор перевозки пассажиров является публичным и относится к договорам присоединения. Абсолютно несопоставимы права и обязанности сторон по данным договорам, за исключением, может быть, основной обязанности перевозчика - доставить багаж, груз или перевезти пассажира в пункт назначения.</w:t>
      </w:r>
    </w:p>
    <w:p w:rsidR="00181BA7" w:rsidRPr="00DA76A7" w:rsidRDefault="00181BA7" w:rsidP="00181BA7">
      <w:pPr>
        <w:pStyle w:val="28"/>
        <w:shd w:val="clear" w:color="auto" w:fill="auto"/>
        <w:tabs>
          <w:tab w:val="left" w:pos="1268"/>
        </w:tabs>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Специфика договора перевозки пассажира прослеживается и в праве на односторонний отказ пассажира от договора, который предусмотрен транспортными уставами и законами.</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Следовательно, когда речь идет от транспортных услугах, в данных отношениях, на первый взгляд, услуга как деятельность или действия соответствующей стороны, выступает в качестве объекта. Аналогичное можно сказать о договорах купли- продажи, аренды и т.д. Ибо, в данных договорах услуга как та</w:t>
      </w:r>
      <w:r w:rsidRPr="00DA76A7">
        <w:rPr>
          <w:rFonts w:ascii="Arial" w:hAnsi="Arial" w:cs="Arial"/>
          <w:color w:val="000000" w:themeColor="text1"/>
          <w:sz w:val="22"/>
          <w:szCs w:val="22"/>
        </w:rPr>
        <w:softHyphen/>
        <w:t>ковая имеет место. Так, в договоре купли-продажи действия продавца - по передаче вещи, и покупателя - по передаче денег, также могут признаваться в качестве услуги. Однако нам дума</w:t>
      </w:r>
      <w:r w:rsidRPr="00DA76A7">
        <w:rPr>
          <w:rFonts w:ascii="Arial" w:hAnsi="Arial" w:cs="Arial"/>
          <w:color w:val="000000" w:themeColor="text1"/>
          <w:sz w:val="22"/>
          <w:szCs w:val="22"/>
        </w:rPr>
        <w:softHyphen/>
        <w:t>ется, что услуги в данных случаях поглощены другими догово</w:t>
      </w:r>
      <w:r w:rsidRPr="00DA76A7">
        <w:rPr>
          <w:rFonts w:ascii="Arial" w:hAnsi="Arial" w:cs="Arial"/>
          <w:color w:val="000000" w:themeColor="text1"/>
          <w:sz w:val="22"/>
          <w:szCs w:val="22"/>
        </w:rPr>
        <w:softHyphen/>
        <w:t>рами, и в этой связи они не могут выступать в качестве само</w:t>
      </w:r>
      <w:r w:rsidRPr="00DA76A7">
        <w:rPr>
          <w:rFonts w:ascii="Arial" w:hAnsi="Arial" w:cs="Arial"/>
          <w:color w:val="000000" w:themeColor="text1"/>
          <w:sz w:val="22"/>
          <w:szCs w:val="22"/>
        </w:rPr>
        <w:softHyphen/>
        <w:t>стоятельного объекта.</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eastAsia="Courier New" w:hAnsi="Arial" w:cs="Arial"/>
          <w:color w:val="000000" w:themeColor="text1"/>
          <w:sz w:val="22"/>
          <w:szCs w:val="22"/>
        </w:rPr>
        <w:t>Хотя на практике нередко возникает вопрос по поводу со</w:t>
      </w:r>
      <w:r w:rsidRPr="00DA76A7">
        <w:rPr>
          <w:rFonts w:ascii="Arial" w:eastAsia="Courier New" w:hAnsi="Arial" w:cs="Arial"/>
          <w:color w:val="000000" w:themeColor="text1"/>
          <w:sz w:val="22"/>
          <w:szCs w:val="22"/>
        </w:rPr>
        <w:softHyphen/>
        <w:t>отношения собственно предмета договора с «иными» элемента</w:t>
      </w:r>
      <w:r w:rsidRPr="00DA76A7">
        <w:rPr>
          <w:rFonts w:ascii="Arial" w:eastAsia="Courier New" w:hAnsi="Arial" w:cs="Arial"/>
          <w:color w:val="000000" w:themeColor="text1"/>
          <w:sz w:val="22"/>
          <w:szCs w:val="22"/>
        </w:rPr>
        <w:softHyphen/>
        <w:t>ми, ибо по поводу предоставления услуг в связи с другими до</w:t>
      </w:r>
      <w:r w:rsidRPr="00DA76A7">
        <w:rPr>
          <w:rFonts w:ascii="Arial" w:eastAsia="Courier New" w:hAnsi="Arial" w:cs="Arial"/>
          <w:color w:val="000000" w:themeColor="text1"/>
          <w:sz w:val="22"/>
          <w:szCs w:val="22"/>
        </w:rPr>
        <w:softHyphen/>
        <w:t>говорами возникают определенные юридические последствия, не предусмотренные ни в договоре, ни в законе. На это обстоя</w:t>
      </w:r>
      <w:r w:rsidRPr="00DA76A7">
        <w:rPr>
          <w:rFonts w:ascii="Arial" w:eastAsia="Courier New" w:hAnsi="Arial" w:cs="Arial"/>
          <w:color w:val="000000" w:themeColor="text1"/>
          <w:sz w:val="22"/>
          <w:szCs w:val="22"/>
        </w:rPr>
        <w:softHyphen/>
        <w:t>тельство направлено пристальное внимание Пленума Высшего экономического суда Республики Таджикистан. В п.5 Постанов</w:t>
      </w:r>
      <w:r w:rsidRPr="00DA76A7">
        <w:rPr>
          <w:rFonts w:ascii="Arial" w:eastAsia="Courier New" w:hAnsi="Arial" w:cs="Arial"/>
          <w:color w:val="000000" w:themeColor="text1"/>
          <w:sz w:val="22"/>
          <w:szCs w:val="22"/>
        </w:rPr>
        <w:softHyphen/>
        <w:t>ления Пленума ВЭС РТ от 23 апреля 2004 года, № 1 «О некото</w:t>
      </w:r>
      <w:r w:rsidRPr="00DA76A7">
        <w:rPr>
          <w:rFonts w:ascii="Arial" w:eastAsia="Courier New" w:hAnsi="Arial" w:cs="Arial"/>
          <w:color w:val="000000" w:themeColor="text1"/>
          <w:sz w:val="22"/>
          <w:szCs w:val="22"/>
        </w:rPr>
        <w:softHyphen/>
        <w:t>рых вопросах, связанных с договором поставки» предусмотрено, что при разрешении споров, связанных с доставкой товаров, следует иметь в виду, что если договором не предусмотрено, каким видом транспорта и на каких условиях доставляется то</w:t>
      </w:r>
      <w:r w:rsidRPr="00DA76A7">
        <w:rPr>
          <w:rFonts w:ascii="Arial" w:eastAsia="Courier New" w:hAnsi="Arial" w:cs="Arial"/>
          <w:color w:val="000000" w:themeColor="text1"/>
          <w:sz w:val="22"/>
          <w:szCs w:val="22"/>
        </w:rPr>
        <w:softHyphen/>
        <w:t xml:space="preserve">вар, и в связи с этим выбор вида транспорта и условий доставки </w:t>
      </w:r>
      <w:r w:rsidRPr="00DA76A7">
        <w:rPr>
          <w:rFonts w:ascii="Arial" w:hAnsi="Arial" w:cs="Arial"/>
          <w:color w:val="000000" w:themeColor="text1"/>
          <w:sz w:val="22"/>
          <w:szCs w:val="22"/>
        </w:rPr>
        <w:t>осуществляется поставщиком (пункт 1 статьи 547 ГК РТ), рас</w:t>
      </w:r>
      <w:r w:rsidRPr="00DA76A7">
        <w:rPr>
          <w:rFonts w:ascii="Arial" w:hAnsi="Arial" w:cs="Arial"/>
          <w:color w:val="000000" w:themeColor="text1"/>
          <w:sz w:val="22"/>
          <w:szCs w:val="22"/>
        </w:rPr>
        <w:softHyphen/>
        <w:t>ходы по доставке распределяются между сторонами в соответ</w:t>
      </w:r>
      <w:r w:rsidRPr="00DA76A7">
        <w:rPr>
          <w:rFonts w:ascii="Arial" w:hAnsi="Arial" w:cs="Arial"/>
          <w:color w:val="000000" w:themeColor="text1"/>
          <w:sz w:val="22"/>
          <w:szCs w:val="22"/>
        </w:rPr>
        <w:softHyphen/>
        <w:t>ствии с договором [6].</w:t>
      </w:r>
    </w:p>
    <w:p w:rsidR="00181BA7" w:rsidRPr="00DA76A7" w:rsidRDefault="00181BA7" w:rsidP="00181BA7">
      <w:pPr>
        <w:pStyle w:val="28"/>
        <w:shd w:val="clear" w:color="auto" w:fill="auto"/>
        <w:tabs>
          <w:tab w:val="left" w:pos="1268"/>
        </w:tabs>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Если порядок распределения транспортных расходов по доставке товара договором не установлен, суд путем толкования условий такого договора должен выяснить действительную во</w:t>
      </w:r>
      <w:r w:rsidRPr="00DA76A7">
        <w:rPr>
          <w:rFonts w:ascii="Arial" w:hAnsi="Arial" w:cs="Arial"/>
          <w:color w:val="000000" w:themeColor="text1"/>
          <w:sz w:val="22"/>
          <w:szCs w:val="22"/>
        </w:rPr>
        <w:softHyphen/>
        <w:t>лю сторон с учетом практики их взаимоотношений.</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На основе вышеизложенного мы считаем, что основным са</w:t>
      </w:r>
      <w:r w:rsidRPr="00DA76A7">
        <w:rPr>
          <w:rFonts w:ascii="Arial" w:hAnsi="Arial" w:cs="Arial"/>
          <w:color w:val="000000" w:themeColor="text1"/>
          <w:sz w:val="22"/>
          <w:szCs w:val="22"/>
        </w:rPr>
        <w:softHyphen/>
        <w:t>мостоятельным договором, где оказание услуг является главной целью сторон, его заключивших, выступает договор возмездно</w:t>
      </w:r>
      <w:r w:rsidRPr="00DA76A7">
        <w:rPr>
          <w:rFonts w:ascii="Arial" w:hAnsi="Arial" w:cs="Arial"/>
          <w:color w:val="000000" w:themeColor="text1"/>
          <w:sz w:val="22"/>
          <w:szCs w:val="22"/>
        </w:rPr>
        <w:softHyphen/>
        <w:t>го оказания услуг.</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Данному договору посвящена глава 37 ГК РТ. Данная глава состоит из семи статей, посвященных понятию договора (ст.797), предмету договора (ст.798), исполнению договора (ст.799), цене услуг (сг.800), ответственности исполнителя за нарушения договора (ст.801), порядку отказа от договора (ст.802), норме, согласно которой к данному договору могут быть применены положения о договорах подряда и бытового подряда (ст.803).</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eastAsia="Courier New" w:hAnsi="Arial" w:cs="Arial"/>
          <w:color w:val="000000" w:themeColor="text1"/>
          <w:sz w:val="22"/>
          <w:szCs w:val="22"/>
        </w:rPr>
        <w:t xml:space="preserve">Данный договор вызывает в юридической литературе определенный спор. Так, в юридической литературе широко распространена идея, согласно которой договор возмездного оказания услуг, который закреплен в ГК, является не совсем удачным моментом указанного закона. В этой связи </w:t>
      </w:r>
      <w:r w:rsidRPr="00DA76A7">
        <w:rPr>
          <w:rFonts w:ascii="Arial" w:eastAsia="Courier New" w:hAnsi="Arial" w:cs="Arial"/>
          <w:color w:val="000000" w:themeColor="text1"/>
          <w:sz w:val="22"/>
          <w:szCs w:val="22"/>
          <w:lang w:val="en-US" w:bidi="en-US"/>
        </w:rPr>
        <w:t>JI</w:t>
      </w:r>
      <w:r w:rsidRPr="00DA76A7">
        <w:rPr>
          <w:rFonts w:ascii="Arial" w:eastAsia="Courier New" w:hAnsi="Arial" w:cs="Arial"/>
          <w:color w:val="000000" w:themeColor="text1"/>
          <w:sz w:val="22"/>
          <w:szCs w:val="22"/>
          <w:lang w:bidi="en-US"/>
        </w:rPr>
        <w:t>.</w:t>
      </w:r>
      <w:r w:rsidRPr="00DA76A7">
        <w:rPr>
          <w:rFonts w:ascii="Arial" w:eastAsia="Courier New" w:hAnsi="Arial" w:cs="Arial"/>
          <w:color w:val="000000" w:themeColor="text1"/>
          <w:sz w:val="22"/>
          <w:szCs w:val="22"/>
          <w:lang w:val="en-US" w:bidi="en-US"/>
        </w:rPr>
        <w:t>B</w:t>
      </w:r>
      <w:r w:rsidRPr="00DA76A7">
        <w:rPr>
          <w:rFonts w:ascii="Arial" w:eastAsia="Courier New" w:hAnsi="Arial" w:cs="Arial"/>
          <w:color w:val="000000" w:themeColor="text1"/>
          <w:sz w:val="22"/>
          <w:szCs w:val="22"/>
          <w:lang w:bidi="en-US"/>
        </w:rPr>
        <w:t xml:space="preserve">. </w:t>
      </w:r>
      <w:r w:rsidRPr="00DA76A7">
        <w:rPr>
          <w:rFonts w:ascii="Arial" w:eastAsia="Courier New" w:hAnsi="Arial" w:cs="Arial"/>
          <w:color w:val="000000" w:themeColor="text1"/>
          <w:sz w:val="22"/>
          <w:szCs w:val="22"/>
        </w:rPr>
        <w:t>Санникова отмечает, что «однако глава 39 ГК РФ применяется лишь к тем обязательствам об оказании услуг, которые не получили специального правового регулирования в других глава ГК РФ. Следовательно, положения данной главы не являются общими для всех обязательств об оказани услуг. Для обязательств возмездного оказания услуг, специально не урегулированных в ГК РФ, они считаются общими в силу прямого указания закона. Однако неэффективность гл.39 Г’К РФ, проявившаяся на практике, свидетельствует о том, что законо</w:t>
      </w:r>
      <w:r w:rsidRPr="00DA76A7">
        <w:rPr>
          <w:rFonts w:ascii="Arial" w:eastAsia="Courier New" w:hAnsi="Arial" w:cs="Arial"/>
          <w:color w:val="000000" w:themeColor="text1"/>
          <w:sz w:val="22"/>
          <w:szCs w:val="22"/>
        </w:rPr>
        <w:softHyphen/>
        <w:t>дателю не удалось выделить такие признаки, которые бы дейст</w:t>
      </w:r>
      <w:r w:rsidRPr="00DA76A7">
        <w:rPr>
          <w:rFonts w:ascii="Arial" w:eastAsia="Courier New" w:hAnsi="Arial" w:cs="Arial"/>
          <w:color w:val="000000" w:themeColor="text1"/>
          <w:sz w:val="22"/>
          <w:szCs w:val="22"/>
        </w:rPr>
        <w:softHyphen/>
        <w:t xml:space="preserve">вительно являлись общими для данных </w:t>
      </w:r>
      <w:r w:rsidRPr="00DA76A7">
        <w:rPr>
          <w:rFonts w:ascii="Arial" w:hAnsi="Arial" w:cs="Arial"/>
          <w:color w:val="000000" w:themeColor="text1"/>
          <w:sz w:val="22"/>
          <w:szCs w:val="22"/>
        </w:rPr>
        <w:t>договоров».</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Несмотря на данные спорные моменты, отметим, что дейст</w:t>
      </w:r>
      <w:r w:rsidRPr="00DA76A7">
        <w:rPr>
          <w:rFonts w:ascii="Arial" w:hAnsi="Arial" w:cs="Arial"/>
          <w:color w:val="000000" w:themeColor="text1"/>
          <w:sz w:val="22"/>
          <w:szCs w:val="22"/>
        </w:rPr>
        <w:softHyphen/>
        <w:t>вующее гражданское законодательство также не лишено опре</w:t>
      </w:r>
      <w:r w:rsidRPr="00DA76A7">
        <w:rPr>
          <w:rFonts w:ascii="Arial" w:hAnsi="Arial" w:cs="Arial"/>
          <w:color w:val="000000" w:themeColor="text1"/>
          <w:sz w:val="22"/>
          <w:szCs w:val="22"/>
        </w:rPr>
        <w:softHyphen/>
        <w:t>деленных недостатков в части правового регулирования догово</w:t>
      </w:r>
      <w:r w:rsidRPr="00DA76A7">
        <w:rPr>
          <w:rFonts w:ascii="Arial" w:hAnsi="Arial" w:cs="Arial"/>
          <w:color w:val="000000" w:themeColor="text1"/>
          <w:sz w:val="22"/>
          <w:szCs w:val="22"/>
        </w:rPr>
        <w:softHyphen/>
        <w:t>ра возмездного оказания услуг.</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Так, согласно ст.797 ГК РТ, где сформулировано понятие договора возмездного оказания услуг, «по договору возмездного оказания услуг исполнитель обязуется по заданию заказчика оказать услугу (совершать определенные действия или осуществлять определенную деятельность), не имеющую вещественной формы, а заказчик обязуется оплатить указанную услугу». Нам думается, что в определении данного договора есть определенные недостатки, в частности, указывается, что услуга есть действия или определенная деятельность заказчика, которые не имеют вещественной формы. Спорность данного положения заключается в том, что в данном случае повторяется одна и та же специфика услуги как объекта гражданских прав. В этой связи, так как нами предлагается закрепить понятие «услу</w:t>
      </w:r>
      <w:r w:rsidRPr="00DA76A7">
        <w:rPr>
          <w:rFonts w:ascii="Arial" w:hAnsi="Arial" w:cs="Arial"/>
          <w:color w:val="000000" w:themeColor="text1"/>
          <w:sz w:val="22"/>
          <w:szCs w:val="22"/>
        </w:rPr>
        <w:softHyphen/>
        <w:t>ги» отдельной нормой в ГК, где будет закреплена ее суть, то в понятие договора возмездного оказания услуг нет необходимо</w:t>
      </w:r>
      <w:r w:rsidRPr="00DA76A7">
        <w:rPr>
          <w:rFonts w:ascii="Arial" w:hAnsi="Arial" w:cs="Arial"/>
          <w:color w:val="000000" w:themeColor="text1"/>
          <w:sz w:val="22"/>
          <w:szCs w:val="22"/>
        </w:rPr>
        <w:softHyphen/>
        <w:t>сти включить и указывать суть услуги как объекта гражданского правоотношения, заключающуюся в осуществлении действия или определенной деятельности, результат которого не имеет овеществленной формы.</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Далее, необходимо отметить, что в ст.798 ГК РТ отдельно указывается предмет договора возмездного оказания услуг, что вряд ли правильно, ибо данную норму можно было бы скомпо</w:t>
      </w:r>
      <w:r w:rsidRPr="00DA76A7">
        <w:rPr>
          <w:rFonts w:ascii="Arial" w:hAnsi="Arial" w:cs="Arial"/>
          <w:color w:val="000000" w:themeColor="text1"/>
          <w:sz w:val="22"/>
          <w:szCs w:val="22"/>
        </w:rPr>
        <w:softHyphen/>
        <w:t>новать в ст.797 ГК РТ в качестве второй её части.</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Отсюда предлагается изложить в ст.797 ГК РТ понятие договора возмездного оказание услуг следующим образом: «По договору возмездного оказания услуг исполнитель обязуется по заданию заказчика оказать услугу, а заказчик обязуется оплатить указанную услугу».</w:t>
      </w:r>
    </w:p>
    <w:p w:rsidR="00181BA7" w:rsidRPr="00DA76A7" w:rsidRDefault="00181BA7" w:rsidP="00181BA7">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Данное изменение также можно обосновать доводом, что предметом договора возмездного оказания услуг не может вы</w:t>
      </w:r>
      <w:r w:rsidRPr="00DA76A7">
        <w:rPr>
          <w:rFonts w:ascii="Arial" w:hAnsi="Arial" w:cs="Arial"/>
          <w:color w:val="000000" w:themeColor="text1"/>
          <w:sz w:val="22"/>
          <w:szCs w:val="22"/>
        </w:rPr>
        <w:softHyphen/>
        <w:t>ступать сама услуга, ибо предметом любого гражданско- правового договора, в частности и договора возмездного оказа</w:t>
      </w:r>
      <w:r w:rsidRPr="00DA76A7">
        <w:rPr>
          <w:rFonts w:ascii="Arial" w:hAnsi="Arial" w:cs="Arial"/>
          <w:color w:val="000000" w:themeColor="text1"/>
          <w:sz w:val="22"/>
          <w:szCs w:val="22"/>
        </w:rPr>
        <w:softHyphen/>
        <w:t>ния услуг, выступают отношения между сторонами договора [7, 85].</w:t>
      </w:r>
    </w:p>
    <w:p w:rsidR="00181BA7" w:rsidRPr="00DA76A7" w:rsidRDefault="00181BA7" w:rsidP="00181BA7">
      <w:pPr>
        <w:pStyle w:val="28"/>
        <w:shd w:val="clear" w:color="auto" w:fill="auto"/>
        <w:tabs>
          <w:tab w:val="left" w:pos="1268"/>
        </w:tabs>
        <w:spacing w:line="240" w:lineRule="auto"/>
        <w:ind w:firstLine="567"/>
        <w:rPr>
          <w:rFonts w:ascii="Arial" w:hAnsi="Arial" w:cs="Arial"/>
          <w:color w:val="000000" w:themeColor="text1"/>
          <w:sz w:val="22"/>
          <w:szCs w:val="22"/>
        </w:rPr>
      </w:pPr>
    </w:p>
    <w:p w:rsidR="00181BA7" w:rsidRPr="00DA76A7" w:rsidRDefault="00181BA7" w:rsidP="00181BA7">
      <w:pPr>
        <w:pStyle w:val="28"/>
        <w:shd w:val="clear" w:color="auto" w:fill="auto"/>
        <w:tabs>
          <w:tab w:val="left" w:pos="1268"/>
        </w:tabs>
        <w:spacing w:line="240" w:lineRule="auto"/>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81BA7" w:rsidRPr="00DA76A7" w:rsidRDefault="00181BA7" w:rsidP="00D45D6B">
      <w:pPr>
        <w:pStyle w:val="a6"/>
        <w:widowControl w:val="0"/>
        <w:numPr>
          <w:ilvl w:val="0"/>
          <w:numId w:val="101"/>
        </w:numPr>
        <w:tabs>
          <w:tab w:val="left" w:pos="851"/>
          <w:tab w:val="left" w:pos="9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Брагинский М.И., Витрянский В.В. Договорное право. Книга третья: Договоры о выполнении работ и оказании услуг / М.И. Брагинский, В.В. Витрянский.  - М., 2002. - 1055 с.</w:t>
      </w:r>
    </w:p>
    <w:p w:rsidR="00181BA7" w:rsidRPr="00DA76A7" w:rsidRDefault="00181BA7" w:rsidP="00D45D6B">
      <w:pPr>
        <w:pStyle w:val="a6"/>
        <w:widowControl w:val="0"/>
        <w:numPr>
          <w:ilvl w:val="0"/>
          <w:numId w:val="101"/>
        </w:numPr>
        <w:tabs>
          <w:tab w:val="left" w:pos="851"/>
          <w:tab w:val="left" w:pos="9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Гражданский процесс: учебник / отв. ред. проф. В,В. Ярков. - М., 2000. - 624 с.</w:t>
      </w:r>
    </w:p>
    <w:p w:rsidR="00181BA7" w:rsidRPr="00DA76A7" w:rsidRDefault="00181BA7" w:rsidP="00D45D6B">
      <w:pPr>
        <w:pStyle w:val="a6"/>
        <w:widowControl w:val="0"/>
        <w:numPr>
          <w:ilvl w:val="0"/>
          <w:numId w:val="101"/>
        </w:numPr>
        <w:tabs>
          <w:tab w:val="left" w:pos="851"/>
          <w:tab w:val="left" w:pos="9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Гражданское право России: Курс лекций. Обязательственное право. Часть 2 // Брагинский М.И. Клейн Н.И. Левшина Т.Л. и др. - М.: БЕК. 1997. - 704 с.</w:t>
      </w:r>
    </w:p>
    <w:p w:rsidR="00181BA7" w:rsidRPr="00DA76A7" w:rsidRDefault="00181BA7" w:rsidP="00D45D6B">
      <w:pPr>
        <w:pStyle w:val="a6"/>
        <w:widowControl w:val="0"/>
        <w:numPr>
          <w:ilvl w:val="0"/>
          <w:numId w:val="101"/>
        </w:numPr>
        <w:tabs>
          <w:tab w:val="left" w:pos="851"/>
          <w:tab w:val="left" w:pos="993"/>
        </w:tabs>
        <w:autoSpaceDE w:val="0"/>
        <w:autoSpaceDN w:val="0"/>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Гражданское право: учебник: в 2 т. / отв. ред. проф. Е.А. Суханов. - М., 2000. – Т. II. - 544 с.</w:t>
      </w:r>
      <w:r w:rsidRPr="00DA76A7">
        <w:rPr>
          <w:rFonts w:ascii="Arial" w:hAnsi="Arial" w:cs="Arial"/>
          <w:color w:val="000000" w:themeColor="text1"/>
        </w:rPr>
        <w:tab/>
      </w:r>
    </w:p>
    <w:p w:rsidR="00181BA7" w:rsidRPr="00DA76A7" w:rsidRDefault="00181BA7" w:rsidP="00D45D6B">
      <w:pPr>
        <w:pStyle w:val="a6"/>
        <w:widowControl w:val="0"/>
        <w:numPr>
          <w:ilvl w:val="0"/>
          <w:numId w:val="101"/>
        </w:numPr>
        <w:tabs>
          <w:tab w:val="left" w:pos="851"/>
        </w:tabs>
        <w:autoSpaceDE w:val="0"/>
        <w:autoSpaceDN w:val="0"/>
        <w:spacing w:after="0" w:line="240" w:lineRule="auto"/>
        <w:ind w:left="0" w:firstLine="567"/>
        <w:contextualSpacing w:val="0"/>
        <w:jc w:val="both"/>
        <w:rPr>
          <w:rFonts w:ascii="Arial" w:eastAsia="Courier New" w:hAnsi="Arial" w:cs="Arial"/>
          <w:bCs/>
          <w:color w:val="000000" w:themeColor="text1"/>
        </w:rPr>
      </w:pPr>
      <w:r w:rsidRPr="00DA76A7">
        <w:rPr>
          <w:rFonts w:ascii="Arial" w:eastAsia="Courier New" w:hAnsi="Arial" w:cs="Arial"/>
          <w:bCs/>
          <w:color w:val="000000" w:themeColor="text1"/>
        </w:rPr>
        <w:t>Постановление Пленума ВЭС РТ от 23 апреля 2004 года, - № 1 – С. 456 – 0460. «ТО неко</w:t>
      </w:r>
      <w:r w:rsidRPr="00DA76A7">
        <w:rPr>
          <w:rFonts w:ascii="Arial" w:eastAsia="Courier New" w:hAnsi="Arial" w:cs="Arial"/>
          <w:bCs/>
          <w:color w:val="000000" w:themeColor="text1"/>
        </w:rPr>
        <w:softHyphen/>
        <w:t>торых вопросах, связанных с договором поставки».</w:t>
      </w:r>
    </w:p>
    <w:p w:rsidR="00181BA7" w:rsidRPr="00DA76A7" w:rsidRDefault="00181BA7" w:rsidP="00D45D6B">
      <w:pPr>
        <w:pStyle w:val="a6"/>
        <w:numPr>
          <w:ilvl w:val="0"/>
          <w:numId w:val="101"/>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Хошимов Д.Д. Услуги в системе объектов гражданских прав. – Душанбе: «ЭР-граф», 2013. - 172 с.</w:t>
      </w:r>
    </w:p>
    <w:p w:rsidR="00181BA7" w:rsidRPr="00DA76A7" w:rsidRDefault="00181BA7" w:rsidP="00181BA7">
      <w:pPr>
        <w:ind w:firstLine="567"/>
        <w:jc w:val="both"/>
        <w:rPr>
          <w:rFonts w:ascii="Arial" w:hAnsi="Arial" w:cs="Arial"/>
          <w:color w:val="000000" w:themeColor="text1"/>
          <w:sz w:val="22"/>
          <w:szCs w:val="22"/>
          <w:shd w:val="clear" w:color="auto" w:fill="FFFFFF"/>
        </w:rPr>
      </w:pPr>
    </w:p>
    <w:p w:rsidR="00181BA7" w:rsidRPr="00DA76A7" w:rsidRDefault="00181BA7" w:rsidP="00181BA7">
      <w:pPr>
        <w:ind w:firstLine="567"/>
        <w:jc w:val="both"/>
        <w:rPr>
          <w:rFonts w:ascii="Arial" w:hAnsi="Arial" w:cs="Arial"/>
          <w:color w:val="000000" w:themeColor="text1"/>
          <w:sz w:val="22"/>
          <w:szCs w:val="22"/>
        </w:rPr>
      </w:pPr>
    </w:p>
    <w:p w:rsidR="00E45BB4" w:rsidRPr="00DA76A7" w:rsidRDefault="00E45BB4" w:rsidP="00E45BB4">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ПОНЯТИЕ ЮРИДИЧЕСКОЙ УСЛУГИ В ГРАЖДАНСКОМ ПРАВЕ </w:t>
      </w:r>
    </w:p>
    <w:p w:rsidR="00E45BB4" w:rsidRPr="00DA76A7" w:rsidRDefault="00E45BB4" w:rsidP="00E45BB4">
      <w:pPr>
        <w:ind w:firstLine="567"/>
        <w:jc w:val="center"/>
        <w:rPr>
          <w:rFonts w:ascii="Arial" w:hAnsi="Arial" w:cs="Arial"/>
          <w:b/>
          <w:color w:val="000000" w:themeColor="text1"/>
          <w:sz w:val="22"/>
          <w:szCs w:val="22"/>
        </w:rPr>
      </w:pPr>
    </w:p>
    <w:p w:rsidR="00E45BB4" w:rsidRPr="00DA76A7" w:rsidRDefault="00E45BB4" w:rsidP="00E45BB4">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Чалишев Раджабали Саторович  </w:t>
      </w:r>
    </w:p>
    <w:p w:rsidR="00E45BB4" w:rsidRPr="00DA76A7" w:rsidRDefault="00E45BB4" w:rsidP="00E45BB4">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2 - го года обучения очного отделения юридического факультета </w:t>
      </w:r>
    </w:p>
    <w:p w:rsidR="00E45BB4" w:rsidRPr="00DA76A7" w:rsidRDefault="00E45BB4" w:rsidP="00E45BB4">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Российско-Таджикский (Славянский) университет </w:t>
      </w:r>
    </w:p>
    <w:p w:rsidR="00E45BB4" w:rsidRPr="00DA76A7" w:rsidRDefault="00E45BB4" w:rsidP="00E45BB4">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E45BB4" w:rsidRPr="00DA76A7" w:rsidRDefault="00E45BB4" w:rsidP="00E45BB4">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906 99 41 45,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rajab</w:t>
      </w:r>
      <w:r w:rsidRPr="00DA76A7">
        <w:rPr>
          <w:rFonts w:ascii="Arial" w:hAnsi="Arial" w:cs="Arial"/>
          <w:color w:val="000000" w:themeColor="text1"/>
          <w:sz w:val="22"/>
          <w:szCs w:val="22"/>
        </w:rPr>
        <w:t>-01@</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E45BB4" w:rsidRPr="00DA76A7" w:rsidRDefault="00E45BB4" w:rsidP="00E45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rPr>
      </w:pPr>
    </w:p>
    <w:p w:rsidR="00E45BB4" w:rsidRPr="00DA76A7" w:rsidRDefault="00E45BB4" w:rsidP="00E45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CONCEPT OF THE CONTRACT FOR LEGAL SERVICES</w:t>
      </w:r>
    </w:p>
    <w:p w:rsidR="00E45BB4" w:rsidRPr="00DA76A7" w:rsidRDefault="00E45BB4" w:rsidP="00E45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shd w:val="clear" w:color="auto" w:fill="FFFFFF"/>
          <w:lang w:val="en-US"/>
        </w:rPr>
      </w:pPr>
    </w:p>
    <w:p w:rsidR="00E45BB4" w:rsidRPr="00DA76A7" w:rsidRDefault="00E45BB4" w:rsidP="00E45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Chalishev Radzhabali Satorovich</w:t>
      </w:r>
    </w:p>
    <w:p w:rsidR="00E45BB4" w:rsidRPr="00DA76A7" w:rsidRDefault="00E45BB4" w:rsidP="00E45BB4">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undergraduate 2nd year student of full-time department of the law of faculty</w:t>
      </w:r>
    </w:p>
    <w:p w:rsidR="00E45BB4" w:rsidRPr="00DA76A7" w:rsidRDefault="00E45BB4" w:rsidP="00E45BB4">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Russian-Tajik (Slavonic) university</w:t>
      </w:r>
    </w:p>
    <w:p w:rsidR="00E45BB4" w:rsidRPr="00DA76A7" w:rsidRDefault="00E45BB4" w:rsidP="00E45BB4">
      <w:pPr>
        <w:pStyle w:val="a9"/>
        <w:ind w:firstLine="567"/>
        <w:jc w:val="center"/>
        <w:rPr>
          <w:rFonts w:ascii="Arial" w:eastAsiaTheme="minorHAnsi" w:hAnsi="Arial" w:cs="Arial"/>
          <w:color w:val="000000" w:themeColor="text1"/>
        </w:rPr>
      </w:pPr>
      <w:r w:rsidRPr="00DA76A7">
        <w:rPr>
          <w:rFonts w:ascii="Arial" w:eastAsiaTheme="minorHAnsi" w:hAnsi="Arial" w:cs="Arial"/>
          <w:color w:val="000000" w:themeColor="text1"/>
        </w:rPr>
        <w:t>734025, Repu</w:t>
      </w:r>
      <w:r w:rsidRPr="00DA76A7">
        <w:rPr>
          <w:rFonts w:ascii="Arial" w:eastAsiaTheme="minorHAnsi" w:hAnsi="Arial" w:cs="Arial"/>
          <w:iCs/>
          <w:color w:val="000000" w:themeColor="text1"/>
        </w:rPr>
        <w:t>blic of Tajikistan, Dushanbe,  M. Tursunzade str.,</w:t>
      </w:r>
      <w:r w:rsidRPr="00DA76A7">
        <w:rPr>
          <w:rFonts w:ascii="Arial" w:eastAsiaTheme="minorHAnsi" w:hAnsi="Arial" w:cs="Arial"/>
          <w:color w:val="000000" w:themeColor="text1"/>
        </w:rPr>
        <w:t xml:space="preserve"> 30</w:t>
      </w:r>
    </w:p>
    <w:p w:rsidR="00E45BB4" w:rsidRPr="00DA76A7" w:rsidRDefault="00E45BB4" w:rsidP="00E45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 906 99 41 45,  e-mail:  rajab-01@mail.ru</w:t>
      </w:r>
    </w:p>
    <w:p w:rsidR="00E45BB4" w:rsidRPr="00DA76A7" w:rsidRDefault="00E45BB4" w:rsidP="00E45BB4">
      <w:pPr>
        <w:pStyle w:val="a9"/>
        <w:ind w:firstLine="567"/>
        <w:rPr>
          <w:rFonts w:ascii="Arial" w:hAnsi="Arial" w:cs="Arial"/>
          <w:color w:val="000000" w:themeColor="text1"/>
        </w:rPr>
      </w:pPr>
    </w:p>
    <w:p w:rsidR="00E45BB4" w:rsidRPr="00DA76A7" w:rsidRDefault="00E45BB4" w:rsidP="00E45BB4">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Рахимзода М.З.</w:t>
      </w:r>
    </w:p>
    <w:p w:rsidR="00E45BB4" w:rsidRPr="00DA76A7" w:rsidRDefault="00E45BB4" w:rsidP="00E45BB4">
      <w:pPr>
        <w:pStyle w:val="a9"/>
        <w:ind w:firstLine="567"/>
        <w:rPr>
          <w:rFonts w:ascii="Arial" w:hAnsi="Arial" w:cs="Arial"/>
          <w:color w:val="000000" w:themeColor="text1"/>
          <w:lang w:val="ru-RU"/>
        </w:rPr>
      </w:pPr>
    </w:p>
    <w:p w:rsidR="00E45BB4" w:rsidRPr="00DA76A7" w:rsidRDefault="00E45BB4" w:rsidP="00E45BB4">
      <w:pPr>
        <w:pStyle w:val="a9"/>
        <w:ind w:firstLine="567"/>
        <w:rPr>
          <w:rFonts w:ascii="Arial" w:hAnsi="Arial" w:cs="Arial"/>
          <w:i/>
          <w:color w:val="000000" w:themeColor="text1"/>
          <w:lang w:val="ru-RU"/>
        </w:rPr>
      </w:pPr>
      <w:r w:rsidRPr="00DA76A7">
        <w:rPr>
          <w:rFonts w:ascii="Arial" w:hAnsi="Arial" w:cs="Arial"/>
          <w:b/>
          <w:i/>
          <w:color w:val="000000" w:themeColor="text1"/>
          <w:lang w:val="ru-RU"/>
        </w:rPr>
        <w:t>Аннотация.</w:t>
      </w:r>
      <w:r w:rsidRPr="00DA76A7">
        <w:rPr>
          <w:rFonts w:ascii="Arial" w:hAnsi="Arial" w:cs="Arial"/>
          <w:i/>
          <w:color w:val="000000" w:themeColor="text1"/>
          <w:lang w:val="ru-RU"/>
        </w:rPr>
        <w:t xml:space="preserve">  В статье, традиционном подходе рассматривается общие понятия юридической услуги с точки зрения ведущих цивилистов и с позиции гражданского законодательства Республики Таджикистан. </w:t>
      </w:r>
    </w:p>
    <w:p w:rsidR="00E45BB4" w:rsidRPr="00DA76A7" w:rsidRDefault="00E45BB4" w:rsidP="00E45BB4">
      <w:pPr>
        <w:pStyle w:val="a9"/>
        <w:ind w:firstLine="567"/>
        <w:rPr>
          <w:rFonts w:ascii="Arial" w:hAnsi="Arial" w:cs="Arial"/>
          <w:i/>
          <w:color w:val="000000" w:themeColor="text1"/>
        </w:rPr>
      </w:pPr>
      <w:r w:rsidRPr="00DA76A7">
        <w:rPr>
          <w:rFonts w:ascii="Arial" w:hAnsi="Arial" w:cs="Arial"/>
          <w:b/>
          <w:i/>
          <w:color w:val="000000" w:themeColor="text1"/>
          <w:spacing w:val="-4"/>
        </w:rPr>
        <w:t>Annotation.</w:t>
      </w:r>
      <w:r w:rsidRPr="00DA76A7">
        <w:rPr>
          <w:rFonts w:ascii="Arial" w:hAnsi="Arial" w:cs="Arial"/>
          <w:i/>
          <w:color w:val="000000" w:themeColor="text1"/>
          <w:spacing w:val="-4"/>
        </w:rPr>
        <w:t xml:space="preserve"> </w:t>
      </w:r>
      <w:r w:rsidRPr="00DA76A7">
        <w:rPr>
          <w:rFonts w:ascii="Arial" w:hAnsi="Arial" w:cs="Arial"/>
          <w:i/>
          <w:color w:val="000000" w:themeColor="text1"/>
          <w:shd w:val="clear" w:color="auto" w:fill="FFFFFF"/>
        </w:rPr>
        <w:t>In the article some aspects of the delimitation between legal services and legal assistance in accordance with existing theories in civil law are considered.</w:t>
      </w:r>
      <w:r w:rsidRPr="00DA76A7">
        <w:rPr>
          <w:rFonts w:ascii="Arial" w:hAnsi="Arial" w:cs="Arial"/>
          <w:i/>
          <w:color w:val="000000" w:themeColor="text1"/>
        </w:rPr>
        <w:t xml:space="preserve">  </w:t>
      </w:r>
    </w:p>
    <w:p w:rsidR="00E45BB4" w:rsidRPr="00DA76A7" w:rsidRDefault="00E45BB4" w:rsidP="00E45BB4">
      <w:pPr>
        <w:pStyle w:val="a9"/>
        <w:ind w:firstLine="567"/>
        <w:rPr>
          <w:rFonts w:ascii="Arial" w:hAnsi="Arial" w:cs="Arial"/>
          <w:i/>
          <w:color w:val="000000" w:themeColor="text1"/>
          <w:lang w:val="ru-RU"/>
        </w:rPr>
      </w:pPr>
      <w:r w:rsidRPr="00DA76A7">
        <w:rPr>
          <w:rFonts w:ascii="Arial" w:hAnsi="Arial" w:cs="Arial"/>
          <w:b/>
          <w:i/>
          <w:color w:val="000000" w:themeColor="text1"/>
          <w:lang w:val="ru-RU"/>
        </w:rPr>
        <w:t>Ключевые слова:</w:t>
      </w:r>
      <w:r w:rsidRPr="00DA76A7">
        <w:rPr>
          <w:rFonts w:ascii="Arial" w:hAnsi="Arial" w:cs="Arial"/>
          <w:i/>
          <w:color w:val="000000" w:themeColor="text1"/>
          <w:lang w:val="ru-RU"/>
        </w:rPr>
        <w:t xml:space="preserve"> услуга, юридическая услуга, гражданское законодательство, юридические факты, объект, теория.      </w:t>
      </w:r>
    </w:p>
    <w:p w:rsidR="00E45BB4" w:rsidRPr="00DA76A7" w:rsidRDefault="00E45BB4" w:rsidP="00E45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legal service, legal aid, theory, demarcation, legal activity.</w:t>
      </w:r>
    </w:p>
    <w:p w:rsidR="00E45BB4" w:rsidRPr="00DA76A7" w:rsidRDefault="00E45BB4" w:rsidP="00E45BB4">
      <w:pPr>
        <w:pStyle w:val="a9"/>
        <w:ind w:firstLine="567"/>
        <w:rPr>
          <w:rFonts w:ascii="Arial" w:hAnsi="Arial" w:cs="Arial"/>
          <w:color w:val="000000" w:themeColor="text1"/>
        </w:rPr>
      </w:pP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В гражданском праве сущность юридических фактов не заканчивается только тем, что они являются основанием возникновения, изменения и прекращения гражданских правоотношений, т.е. динамикой. Кроме этого, юридические факты </w:t>
      </w:r>
      <w:r w:rsidRPr="00DA76A7">
        <w:rPr>
          <w:rFonts w:ascii="Arial" w:hAnsi="Arial" w:cs="Arial"/>
          <w:color w:val="000000" w:themeColor="text1"/>
          <w:shd w:val="clear" w:color="auto" w:fill="FCFCFC"/>
          <w:lang w:val="ru-RU"/>
        </w:rPr>
        <w:t>имеют все шансы повлечь и другие правовые результаты</w:t>
      </w:r>
      <w:r w:rsidRPr="00DA76A7">
        <w:rPr>
          <w:rFonts w:ascii="Arial" w:hAnsi="Arial" w:cs="Arial"/>
          <w:color w:val="000000" w:themeColor="text1"/>
          <w:lang w:val="ru-RU"/>
        </w:rPr>
        <w:t>, например, факт достижения совершеннолетия, объявление эмансипированным, признание недееспособности гражданина, влекут за собой возникновение или прекращение дееспособности [1, 402].</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При этом не всякие жизненные обстоятельства являются юридическими фактами, а лишь такие, с которыми закон и иные правовые акты связывают наступление юридических последствий. Так, достижение 18 возраста само по себе не вызывает каких-либо юридических последствий. Но законодательство, связывая с достижением этого возраста возникновения гражданской дееспособности [2.], делает его юридическим фактом.</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Для возникновения, изменения и прекращения гражданских правоотношений не требуется, чтобы порождающие их юридические</w:t>
      </w:r>
      <w:r w:rsidRPr="00DA76A7">
        <w:rPr>
          <w:rFonts w:ascii="Arial" w:hAnsi="Arial" w:cs="Arial"/>
          <w:color w:val="000000" w:themeColor="text1"/>
          <w:spacing w:val="53"/>
          <w:lang w:val="ru-RU"/>
        </w:rPr>
        <w:t xml:space="preserve"> </w:t>
      </w:r>
      <w:r w:rsidRPr="00DA76A7">
        <w:rPr>
          <w:rFonts w:ascii="Arial" w:hAnsi="Arial" w:cs="Arial"/>
          <w:color w:val="000000" w:themeColor="text1"/>
          <w:lang w:val="ru-RU"/>
        </w:rPr>
        <w:t xml:space="preserve">факты были прямо предусмотрены в </w:t>
      </w:r>
      <w:r w:rsidRPr="00DA76A7">
        <w:rPr>
          <w:rFonts w:ascii="Arial" w:hAnsi="Arial" w:cs="Arial"/>
          <w:color w:val="000000" w:themeColor="text1"/>
          <w:spacing w:val="-4"/>
          <w:lang w:val="ru-RU"/>
        </w:rPr>
        <w:t xml:space="preserve">законе. </w:t>
      </w:r>
      <w:r w:rsidRPr="00DA76A7">
        <w:rPr>
          <w:rFonts w:ascii="Arial" w:hAnsi="Arial" w:cs="Arial"/>
          <w:color w:val="000000" w:themeColor="text1"/>
          <w:spacing w:val="-3"/>
          <w:lang w:val="ru-RU"/>
        </w:rPr>
        <w:t xml:space="preserve">Гражданские </w:t>
      </w:r>
      <w:r w:rsidRPr="00DA76A7">
        <w:rPr>
          <w:rFonts w:ascii="Arial" w:hAnsi="Arial" w:cs="Arial"/>
          <w:color w:val="000000" w:themeColor="text1"/>
          <w:lang w:val="ru-RU"/>
        </w:rPr>
        <w:t xml:space="preserve">права и обязанности могут также возникнуть и из «действий граждан и юридических лиц, </w:t>
      </w:r>
      <w:r w:rsidRPr="00DA76A7">
        <w:rPr>
          <w:rFonts w:ascii="Arial" w:hAnsi="Arial" w:cs="Arial"/>
          <w:color w:val="000000" w:themeColor="text1"/>
          <w:spacing w:val="-4"/>
          <w:lang w:val="ru-RU"/>
        </w:rPr>
        <w:t xml:space="preserve">которые </w:t>
      </w:r>
      <w:r w:rsidRPr="00DA76A7">
        <w:rPr>
          <w:rFonts w:ascii="Arial" w:hAnsi="Arial" w:cs="Arial"/>
          <w:color w:val="000000" w:themeColor="text1"/>
          <w:spacing w:val="-5"/>
          <w:lang w:val="ru-RU"/>
        </w:rPr>
        <w:t xml:space="preserve">хотя </w:t>
      </w:r>
      <w:r w:rsidRPr="00DA76A7">
        <w:rPr>
          <w:rFonts w:ascii="Arial" w:hAnsi="Arial" w:cs="Arial"/>
          <w:color w:val="000000" w:themeColor="text1"/>
          <w:lang w:val="ru-RU"/>
        </w:rPr>
        <w:t xml:space="preserve">и не предусмотрены </w:t>
      </w:r>
      <w:r w:rsidRPr="00DA76A7">
        <w:rPr>
          <w:rFonts w:ascii="Arial" w:hAnsi="Arial" w:cs="Arial"/>
          <w:color w:val="000000" w:themeColor="text1"/>
          <w:spacing w:val="-4"/>
          <w:lang w:val="ru-RU"/>
        </w:rPr>
        <w:t xml:space="preserve">законом </w:t>
      </w:r>
      <w:r w:rsidRPr="00DA76A7">
        <w:rPr>
          <w:rFonts w:ascii="Arial" w:hAnsi="Arial" w:cs="Arial"/>
          <w:color w:val="000000" w:themeColor="text1"/>
          <w:lang w:val="ru-RU"/>
        </w:rPr>
        <w:t xml:space="preserve">или такими актами, но в силу общих </w:t>
      </w:r>
      <w:r w:rsidRPr="00DA76A7">
        <w:rPr>
          <w:rFonts w:ascii="Arial" w:hAnsi="Arial" w:cs="Arial"/>
          <w:color w:val="000000" w:themeColor="text1"/>
          <w:spacing w:val="-3"/>
          <w:lang w:val="ru-RU"/>
        </w:rPr>
        <w:t xml:space="preserve">начал </w:t>
      </w:r>
      <w:r w:rsidRPr="00DA76A7">
        <w:rPr>
          <w:rFonts w:ascii="Arial" w:hAnsi="Arial" w:cs="Arial"/>
          <w:color w:val="000000" w:themeColor="text1"/>
          <w:lang w:val="ru-RU"/>
        </w:rPr>
        <w:t xml:space="preserve">смысла </w:t>
      </w:r>
      <w:r w:rsidRPr="00DA76A7">
        <w:rPr>
          <w:rFonts w:ascii="Arial" w:hAnsi="Arial" w:cs="Arial"/>
          <w:color w:val="000000" w:themeColor="text1"/>
          <w:spacing w:val="-3"/>
          <w:lang w:val="ru-RU"/>
        </w:rPr>
        <w:t xml:space="preserve">гражданского законодательства </w:t>
      </w:r>
      <w:r w:rsidRPr="00DA76A7">
        <w:rPr>
          <w:rFonts w:ascii="Arial" w:hAnsi="Arial" w:cs="Arial"/>
          <w:color w:val="000000" w:themeColor="text1"/>
          <w:lang w:val="ru-RU"/>
        </w:rPr>
        <w:t>порождают гражданские права и</w:t>
      </w:r>
      <w:r w:rsidRPr="00DA76A7">
        <w:rPr>
          <w:rFonts w:ascii="Arial" w:hAnsi="Arial" w:cs="Arial"/>
          <w:color w:val="000000" w:themeColor="text1"/>
          <w:spacing w:val="-8"/>
          <w:lang w:val="ru-RU"/>
        </w:rPr>
        <w:t xml:space="preserve"> </w:t>
      </w:r>
      <w:r w:rsidRPr="00DA76A7">
        <w:rPr>
          <w:rFonts w:ascii="Arial" w:hAnsi="Arial" w:cs="Arial"/>
          <w:color w:val="000000" w:themeColor="text1"/>
          <w:lang w:val="ru-RU"/>
        </w:rPr>
        <w:t>обязанности.</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В юридическом смысле услуга - это вид юридической деятельности, направленный на </w:t>
      </w:r>
      <w:r w:rsidRPr="00DA76A7">
        <w:rPr>
          <w:rFonts w:ascii="Arial" w:hAnsi="Arial" w:cs="Arial"/>
          <w:color w:val="000000" w:themeColor="text1"/>
          <w:spacing w:val="-3"/>
          <w:lang w:val="ru-RU"/>
        </w:rPr>
        <w:t xml:space="preserve">удовлетворение </w:t>
      </w:r>
      <w:r w:rsidRPr="00DA76A7">
        <w:rPr>
          <w:rFonts w:ascii="Arial" w:hAnsi="Arial" w:cs="Arial"/>
          <w:color w:val="000000" w:themeColor="text1"/>
          <w:lang w:val="ru-RU"/>
        </w:rPr>
        <w:t xml:space="preserve">в правовой сфере потребностей других лиц, </w:t>
      </w:r>
      <w:r w:rsidRPr="00DA76A7">
        <w:rPr>
          <w:rFonts w:ascii="Arial" w:hAnsi="Arial" w:cs="Arial"/>
          <w:color w:val="000000" w:themeColor="text1"/>
          <w:spacing w:val="-4"/>
          <w:lang w:val="ru-RU"/>
        </w:rPr>
        <w:t>результаты</w:t>
      </w:r>
      <w:r w:rsidRPr="00DA76A7">
        <w:rPr>
          <w:rFonts w:ascii="Arial" w:hAnsi="Arial" w:cs="Arial"/>
          <w:color w:val="000000" w:themeColor="text1"/>
          <w:spacing w:val="62"/>
          <w:lang w:val="ru-RU"/>
        </w:rPr>
        <w:t xml:space="preserve"> </w:t>
      </w:r>
      <w:r w:rsidRPr="00DA76A7">
        <w:rPr>
          <w:rFonts w:ascii="Arial" w:hAnsi="Arial" w:cs="Arial"/>
          <w:color w:val="000000" w:themeColor="text1"/>
          <w:spacing w:val="-4"/>
          <w:lang w:val="ru-RU"/>
        </w:rPr>
        <w:t>которой</w:t>
      </w:r>
      <w:r w:rsidRPr="00DA76A7">
        <w:rPr>
          <w:rFonts w:ascii="Arial" w:hAnsi="Arial" w:cs="Arial"/>
          <w:color w:val="000000" w:themeColor="text1"/>
          <w:spacing w:val="62"/>
          <w:lang w:val="ru-RU"/>
        </w:rPr>
        <w:t xml:space="preserve"> </w:t>
      </w:r>
      <w:r w:rsidRPr="00DA76A7">
        <w:rPr>
          <w:rFonts w:ascii="Arial" w:hAnsi="Arial" w:cs="Arial"/>
          <w:color w:val="000000" w:themeColor="text1"/>
          <w:lang w:val="ru-RU"/>
        </w:rPr>
        <w:t>реализуются и потребляются в процессе осуществления этой деятельности [3, 32].</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В частноправовом смысле юридическая услуга предстает как объект гражданского права и, благодаря этому, отношения по оказанию услуги становятся предметом регулирования обязательственно-правовых норм.</w:t>
      </w:r>
    </w:p>
    <w:p w:rsidR="00E45BB4" w:rsidRPr="00DA76A7" w:rsidRDefault="00E45BB4" w:rsidP="00E45BB4">
      <w:pPr>
        <w:pStyle w:val="a9"/>
        <w:ind w:firstLine="567"/>
        <w:rPr>
          <w:rFonts w:ascii="Arial" w:hAnsi="Arial" w:cs="Arial"/>
          <w:color w:val="000000" w:themeColor="text1"/>
          <w:spacing w:val="-3"/>
          <w:lang w:val="ru-RU"/>
        </w:rPr>
      </w:pPr>
      <w:r w:rsidRPr="00DA76A7">
        <w:rPr>
          <w:rFonts w:ascii="Arial" w:hAnsi="Arial" w:cs="Arial"/>
          <w:color w:val="000000" w:themeColor="text1"/>
          <w:spacing w:val="-5"/>
          <w:lang w:val="ru-RU"/>
        </w:rPr>
        <w:t xml:space="preserve">Гражданский </w:t>
      </w:r>
      <w:r w:rsidRPr="00DA76A7">
        <w:rPr>
          <w:rFonts w:ascii="Arial" w:hAnsi="Arial" w:cs="Arial"/>
          <w:color w:val="000000" w:themeColor="text1"/>
          <w:spacing w:val="-7"/>
          <w:lang w:val="ru-RU"/>
        </w:rPr>
        <w:t xml:space="preserve">кодекс </w:t>
      </w:r>
      <w:r w:rsidRPr="00DA76A7">
        <w:rPr>
          <w:rFonts w:ascii="Arial" w:hAnsi="Arial" w:cs="Arial"/>
          <w:color w:val="000000" w:themeColor="text1"/>
          <w:spacing w:val="-3"/>
          <w:lang w:val="ru-RU"/>
        </w:rPr>
        <w:t xml:space="preserve">РТ </w:t>
      </w:r>
      <w:r w:rsidRPr="00DA76A7">
        <w:rPr>
          <w:rFonts w:ascii="Arial" w:hAnsi="Arial" w:cs="Arial"/>
          <w:color w:val="000000" w:themeColor="text1"/>
          <w:lang w:val="ru-RU"/>
        </w:rPr>
        <w:t xml:space="preserve">относит услуги к </w:t>
      </w:r>
      <w:r w:rsidRPr="00DA76A7">
        <w:rPr>
          <w:rFonts w:ascii="Arial" w:hAnsi="Arial" w:cs="Arial"/>
          <w:color w:val="000000" w:themeColor="text1"/>
          <w:spacing w:val="-3"/>
          <w:lang w:val="ru-RU"/>
        </w:rPr>
        <w:t xml:space="preserve">числу </w:t>
      </w:r>
      <w:r w:rsidRPr="00DA76A7">
        <w:rPr>
          <w:rFonts w:ascii="Arial" w:hAnsi="Arial" w:cs="Arial"/>
          <w:color w:val="000000" w:themeColor="text1"/>
          <w:spacing w:val="-4"/>
          <w:lang w:val="ru-RU"/>
        </w:rPr>
        <w:t xml:space="preserve">объектов </w:t>
      </w:r>
      <w:r w:rsidRPr="00DA76A7">
        <w:rPr>
          <w:rFonts w:ascii="Arial" w:hAnsi="Arial" w:cs="Arial"/>
          <w:color w:val="000000" w:themeColor="text1"/>
          <w:spacing w:val="-3"/>
          <w:lang w:val="ru-RU"/>
        </w:rPr>
        <w:t xml:space="preserve">гражданский </w:t>
      </w:r>
      <w:r w:rsidRPr="00DA76A7">
        <w:rPr>
          <w:rFonts w:ascii="Arial" w:hAnsi="Arial" w:cs="Arial"/>
          <w:color w:val="000000" w:themeColor="text1"/>
          <w:lang w:val="ru-RU"/>
        </w:rPr>
        <w:t xml:space="preserve">прав, </w:t>
      </w:r>
      <w:r w:rsidRPr="00DA76A7">
        <w:rPr>
          <w:rFonts w:ascii="Arial" w:hAnsi="Arial" w:cs="Arial"/>
          <w:color w:val="000000" w:themeColor="text1"/>
          <w:spacing w:val="-6"/>
          <w:lang w:val="ru-RU"/>
        </w:rPr>
        <w:t xml:space="preserve">однако, </w:t>
      </w:r>
      <w:r w:rsidRPr="00DA76A7">
        <w:rPr>
          <w:rFonts w:ascii="Arial" w:hAnsi="Arial" w:cs="Arial"/>
          <w:color w:val="000000" w:themeColor="text1"/>
          <w:lang w:val="ru-RU"/>
        </w:rPr>
        <w:t xml:space="preserve">в </w:t>
      </w:r>
      <w:r w:rsidRPr="00DA76A7">
        <w:rPr>
          <w:rFonts w:ascii="Arial" w:hAnsi="Arial" w:cs="Arial"/>
          <w:color w:val="000000" w:themeColor="text1"/>
          <w:spacing w:val="-4"/>
          <w:lang w:val="ru-RU"/>
        </w:rPr>
        <w:t xml:space="preserve">отличие </w:t>
      </w:r>
      <w:r w:rsidRPr="00DA76A7">
        <w:rPr>
          <w:rFonts w:ascii="Arial" w:hAnsi="Arial" w:cs="Arial"/>
          <w:color w:val="000000" w:themeColor="text1"/>
          <w:lang w:val="ru-RU"/>
        </w:rPr>
        <w:t xml:space="preserve">от иных в </w:t>
      </w:r>
      <w:r w:rsidRPr="00DA76A7">
        <w:rPr>
          <w:rFonts w:ascii="Arial" w:hAnsi="Arial" w:cs="Arial"/>
          <w:color w:val="000000" w:themeColor="text1"/>
          <w:spacing w:val="-5"/>
          <w:lang w:val="ru-RU"/>
        </w:rPr>
        <w:t xml:space="preserve">этом </w:t>
      </w:r>
      <w:r w:rsidRPr="00DA76A7">
        <w:rPr>
          <w:rFonts w:ascii="Arial" w:hAnsi="Arial" w:cs="Arial"/>
          <w:color w:val="000000" w:themeColor="text1"/>
          <w:spacing w:val="-4"/>
          <w:lang w:val="ru-RU"/>
        </w:rPr>
        <w:t xml:space="preserve">перечне </w:t>
      </w:r>
      <w:r w:rsidRPr="00DA76A7">
        <w:rPr>
          <w:rFonts w:ascii="Arial" w:hAnsi="Arial" w:cs="Arial"/>
          <w:color w:val="000000" w:themeColor="text1"/>
          <w:spacing w:val="-5"/>
          <w:lang w:val="ru-RU"/>
        </w:rPr>
        <w:t xml:space="preserve">объектов </w:t>
      </w:r>
      <w:r w:rsidRPr="00DA76A7">
        <w:rPr>
          <w:rFonts w:ascii="Arial" w:hAnsi="Arial" w:cs="Arial"/>
          <w:color w:val="000000" w:themeColor="text1"/>
          <w:lang w:val="ru-RU"/>
        </w:rPr>
        <w:t xml:space="preserve">не </w:t>
      </w:r>
      <w:r w:rsidRPr="00DA76A7">
        <w:rPr>
          <w:rFonts w:ascii="Arial" w:hAnsi="Arial" w:cs="Arial"/>
          <w:color w:val="000000" w:themeColor="text1"/>
          <w:spacing w:val="-4"/>
          <w:lang w:val="ru-RU"/>
        </w:rPr>
        <w:t xml:space="preserve">содержит </w:t>
      </w:r>
      <w:r w:rsidRPr="00DA76A7">
        <w:rPr>
          <w:rFonts w:ascii="Arial" w:hAnsi="Arial" w:cs="Arial"/>
          <w:color w:val="000000" w:themeColor="text1"/>
          <w:lang w:val="ru-RU"/>
        </w:rPr>
        <w:t xml:space="preserve">их </w:t>
      </w:r>
      <w:r w:rsidRPr="00DA76A7">
        <w:rPr>
          <w:rFonts w:ascii="Arial" w:hAnsi="Arial" w:cs="Arial"/>
          <w:color w:val="000000" w:themeColor="text1"/>
          <w:spacing w:val="-3"/>
          <w:lang w:val="ru-RU"/>
        </w:rPr>
        <w:t xml:space="preserve">легального определения. </w:t>
      </w:r>
      <w:r w:rsidRPr="00DA76A7">
        <w:rPr>
          <w:rFonts w:ascii="Arial" w:hAnsi="Arial" w:cs="Arial"/>
          <w:color w:val="000000" w:themeColor="text1"/>
          <w:spacing w:val="-6"/>
          <w:lang w:val="ru-RU"/>
        </w:rPr>
        <w:t xml:space="preserve">Тем </w:t>
      </w:r>
      <w:r w:rsidRPr="00DA76A7">
        <w:rPr>
          <w:rFonts w:ascii="Arial" w:hAnsi="Arial" w:cs="Arial"/>
          <w:color w:val="000000" w:themeColor="text1"/>
          <w:lang w:val="ru-RU"/>
        </w:rPr>
        <w:t xml:space="preserve">не </w:t>
      </w:r>
      <w:r w:rsidRPr="00DA76A7">
        <w:rPr>
          <w:rFonts w:ascii="Arial" w:hAnsi="Arial" w:cs="Arial"/>
          <w:color w:val="000000" w:themeColor="text1"/>
          <w:spacing w:val="-3"/>
          <w:lang w:val="ru-RU"/>
        </w:rPr>
        <w:t xml:space="preserve">менее, придавая </w:t>
      </w:r>
      <w:r w:rsidRPr="00DA76A7">
        <w:rPr>
          <w:rFonts w:ascii="Arial" w:hAnsi="Arial" w:cs="Arial"/>
          <w:color w:val="000000" w:themeColor="text1"/>
          <w:lang w:val="ru-RU"/>
        </w:rPr>
        <w:t xml:space="preserve">услугам </w:t>
      </w:r>
      <w:r w:rsidRPr="00DA76A7">
        <w:rPr>
          <w:rFonts w:ascii="Arial" w:hAnsi="Arial" w:cs="Arial"/>
          <w:color w:val="000000" w:themeColor="text1"/>
          <w:spacing w:val="-5"/>
          <w:lang w:val="ru-RU"/>
        </w:rPr>
        <w:t xml:space="preserve">такой </w:t>
      </w:r>
      <w:r w:rsidRPr="00DA76A7">
        <w:rPr>
          <w:rFonts w:ascii="Arial" w:hAnsi="Arial" w:cs="Arial"/>
          <w:color w:val="000000" w:themeColor="text1"/>
          <w:spacing w:val="-4"/>
          <w:lang w:val="ru-RU"/>
        </w:rPr>
        <w:t xml:space="preserve">статус, </w:t>
      </w:r>
      <w:r w:rsidRPr="00DA76A7">
        <w:rPr>
          <w:rFonts w:ascii="Arial" w:hAnsi="Arial" w:cs="Arial"/>
          <w:color w:val="000000" w:themeColor="text1"/>
          <w:spacing w:val="-5"/>
          <w:lang w:val="ru-RU"/>
        </w:rPr>
        <w:t xml:space="preserve">законодатель </w:t>
      </w:r>
      <w:r w:rsidRPr="00DA76A7">
        <w:rPr>
          <w:rFonts w:ascii="Arial" w:hAnsi="Arial" w:cs="Arial"/>
          <w:color w:val="000000" w:themeColor="text1"/>
          <w:spacing w:val="-4"/>
          <w:lang w:val="ru-RU"/>
        </w:rPr>
        <w:t xml:space="preserve">уже </w:t>
      </w:r>
      <w:r w:rsidRPr="00DA76A7">
        <w:rPr>
          <w:rFonts w:ascii="Arial" w:hAnsi="Arial" w:cs="Arial"/>
          <w:color w:val="000000" w:themeColor="text1"/>
          <w:lang w:val="ru-RU"/>
        </w:rPr>
        <w:t xml:space="preserve">этим </w:t>
      </w:r>
      <w:r w:rsidRPr="00DA76A7">
        <w:rPr>
          <w:rFonts w:ascii="Arial" w:hAnsi="Arial" w:cs="Arial"/>
          <w:color w:val="000000" w:themeColor="text1"/>
          <w:spacing w:val="-4"/>
          <w:lang w:val="ru-RU"/>
        </w:rPr>
        <w:t xml:space="preserve">проявляет </w:t>
      </w:r>
      <w:r w:rsidRPr="00DA76A7">
        <w:rPr>
          <w:rFonts w:ascii="Arial" w:hAnsi="Arial" w:cs="Arial"/>
          <w:color w:val="000000" w:themeColor="text1"/>
          <w:spacing w:val="-3"/>
          <w:lang w:val="ru-RU"/>
        </w:rPr>
        <w:t xml:space="preserve">свою </w:t>
      </w:r>
      <w:r w:rsidRPr="00DA76A7">
        <w:rPr>
          <w:rFonts w:ascii="Arial" w:hAnsi="Arial" w:cs="Arial"/>
          <w:color w:val="000000" w:themeColor="text1"/>
          <w:lang w:val="ru-RU"/>
        </w:rPr>
        <w:t>принципиальную позицию по</w:t>
      </w:r>
      <w:r w:rsidRPr="00DA76A7">
        <w:rPr>
          <w:rFonts w:ascii="Arial" w:hAnsi="Arial" w:cs="Arial"/>
          <w:color w:val="000000" w:themeColor="text1"/>
          <w:spacing w:val="-37"/>
          <w:lang w:val="ru-RU"/>
        </w:rPr>
        <w:t xml:space="preserve"> </w:t>
      </w:r>
      <w:r w:rsidRPr="00DA76A7">
        <w:rPr>
          <w:rFonts w:ascii="Arial" w:hAnsi="Arial" w:cs="Arial"/>
          <w:color w:val="000000" w:themeColor="text1"/>
          <w:spacing w:val="-3"/>
          <w:lang w:val="ru-RU"/>
        </w:rPr>
        <w:t xml:space="preserve">отношению </w:t>
      </w:r>
      <w:r w:rsidRPr="00DA76A7">
        <w:rPr>
          <w:rFonts w:ascii="Arial" w:hAnsi="Arial" w:cs="Arial"/>
          <w:color w:val="000000" w:themeColor="text1"/>
          <w:lang w:val="ru-RU"/>
        </w:rPr>
        <w:t>к</w:t>
      </w:r>
      <w:r w:rsidRPr="00DA76A7">
        <w:rPr>
          <w:rFonts w:ascii="Arial" w:hAnsi="Arial" w:cs="Arial"/>
          <w:color w:val="000000" w:themeColor="text1"/>
          <w:spacing w:val="-4"/>
          <w:lang w:val="ru-RU"/>
        </w:rPr>
        <w:t xml:space="preserve"> </w:t>
      </w:r>
      <w:r w:rsidRPr="00DA76A7">
        <w:rPr>
          <w:rFonts w:ascii="Arial" w:hAnsi="Arial" w:cs="Arial"/>
          <w:color w:val="000000" w:themeColor="text1"/>
          <w:spacing w:val="-3"/>
          <w:lang w:val="ru-RU"/>
        </w:rPr>
        <w:t>услугам.</w:t>
      </w:r>
    </w:p>
    <w:p w:rsidR="00E45BB4" w:rsidRPr="00DA76A7" w:rsidRDefault="00E45BB4" w:rsidP="00E45BB4">
      <w:pPr>
        <w:pStyle w:val="16"/>
        <w:shd w:val="clear" w:color="auto" w:fill="auto"/>
        <w:spacing w:before="0" w:line="240" w:lineRule="auto"/>
        <w:ind w:firstLine="567"/>
        <w:rPr>
          <w:rFonts w:ascii="Arial" w:hAnsi="Arial" w:cs="Arial"/>
          <w:color w:val="000000" w:themeColor="text1"/>
          <w:sz w:val="22"/>
          <w:szCs w:val="22"/>
          <w:lang w:eastAsia="ru-RU" w:bidi="ru-RU"/>
        </w:rPr>
      </w:pPr>
      <w:r w:rsidRPr="00DA76A7">
        <w:rPr>
          <w:rFonts w:ascii="Arial" w:hAnsi="Arial" w:cs="Arial"/>
          <w:color w:val="000000" w:themeColor="text1"/>
          <w:sz w:val="22"/>
          <w:szCs w:val="22"/>
          <w:lang w:eastAsia="ru-RU" w:bidi="ru-RU"/>
        </w:rPr>
        <w:t>Категория «объект» очень широко применяется в юридиче</w:t>
      </w:r>
      <w:r w:rsidRPr="00DA76A7">
        <w:rPr>
          <w:rFonts w:ascii="Arial" w:hAnsi="Arial" w:cs="Arial"/>
          <w:color w:val="000000" w:themeColor="text1"/>
          <w:sz w:val="22"/>
          <w:szCs w:val="22"/>
          <w:lang w:eastAsia="ru-RU" w:bidi="ru-RU"/>
        </w:rPr>
        <w:softHyphen/>
        <w:t>ской науке. Объект права, правового регулирования - есть глав</w:t>
      </w:r>
      <w:r w:rsidRPr="00DA76A7">
        <w:rPr>
          <w:rFonts w:ascii="Arial" w:hAnsi="Arial" w:cs="Arial"/>
          <w:color w:val="000000" w:themeColor="text1"/>
          <w:sz w:val="22"/>
          <w:szCs w:val="22"/>
          <w:lang w:eastAsia="ru-RU" w:bidi="ru-RU"/>
        </w:rPr>
        <w:softHyphen/>
        <w:t>ная составляющая всех отраслей права и самой теории права. Объект преступления признается одним из основных составов элементов преступления. В любых рассматриваемых случаях объектом признается, или же данной категорией охватывается, если условно можно выразиться, «нечто, то, на что направлено что-то (какое-то действие, норма права, субъективные права, правонарушения, преступление и т.д.)».</w:t>
      </w:r>
    </w:p>
    <w:p w:rsidR="00E45BB4" w:rsidRPr="00DA76A7" w:rsidRDefault="00E45BB4" w:rsidP="00E45BB4">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Такое понимание объекта и такое широкое применение дан</w:t>
      </w:r>
      <w:r w:rsidRPr="00DA76A7">
        <w:rPr>
          <w:rFonts w:ascii="Arial" w:hAnsi="Arial" w:cs="Arial"/>
          <w:color w:val="000000" w:themeColor="text1"/>
          <w:sz w:val="22"/>
          <w:szCs w:val="22"/>
          <w:lang w:eastAsia="ru-RU" w:bidi="ru-RU"/>
        </w:rPr>
        <w:softHyphen/>
        <w:t>ной категории не оставило без ее влияния и другие отрасли, в частности, науку юриспруденции. Как было отмечено выше, наука юриспруденции также широко применяет данную катего</w:t>
      </w:r>
      <w:r w:rsidRPr="00DA76A7">
        <w:rPr>
          <w:rFonts w:ascii="Arial" w:hAnsi="Arial" w:cs="Arial"/>
          <w:color w:val="000000" w:themeColor="text1"/>
          <w:sz w:val="22"/>
          <w:szCs w:val="22"/>
          <w:lang w:eastAsia="ru-RU" w:bidi="ru-RU"/>
        </w:rPr>
        <w:softHyphen/>
        <w:t>рию.</w:t>
      </w:r>
    </w:p>
    <w:p w:rsidR="00E45BB4" w:rsidRPr="00DA76A7" w:rsidRDefault="00E45BB4" w:rsidP="00E45BB4">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lang w:eastAsia="ru-RU" w:bidi="ru-RU"/>
        </w:rPr>
        <w:t>Наука права изучает объекты в разных значениях, начиная от объекта правового регулирования, кончая объектом субъек</w:t>
      </w:r>
      <w:r w:rsidRPr="00DA76A7">
        <w:rPr>
          <w:rFonts w:ascii="Arial" w:hAnsi="Arial" w:cs="Arial"/>
          <w:color w:val="000000" w:themeColor="text1"/>
          <w:sz w:val="22"/>
          <w:szCs w:val="22"/>
          <w:lang w:eastAsia="ru-RU" w:bidi="ru-RU"/>
        </w:rPr>
        <w:softHyphen/>
        <w:t>тивных гражданских прав. Каждая отрасль права, используя данную категорию, придает им свое, собственное значение. В этом случае гражданское право также не является исключением.</w:t>
      </w:r>
    </w:p>
    <w:p w:rsidR="00E45BB4" w:rsidRPr="00DA76A7" w:rsidRDefault="00E45BB4" w:rsidP="00E45BB4">
      <w:pPr>
        <w:pStyle w:val="16"/>
        <w:shd w:val="clear" w:color="auto" w:fill="auto"/>
        <w:spacing w:before="0" w:line="240" w:lineRule="auto"/>
        <w:ind w:firstLine="567"/>
        <w:rPr>
          <w:rFonts w:ascii="Arial" w:hAnsi="Arial" w:cs="Arial"/>
          <w:color w:val="000000" w:themeColor="text1"/>
          <w:sz w:val="22"/>
          <w:szCs w:val="22"/>
          <w:lang w:eastAsia="ru-RU" w:bidi="ru-RU"/>
        </w:rPr>
      </w:pPr>
      <w:r w:rsidRPr="00DA76A7">
        <w:rPr>
          <w:rFonts w:ascii="Arial" w:hAnsi="Arial" w:cs="Arial"/>
          <w:color w:val="000000" w:themeColor="text1"/>
          <w:sz w:val="22"/>
          <w:szCs w:val="22"/>
          <w:lang w:eastAsia="ru-RU" w:bidi="ru-RU"/>
        </w:rPr>
        <w:t>Отметим, что в настоящее время в науке права сложилась точка зрения о толковании системы права в объективном и субъективном смысле. В этом случае право может рассматри</w:t>
      </w:r>
      <w:r w:rsidRPr="00DA76A7">
        <w:rPr>
          <w:rFonts w:ascii="Arial" w:hAnsi="Arial" w:cs="Arial"/>
          <w:color w:val="000000" w:themeColor="text1"/>
          <w:sz w:val="22"/>
          <w:szCs w:val="22"/>
          <w:lang w:eastAsia="ru-RU" w:bidi="ru-RU"/>
        </w:rPr>
        <w:softHyphen/>
        <w:t xml:space="preserve">ваться как «субъективный фактор общественного развития» и как специфическая объективная реальность по </w:t>
      </w:r>
      <w:r w:rsidRPr="00DA76A7">
        <w:rPr>
          <w:rFonts w:ascii="Arial" w:hAnsi="Arial" w:cs="Arial"/>
          <w:color w:val="000000" w:themeColor="text1"/>
          <w:sz w:val="22"/>
          <w:szCs w:val="22"/>
        </w:rPr>
        <w:t>отношению к индивидуальному сознанию.</w:t>
      </w:r>
      <w:r w:rsidRPr="00DA76A7">
        <w:rPr>
          <w:rFonts w:ascii="Arial" w:hAnsi="Arial" w:cs="Arial"/>
          <w:color w:val="000000" w:themeColor="text1"/>
          <w:sz w:val="22"/>
          <w:szCs w:val="22"/>
          <w:lang w:eastAsia="ru-RU" w:bidi="ru-RU"/>
        </w:rPr>
        <w:t xml:space="preserve"> </w:t>
      </w:r>
    </w:p>
    <w:p w:rsidR="00E45BB4" w:rsidRPr="00DA76A7" w:rsidRDefault="00E45BB4" w:rsidP="00E45BB4">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точки зрения субъективных гражданских прав отметим, что они направлены на удовлетворение потребностей своих субъектов, так как потребности субъектов гражданских прав представляются различными, следовательно, и субъективные гражданские права, несмотря на свою однозначность, единство и отрегулированность единообразным образом, направлены на различные объекты. Объекты гражданских прав есть именно потребность в его правовом значении и качестве.</w:t>
      </w:r>
    </w:p>
    <w:p w:rsidR="00E45BB4" w:rsidRPr="00DA76A7" w:rsidRDefault="00E45BB4" w:rsidP="00E45BB4">
      <w:pPr>
        <w:pStyle w:val="16"/>
        <w:shd w:val="clear" w:color="auto" w:fill="auto"/>
        <w:spacing w:before="0"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Действующее гражданское законодательство Республики Таджикистан, предусматривая различные объекты гражданских прав, определяет их специфику и отличие друг от друга. Так, согласно ст. 140 ГК РТ [4, 153] все объекты гражданских прав сгруппированы под общими понятиями «имущественные блага» и «личные неимущественные блага». Следовательно, в данном понятий главной составляющей выступает категория «имущество». Данная трактовка законодателя исходит из той позиции, что само гражданское законодательство направлено именно на регулирование имущественных отношений, выражающихся в товарно-денежной форме. </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Мировой </w:t>
      </w:r>
      <w:r w:rsidRPr="00DA76A7">
        <w:rPr>
          <w:rFonts w:ascii="Arial" w:hAnsi="Arial" w:cs="Arial"/>
          <w:color w:val="000000" w:themeColor="text1"/>
          <w:spacing w:val="-3"/>
          <w:lang w:val="ru-RU"/>
        </w:rPr>
        <w:t xml:space="preserve">экономическое </w:t>
      </w:r>
      <w:r w:rsidRPr="00DA76A7">
        <w:rPr>
          <w:rFonts w:ascii="Arial" w:hAnsi="Arial" w:cs="Arial"/>
          <w:color w:val="000000" w:themeColor="text1"/>
          <w:lang w:val="ru-RU"/>
        </w:rPr>
        <w:t xml:space="preserve">сообщество пришло к понимаю </w:t>
      </w:r>
      <w:r w:rsidRPr="00DA76A7">
        <w:rPr>
          <w:rFonts w:ascii="Arial" w:hAnsi="Arial" w:cs="Arial"/>
          <w:color w:val="000000" w:themeColor="text1"/>
          <w:spacing w:val="-3"/>
          <w:lang w:val="ru-RU"/>
        </w:rPr>
        <w:t xml:space="preserve">того, </w:t>
      </w:r>
      <w:r w:rsidRPr="00DA76A7">
        <w:rPr>
          <w:rFonts w:ascii="Arial" w:hAnsi="Arial" w:cs="Arial"/>
          <w:color w:val="000000" w:themeColor="text1"/>
          <w:lang w:val="ru-RU"/>
        </w:rPr>
        <w:t xml:space="preserve">что отношения, возникающие по </w:t>
      </w:r>
      <w:r w:rsidRPr="00DA76A7">
        <w:rPr>
          <w:rFonts w:ascii="Arial" w:hAnsi="Arial" w:cs="Arial"/>
          <w:color w:val="000000" w:themeColor="text1"/>
          <w:spacing w:val="-3"/>
          <w:lang w:val="ru-RU"/>
        </w:rPr>
        <w:t xml:space="preserve">поводу </w:t>
      </w:r>
      <w:r w:rsidRPr="00DA76A7">
        <w:rPr>
          <w:rFonts w:ascii="Arial" w:hAnsi="Arial" w:cs="Arial"/>
          <w:color w:val="000000" w:themeColor="text1"/>
          <w:lang w:val="ru-RU"/>
        </w:rPr>
        <w:t>потребления, обмена услугами имеют</w:t>
      </w:r>
      <w:r w:rsidRPr="00DA76A7">
        <w:rPr>
          <w:rFonts w:ascii="Arial" w:hAnsi="Arial" w:cs="Arial"/>
          <w:color w:val="000000" w:themeColor="text1"/>
          <w:spacing w:val="-49"/>
          <w:lang w:val="ru-RU"/>
        </w:rPr>
        <w:t xml:space="preserve"> </w:t>
      </w:r>
      <w:r w:rsidRPr="00DA76A7">
        <w:rPr>
          <w:rFonts w:ascii="Arial" w:hAnsi="Arial" w:cs="Arial"/>
          <w:color w:val="000000" w:themeColor="text1"/>
          <w:lang w:val="ru-RU"/>
        </w:rPr>
        <w:t xml:space="preserve">свою специфичность, что и отразил </w:t>
      </w:r>
      <w:r w:rsidRPr="00DA76A7">
        <w:rPr>
          <w:rFonts w:ascii="Arial" w:hAnsi="Arial" w:cs="Arial"/>
          <w:color w:val="000000" w:themeColor="text1"/>
          <w:spacing w:val="-4"/>
          <w:lang w:val="ru-RU"/>
        </w:rPr>
        <w:t xml:space="preserve">такой </w:t>
      </w:r>
      <w:r w:rsidRPr="00DA76A7">
        <w:rPr>
          <w:rFonts w:ascii="Arial" w:hAnsi="Arial" w:cs="Arial"/>
          <w:color w:val="000000" w:themeColor="text1"/>
          <w:lang w:val="ru-RU"/>
        </w:rPr>
        <w:t xml:space="preserve">важный международно-правовой </w:t>
      </w:r>
      <w:r w:rsidRPr="00DA76A7">
        <w:rPr>
          <w:rFonts w:ascii="Arial" w:hAnsi="Arial" w:cs="Arial"/>
          <w:color w:val="000000" w:themeColor="text1"/>
          <w:spacing w:val="-4"/>
          <w:lang w:val="ru-RU"/>
        </w:rPr>
        <w:t xml:space="preserve">акт, </w:t>
      </w:r>
      <w:r w:rsidRPr="00DA76A7">
        <w:rPr>
          <w:rFonts w:ascii="Arial" w:hAnsi="Arial" w:cs="Arial"/>
          <w:color w:val="000000" w:themeColor="text1"/>
          <w:lang w:val="ru-RU"/>
        </w:rPr>
        <w:t xml:space="preserve">как </w:t>
      </w:r>
      <w:r w:rsidRPr="00DA76A7">
        <w:rPr>
          <w:rFonts w:ascii="Arial" w:hAnsi="Arial" w:cs="Arial"/>
          <w:color w:val="000000" w:themeColor="text1"/>
          <w:spacing w:val="-3"/>
          <w:lang w:val="ru-RU"/>
        </w:rPr>
        <w:t xml:space="preserve">Генеральное соглашение </w:t>
      </w:r>
      <w:r w:rsidRPr="00DA76A7">
        <w:rPr>
          <w:rFonts w:ascii="Arial" w:hAnsi="Arial" w:cs="Arial"/>
          <w:color w:val="000000" w:themeColor="text1"/>
          <w:lang w:val="ru-RU"/>
        </w:rPr>
        <w:t xml:space="preserve">о </w:t>
      </w:r>
      <w:r w:rsidRPr="00DA76A7">
        <w:rPr>
          <w:rFonts w:ascii="Arial" w:hAnsi="Arial" w:cs="Arial"/>
          <w:color w:val="000000" w:themeColor="text1"/>
          <w:spacing w:val="-3"/>
          <w:lang w:val="ru-RU"/>
        </w:rPr>
        <w:t xml:space="preserve">торговле </w:t>
      </w:r>
      <w:r w:rsidRPr="00DA76A7">
        <w:rPr>
          <w:rFonts w:ascii="Arial" w:hAnsi="Arial" w:cs="Arial"/>
          <w:color w:val="000000" w:themeColor="text1"/>
          <w:lang w:val="ru-RU"/>
        </w:rPr>
        <w:t>услугами (далее –</w:t>
      </w:r>
      <w:r w:rsidRPr="00DA76A7">
        <w:rPr>
          <w:rFonts w:ascii="Arial" w:hAnsi="Arial" w:cs="Arial"/>
          <w:color w:val="000000" w:themeColor="text1"/>
          <w:spacing w:val="20"/>
          <w:lang w:val="ru-RU"/>
        </w:rPr>
        <w:t xml:space="preserve"> </w:t>
      </w:r>
      <w:r w:rsidRPr="00DA76A7">
        <w:rPr>
          <w:rFonts w:ascii="Arial" w:hAnsi="Arial" w:cs="Arial"/>
          <w:color w:val="000000" w:themeColor="text1"/>
          <w:spacing w:val="-8"/>
          <w:lang w:val="ru-RU"/>
        </w:rPr>
        <w:t>ГАТС) [5, 27].</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ГАТС уделяет внимание своеобразию процесса реализации услуг, требующего тесной связи между услугодателями и услугополучателями, и очерчивает четыре модели передачи, предложения услуг.</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spacing w:val="-3"/>
          <w:lang w:val="ru-RU"/>
        </w:rPr>
        <w:t xml:space="preserve">Современной </w:t>
      </w:r>
      <w:r w:rsidRPr="00DA76A7">
        <w:rPr>
          <w:rFonts w:ascii="Arial" w:hAnsi="Arial" w:cs="Arial"/>
          <w:color w:val="000000" w:themeColor="text1"/>
          <w:lang w:val="ru-RU"/>
        </w:rPr>
        <w:t xml:space="preserve">социальной и </w:t>
      </w:r>
      <w:r w:rsidRPr="00DA76A7">
        <w:rPr>
          <w:rFonts w:ascii="Arial" w:hAnsi="Arial" w:cs="Arial"/>
          <w:color w:val="000000" w:themeColor="text1"/>
          <w:spacing w:val="-5"/>
          <w:lang w:val="ru-RU"/>
        </w:rPr>
        <w:t xml:space="preserve">экономической </w:t>
      </w:r>
      <w:r w:rsidRPr="00DA76A7">
        <w:rPr>
          <w:rFonts w:ascii="Arial" w:hAnsi="Arial" w:cs="Arial"/>
          <w:color w:val="000000" w:themeColor="text1"/>
          <w:spacing w:val="-8"/>
          <w:lang w:val="ru-RU"/>
        </w:rPr>
        <w:t xml:space="preserve">наукой </w:t>
      </w:r>
      <w:r w:rsidRPr="00DA76A7">
        <w:rPr>
          <w:rFonts w:ascii="Arial" w:hAnsi="Arial" w:cs="Arial"/>
          <w:color w:val="000000" w:themeColor="text1"/>
          <w:spacing w:val="-3"/>
          <w:lang w:val="ru-RU"/>
        </w:rPr>
        <w:t xml:space="preserve">признается, что развитые </w:t>
      </w:r>
      <w:r w:rsidRPr="00DA76A7">
        <w:rPr>
          <w:rFonts w:ascii="Arial" w:hAnsi="Arial" w:cs="Arial"/>
          <w:color w:val="000000" w:themeColor="text1"/>
          <w:spacing w:val="-4"/>
          <w:lang w:val="ru-RU"/>
        </w:rPr>
        <w:t xml:space="preserve">экономические </w:t>
      </w:r>
      <w:r w:rsidRPr="00DA76A7">
        <w:rPr>
          <w:rFonts w:ascii="Arial" w:hAnsi="Arial" w:cs="Arial"/>
          <w:color w:val="000000" w:themeColor="text1"/>
          <w:spacing w:val="-3"/>
          <w:lang w:val="ru-RU"/>
        </w:rPr>
        <w:t xml:space="preserve">отношения </w:t>
      </w:r>
      <w:r w:rsidRPr="00DA76A7">
        <w:rPr>
          <w:rFonts w:ascii="Arial" w:hAnsi="Arial" w:cs="Arial"/>
          <w:color w:val="000000" w:themeColor="text1"/>
          <w:spacing w:val="-4"/>
          <w:lang w:val="ru-RU"/>
        </w:rPr>
        <w:t xml:space="preserve">характеризуются </w:t>
      </w:r>
      <w:r w:rsidRPr="00DA76A7">
        <w:rPr>
          <w:rFonts w:ascii="Arial" w:hAnsi="Arial" w:cs="Arial"/>
          <w:color w:val="000000" w:themeColor="text1"/>
          <w:spacing w:val="-3"/>
          <w:lang w:val="ru-RU"/>
        </w:rPr>
        <w:t xml:space="preserve">преобладанием </w:t>
      </w:r>
      <w:r w:rsidRPr="00DA76A7">
        <w:rPr>
          <w:rFonts w:ascii="Arial" w:hAnsi="Arial" w:cs="Arial"/>
          <w:color w:val="000000" w:themeColor="text1"/>
          <w:spacing w:val="-4"/>
          <w:lang w:val="ru-RU"/>
        </w:rPr>
        <w:t xml:space="preserve">потребительского </w:t>
      </w:r>
      <w:r w:rsidRPr="00DA76A7">
        <w:rPr>
          <w:rFonts w:ascii="Arial" w:hAnsi="Arial" w:cs="Arial"/>
          <w:color w:val="000000" w:themeColor="text1"/>
          <w:lang w:val="ru-RU"/>
        </w:rPr>
        <w:t xml:space="preserve">спроса на услуги, </w:t>
      </w:r>
      <w:r w:rsidRPr="00DA76A7">
        <w:rPr>
          <w:rFonts w:ascii="Arial" w:hAnsi="Arial" w:cs="Arial"/>
          <w:color w:val="000000" w:themeColor="text1"/>
          <w:spacing w:val="-3"/>
          <w:lang w:val="ru-RU"/>
        </w:rPr>
        <w:t xml:space="preserve">нежели </w:t>
      </w:r>
      <w:r w:rsidRPr="00DA76A7">
        <w:rPr>
          <w:rFonts w:ascii="Arial" w:hAnsi="Arial" w:cs="Arial"/>
          <w:color w:val="000000" w:themeColor="text1"/>
          <w:lang w:val="ru-RU"/>
        </w:rPr>
        <w:t xml:space="preserve">на </w:t>
      </w:r>
      <w:r w:rsidRPr="00DA76A7">
        <w:rPr>
          <w:rFonts w:ascii="Arial" w:hAnsi="Arial" w:cs="Arial"/>
          <w:color w:val="000000" w:themeColor="text1"/>
          <w:spacing w:val="-4"/>
          <w:lang w:val="ru-RU"/>
        </w:rPr>
        <w:t xml:space="preserve">товары, </w:t>
      </w:r>
      <w:r w:rsidRPr="00DA76A7">
        <w:rPr>
          <w:rFonts w:ascii="Arial" w:hAnsi="Arial" w:cs="Arial"/>
          <w:color w:val="000000" w:themeColor="text1"/>
          <w:spacing w:val="-7"/>
          <w:lang w:val="ru-RU"/>
        </w:rPr>
        <w:t xml:space="preserve">куда, </w:t>
      </w:r>
      <w:r w:rsidRPr="00DA76A7">
        <w:rPr>
          <w:rFonts w:ascii="Arial" w:hAnsi="Arial" w:cs="Arial"/>
          <w:color w:val="000000" w:themeColor="text1"/>
          <w:lang w:val="ru-RU"/>
        </w:rPr>
        <w:t xml:space="preserve">в </w:t>
      </w:r>
      <w:r w:rsidRPr="00DA76A7">
        <w:rPr>
          <w:rFonts w:ascii="Arial" w:hAnsi="Arial" w:cs="Arial"/>
          <w:color w:val="000000" w:themeColor="text1"/>
          <w:spacing w:val="-5"/>
          <w:lang w:val="ru-RU"/>
        </w:rPr>
        <w:t xml:space="preserve">том </w:t>
      </w:r>
      <w:r w:rsidRPr="00DA76A7">
        <w:rPr>
          <w:rFonts w:ascii="Arial" w:hAnsi="Arial" w:cs="Arial"/>
          <w:color w:val="000000" w:themeColor="text1"/>
          <w:spacing w:val="-3"/>
          <w:lang w:val="ru-RU"/>
        </w:rPr>
        <w:t xml:space="preserve">числе, </w:t>
      </w:r>
      <w:r w:rsidRPr="00DA76A7">
        <w:rPr>
          <w:rFonts w:ascii="Arial" w:hAnsi="Arial" w:cs="Arial"/>
          <w:color w:val="000000" w:themeColor="text1"/>
          <w:spacing w:val="-6"/>
          <w:lang w:val="ru-RU"/>
        </w:rPr>
        <w:t xml:space="preserve">входят наука, </w:t>
      </w:r>
      <w:r w:rsidRPr="00DA76A7">
        <w:rPr>
          <w:rFonts w:ascii="Arial" w:hAnsi="Arial" w:cs="Arial"/>
          <w:color w:val="000000" w:themeColor="text1"/>
          <w:spacing w:val="-3"/>
          <w:lang w:val="ru-RU"/>
        </w:rPr>
        <w:t xml:space="preserve">образование, </w:t>
      </w:r>
      <w:r w:rsidRPr="00DA76A7">
        <w:rPr>
          <w:rFonts w:ascii="Arial" w:hAnsi="Arial" w:cs="Arial"/>
          <w:color w:val="000000" w:themeColor="text1"/>
          <w:spacing w:val="-6"/>
          <w:lang w:val="ru-RU"/>
        </w:rPr>
        <w:t xml:space="preserve">культура, </w:t>
      </w:r>
      <w:r w:rsidRPr="00DA76A7">
        <w:rPr>
          <w:rFonts w:ascii="Arial" w:hAnsi="Arial" w:cs="Arial"/>
          <w:color w:val="000000" w:themeColor="text1"/>
          <w:spacing w:val="-3"/>
          <w:lang w:val="ru-RU"/>
        </w:rPr>
        <w:t xml:space="preserve">информационные, </w:t>
      </w:r>
      <w:r w:rsidRPr="00DA76A7">
        <w:rPr>
          <w:rFonts w:ascii="Arial" w:hAnsi="Arial" w:cs="Arial"/>
          <w:color w:val="000000" w:themeColor="text1"/>
          <w:spacing w:val="-5"/>
          <w:lang w:val="ru-RU"/>
        </w:rPr>
        <w:t xml:space="preserve">консультационные,  </w:t>
      </w:r>
      <w:r w:rsidRPr="00DA76A7">
        <w:rPr>
          <w:rFonts w:ascii="Arial" w:hAnsi="Arial" w:cs="Arial"/>
          <w:color w:val="000000" w:themeColor="text1"/>
          <w:lang w:val="ru-RU"/>
        </w:rPr>
        <w:t>юридические</w:t>
      </w:r>
      <w:r w:rsidRPr="00DA76A7">
        <w:rPr>
          <w:rFonts w:ascii="Arial" w:hAnsi="Arial" w:cs="Arial"/>
          <w:color w:val="000000" w:themeColor="text1"/>
          <w:spacing w:val="-2"/>
          <w:lang w:val="ru-RU"/>
        </w:rPr>
        <w:t xml:space="preserve"> </w:t>
      </w:r>
      <w:r w:rsidRPr="00DA76A7">
        <w:rPr>
          <w:rFonts w:ascii="Arial" w:hAnsi="Arial" w:cs="Arial"/>
          <w:color w:val="000000" w:themeColor="text1"/>
          <w:lang w:val="ru-RU"/>
        </w:rPr>
        <w:t>услуги.</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Если рассматривать услугу с позиции отношений собственности, то можно обнаружить, что и при полном отсутствии вещи в услуге имеет место присвоение. В обоснование данного высказывания, необходимо обратиться к мнению О.С. Иоффе о специфическом признаке всех имущественных отношений - экономической ценности, которая связывается либо со средствами производства, либо с продуктами человеческой деятельности, пусть и не связанной с материальным производством [6, 501].</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Это свидетельствует о </w:t>
      </w:r>
      <w:r w:rsidRPr="00DA76A7">
        <w:rPr>
          <w:rFonts w:ascii="Arial" w:hAnsi="Arial" w:cs="Arial"/>
          <w:color w:val="000000" w:themeColor="text1"/>
          <w:spacing w:val="-4"/>
          <w:lang w:val="ru-RU"/>
        </w:rPr>
        <w:t xml:space="preserve">том, </w:t>
      </w:r>
      <w:r w:rsidRPr="00DA76A7">
        <w:rPr>
          <w:rFonts w:ascii="Arial" w:hAnsi="Arial" w:cs="Arial"/>
          <w:color w:val="000000" w:themeColor="text1"/>
          <w:lang w:val="ru-RU"/>
        </w:rPr>
        <w:t xml:space="preserve">что </w:t>
      </w:r>
      <w:r w:rsidRPr="00DA76A7">
        <w:rPr>
          <w:rFonts w:ascii="Arial" w:hAnsi="Arial" w:cs="Arial"/>
          <w:color w:val="000000" w:themeColor="text1"/>
          <w:spacing w:val="-3"/>
          <w:lang w:val="ru-RU"/>
        </w:rPr>
        <w:t xml:space="preserve">только </w:t>
      </w:r>
      <w:r w:rsidRPr="00DA76A7">
        <w:rPr>
          <w:rFonts w:ascii="Arial" w:hAnsi="Arial" w:cs="Arial"/>
          <w:color w:val="000000" w:themeColor="text1"/>
          <w:lang w:val="ru-RU"/>
        </w:rPr>
        <w:t xml:space="preserve">в абсолютных правоотношениях его объект - это то </w:t>
      </w:r>
      <w:r w:rsidRPr="00DA76A7">
        <w:rPr>
          <w:rFonts w:ascii="Arial" w:hAnsi="Arial" w:cs="Arial"/>
          <w:color w:val="000000" w:themeColor="text1"/>
          <w:spacing w:val="-3"/>
          <w:lang w:val="ru-RU"/>
        </w:rPr>
        <w:t xml:space="preserve">благо, </w:t>
      </w:r>
      <w:r w:rsidRPr="00DA76A7">
        <w:rPr>
          <w:rFonts w:ascii="Arial" w:hAnsi="Arial" w:cs="Arial"/>
          <w:color w:val="000000" w:themeColor="text1"/>
          <w:spacing w:val="-4"/>
          <w:lang w:val="ru-RU"/>
        </w:rPr>
        <w:t xml:space="preserve">которое </w:t>
      </w:r>
      <w:r w:rsidRPr="00DA76A7">
        <w:rPr>
          <w:rFonts w:ascii="Arial" w:hAnsi="Arial" w:cs="Arial"/>
          <w:color w:val="000000" w:themeColor="text1"/>
          <w:spacing w:val="-3"/>
          <w:lang w:val="ru-RU"/>
        </w:rPr>
        <w:t xml:space="preserve">удовлетворяет </w:t>
      </w:r>
      <w:r w:rsidRPr="00DA76A7">
        <w:rPr>
          <w:rFonts w:ascii="Arial" w:hAnsi="Arial" w:cs="Arial"/>
          <w:color w:val="000000" w:themeColor="text1"/>
          <w:lang w:val="ru-RU"/>
        </w:rPr>
        <w:t>потребности непосредственно, в относительном же правоотношении потребность удовлетворяется через действие, выступающее следствием или юридической обязанности, возложенной на должника, или права лица на собственные</w:t>
      </w:r>
      <w:r w:rsidRPr="00DA76A7">
        <w:rPr>
          <w:rFonts w:ascii="Arial" w:hAnsi="Arial" w:cs="Arial"/>
          <w:color w:val="000000" w:themeColor="text1"/>
          <w:spacing w:val="-22"/>
          <w:lang w:val="ru-RU"/>
        </w:rPr>
        <w:t xml:space="preserve"> </w:t>
      </w:r>
      <w:r w:rsidRPr="00DA76A7">
        <w:rPr>
          <w:rFonts w:ascii="Arial" w:hAnsi="Arial" w:cs="Arial"/>
          <w:color w:val="000000" w:themeColor="text1"/>
          <w:lang w:val="ru-RU"/>
        </w:rPr>
        <w:t>действия.</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 xml:space="preserve">В юридических услугах само действие приобретает другое, нежели чисто предметно-прикладное </w:t>
      </w:r>
      <w:r w:rsidRPr="00DA76A7">
        <w:rPr>
          <w:rFonts w:ascii="Arial" w:hAnsi="Arial" w:cs="Arial"/>
          <w:color w:val="000000" w:themeColor="text1"/>
          <w:spacing w:val="-3"/>
          <w:lang w:val="ru-RU"/>
        </w:rPr>
        <w:t xml:space="preserve">значение, </w:t>
      </w:r>
      <w:r w:rsidRPr="00DA76A7">
        <w:rPr>
          <w:rFonts w:ascii="Arial" w:hAnsi="Arial" w:cs="Arial"/>
          <w:color w:val="000000" w:themeColor="text1"/>
          <w:lang w:val="ru-RU"/>
        </w:rPr>
        <w:t xml:space="preserve">а именно, </w:t>
      </w:r>
      <w:r w:rsidRPr="00DA76A7">
        <w:rPr>
          <w:rFonts w:ascii="Arial" w:hAnsi="Arial" w:cs="Arial"/>
          <w:color w:val="000000" w:themeColor="text1"/>
          <w:spacing w:val="-3"/>
          <w:lang w:val="ru-RU"/>
        </w:rPr>
        <w:t xml:space="preserve">значение </w:t>
      </w:r>
      <w:r w:rsidRPr="00DA76A7">
        <w:rPr>
          <w:rFonts w:ascii="Arial" w:hAnsi="Arial" w:cs="Arial"/>
          <w:color w:val="000000" w:themeColor="text1"/>
          <w:lang w:val="ru-RU"/>
        </w:rPr>
        <w:t xml:space="preserve">явления, способного подвергнуть изменению состояние предметов материального или нематериального мира. В </w:t>
      </w:r>
      <w:r w:rsidRPr="00DA76A7">
        <w:rPr>
          <w:rFonts w:ascii="Arial" w:hAnsi="Arial" w:cs="Arial"/>
          <w:color w:val="000000" w:themeColor="text1"/>
          <w:spacing w:val="-3"/>
          <w:lang w:val="ru-RU"/>
        </w:rPr>
        <w:t xml:space="preserve">этом </w:t>
      </w:r>
      <w:r w:rsidRPr="00DA76A7">
        <w:rPr>
          <w:rFonts w:ascii="Arial" w:hAnsi="Arial" w:cs="Arial"/>
          <w:color w:val="000000" w:themeColor="text1"/>
          <w:lang w:val="ru-RU"/>
        </w:rPr>
        <w:t xml:space="preserve">и состоит первый сущностный признак юридической услуги, </w:t>
      </w:r>
      <w:r w:rsidRPr="00DA76A7">
        <w:rPr>
          <w:rFonts w:ascii="Arial" w:hAnsi="Arial" w:cs="Arial"/>
          <w:color w:val="000000" w:themeColor="text1"/>
          <w:spacing w:val="-6"/>
          <w:lang w:val="ru-RU"/>
        </w:rPr>
        <w:t xml:space="preserve">где </w:t>
      </w:r>
      <w:r w:rsidRPr="00DA76A7">
        <w:rPr>
          <w:rFonts w:ascii="Arial" w:hAnsi="Arial" w:cs="Arial"/>
          <w:color w:val="000000" w:themeColor="text1"/>
          <w:spacing w:val="-3"/>
          <w:lang w:val="ru-RU"/>
        </w:rPr>
        <w:t xml:space="preserve">правовую </w:t>
      </w:r>
      <w:r w:rsidRPr="00DA76A7">
        <w:rPr>
          <w:rFonts w:ascii="Arial" w:hAnsi="Arial" w:cs="Arial"/>
          <w:color w:val="000000" w:themeColor="text1"/>
          <w:lang w:val="ru-RU"/>
        </w:rPr>
        <w:t>роль играет не создание вещи как</w:t>
      </w:r>
      <w:r w:rsidRPr="00DA76A7">
        <w:rPr>
          <w:rFonts w:ascii="Arial" w:hAnsi="Arial" w:cs="Arial"/>
          <w:color w:val="000000" w:themeColor="text1"/>
          <w:spacing w:val="-40"/>
          <w:lang w:val="ru-RU"/>
        </w:rPr>
        <w:t xml:space="preserve"> </w:t>
      </w:r>
      <w:r w:rsidRPr="00DA76A7">
        <w:rPr>
          <w:rFonts w:ascii="Arial" w:hAnsi="Arial" w:cs="Arial"/>
          <w:color w:val="000000" w:themeColor="text1"/>
          <w:lang w:val="ru-RU"/>
        </w:rPr>
        <w:t xml:space="preserve">предметно выраженный экономический </w:t>
      </w:r>
      <w:r w:rsidRPr="00DA76A7">
        <w:rPr>
          <w:rFonts w:ascii="Arial" w:hAnsi="Arial" w:cs="Arial"/>
          <w:color w:val="000000" w:themeColor="text1"/>
          <w:spacing w:val="-5"/>
          <w:lang w:val="ru-RU"/>
        </w:rPr>
        <w:t xml:space="preserve">результат, </w:t>
      </w:r>
      <w:r w:rsidRPr="00DA76A7">
        <w:rPr>
          <w:rFonts w:ascii="Arial" w:hAnsi="Arial" w:cs="Arial"/>
          <w:color w:val="000000" w:themeColor="text1"/>
          <w:lang w:val="ru-RU"/>
        </w:rPr>
        <w:t xml:space="preserve">а </w:t>
      </w:r>
      <w:r w:rsidRPr="00DA76A7">
        <w:rPr>
          <w:rFonts w:ascii="Arial" w:hAnsi="Arial" w:cs="Arial"/>
          <w:color w:val="000000" w:themeColor="text1"/>
          <w:spacing w:val="-3"/>
          <w:lang w:val="ru-RU"/>
        </w:rPr>
        <w:t xml:space="preserve">нечто </w:t>
      </w:r>
      <w:r w:rsidRPr="00DA76A7">
        <w:rPr>
          <w:rFonts w:ascii="Arial" w:hAnsi="Arial" w:cs="Arial"/>
          <w:color w:val="000000" w:themeColor="text1"/>
          <w:lang w:val="ru-RU"/>
        </w:rPr>
        <w:t xml:space="preserve">неосвещенное, совокупность качеств, </w:t>
      </w:r>
      <w:r w:rsidRPr="00DA76A7">
        <w:rPr>
          <w:rFonts w:ascii="Arial" w:hAnsi="Arial" w:cs="Arial"/>
          <w:color w:val="000000" w:themeColor="text1"/>
          <w:spacing w:val="-4"/>
          <w:lang w:val="ru-RU"/>
        </w:rPr>
        <w:t>которыми</w:t>
      </w:r>
      <w:r w:rsidRPr="00DA76A7">
        <w:rPr>
          <w:rFonts w:ascii="Arial" w:hAnsi="Arial" w:cs="Arial"/>
          <w:color w:val="000000" w:themeColor="text1"/>
          <w:spacing w:val="62"/>
          <w:lang w:val="ru-RU"/>
        </w:rPr>
        <w:t xml:space="preserve"> </w:t>
      </w:r>
      <w:r w:rsidRPr="00DA76A7">
        <w:rPr>
          <w:rFonts w:ascii="Arial" w:hAnsi="Arial" w:cs="Arial"/>
          <w:color w:val="000000" w:themeColor="text1"/>
          <w:lang w:val="ru-RU"/>
        </w:rPr>
        <w:t xml:space="preserve">обладает сама полезная деятельность, в чем и состоит полезный эффект этой услуги, </w:t>
      </w:r>
      <w:r w:rsidRPr="00DA76A7">
        <w:rPr>
          <w:rFonts w:ascii="Arial" w:hAnsi="Arial" w:cs="Arial"/>
          <w:color w:val="000000" w:themeColor="text1"/>
          <w:spacing w:val="-4"/>
          <w:lang w:val="ru-RU"/>
        </w:rPr>
        <w:t xml:space="preserve">который </w:t>
      </w:r>
      <w:r w:rsidRPr="00DA76A7">
        <w:rPr>
          <w:rFonts w:ascii="Arial" w:hAnsi="Arial" w:cs="Arial"/>
          <w:color w:val="000000" w:themeColor="text1"/>
          <w:spacing w:val="-3"/>
          <w:lang w:val="ru-RU"/>
        </w:rPr>
        <w:t>удовлетворяет</w:t>
      </w:r>
      <w:r w:rsidRPr="00DA76A7">
        <w:rPr>
          <w:rFonts w:ascii="Arial" w:hAnsi="Arial" w:cs="Arial"/>
          <w:color w:val="000000" w:themeColor="text1"/>
          <w:spacing w:val="-1"/>
          <w:lang w:val="ru-RU"/>
        </w:rPr>
        <w:t xml:space="preserve"> </w:t>
      </w:r>
      <w:r w:rsidRPr="00DA76A7">
        <w:rPr>
          <w:rFonts w:ascii="Arial" w:hAnsi="Arial" w:cs="Arial"/>
          <w:color w:val="000000" w:themeColor="text1"/>
          <w:lang w:val="ru-RU"/>
        </w:rPr>
        <w:t>потребность.</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Ценностью в юридической услуге обладает сам акт деятельности, направленный на достижение этого эффекта, подлежащего стоимостной оценке.</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spacing w:val="-3"/>
          <w:lang w:val="ru-RU"/>
        </w:rPr>
        <w:t xml:space="preserve">Таким </w:t>
      </w:r>
      <w:r w:rsidRPr="00DA76A7">
        <w:rPr>
          <w:rFonts w:ascii="Arial" w:hAnsi="Arial" w:cs="Arial"/>
          <w:color w:val="000000" w:themeColor="text1"/>
          <w:lang w:val="ru-RU"/>
        </w:rPr>
        <w:t xml:space="preserve">образом, юридическая услуга представляет собой вид материального </w:t>
      </w:r>
      <w:r w:rsidRPr="00DA76A7">
        <w:rPr>
          <w:rFonts w:ascii="Arial" w:hAnsi="Arial" w:cs="Arial"/>
          <w:color w:val="000000" w:themeColor="text1"/>
          <w:spacing w:val="-3"/>
          <w:lang w:val="ru-RU"/>
        </w:rPr>
        <w:t xml:space="preserve">блага, </w:t>
      </w:r>
      <w:r w:rsidRPr="00DA76A7">
        <w:rPr>
          <w:rFonts w:ascii="Arial" w:hAnsi="Arial" w:cs="Arial"/>
          <w:color w:val="000000" w:themeColor="text1"/>
          <w:lang w:val="ru-RU"/>
        </w:rPr>
        <w:t xml:space="preserve">служащий средством </w:t>
      </w:r>
      <w:r w:rsidRPr="00DA76A7">
        <w:rPr>
          <w:rFonts w:ascii="Arial" w:hAnsi="Arial" w:cs="Arial"/>
          <w:color w:val="000000" w:themeColor="text1"/>
          <w:spacing w:val="-3"/>
          <w:lang w:val="ru-RU"/>
        </w:rPr>
        <w:t xml:space="preserve">удовлетворения </w:t>
      </w:r>
      <w:r w:rsidRPr="00DA76A7">
        <w:rPr>
          <w:rFonts w:ascii="Arial" w:hAnsi="Arial" w:cs="Arial"/>
          <w:color w:val="000000" w:themeColor="text1"/>
          <w:lang w:val="ru-RU"/>
        </w:rPr>
        <w:t xml:space="preserve">потребностей за </w:t>
      </w:r>
      <w:r w:rsidRPr="00DA76A7">
        <w:rPr>
          <w:rFonts w:ascii="Arial" w:hAnsi="Arial" w:cs="Arial"/>
          <w:color w:val="000000" w:themeColor="text1"/>
          <w:spacing w:val="-3"/>
          <w:lang w:val="ru-RU"/>
        </w:rPr>
        <w:t xml:space="preserve">счет </w:t>
      </w:r>
      <w:r w:rsidRPr="00DA76A7">
        <w:rPr>
          <w:rFonts w:ascii="Arial" w:hAnsi="Arial" w:cs="Arial"/>
          <w:color w:val="000000" w:themeColor="text1"/>
          <w:lang w:val="ru-RU"/>
        </w:rPr>
        <w:t xml:space="preserve">осуществления юридической деятельности (посредством совершения действий) </w:t>
      </w:r>
      <w:r w:rsidRPr="00DA76A7">
        <w:rPr>
          <w:rFonts w:ascii="Arial" w:hAnsi="Arial" w:cs="Arial"/>
          <w:color w:val="000000" w:themeColor="text1"/>
          <w:spacing w:val="-3"/>
          <w:lang w:val="ru-RU"/>
        </w:rPr>
        <w:t xml:space="preserve">одним </w:t>
      </w:r>
      <w:r w:rsidRPr="00DA76A7">
        <w:rPr>
          <w:rFonts w:ascii="Arial" w:hAnsi="Arial" w:cs="Arial"/>
          <w:color w:val="000000" w:themeColor="text1"/>
          <w:spacing w:val="-4"/>
          <w:lang w:val="ru-RU"/>
        </w:rPr>
        <w:t xml:space="preserve">субъектом, </w:t>
      </w:r>
      <w:r w:rsidRPr="00DA76A7">
        <w:rPr>
          <w:rFonts w:ascii="Arial" w:hAnsi="Arial" w:cs="Arial"/>
          <w:color w:val="000000" w:themeColor="text1"/>
          <w:lang w:val="ru-RU"/>
        </w:rPr>
        <w:t xml:space="preserve">в полезных свойствах </w:t>
      </w:r>
      <w:r w:rsidRPr="00DA76A7">
        <w:rPr>
          <w:rFonts w:ascii="Arial" w:hAnsi="Arial" w:cs="Arial"/>
          <w:color w:val="000000" w:themeColor="text1"/>
          <w:spacing w:val="-4"/>
          <w:lang w:val="ru-RU"/>
        </w:rPr>
        <w:t xml:space="preserve">которой </w:t>
      </w:r>
      <w:r w:rsidRPr="00DA76A7">
        <w:rPr>
          <w:rFonts w:ascii="Arial" w:hAnsi="Arial" w:cs="Arial"/>
          <w:color w:val="000000" w:themeColor="text1"/>
          <w:lang w:val="ru-RU"/>
        </w:rPr>
        <w:t xml:space="preserve">и состоит </w:t>
      </w:r>
      <w:r w:rsidRPr="00DA76A7">
        <w:rPr>
          <w:rFonts w:ascii="Arial" w:hAnsi="Arial" w:cs="Arial"/>
          <w:color w:val="000000" w:themeColor="text1"/>
          <w:spacing w:val="-3"/>
          <w:lang w:val="ru-RU"/>
        </w:rPr>
        <w:t xml:space="preserve">субъективный </w:t>
      </w:r>
      <w:r w:rsidRPr="00DA76A7">
        <w:rPr>
          <w:rFonts w:ascii="Arial" w:hAnsi="Arial" w:cs="Arial"/>
          <w:color w:val="000000" w:themeColor="text1"/>
          <w:lang w:val="ru-RU"/>
        </w:rPr>
        <w:t xml:space="preserve">интерес </w:t>
      </w:r>
      <w:r w:rsidRPr="00DA76A7">
        <w:rPr>
          <w:rFonts w:ascii="Arial" w:hAnsi="Arial" w:cs="Arial"/>
          <w:color w:val="000000" w:themeColor="text1"/>
          <w:spacing w:val="-3"/>
          <w:lang w:val="ru-RU"/>
        </w:rPr>
        <w:t xml:space="preserve">другого субъекта </w:t>
      </w:r>
      <w:r w:rsidRPr="00DA76A7">
        <w:rPr>
          <w:rFonts w:ascii="Arial" w:hAnsi="Arial" w:cs="Arial"/>
          <w:color w:val="000000" w:themeColor="text1"/>
          <w:lang w:val="ru-RU"/>
        </w:rPr>
        <w:t xml:space="preserve">и на </w:t>
      </w:r>
      <w:r w:rsidRPr="00DA76A7">
        <w:rPr>
          <w:rFonts w:ascii="Arial" w:hAnsi="Arial" w:cs="Arial"/>
          <w:color w:val="000000" w:themeColor="text1"/>
          <w:spacing w:val="-4"/>
          <w:lang w:val="ru-RU"/>
        </w:rPr>
        <w:t xml:space="preserve">которую,  </w:t>
      </w:r>
      <w:r w:rsidRPr="00DA76A7">
        <w:rPr>
          <w:rFonts w:ascii="Arial" w:hAnsi="Arial" w:cs="Arial"/>
          <w:color w:val="000000" w:themeColor="text1"/>
          <w:lang w:val="ru-RU"/>
        </w:rPr>
        <w:t>в связи с этим у услугополучателя возникает встречное право</w:t>
      </w:r>
      <w:r w:rsidRPr="00DA76A7">
        <w:rPr>
          <w:rFonts w:ascii="Arial" w:hAnsi="Arial" w:cs="Arial"/>
          <w:color w:val="000000" w:themeColor="text1"/>
          <w:spacing w:val="-1"/>
          <w:lang w:val="ru-RU"/>
        </w:rPr>
        <w:t xml:space="preserve"> </w:t>
      </w:r>
      <w:r w:rsidRPr="00DA76A7">
        <w:rPr>
          <w:rFonts w:ascii="Arial" w:hAnsi="Arial" w:cs="Arial"/>
          <w:color w:val="000000" w:themeColor="text1"/>
          <w:lang w:val="ru-RU"/>
        </w:rPr>
        <w:t>требования.</w:t>
      </w:r>
    </w:p>
    <w:p w:rsidR="00E45BB4" w:rsidRPr="00DA76A7" w:rsidRDefault="00E45BB4" w:rsidP="00E45BB4">
      <w:pPr>
        <w:pStyle w:val="a9"/>
        <w:ind w:firstLine="567"/>
        <w:rPr>
          <w:rFonts w:ascii="Arial" w:hAnsi="Arial" w:cs="Arial"/>
          <w:color w:val="000000" w:themeColor="text1"/>
          <w:lang w:val="ru-RU"/>
        </w:rPr>
      </w:pPr>
      <w:r w:rsidRPr="00DA76A7">
        <w:rPr>
          <w:rFonts w:ascii="Arial" w:hAnsi="Arial" w:cs="Arial"/>
          <w:color w:val="000000" w:themeColor="text1"/>
          <w:lang w:val="ru-RU"/>
        </w:rPr>
        <w:t>В случаях, когда гражданские правоотношения по поводу оказания юридических услуг ведут к установлению юридических прав и обязанностей и, ввиду этого, попадают в поле частноправового регулирования, то возникают отношения обязательственно-правовые, предмет которых состоит в оказании данных услуг.</w:t>
      </w:r>
    </w:p>
    <w:p w:rsidR="00E45BB4" w:rsidRPr="00DA76A7" w:rsidRDefault="00E45BB4" w:rsidP="00E45BB4">
      <w:pPr>
        <w:pStyle w:val="a9"/>
        <w:ind w:firstLine="567"/>
        <w:rPr>
          <w:rFonts w:ascii="Arial" w:hAnsi="Arial" w:cs="Arial"/>
          <w:color w:val="000000" w:themeColor="text1"/>
          <w:lang w:val="ru-RU"/>
        </w:rPr>
      </w:pPr>
    </w:p>
    <w:p w:rsidR="00E45BB4" w:rsidRPr="00DA76A7" w:rsidRDefault="00E45BB4" w:rsidP="00E45BB4">
      <w:pPr>
        <w:pStyle w:val="a9"/>
        <w:ind w:firstLine="567"/>
        <w:jc w:val="center"/>
        <w:rPr>
          <w:rFonts w:ascii="Arial" w:hAnsi="Arial" w:cs="Arial"/>
          <w:b/>
          <w:color w:val="000000" w:themeColor="text1"/>
          <w:lang w:val="ru-RU"/>
        </w:rPr>
      </w:pPr>
      <w:r w:rsidRPr="00DA76A7">
        <w:rPr>
          <w:rFonts w:ascii="Arial" w:hAnsi="Arial" w:cs="Arial"/>
          <w:b/>
          <w:color w:val="000000" w:themeColor="text1"/>
          <w:lang w:val="ru-RU"/>
        </w:rPr>
        <w:t>Список литературы:</w:t>
      </w:r>
    </w:p>
    <w:p w:rsidR="00E45BB4" w:rsidRPr="00DA76A7" w:rsidRDefault="00E45BB4" w:rsidP="00E45BB4">
      <w:pPr>
        <w:pStyle w:val="a6"/>
        <w:numPr>
          <w:ilvl w:val="0"/>
          <w:numId w:val="10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Гражданский кодекс Республики Таджикистан от 30 июня </w:t>
      </w:r>
      <w:smartTag w:uri="urn:schemas-microsoft-com:office:smarttags" w:element="metricconverter">
        <w:smartTagPr>
          <w:attr w:name="ProductID" w:val="1999 г"/>
        </w:smartTagPr>
        <w:r w:rsidRPr="00DA76A7">
          <w:rPr>
            <w:rFonts w:ascii="Arial" w:hAnsi="Arial" w:cs="Arial"/>
            <w:color w:val="000000" w:themeColor="text1"/>
          </w:rPr>
          <w:t>1999 г</w:t>
        </w:r>
      </w:smartTag>
      <w:r w:rsidRPr="00DA76A7">
        <w:rPr>
          <w:rFonts w:ascii="Arial" w:hAnsi="Arial" w:cs="Arial"/>
          <w:color w:val="000000" w:themeColor="text1"/>
        </w:rPr>
        <w:t>., № 802. Ч. 1 // Ахбори Маджлиси Оли Республики Таджикистан. - 1999. - №6. - Ст. 153; 2001. - № 7. - Ст. 508; 2002. - №4, ч. 1. - Ст. 170; 2005. - №3. - Ст. 125; 2006. - №4. - Ст. 193; 2007. - №5. - Ст. 356; 2010. - №3. - Ст.156; 2010. - №12. - Ст.802.</w:t>
      </w:r>
    </w:p>
    <w:p w:rsidR="00E45BB4" w:rsidRPr="00DA76A7" w:rsidRDefault="00E45BB4" w:rsidP="00E45BB4">
      <w:pPr>
        <w:pStyle w:val="af2"/>
        <w:numPr>
          <w:ilvl w:val="0"/>
          <w:numId w:val="10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Иоффе О.С. Правоотношение по советскому гражданскому праву // Избран</w:t>
      </w:r>
      <w:r w:rsidRPr="00DA76A7">
        <w:rPr>
          <w:rFonts w:ascii="Arial" w:hAnsi="Arial" w:cs="Arial"/>
          <w:color w:val="000000" w:themeColor="text1"/>
          <w:sz w:val="22"/>
          <w:szCs w:val="22"/>
        </w:rPr>
        <w:softHyphen/>
        <w:t>ные труды по гражданскому праву. М., 2000. – 604с.</w:t>
      </w:r>
    </w:p>
    <w:p w:rsidR="00E45BB4" w:rsidRPr="00DA76A7" w:rsidRDefault="00E45BB4" w:rsidP="00E45BB4">
      <w:pPr>
        <w:pStyle w:val="a6"/>
        <w:numPr>
          <w:ilvl w:val="0"/>
          <w:numId w:val="10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Орлов А.В. Гражданско-правовое регулирование отношений в сфере оказания юридических услуг: сравнительно-правовое исследование. - М.: Норма, 2009. – 345с.</w:t>
      </w:r>
    </w:p>
    <w:p w:rsidR="00E45BB4" w:rsidRPr="00DA76A7" w:rsidRDefault="00E45BB4" w:rsidP="00E45BB4">
      <w:pPr>
        <w:pStyle w:val="af2"/>
        <w:numPr>
          <w:ilvl w:val="0"/>
          <w:numId w:val="10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Пиляева В.В. Гражданское право. Части общая и особенная. Учебник. - М.: Кнорус, 2015. – 296с.</w:t>
      </w:r>
    </w:p>
    <w:p w:rsidR="00E45BB4" w:rsidRPr="00DA76A7" w:rsidRDefault="00E45BB4" w:rsidP="00E45BB4">
      <w:pPr>
        <w:pStyle w:val="a6"/>
        <w:numPr>
          <w:ilvl w:val="0"/>
          <w:numId w:val="10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Садиков О.Н. Комментарий к Гражданскому кодексу Российской Федерации, части второй (постатейный). 4-е изд., исправ. и доп. - М.: КОНТРАКТ, ИНФРА-М, 2015. – 687с.</w:t>
      </w:r>
    </w:p>
    <w:p w:rsidR="00E45BB4" w:rsidRPr="00DA76A7" w:rsidRDefault="00E45BB4" w:rsidP="00E45BB4">
      <w:pPr>
        <w:pStyle w:val="a6"/>
        <w:numPr>
          <w:ilvl w:val="0"/>
          <w:numId w:val="10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spacing w:val="-5"/>
        </w:rPr>
        <w:t xml:space="preserve">Худолеев </w:t>
      </w:r>
      <w:r w:rsidRPr="00DA76A7">
        <w:rPr>
          <w:rFonts w:ascii="Arial" w:hAnsi="Arial" w:cs="Arial"/>
          <w:color w:val="000000" w:themeColor="text1"/>
        </w:rPr>
        <w:t xml:space="preserve">В.В. </w:t>
      </w:r>
      <w:r w:rsidRPr="00DA76A7">
        <w:rPr>
          <w:rFonts w:ascii="Arial" w:hAnsi="Arial" w:cs="Arial"/>
          <w:color w:val="000000" w:themeColor="text1"/>
          <w:spacing w:val="-3"/>
        </w:rPr>
        <w:t xml:space="preserve">Консультационные </w:t>
      </w:r>
      <w:r w:rsidRPr="00DA76A7">
        <w:rPr>
          <w:rFonts w:ascii="Arial" w:hAnsi="Arial" w:cs="Arial"/>
          <w:color w:val="000000" w:themeColor="text1"/>
        </w:rPr>
        <w:t xml:space="preserve">услуги, оказываемые различными организациями  предприятиям  по вопросам их хозяйственной и финансовой деятельности. Юридические, учетные и налоговые аспекты // </w:t>
      </w:r>
      <w:r w:rsidRPr="00DA76A7">
        <w:rPr>
          <w:rFonts w:ascii="Arial" w:hAnsi="Arial" w:cs="Arial"/>
          <w:color w:val="000000" w:themeColor="text1"/>
          <w:spacing w:val="-4"/>
        </w:rPr>
        <w:t xml:space="preserve">Консультант </w:t>
      </w:r>
      <w:r w:rsidRPr="00DA76A7">
        <w:rPr>
          <w:rFonts w:ascii="Arial" w:hAnsi="Arial" w:cs="Arial"/>
          <w:color w:val="000000" w:themeColor="text1"/>
        </w:rPr>
        <w:t>бухгалтера. - 2010. - № 6. - С.</w:t>
      </w:r>
      <w:r w:rsidRPr="00DA76A7">
        <w:rPr>
          <w:rFonts w:ascii="Arial" w:hAnsi="Arial" w:cs="Arial"/>
          <w:color w:val="000000" w:themeColor="text1"/>
          <w:spacing w:val="10"/>
        </w:rPr>
        <w:t xml:space="preserve"> </w:t>
      </w:r>
      <w:r w:rsidRPr="00DA76A7">
        <w:rPr>
          <w:rFonts w:ascii="Arial" w:hAnsi="Arial" w:cs="Arial"/>
          <w:color w:val="000000" w:themeColor="text1"/>
        </w:rPr>
        <w:t>32-39.</w:t>
      </w:r>
    </w:p>
    <w:p w:rsidR="00E45BB4" w:rsidRPr="00DA76A7" w:rsidRDefault="00E45BB4" w:rsidP="00E45BB4">
      <w:pPr>
        <w:pStyle w:val="af2"/>
        <w:ind w:firstLine="567"/>
        <w:jc w:val="both"/>
        <w:rPr>
          <w:rFonts w:ascii="Arial" w:hAnsi="Arial" w:cs="Arial"/>
          <w:color w:val="000000" w:themeColor="text1"/>
          <w:sz w:val="22"/>
          <w:szCs w:val="22"/>
        </w:rPr>
      </w:pPr>
    </w:p>
    <w:p w:rsidR="00E45BB4" w:rsidRPr="00DA76A7" w:rsidRDefault="00E45BB4" w:rsidP="00E45BB4">
      <w:pPr>
        <w:ind w:firstLine="567"/>
        <w:jc w:val="both"/>
        <w:rPr>
          <w:rFonts w:ascii="Arial" w:hAnsi="Arial" w:cs="Arial"/>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ПРОБЛЕМЫ ПРАВОВОГО РЕГУЛИРОВАНИЯ КОМПЕНСАЦИИ МОРАЛЬНОГО ВРЕДА В РОССИЙСКОЙ ФЕДЕРАЦИИ </w:t>
      </w:r>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rPr>
      </w:pPr>
      <w:r w:rsidRPr="00DA76A7">
        <w:rPr>
          <w:rFonts w:ascii="Arial" w:hAnsi="Arial" w:cs="Arial"/>
          <w:b/>
          <w:color w:val="000000" w:themeColor="text1"/>
          <w:sz w:val="22"/>
          <w:szCs w:val="22"/>
        </w:rPr>
        <w:t>Чиенджи Ву</w:t>
      </w:r>
    </w:p>
    <w:p w:rsidR="00181BA7" w:rsidRPr="00DA76A7" w:rsidRDefault="00181BA7" w:rsidP="00181BA7">
      <w:pPr>
        <w:shd w:val="clear" w:color="auto" w:fill="FFFFFF"/>
        <w:jc w:val="both"/>
        <w:textAlignment w:val="baseline"/>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 xml:space="preserve">                     магистрант 1-го года обучения очного отделения юридического факультета</w:t>
      </w:r>
    </w:p>
    <w:p w:rsidR="00181BA7" w:rsidRPr="00DA76A7" w:rsidRDefault="00181BA7" w:rsidP="00181BA7">
      <w:pPr>
        <w:shd w:val="clear" w:color="auto" w:fill="FFFFFF"/>
        <w:jc w:val="center"/>
        <w:textAlignment w:val="baseline"/>
        <w:outlineLvl w:val="0"/>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181BA7" w:rsidRPr="00DA76A7" w:rsidRDefault="00181BA7" w:rsidP="00181BA7">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181BA7" w:rsidRPr="00DA76A7" w:rsidRDefault="00181BA7" w:rsidP="00181BA7">
      <w:pPr>
        <w:jc w:val="center"/>
        <w:rPr>
          <w:rStyle w:val="af0"/>
          <w:rFonts w:ascii="Arial" w:hAnsi="Arial" w:cs="Arial"/>
          <w:color w:val="000000" w:themeColor="text1"/>
          <w:sz w:val="22"/>
          <w:szCs w:val="22"/>
          <w:u w:val="none"/>
        </w:rPr>
      </w:pPr>
      <w:r w:rsidRPr="00DA76A7">
        <w:rPr>
          <w:rFonts w:ascii="Arial" w:hAnsi="Arial" w:cs="Arial"/>
          <w:color w:val="000000" w:themeColor="text1"/>
          <w:sz w:val="22"/>
          <w:szCs w:val="22"/>
        </w:rPr>
        <w:t>тел.: 93-482-51-51,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62" w:history="1">
        <w:r w:rsidRPr="00DA76A7">
          <w:rPr>
            <w:rStyle w:val="af0"/>
            <w:rFonts w:ascii="Arial" w:hAnsi="Arial" w:cs="Arial"/>
            <w:color w:val="000000" w:themeColor="text1"/>
            <w:sz w:val="22"/>
            <w:szCs w:val="22"/>
            <w:u w:val="none"/>
            <w:lang w:val="en-US"/>
          </w:rPr>
          <w:t>wuqianzhi</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181BA7" w:rsidRPr="00DA76A7" w:rsidRDefault="00181BA7" w:rsidP="00181BA7">
      <w:pPr>
        <w:jc w:val="center"/>
        <w:rPr>
          <w:rFonts w:ascii="Arial" w:hAnsi="Arial" w:cs="Arial"/>
          <w:b/>
          <w:color w:val="000000" w:themeColor="text1"/>
          <w:sz w:val="22"/>
          <w:szCs w:val="22"/>
        </w:rPr>
      </w:pPr>
    </w:p>
    <w:p w:rsidR="00181BA7" w:rsidRPr="00DA76A7" w:rsidRDefault="00181BA7" w:rsidP="00181BA7">
      <w:pPr>
        <w:jc w:val="center"/>
        <w:rPr>
          <w:rFonts w:ascii="Arial" w:hAnsi="Arial" w:cs="Arial"/>
          <w:b/>
          <w:color w:val="000000" w:themeColor="text1"/>
          <w:sz w:val="22"/>
          <w:szCs w:val="22"/>
          <w:lang w:val="en-US" w:eastAsia="zh-CN"/>
        </w:rPr>
      </w:pPr>
      <w:r w:rsidRPr="00DA76A7">
        <w:rPr>
          <w:rFonts w:ascii="Arial" w:hAnsi="Arial" w:cs="Arial"/>
          <w:b/>
          <w:color w:val="000000" w:themeColor="text1"/>
          <w:sz w:val="22"/>
          <w:szCs w:val="22"/>
          <w:lang w:val="en-US"/>
        </w:rPr>
        <w:t xml:space="preserve">PROBLEMS OF LEGAL REGULATION OF </w:t>
      </w:r>
      <w:r w:rsidRPr="00DA76A7">
        <w:rPr>
          <w:rFonts w:ascii="Arial" w:hAnsi="Arial" w:cs="Arial"/>
          <w:b/>
          <w:color w:val="000000" w:themeColor="text1"/>
          <w:sz w:val="22"/>
          <w:szCs w:val="22"/>
          <w:lang w:val="en-US" w:eastAsia="zh-CN"/>
        </w:rPr>
        <w:t>COMPENSATION FOR MORAL INJURY IN RUSSIAN FEDERATION</w:t>
      </w:r>
    </w:p>
    <w:p w:rsidR="00181BA7" w:rsidRPr="00DA76A7" w:rsidRDefault="00181BA7" w:rsidP="00181BA7">
      <w:pPr>
        <w:jc w:val="center"/>
        <w:rPr>
          <w:rFonts w:ascii="Arial" w:hAnsi="Arial" w:cs="Arial"/>
          <w:b/>
          <w:color w:val="000000" w:themeColor="text1"/>
          <w:sz w:val="22"/>
          <w:szCs w:val="22"/>
          <w:lang w:val="en-US"/>
        </w:rPr>
      </w:pPr>
    </w:p>
    <w:p w:rsidR="00181BA7" w:rsidRPr="00DA76A7" w:rsidRDefault="00181BA7" w:rsidP="00181BA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Qianzhi Wu</w:t>
      </w:r>
    </w:p>
    <w:p w:rsidR="00181BA7" w:rsidRPr="00DA76A7" w:rsidRDefault="00181BA7" w:rsidP="00181BA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1 st year of full-time law department</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181BA7" w:rsidRPr="00DA76A7" w:rsidRDefault="00181BA7" w:rsidP="00181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81BA7" w:rsidRPr="00DA76A7" w:rsidRDefault="00181BA7" w:rsidP="00181BA7">
      <w:pPr>
        <w:jc w:val="center"/>
        <w:rPr>
          <w:rStyle w:val="af0"/>
          <w:rFonts w:ascii="Arial" w:hAnsi="Arial" w:cs="Arial"/>
          <w:b/>
          <w:color w:val="000000" w:themeColor="text1"/>
          <w:sz w:val="22"/>
          <w:szCs w:val="22"/>
          <w:u w:val="none"/>
          <w:lang w:val="en-US"/>
        </w:rPr>
      </w:pPr>
      <w:r w:rsidRPr="00DA76A7">
        <w:rPr>
          <w:rFonts w:ascii="Arial" w:hAnsi="Arial" w:cs="Arial"/>
          <w:color w:val="000000" w:themeColor="text1"/>
          <w:sz w:val="22"/>
          <w:szCs w:val="22"/>
          <w:lang w:val="en-US"/>
        </w:rPr>
        <w:t xml:space="preserve">tel.: 93-482-51-51, e-mail: </w:t>
      </w:r>
      <w:hyperlink r:id="rId263" w:history="1">
        <w:r w:rsidRPr="00DA76A7">
          <w:rPr>
            <w:rStyle w:val="af0"/>
            <w:rFonts w:ascii="Arial" w:hAnsi="Arial" w:cs="Arial"/>
            <w:color w:val="000000" w:themeColor="text1"/>
            <w:sz w:val="22"/>
            <w:szCs w:val="22"/>
            <w:u w:val="none"/>
            <w:lang w:val="en-US"/>
          </w:rPr>
          <w:t>wuqianzhi@mail.ru</w:t>
        </w:r>
      </w:hyperlink>
    </w:p>
    <w:p w:rsidR="00181BA7" w:rsidRPr="00DA76A7" w:rsidRDefault="00181BA7" w:rsidP="00181BA7">
      <w:pPr>
        <w:ind w:firstLine="567"/>
        <w:jc w:val="center"/>
        <w:rPr>
          <w:rFonts w:ascii="Arial" w:hAnsi="Arial" w:cs="Arial"/>
          <w:color w:val="000000" w:themeColor="text1"/>
          <w:sz w:val="22"/>
          <w:szCs w:val="22"/>
          <w:lang w:val="en-US"/>
        </w:rPr>
      </w:pPr>
    </w:p>
    <w:p w:rsidR="00181BA7" w:rsidRPr="00DA76A7" w:rsidRDefault="00181BA7" w:rsidP="00181BA7">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w:t>
      </w:r>
      <w:r w:rsidRPr="00DA76A7">
        <w:rPr>
          <w:rFonts w:ascii="Arial" w:hAnsi="Arial" w:cs="Arial"/>
          <w:bCs/>
          <w:color w:val="000000" w:themeColor="text1"/>
          <w:kern w:val="36"/>
          <w:sz w:val="22"/>
          <w:szCs w:val="22"/>
        </w:rPr>
        <w:t>к.ю.н., доцент</w:t>
      </w:r>
      <w:r w:rsidRPr="00DA76A7">
        <w:rPr>
          <w:rFonts w:ascii="Arial" w:hAnsi="Arial" w:cs="Arial"/>
          <w:color w:val="000000" w:themeColor="text1"/>
          <w:sz w:val="22"/>
          <w:szCs w:val="22"/>
        </w:rPr>
        <w:t xml:space="preserve"> </w:t>
      </w:r>
      <w:r w:rsidRPr="00DA76A7">
        <w:rPr>
          <w:rFonts w:ascii="Arial" w:hAnsi="Arial" w:cs="Arial"/>
          <w:bCs/>
          <w:color w:val="000000" w:themeColor="text1"/>
          <w:kern w:val="36"/>
          <w:sz w:val="22"/>
          <w:szCs w:val="22"/>
        </w:rPr>
        <w:t>Исмоилова З.И.</w:t>
      </w:r>
    </w:p>
    <w:p w:rsidR="00181BA7" w:rsidRPr="00DA76A7" w:rsidRDefault="00181BA7" w:rsidP="00181BA7">
      <w:pPr>
        <w:ind w:firstLine="567"/>
        <w:jc w:val="right"/>
        <w:rPr>
          <w:rFonts w:ascii="Arial" w:hAnsi="Arial" w:cs="Arial"/>
          <w:color w:val="000000" w:themeColor="text1"/>
          <w:sz w:val="22"/>
          <w:szCs w:val="22"/>
        </w:rPr>
      </w:pPr>
    </w:p>
    <w:p w:rsidR="00181BA7" w:rsidRPr="00DA76A7" w:rsidRDefault="00181BA7" w:rsidP="00181BA7">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общие понятия морального вреда, субъекта, имеющего права на компенсацию, определение размера компенсации, а также пробелы законодательства в сфере регулирования компенсации морального вреда.</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this article considering the general concept of moral injury, the subject entitled to compensation, specification of the amount of compensation, as well as gaps, legislation on compensation for moral injury in this field.</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w:t>
      </w:r>
      <w:r w:rsidRPr="00DA76A7">
        <w:rPr>
          <w:rFonts w:ascii="Arial" w:hAnsi="Arial" w:cs="Arial"/>
          <w:color w:val="000000" w:themeColor="text1"/>
          <w:sz w:val="22"/>
          <w:szCs w:val="22"/>
        </w:rPr>
        <w:t>моральный вред, компенсация морального вреда, критерии определения размера денежной компенсации морального вреда.</w:t>
      </w:r>
    </w:p>
    <w:p w:rsidR="00181BA7" w:rsidRPr="00DA76A7" w:rsidRDefault="00181BA7" w:rsidP="00181BA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moral injury, compensation for moral injury, criterion of specification of the amount of compensation for moral injury.</w:t>
      </w:r>
    </w:p>
    <w:p w:rsidR="00181BA7" w:rsidRPr="00DA76A7" w:rsidRDefault="00181BA7" w:rsidP="00181BA7">
      <w:pPr>
        <w:ind w:firstLine="567"/>
        <w:jc w:val="both"/>
        <w:rPr>
          <w:rFonts w:ascii="Arial" w:hAnsi="Arial" w:cs="Arial"/>
          <w:i/>
          <w:color w:val="000000" w:themeColor="text1"/>
          <w:sz w:val="22"/>
          <w:szCs w:val="22"/>
          <w:lang w:val="en-US"/>
        </w:rPr>
      </w:pP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Институт возмещения (компенсации) морального вреда появился в российском законодательстве недавно. Первое упоминание о нем появилось в 1990-х годах. Пленум Верховного Суда Российской Федерации в своем постановлении №10 от 20 декабря 1994 года определил </w:t>
      </w:r>
      <w:r w:rsidRPr="00DA76A7">
        <w:rPr>
          <w:rFonts w:ascii="Arial" w:hAnsi="Arial" w:cs="Arial"/>
          <w:color w:val="000000" w:themeColor="text1"/>
          <w:sz w:val="22"/>
          <w:szCs w:val="22"/>
        </w:rPr>
        <w:t>моральный вред, как нравственные или физические страдания, причиненные действиями (бездействием), посягающими на принадлежащие гражданину от рождения или в силу закона нематериальные блага (жизнь, здоровье, достоинство личности, деловая репутация, неприкосновенность частной жизни, личная и семейная тайна и т.п.), или нарушающими его личные неимущественные права (право на пользование своим именем, право авторства и другие неимущественные права в соответствии с законами об охране прав на результаты интеллектуальной деятельности) либо нарушающими имущественные права гражданина. Моральный вред, в частности, может заключаться в нравственных переживаниях в связи с утратой родственников, невозможностью продолжать активную общественную жизнь, потерей работы, раскрытием семейной, врачебной тайны, распространением не соответствующих действительности сведений, порочащих честь, достоинство или деловую репутацию гражданина, временным ограничением или лишением каких-либо прав, физической болью, связанной с причиненным увечьем, иным повреждением здоровья либо в связи заболеванием, перенесенным в результате нравственных страданий и др [</w:t>
      </w:r>
      <w:fldSimple w:instr=" REF _Ref505176879 \w \h  \* MERGEFORMAT ">
        <w:r w:rsidR="001D3EF8">
          <w:rPr>
            <w:color w:val="000000" w:themeColor="text1"/>
          </w:rPr>
          <w:t>3</w:t>
        </w:r>
      </w:fldSimple>
      <w:r w:rsidRPr="00DA76A7">
        <w:rPr>
          <w:rFonts w:ascii="Arial" w:hAnsi="Arial" w:cs="Arial"/>
          <w:color w:val="000000" w:themeColor="text1"/>
          <w:sz w:val="22"/>
          <w:szCs w:val="22"/>
        </w:rPr>
        <w:t xml:space="preserve">, 9-11]. </w:t>
      </w:r>
    </w:p>
    <w:p w:rsidR="00181BA7" w:rsidRPr="00DA76A7" w:rsidRDefault="00181BA7" w:rsidP="00181BA7">
      <w:pPr>
        <w:ind w:firstLine="567"/>
        <w:jc w:val="both"/>
        <w:rPr>
          <w:rFonts w:ascii="Arial" w:hAnsi="Arial" w:cs="Arial"/>
          <w:color w:val="000000" w:themeColor="text1"/>
          <w:sz w:val="22"/>
          <w:szCs w:val="22"/>
          <w:shd w:val="clear" w:color="auto" w:fill="E1E8E3"/>
        </w:rPr>
      </w:pPr>
      <w:r w:rsidRPr="00DA76A7">
        <w:rPr>
          <w:rFonts w:ascii="Arial" w:hAnsi="Arial" w:cs="Arial"/>
          <w:color w:val="000000" w:themeColor="text1"/>
          <w:sz w:val="22"/>
          <w:szCs w:val="22"/>
        </w:rPr>
        <w:t>Так как данный институт является сравнительно молодым, то и его применение в настоящее время имеет разнообразные проблемы.</w:t>
      </w:r>
    </w:p>
    <w:p w:rsidR="00181BA7" w:rsidRPr="00DA76A7" w:rsidRDefault="00181BA7" w:rsidP="00181BA7">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 Гражданский кодекс в ст.</w:t>
      </w:r>
      <w:r w:rsidRPr="00DA76A7">
        <w:rPr>
          <w:rFonts w:ascii="Arial" w:hAnsi="Arial" w:cs="Arial"/>
          <w:color w:val="000000" w:themeColor="text1"/>
          <w:sz w:val="22"/>
          <w:szCs w:val="22"/>
        </w:rPr>
        <w:t xml:space="preserve"> 151 ГК РФ устанавливает, что, если гражданину причинен моральный вред (физические или нравственные страдания), суд может возложить на нарушителя обязанность денежной компенсации указанного вреда [</w:t>
      </w:r>
      <w:fldSimple w:instr=" REF _Ref505176701 \r \h  \* MERGEFORMAT ">
        <w:r w:rsidR="001D3EF8">
          <w:rPr>
            <w:color w:val="000000" w:themeColor="text1"/>
          </w:rPr>
          <w:t>1</w:t>
        </w:r>
      </w:fldSimple>
      <w:r w:rsidRPr="00DA76A7">
        <w:rPr>
          <w:rFonts w:ascii="Arial" w:hAnsi="Arial" w:cs="Arial"/>
          <w:color w:val="000000" w:themeColor="text1"/>
          <w:sz w:val="22"/>
          <w:szCs w:val="22"/>
        </w:rPr>
        <w:t>].</w:t>
      </w:r>
    </w:p>
    <w:p w:rsidR="00181BA7" w:rsidRPr="00DA76A7" w:rsidRDefault="00181BA7" w:rsidP="00181BA7">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Однако не любые страдания отрицательного характера могут быть расценены как моральный вред. </w:t>
      </w:r>
      <w:r w:rsidRPr="00DA76A7">
        <w:rPr>
          <w:rFonts w:ascii="Arial" w:hAnsi="Arial" w:cs="Arial"/>
          <w:color w:val="000000" w:themeColor="text1"/>
          <w:sz w:val="22"/>
          <w:szCs w:val="22"/>
        </w:rPr>
        <w:t>При возложении ответственности за моральный вред речь идет о невосполнимых имущественных интересах, а не о временных, проходящих огорчениях, таких, как например на полученном из химчистки костюме осталось пятно, в связи с чем костюм отправили в чистку повторно[</w:t>
      </w:r>
      <w:fldSimple w:instr=" REF _Ref505177011 \r \h  \* MERGEFORMAT ">
        <w:r w:rsidR="001D3EF8" w:rsidRPr="001D3EF8">
          <w:rPr>
            <w:rFonts w:ascii="Arial" w:hAnsi="Arial" w:cs="Arial"/>
            <w:color w:val="000000" w:themeColor="text1"/>
            <w:sz w:val="22"/>
            <w:szCs w:val="22"/>
          </w:rPr>
          <w:t>13</w:t>
        </w:r>
      </w:fldSimple>
      <w:r w:rsidRPr="00DA76A7">
        <w:rPr>
          <w:rFonts w:ascii="Arial" w:hAnsi="Arial" w:cs="Arial"/>
          <w:color w:val="000000" w:themeColor="text1"/>
          <w:sz w:val="22"/>
          <w:szCs w:val="22"/>
        </w:rPr>
        <w:t>, 652].</w:t>
      </w:r>
      <w:r w:rsidRPr="00DA76A7">
        <w:rPr>
          <w:rFonts w:ascii="Arial" w:hAnsi="Arial" w:cs="Arial"/>
          <w:color w:val="000000" w:themeColor="text1"/>
          <w:sz w:val="22"/>
          <w:szCs w:val="22"/>
          <w:shd w:val="clear" w:color="auto" w:fill="FFFFFF"/>
        </w:rPr>
        <w:t xml:space="preserve"> Не так уж и легко определить все рамки морального вреда, поэтому, на мой взгляд, в законодательство необходимо внести корректировки для большей ясности, а так же в целях предотвращения необоснованных требований, необходимо прописать правила, которые будут являться бесспорными.</w:t>
      </w:r>
    </w:p>
    <w:p w:rsidR="00181BA7" w:rsidRPr="00DA76A7" w:rsidRDefault="00181BA7" w:rsidP="00181BA7">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Юридическая литература так же не имеет единое понятие морального вреда. Ряд ученых имеет свое понятие морального вреда. Так, Е.А.Михно, определяет моральный вред как отрицательные последствия нарушения имущественных или неимущественных благ, которые выражаются в душевных переживаниях[</w:t>
      </w:r>
      <w:fldSimple w:instr=" REF _Ref505177314 \r \h  \* MERGEFORMAT ">
        <w:r w:rsidR="001D3EF8">
          <w:rPr>
            <w:color w:val="000000" w:themeColor="text1"/>
          </w:rPr>
          <w:t>7</w:t>
        </w:r>
      </w:fldSimple>
      <w:r w:rsidRPr="00DA76A7">
        <w:rPr>
          <w:rFonts w:ascii="Arial" w:hAnsi="Arial" w:cs="Arial"/>
          <w:color w:val="000000" w:themeColor="text1"/>
          <w:sz w:val="22"/>
          <w:szCs w:val="22"/>
          <w:shd w:val="clear" w:color="auto" w:fill="FFFFFF"/>
        </w:rPr>
        <w:t xml:space="preserve">, 162]. То есть по мнению автора моральный вред- это только когда лицо потерпело нравственные страдания эмоционального характера, а физические страдания, в понятие «морального вреда» не могут быть включены. </w:t>
      </w:r>
    </w:p>
    <w:p w:rsidR="00181BA7" w:rsidRPr="00DA76A7" w:rsidRDefault="00181BA7" w:rsidP="00181BA7">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Н.С.Малеин, под моральным вредом определяет неимущественный вред, который выражается в причинении нравственных и физических страданий, которые обычно возникают в случаях причинения вреда здоровью или жизни. По мнению автора надо объединить моральный и физический вред одним понятием мораль</w:t>
      </w:r>
      <w:r w:rsidRPr="00DA76A7">
        <w:rPr>
          <w:rFonts w:ascii="Arial" w:hAnsi="Arial" w:cs="Arial"/>
          <w:color w:val="000000" w:themeColor="text1"/>
          <w:sz w:val="22"/>
          <w:szCs w:val="22"/>
          <w:shd w:val="clear" w:color="auto" w:fill="FFFFFF"/>
        </w:rPr>
        <w:softHyphen/>
        <w:t>ного вреда, а не отделять его от вреда имущественного [</w:t>
      </w:r>
      <w:fldSimple w:instr=" REF _Ref505177384 \r \h  \* MERGEFORMAT ">
        <w:r w:rsidR="001D3EF8">
          <w:rPr>
            <w:color w:val="000000" w:themeColor="text1"/>
          </w:rPr>
          <w:t>6</w:t>
        </w:r>
      </w:fldSimple>
      <w:r w:rsidRPr="00DA76A7">
        <w:rPr>
          <w:rFonts w:ascii="Arial" w:hAnsi="Arial" w:cs="Arial"/>
          <w:color w:val="000000" w:themeColor="text1"/>
          <w:sz w:val="22"/>
          <w:szCs w:val="22"/>
          <w:shd w:val="clear" w:color="auto" w:fill="FFFFFF"/>
        </w:rPr>
        <w:t>, 216].</w:t>
      </w:r>
    </w:p>
    <w:p w:rsidR="00181BA7" w:rsidRPr="00DA76A7" w:rsidRDefault="00181BA7" w:rsidP="00181BA7">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Как на мой взгляд правильно подметил Р.П.Тимешов, моральный вред сопровождается негативными изменениями в душевно-эмоциональном, психическом состоянии человека, испытывающего душевные, нравственные, психические переживания, страдания в связи с неблагоприятными для него последствиями как со стороны окружающего мира, так и порой своих собственных действий (бездействия). Ведь душевные волнения могут появляться и в результате физической боли. В итоге проблематично говорить о равенстве психического и физического вреда и объединять их одним общим термином «моральный вред». Подходяще было бы дать определение как «неимущественный вред». Это определение подошло бы и юридическим лицам, испытывающим проблемы с ухудшением своей деловой репутации. Кроме того, в понятие «неимущественный вред» следует включить и третью составляющую - психические переживания (страдания, эмоции) [</w:t>
      </w:r>
      <w:fldSimple w:instr=" REF _Ref505177466 \r \h  \* MERGEFORMAT ">
        <w:r w:rsidR="001D3EF8">
          <w:rPr>
            <w:color w:val="000000" w:themeColor="text1"/>
          </w:rPr>
          <w:t>9</w:t>
        </w:r>
      </w:fldSimple>
      <w:r w:rsidRPr="00DA76A7">
        <w:rPr>
          <w:rFonts w:ascii="Arial" w:hAnsi="Arial" w:cs="Arial"/>
          <w:color w:val="000000" w:themeColor="text1"/>
          <w:sz w:val="22"/>
          <w:szCs w:val="22"/>
          <w:shd w:val="clear" w:color="auto" w:fill="FFFFFF"/>
        </w:rPr>
        <w:t>, 19-21].</w:t>
      </w:r>
    </w:p>
    <w:p w:rsidR="00181BA7" w:rsidRPr="00DA76A7" w:rsidRDefault="00181BA7" w:rsidP="00181BA7">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«Моральный вред» - от слова «мораль», которое применяется к человеку и имеет представление об идеале, добре и зле, справедливости и несправедливости [</w:t>
      </w:r>
      <w:fldSimple w:instr=" REF _Ref505177896 \r \h  \* MERGEFORMAT ">
        <w:r w:rsidR="001D3EF8" w:rsidRPr="001D3EF8">
          <w:rPr>
            <w:rFonts w:ascii="Arial" w:hAnsi="Arial" w:cs="Arial"/>
            <w:color w:val="000000" w:themeColor="text1"/>
            <w:sz w:val="22"/>
            <w:szCs w:val="22"/>
            <w:shd w:val="clear" w:color="auto" w:fill="FFFFFF"/>
          </w:rPr>
          <w:t>12</w:t>
        </w:r>
      </w:fldSimple>
      <w:r w:rsidRPr="00DA76A7">
        <w:rPr>
          <w:rFonts w:ascii="Arial" w:hAnsi="Arial" w:cs="Arial"/>
          <w:color w:val="000000" w:themeColor="text1"/>
          <w:sz w:val="22"/>
          <w:szCs w:val="22"/>
          <w:shd w:val="clear" w:color="auto" w:fill="FFFFFF"/>
        </w:rPr>
        <w:t>, 188]. Мораль отождествляют с понятием «нравственность», а нравственность определяется как правила поведения, духовные и душевные качества, необходимые человеку для жизни в обществе. С.И. Ожегов разъясняет «страдание» как «физическую или нравственную боль, мучение», а слово «боль» - это «ощущением страдания» [</w:t>
      </w:r>
      <w:fldSimple w:instr=" REF _Ref505178042 \r \h  \* MERGEFORMAT ">
        <w:r w:rsidR="001D3EF8">
          <w:rPr>
            <w:color w:val="000000" w:themeColor="text1"/>
          </w:rPr>
          <w:t>8</w:t>
        </w:r>
      </w:fldSimple>
      <w:r w:rsidRPr="00DA76A7">
        <w:rPr>
          <w:rFonts w:ascii="Arial" w:hAnsi="Arial" w:cs="Arial"/>
          <w:color w:val="000000" w:themeColor="text1"/>
          <w:sz w:val="22"/>
          <w:szCs w:val="22"/>
          <w:shd w:val="clear" w:color="auto" w:fill="FFFFFF"/>
        </w:rPr>
        <w:t>, 921]. То есть, смысл слов «боль» и «страдание» тесно связаны.</w:t>
      </w:r>
    </w:p>
    <w:p w:rsidR="00181BA7" w:rsidRPr="00DA76A7" w:rsidRDefault="00181BA7" w:rsidP="00181BA7">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Проблематичным является и субъект, который имеет право на компенсацию вреда. В гражданском кодексе в ст. 151 обычно это физическое лицо (гражданин). Но это не всегда так. Несмотря на то, что отсутствует прямое указание в законе по поводу способа защиты деловой репутации юридических лиц, это не мешает защищать свои интересы нематериального характера, причиненные принижением деловой репутации, которое отличается от содержания морального вреда физическому лицу [</w:t>
      </w:r>
      <w:fldSimple w:instr=" REF _Ref505178221 \r \h  \* MERGEFORMAT ">
        <w:r w:rsidR="001D3EF8">
          <w:rPr>
            <w:color w:val="000000" w:themeColor="text1"/>
          </w:rPr>
          <w:t>4</w:t>
        </w:r>
      </w:fldSimple>
      <w:r w:rsidRPr="00DA76A7">
        <w:rPr>
          <w:rFonts w:ascii="Arial" w:hAnsi="Arial" w:cs="Arial"/>
          <w:color w:val="000000" w:themeColor="text1"/>
          <w:sz w:val="22"/>
          <w:szCs w:val="22"/>
          <w:shd w:val="clear" w:color="auto" w:fill="FFFFFF"/>
        </w:rPr>
        <w:t>].</w:t>
      </w:r>
    </w:p>
    <w:p w:rsidR="00181BA7" w:rsidRPr="00DA76A7" w:rsidRDefault="00181BA7" w:rsidP="00181BA7">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Проблемным является и определение суммы (размера) компенсации. Согласно гражданскому кодексу РФ моральный вред компенсируется в денежной форме (п. 1 ст. 1101) [</w:t>
      </w:r>
      <w:fldSimple w:instr=" REF _Ref505176781 \r \h  \* MERGEFORMAT ">
        <w:r w:rsidR="001D3EF8">
          <w:rPr>
            <w:color w:val="000000" w:themeColor="text1"/>
          </w:rPr>
          <w:t>2</w:t>
        </w:r>
      </w:fldSimple>
      <w:r w:rsidRPr="00DA76A7">
        <w:rPr>
          <w:rFonts w:ascii="Arial" w:hAnsi="Arial" w:cs="Arial"/>
          <w:color w:val="000000" w:themeColor="text1"/>
          <w:sz w:val="22"/>
          <w:szCs w:val="22"/>
          <w:shd w:val="clear" w:color="auto" w:fill="FFFFFF"/>
        </w:rPr>
        <w:t>]. Сначала необходимо подтвердить факт причинения физических или нравственных страданий. Потерпевший должен доказать при каких обстоятельствах и какими действиями или бездействием причинены страдания. На основании этого, учитывая характер и объем страданий, степень вины причинителя в конкретном случае и конкретных обстоятельствах, независимо от размера удовлетворенного иска о возмещении материальных требований должен быть определен размер компенсации морального вреда с учетом справедливости и разумности. Степень нравственных или физических страданий должна быть оценена судом с учетом фактических, индивидуальных особенностей потерпевшего и других конкретных обстоятельств, свидетельствующих о тяжести перенесенных им страданий.</w:t>
      </w:r>
    </w:p>
    <w:p w:rsidR="00181BA7" w:rsidRPr="00DA76A7" w:rsidRDefault="00181BA7" w:rsidP="00181BA7">
      <w:pPr>
        <w:shd w:val="clear" w:color="auto" w:fill="FFFFFF"/>
        <w:ind w:firstLine="567"/>
        <w:jc w:val="both"/>
        <w:textAlignment w:val="baseline"/>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Е.Н. Холопова считает, что судебная практика вынуждена вырабатывать негласную квалификацию по определению размера вреда, которая в силу отсутствия разработанности  неясна. В литературе отмечается, что судьи негласно договариваются о приемлемом размере компенсации морального вреда по конкретным делам [</w:t>
      </w:r>
      <w:fldSimple w:instr=" REF _Ref505178275 \r \h  \* MERGEFORMAT ">
        <w:r w:rsidR="001D3EF8" w:rsidRPr="001D3EF8">
          <w:rPr>
            <w:rFonts w:ascii="Arial" w:hAnsi="Arial" w:cs="Arial"/>
            <w:color w:val="000000" w:themeColor="text1"/>
            <w:sz w:val="22"/>
            <w:szCs w:val="22"/>
            <w:shd w:val="clear" w:color="auto" w:fill="FFFFFF"/>
          </w:rPr>
          <w:t>10</w:t>
        </w:r>
      </w:fldSimple>
      <w:r w:rsidRPr="00DA76A7">
        <w:rPr>
          <w:rFonts w:ascii="Arial" w:hAnsi="Arial" w:cs="Arial"/>
          <w:color w:val="000000" w:themeColor="text1"/>
          <w:sz w:val="22"/>
          <w:szCs w:val="22"/>
          <w:shd w:val="clear" w:color="auto" w:fill="FFFFFF"/>
        </w:rPr>
        <w:t>, 112 с.].</w:t>
      </w:r>
    </w:p>
    <w:p w:rsidR="00181BA7" w:rsidRPr="00DA76A7" w:rsidRDefault="00181BA7" w:rsidP="00181BA7">
      <w:pPr>
        <w:pStyle w:val="a7"/>
        <w:spacing w:before="0" w:beforeAutospacing="0" w:after="0" w:afterAutospacing="0"/>
        <w:ind w:firstLine="567"/>
        <w:jc w:val="both"/>
        <w:rPr>
          <w:rFonts w:ascii="Arial" w:eastAsiaTheme="minorHAnsi" w:hAnsi="Arial" w:cs="Arial"/>
          <w:color w:val="000000" w:themeColor="text1"/>
          <w:sz w:val="22"/>
          <w:szCs w:val="22"/>
          <w:shd w:val="clear" w:color="auto" w:fill="FFFFFF"/>
          <w:lang w:eastAsia="en-US"/>
        </w:rPr>
      </w:pPr>
      <w:r w:rsidRPr="00DA76A7">
        <w:rPr>
          <w:rFonts w:ascii="Arial" w:eastAsiaTheme="minorHAnsi" w:hAnsi="Arial" w:cs="Arial"/>
          <w:color w:val="000000" w:themeColor="text1"/>
          <w:sz w:val="22"/>
          <w:szCs w:val="22"/>
          <w:shd w:val="clear" w:color="auto" w:fill="FFFFFF"/>
          <w:lang w:eastAsia="en-US"/>
        </w:rPr>
        <w:t>Некоторые ученые предлагают различные варианты определения размера компенсации морального вреда. Например, М.М. Громзин считает, что необходимо создать таблицы с помощью обоснованных математических моделей законодательного утверждения, которые получены в процессе исследования результатов, которые целесообразно представить в форме инструкции по определению сумм компенсаций морального вреда всех видов [</w:t>
      </w:r>
      <w:fldSimple w:instr=" REF _Ref505178310 \r \h  \* MERGEFORMAT ">
        <w:r w:rsidR="001D3EF8">
          <w:rPr>
            <w:color w:val="000000" w:themeColor="text1"/>
          </w:rPr>
          <w:t>5</w:t>
        </w:r>
      </w:fldSimple>
      <w:r w:rsidRPr="00DA76A7">
        <w:rPr>
          <w:rFonts w:ascii="Arial" w:eastAsiaTheme="minorHAnsi" w:hAnsi="Arial" w:cs="Arial"/>
          <w:color w:val="000000" w:themeColor="text1"/>
          <w:sz w:val="22"/>
          <w:szCs w:val="22"/>
          <w:shd w:val="clear" w:color="auto" w:fill="FFFFFF"/>
          <w:lang w:eastAsia="en-US"/>
        </w:rPr>
        <w:t>, с. 55-58].</w:t>
      </w:r>
    </w:p>
    <w:p w:rsidR="00181BA7" w:rsidRPr="00DA76A7" w:rsidRDefault="00181BA7" w:rsidP="00181BA7">
      <w:pPr>
        <w:pStyle w:val="a7"/>
        <w:spacing w:before="0" w:beforeAutospacing="0" w:after="0" w:afterAutospacing="0"/>
        <w:ind w:firstLine="567"/>
        <w:jc w:val="both"/>
        <w:rPr>
          <w:rFonts w:ascii="Arial" w:eastAsiaTheme="minorHAnsi" w:hAnsi="Arial" w:cs="Arial"/>
          <w:color w:val="000000" w:themeColor="text1"/>
          <w:sz w:val="22"/>
          <w:szCs w:val="22"/>
          <w:shd w:val="clear" w:color="auto" w:fill="FFFFFF"/>
          <w:lang w:eastAsia="en-US"/>
        </w:rPr>
      </w:pPr>
      <w:r w:rsidRPr="00DA76A7">
        <w:rPr>
          <w:rFonts w:ascii="Arial" w:eastAsiaTheme="minorHAnsi" w:hAnsi="Arial" w:cs="Arial"/>
          <w:color w:val="000000" w:themeColor="text1"/>
          <w:sz w:val="22"/>
          <w:szCs w:val="22"/>
          <w:shd w:val="clear" w:color="auto" w:fill="FFFFFF"/>
          <w:lang w:eastAsia="en-US"/>
        </w:rPr>
        <w:t>В настоящее время наиболее известной и научно обоснованной методикой представляется методика А.М. Эрделевского. Он пишет: «Что такое виды физических и нравственных страданий? Под видами физических страданий можно понимать боль, удушье, тошноту, головокружение, зуд, другие болезненные симптомы (ощущения), под видами нравственных страданий - страх, горе, стыд, беспокойство, унижение и другие негативные эмоции. Характер физических и нравственных страданий в таком понимании можно было бы учитывать и оценивать, если бы законодатель оказался в состоянии установить некую количественную соотносительность между перечисленными разновидностями таких страданий. Однако не представляется возможным и целесообразным ни теоретически, ни практически ввести какое-либо объективное соотношение между, например, тошнотой и удушьем, зудом и головокружением... стыдом и унижением... «учитывать» характер физических страданий можно, лишь принимая во внимание те нравственные страдания, которые могут оказаться с ним сопряжены... Поэтому для определения размера компенсации следует... учитывать не вид (характер) нравственных или физических страданий, а характер и значимость тех нематериальных благ, которым причинен вред, поскольку именно их характер и значимость для человека и определяют величину причиненного морального вреда» [</w:t>
      </w:r>
      <w:fldSimple w:instr=" REF _Ref505178347 \r \h  \* MERGEFORMAT ">
        <w:r w:rsidR="001D3EF8" w:rsidRPr="001D3EF8">
          <w:rPr>
            <w:rFonts w:ascii="Arial" w:eastAsiaTheme="minorHAnsi" w:hAnsi="Arial" w:cs="Arial"/>
            <w:color w:val="000000" w:themeColor="text1"/>
            <w:sz w:val="22"/>
            <w:szCs w:val="22"/>
            <w:shd w:val="clear" w:color="auto" w:fill="FFFFFF"/>
            <w:lang w:eastAsia="en-US"/>
          </w:rPr>
          <w:t>11</w:t>
        </w:r>
      </w:fldSimple>
      <w:r w:rsidRPr="00DA76A7">
        <w:rPr>
          <w:rFonts w:ascii="Arial" w:eastAsiaTheme="minorHAnsi" w:hAnsi="Arial" w:cs="Arial"/>
          <w:color w:val="000000" w:themeColor="text1"/>
          <w:sz w:val="22"/>
          <w:szCs w:val="22"/>
          <w:shd w:val="clear" w:color="auto" w:fill="FFFFFF"/>
          <w:lang w:eastAsia="en-US"/>
        </w:rPr>
        <w:t>, 304]. Для решения существующей проблемы А.М. Эрделевский предложил использовать зарубежную концепцию «среднего» человека, по которой средний человек в сравниваемых ситуациях должен испытывать определенные страдания. Автор выработал специальную таблицу, где сумма компенсации за моральный вред взаимосвязана с системой штрафных санкций, предусмотренных за правонарушения, в результате совершения которых может возникнуть моральный вред, а также формулу исчисления морального вреда.</w:t>
      </w:r>
      <w:r w:rsidRPr="00DA76A7">
        <w:rPr>
          <w:rFonts w:ascii="Arial" w:hAnsi="Arial" w:cs="Arial"/>
          <w:color w:val="000000" w:themeColor="text1"/>
          <w:sz w:val="22"/>
          <w:szCs w:val="22"/>
          <w:shd w:val="clear" w:color="auto" w:fill="FFFFFF"/>
        </w:rPr>
        <w:t> Для определения степени физических и нравственных страданий лицу, которому причинен моральный вред, необходимо пройти судебно-психологическую экспертизу. А рассмотрение этого вопроса судом на его «усмотрение» с учетом  понятий «разумности» и «справедливости» определяется уже по субъективному пониманию этих понятий судьей, что значит, и различному толкованию закона и его применению, что не лучшим образом сказывается на единстве правоприменения.</w:t>
      </w:r>
    </w:p>
    <w:p w:rsidR="00181BA7" w:rsidRPr="00DA76A7" w:rsidRDefault="00181BA7" w:rsidP="00181BA7">
      <w:pPr>
        <w:shd w:val="clear" w:color="auto" w:fill="FFFFFF"/>
        <w:ind w:firstLine="567"/>
        <w:jc w:val="center"/>
        <w:rPr>
          <w:rFonts w:ascii="Arial" w:hAnsi="Arial" w:cs="Arial"/>
          <w:b/>
          <w:bCs/>
          <w:color w:val="000000" w:themeColor="text1"/>
          <w:sz w:val="22"/>
          <w:szCs w:val="22"/>
          <w:shd w:val="clear" w:color="auto" w:fill="FFFFFF"/>
        </w:rPr>
      </w:pPr>
    </w:p>
    <w:p w:rsidR="00181BA7" w:rsidRPr="00DA76A7" w:rsidRDefault="00181BA7" w:rsidP="00181BA7">
      <w:pPr>
        <w:shd w:val="clear" w:color="auto" w:fill="FFFFFF"/>
        <w:ind w:firstLine="567"/>
        <w:jc w:val="center"/>
        <w:rPr>
          <w:rFonts w:ascii="Arial" w:hAnsi="Arial" w:cs="Arial"/>
          <w:b/>
          <w:bCs/>
          <w:color w:val="000000" w:themeColor="text1"/>
          <w:sz w:val="22"/>
          <w:szCs w:val="22"/>
          <w:shd w:val="clear" w:color="auto" w:fill="FFFFFF"/>
          <w:lang w:val="en-US"/>
        </w:rPr>
      </w:pPr>
      <w:r w:rsidRPr="00DA76A7">
        <w:rPr>
          <w:rFonts w:ascii="Arial" w:hAnsi="Arial" w:cs="Arial"/>
          <w:b/>
          <w:bCs/>
          <w:color w:val="000000" w:themeColor="text1"/>
          <w:sz w:val="22"/>
          <w:szCs w:val="22"/>
          <w:shd w:val="clear" w:color="auto" w:fill="FFFFFF"/>
        </w:rPr>
        <w:t>Список литературы:</w:t>
      </w:r>
    </w:p>
    <w:p w:rsidR="00181BA7" w:rsidRPr="00DA76A7" w:rsidRDefault="00666D87" w:rsidP="00D45D6B">
      <w:pPr>
        <w:pStyle w:val="a6"/>
        <w:numPr>
          <w:ilvl w:val="0"/>
          <w:numId w:val="51"/>
        </w:numPr>
        <w:tabs>
          <w:tab w:val="left" w:pos="851"/>
        </w:tabs>
        <w:spacing w:after="0" w:line="240" w:lineRule="auto"/>
        <w:ind w:left="0" w:firstLine="567"/>
        <w:jc w:val="both"/>
        <w:rPr>
          <w:rFonts w:ascii="Arial" w:hAnsi="Arial" w:cs="Arial"/>
          <w:color w:val="000000" w:themeColor="text1"/>
        </w:rPr>
      </w:pPr>
      <w:hyperlink r:id="rId264" w:history="1">
        <w:bookmarkStart w:id="51" w:name="_Ref505176701"/>
        <w:r w:rsidR="00181BA7" w:rsidRPr="00DA76A7">
          <w:rPr>
            <w:rStyle w:val="af0"/>
            <w:rFonts w:ascii="Arial" w:hAnsi="Arial" w:cs="Arial"/>
            <w:bCs/>
            <w:color w:val="000000" w:themeColor="text1"/>
            <w:u w:val="none"/>
          </w:rPr>
          <w:t>Гражданский кодекс Российской Федерации: ч.1 от 30.11.1994 N 51-ФЗ (ред. от 29.12.2017)</w:t>
        </w:r>
        <w:bookmarkEnd w:id="51"/>
      </w:hyperlink>
    </w:p>
    <w:p w:rsidR="00181BA7" w:rsidRPr="00DA76A7" w:rsidRDefault="00666D87" w:rsidP="00D45D6B">
      <w:pPr>
        <w:pStyle w:val="a6"/>
        <w:numPr>
          <w:ilvl w:val="0"/>
          <w:numId w:val="51"/>
        </w:numPr>
        <w:shd w:val="clear" w:color="auto" w:fill="FFFFFF"/>
        <w:tabs>
          <w:tab w:val="left" w:pos="709"/>
          <w:tab w:val="left" w:pos="851"/>
        </w:tabs>
        <w:spacing w:after="0" w:line="240" w:lineRule="auto"/>
        <w:ind w:left="0" w:firstLine="567"/>
        <w:jc w:val="both"/>
        <w:rPr>
          <w:rFonts w:ascii="Arial" w:hAnsi="Arial" w:cs="Arial"/>
          <w:color w:val="000000" w:themeColor="text1"/>
          <w:shd w:val="clear" w:color="auto" w:fill="FFFFFF"/>
        </w:rPr>
      </w:pPr>
      <w:hyperlink r:id="rId265" w:history="1">
        <w:bookmarkStart w:id="52" w:name="_Ref505176781"/>
        <w:r w:rsidR="00181BA7" w:rsidRPr="00DA76A7">
          <w:rPr>
            <w:rStyle w:val="af0"/>
            <w:rFonts w:ascii="Arial" w:hAnsi="Arial" w:cs="Arial"/>
            <w:bCs/>
            <w:color w:val="000000" w:themeColor="text1"/>
            <w:u w:val="none"/>
          </w:rPr>
          <w:t>Гражданский кодекс Российской Федерации: ч. 2 от 26.01.1996 N 14-ФЗ (ред. от 05.12.2017)</w:t>
        </w:r>
        <w:bookmarkEnd w:id="52"/>
      </w:hyperlink>
    </w:p>
    <w:p w:rsidR="00181BA7" w:rsidRPr="00DA76A7" w:rsidRDefault="00181BA7" w:rsidP="00D45D6B">
      <w:pPr>
        <w:pStyle w:val="a6"/>
        <w:numPr>
          <w:ilvl w:val="0"/>
          <w:numId w:val="51"/>
        </w:numPr>
        <w:shd w:val="clear" w:color="auto" w:fill="FFFFFF"/>
        <w:tabs>
          <w:tab w:val="left" w:pos="709"/>
          <w:tab w:val="left" w:pos="851"/>
        </w:tabs>
        <w:spacing w:after="0" w:line="240" w:lineRule="auto"/>
        <w:ind w:left="0" w:firstLine="567"/>
        <w:jc w:val="both"/>
        <w:rPr>
          <w:rStyle w:val="apple-converted-space"/>
          <w:rFonts w:ascii="Arial" w:hAnsi="Arial" w:cs="Arial"/>
          <w:color w:val="000000" w:themeColor="text1"/>
          <w:shd w:val="clear" w:color="auto" w:fill="FFFFFF"/>
        </w:rPr>
      </w:pPr>
      <w:bookmarkStart w:id="53" w:name="_Ref505176879"/>
      <w:r w:rsidRPr="00DA76A7">
        <w:rPr>
          <w:rFonts w:ascii="Arial" w:hAnsi="Arial" w:cs="Arial"/>
          <w:color w:val="000000" w:themeColor="text1"/>
        </w:rPr>
        <w:t>Постановление Пленума Верховного Суда РФ от 20 декабря 1994 года // Бюллетень Верховного Суда РФ. — 1995. — № 3.</w:t>
      </w:r>
      <w:bookmarkEnd w:id="53"/>
      <w:r w:rsidRPr="00DA76A7">
        <w:rPr>
          <w:rStyle w:val="apple-converted-space"/>
          <w:rFonts w:ascii="Arial" w:hAnsi="Arial" w:cs="Arial"/>
          <w:color w:val="000000" w:themeColor="text1"/>
        </w:rPr>
        <w:t> - С. 9-11.</w:t>
      </w:r>
    </w:p>
    <w:p w:rsidR="00181BA7" w:rsidRPr="00DA76A7" w:rsidRDefault="00181BA7" w:rsidP="00D45D6B">
      <w:pPr>
        <w:pStyle w:val="a6"/>
        <w:numPr>
          <w:ilvl w:val="0"/>
          <w:numId w:val="51"/>
        </w:numPr>
        <w:shd w:val="clear" w:color="auto" w:fill="FFFFFF"/>
        <w:tabs>
          <w:tab w:val="left" w:pos="709"/>
          <w:tab w:val="left" w:pos="851"/>
        </w:tabs>
        <w:spacing w:after="0" w:line="240" w:lineRule="auto"/>
        <w:ind w:left="0" w:firstLine="567"/>
        <w:jc w:val="both"/>
        <w:rPr>
          <w:rFonts w:ascii="Arial" w:eastAsiaTheme="minorHAnsi" w:hAnsi="Arial" w:cs="Arial"/>
          <w:color w:val="000000" w:themeColor="text1"/>
          <w:shd w:val="clear" w:color="auto" w:fill="FFFFFF"/>
          <w:lang w:eastAsia="en-US"/>
        </w:rPr>
      </w:pPr>
      <w:bookmarkStart w:id="54" w:name="_Ref505178221"/>
      <w:r w:rsidRPr="00DA76A7">
        <w:rPr>
          <w:rFonts w:ascii="Arial" w:hAnsi="Arial" w:cs="Arial"/>
          <w:color w:val="000000" w:themeColor="text1"/>
          <w:shd w:val="clear" w:color="auto" w:fill="FFFFFF"/>
        </w:rPr>
        <w:t xml:space="preserve">Обзор судебной практики Верховного Суда Российской Федерации N 1 (2017)» (утв. Президиумом Верховного Суда РФ 16.02.2017) (ред. от 26.04.2017). </w:t>
      </w:r>
      <w:bookmarkEnd w:id="54"/>
    </w:p>
    <w:p w:rsidR="00181BA7" w:rsidRPr="00DA76A7" w:rsidRDefault="00181BA7" w:rsidP="00D45D6B">
      <w:pPr>
        <w:pStyle w:val="a7"/>
        <w:numPr>
          <w:ilvl w:val="0"/>
          <w:numId w:val="51"/>
        </w:numPr>
        <w:tabs>
          <w:tab w:val="left" w:pos="851"/>
        </w:tabs>
        <w:spacing w:before="0" w:beforeAutospacing="0" w:after="0" w:afterAutospacing="0"/>
        <w:ind w:left="0" w:firstLine="567"/>
        <w:jc w:val="both"/>
        <w:rPr>
          <w:rFonts w:ascii="Arial" w:eastAsiaTheme="minorHAnsi" w:hAnsi="Arial" w:cs="Arial"/>
          <w:color w:val="000000" w:themeColor="text1"/>
          <w:sz w:val="22"/>
          <w:szCs w:val="22"/>
          <w:shd w:val="clear" w:color="auto" w:fill="FFFFFF"/>
          <w:lang w:eastAsia="en-US"/>
        </w:rPr>
      </w:pPr>
      <w:bookmarkStart w:id="55" w:name="_Ref505178310"/>
      <w:r w:rsidRPr="00DA76A7">
        <w:rPr>
          <w:rFonts w:ascii="Arial" w:eastAsiaTheme="minorHAnsi" w:hAnsi="Arial" w:cs="Arial"/>
          <w:color w:val="000000" w:themeColor="text1"/>
          <w:sz w:val="22"/>
          <w:szCs w:val="22"/>
          <w:shd w:val="clear" w:color="auto" w:fill="FFFFFF"/>
          <w:lang w:eastAsia="en-US"/>
        </w:rPr>
        <w:t>Громзин М.М. Новый вид морального вреда и метод определения размера его компенсации в денежной форме // Закон и право. - 2002. - N 5. - С. 55-58.</w:t>
      </w:r>
      <w:bookmarkEnd w:id="55"/>
    </w:p>
    <w:p w:rsidR="00181BA7" w:rsidRPr="00DA76A7" w:rsidRDefault="00181BA7" w:rsidP="00D45D6B">
      <w:pPr>
        <w:pStyle w:val="a6"/>
        <w:numPr>
          <w:ilvl w:val="0"/>
          <w:numId w:val="51"/>
        </w:numPr>
        <w:shd w:val="clear" w:color="auto" w:fill="FFFFFF"/>
        <w:tabs>
          <w:tab w:val="left" w:pos="851"/>
        </w:tabs>
        <w:spacing w:after="0" w:line="240" w:lineRule="auto"/>
        <w:ind w:left="0" w:firstLine="567"/>
        <w:jc w:val="both"/>
        <w:rPr>
          <w:rFonts w:ascii="Arial" w:hAnsi="Arial" w:cs="Arial"/>
          <w:color w:val="000000" w:themeColor="text1"/>
          <w:shd w:val="clear" w:color="auto" w:fill="FFFFFF"/>
        </w:rPr>
      </w:pPr>
      <w:bookmarkStart w:id="56" w:name="_Ref505177384"/>
      <w:r w:rsidRPr="00DA76A7">
        <w:rPr>
          <w:rFonts w:ascii="Arial" w:hAnsi="Arial" w:cs="Arial"/>
          <w:color w:val="000000" w:themeColor="text1"/>
          <w:shd w:val="clear" w:color="auto" w:fill="FFFFFF"/>
        </w:rPr>
        <w:t>Малеин Н.С. Гражданский закон и права личности в СССР. - М., 1981. - 216 с.</w:t>
      </w:r>
      <w:bookmarkEnd w:id="56"/>
    </w:p>
    <w:p w:rsidR="00181BA7" w:rsidRPr="00DA76A7" w:rsidRDefault="00181BA7" w:rsidP="00D45D6B">
      <w:pPr>
        <w:pStyle w:val="a6"/>
        <w:numPr>
          <w:ilvl w:val="0"/>
          <w:numId w:val="51"/>
        </w:numPr>
        <w:tabs>
          <w:tab w:val="left" w:pos="851"/>
        </w:tabs>
        <w:spacing w:after="0" w:line="240" w:lineRule="auto"/>
        <w:ind w:left="0" w:firstLine="567"/>
        <w:jc w:val="both"/>
        <w:textAlignment w:val="baseline"/>
        <w:rPr>
          <w:rFonts w:ascii="Arial" w:hAnsi="Arial" w:cs="Arial"/>
          <w:color w:val="000000" w:themeColor="text1"/>
        </w:rPr>
      </w:pPr>
      <w:bookmarkStart w:id="57" w:name="_Ref505177314"/>
      <w:r w:rsidRPr="00DA76A7">
        <w:rPr>
          <w:rFonts w:ascii="Arial" w:hAnsi="Arial" w:cs="Arial"/>
          <w:color w:val="000000" w:themeColor="text1"/>
          <w:shd w:val="clear" w:color="auto" w:fill="FFFFFF"/>
        </w:rPr>
        <w:t>Михно Е.А. Компенсация морального вреда во внедоговорных обязательствах: Автореф. Дис. ... канд. юрид. наук. - СПб., 1998. - 162 с.</w:t>
      </w:r>
      <w:bookmarkEnd w:id="57"/>
    </w:p>
    <w:p w:rsidR="00181BA7" w:rsidRPr="00DA76A7" w:rsidRDefault="00181BA7" w:rsidP="00D45D6B">
      <w:pPr>
        <w:pStyle w:val="af2"/>
        <w:numPr>
          <w:ilvl w:val="0"/>
          <w:numId w:val="51"/>
        </w:numPr>
        <w:tabs>
          <w:tab w:val="left" w:pos="851"/>
        </w:tabs>
        <w:ind w:left="0" w:firstLine="567"/>
        <w:jc w:val="both"/>
        <w:rPr>
          <w:rFonts w:ascii="Arial" w:hAnsi="Arial" w:cs="Arial"/>
          <w:color w:val="000000" w:themeColor="text1"/>
          <w:sz w:val="22"/>
          <w:szCs w:val="22"/>
        </w:rPr>
      </w:pPr>
      <w:bookmarkStart w:id="58" w:name="_Ref505178042"/>
      <w:r w:rsidRPr="00DA76A7">
        <w:rPr>
          <w:rFonts w:ascii="Arial" w:hAnsi="Arial" w:cs="Arial"/>
          <w:color w:val="000000" w:themeColor="text1"/>
          <w:sz w:val="22"/>
          <w:szCs w:val="22"/>
        </w:rPr>
        <w:t>Ожегов С.И. Словарь русского языка.-  М., 1989. - 921 с.</w:t>
      </w:r>
      <w:bookmarkEnd w:id="58"/>
    </w:p>
    <w:p w:rsidR="00181BA7" w:rsidRPr="00DA76A7" w:rsidRDefault="00181BA7" w:rsidP="00D45D6B">
      <w:pPr>
        <w:pStyle w:val="a6"/>
        <w:numPr>
          <w:ilvl w:val="0"/>
          <w:numId w:val="51"/>
        </w:numPr>
        <w:shd w:val="clear" w:color="auto" w:fill="FFFFFF"/>
        <w:tabs>
          <w:tab w:val="left" w:pos="851"/>
        </w:tabs>
        <w:spacing w:after="0" w:line="240" w:lineRule="auto"/>
        <w:ind w:left="0" w:firstLine="567"/>
        <w:jc w:val="both"/>
        <w:rPr>
          <w:rFonts w:ascii="Arial" w:hAnsi="Arial" w:cs="Arial"/>
          <w:color w:val="000000" w:themeColor="text1"/>
          <w:shd w:val="clear" w:color="auto" w:fill="FFFFFF"/>
        </w:rPr>
      </w:pPr>
      <w:bookmarkStart w:id="59" w:name="_Ref505177466"/>
      <w:r w:rsidRPr="00DA76A7">
        <w:rPr>
          <w:rFonts w:ascii="Arial" w:hAnsi="Arial" w:cs="Arial"/>
          <w:color w:val="000000" w:themeColor="text1"/>
          <w:shd w:val="clear" w:color="auto" w:fill="FFFFFF"/>
        </w:rPr>
        <w:t>Тимешов Р.П. Понятие морального вреда в гражданском праве России // Российская юстиция.  -2008. - № 6. - С</w:t>
      </w:r>
      <w:r w:rsidRPr="00DA76A7">
        <w:rPr>
          <w:rFonts w:ascii="Arial" w:hAnsi="Arial" w:cs="Arial"/>
          <w:color w:val="000000" w:themeColor="text1"/>
        </w:rPr>
        <w:t>. 19-21.</w:t>
      </w:r>
      <w:bookmarkEnd w:id="59"/>
    </w:p>
    <w:p w:rsidR="00181BA7" w:rsidRPr="00DA76A7" w:rsidRDefault="00181BA7" w:rsidP="00D45D6B">
      <w:pPr>
        <w:pStyle w:val="a7"/>
        <w:numPr>
          <w:ilvl w:val="0"/>
          <w:numId w:val="51"/>
        </w:numPr>
        <w:tabs>
          <w:tab w:val="left" w:pos="993"/>
        </w:tabs>
        <w:spacing w:before="0" w:beforeAutospacing="0" w:after="0" w:afterAutospacing="0"/>
        <w:ind w:left="0" w:firstLine="567"/>
        <w:jc w:val="both"/>
        <w:rPr>
          <w:rFonts w:ascii="Arial" w:eastAsiaTheme="minorHAnsi" w:hAnsi="Arial" w:cs="Arial"/>
          <w:color w:val="000000" w:themeColor="text1"/>
          <w:sz w:val="22"/>
          <w:szCs w:val="22"/>
          <w:shd w:val="clear" w:color="auto" w:fill="FFFFFF"/>
          <w:lang w:eastAsia="en-US"/>
        </w:rPr>
      </w:pPr>
      <w:bookmarkStart w:id="60" w:name="_Ref505178275"/>
      <w:r w:rsidRPr="00DA76A7">
        <w:rPr>
          <w:rFonts w:ascii="Arial" w:eastAsiaTheme="minorHAnsi" w:hAnsi="Arial" w:cs="Arial"/>
          <w:color w:val="000000" w:themeColor="text1"/>
          <w:sz w:val="22"/>
          <w:szCs w:val="22"/>
          <w:shd w:val="clear" w:color="auto" w:fill="FFFFFF"/>
          <w:lang w:eastAsia="en-US"/>
        </w:rPr>
        <w:t>Холопова Е.Н. Правовые основы судебно-психологической экспертизы по факту морального вреда в уголовном судопроизводстве: монография. - Калининград, 2003. -112 с.</w:t>
      </w:r>
      <w:bookmarkEnd w:id="60"/>
    </w:p>
    <w:p w:rsidR="00181BA7" w:rsidRPr="00DA76A7" w:rsidRDefault="00181BA7" w:rsidP="00D45D6B">
      <w:pPr>
        <w:pStyle w:val="a7"/>
        <w:numPr>
          <w:ilvl w:val="0"/>
          <w:numId w:val="51"/>
        </w:numPr>
        <w:tabs>
          <w:tab w:val="left" w:pos="993"/>
        </w:tabs>
        <w:spacing w:before="0" w:beforeAutospacing="0" w:after="0" w:afterAutospacing="0"/>
        <w:ind w:left="0" w:firstLine="567"/>
        <w:jc w:val="both"/>
        <w:rPr>
          <w:rFonts w:ascii="Arial" w:eastAsiaTheme="minorHAnsi" w:hAnsi="Arial" w:cs="Arial"/>
          <w:color w:val="000000" w:themeColor="text1"/>
          <w:sz w:val="22"/>
          <w:szCs w:val="22"/>
          <w:shd w:val="clear" w:color="auto" w:fill="FFFFFF"/>
          <w:lang w:eastAsia="en-US"/>
        </w:rPr>
      </w:pPr>
      <w:bookmarkStart w:id="61" w:name="_Ref505178347"/>
      <w:r w:rsidRPr="00DA76A7">
        <w:rPr>
          <w:rFonts w:ascii="Arial" w:eastAsiaTheme="minorHAnsi" w:hAnsi="Arial" w:cs="Arial"/>
          <w:color w:val="000000" w:themeColor="text1"/>
          <w:sz w:val="22"/>
          <w:szCs w:val="22"/>
          <w:shd w:val="clear" w:color="auto" w:fill="FFFFFF"/>
          <w:lang w:eastAsia="en-US"/>
        </w:rPr>
        <w:t>Эрделевский А.М. Компенсация морального вреда: анализ и комментарий законодательства и судебной практики. – М.: Волтерс Клувер, 2004. - 304 с.</w:t>
      </w:r>
      <w:bookmarkEnd w:id="61"/>
    </w:p>
    <w:p w:rsidR="00181BA7" w:rsidRPr="00DA76A7" w:rsidRDefault="00181BA7" w:rsidP="00D45D6B">
      <w:pPr>
        <w:pStyle w:val="a6"/>
        <w:numPr>
          <w:ilvl w:val="0"/>
          <w:numId w:val="51"/>
        </w:numPr>
        <w:shd w:val="clear" w:color="auto" w:fill="FFFFFF"/>
        <w:tabs>
          <w:tab w:val="left" w:pos="993"/>
        </w:tabs>
        <w:spacing w:after="0" w:line="240" w:lineRule="auto"/>
        <w:ind w:left="0" w:firstLine="567"/>
        <w:jc w:val="both"/>
        <w:rPr>
          <w:rFonts w:ascii="Arial" w:hAnsi="Arial" w:cs="Arial"/>
          <w:color w:val="000000" w:themeColor="text1"/>
          <w:shd w:val="clear" w:color="auto" w:fill="FFFFFF"/>
        </w:rPr>
      </w:pPr>
      <w:bookmarkStart w:id="62" w:name="_Ref505177896"/>
      <w:r w:rsidRPr="00DA76A7">
        <w:rPr>
          <w:rFonts w:ascii="Arial" w:hAnsi="Arial" w:cs="Arial"/>
          <w:color w:val="000000" w:themeColor="text1"/>
        </w:rPr>
        <w:t>Эрделевский А.М. Моральный вред и компенсация за страдания. - М., 1997. - 188 с.</w:t>
      </w:r>
      <w:bookmarkEnd w:id="62"/>
    </w:p>
    <w:p w:rsidR="00181BA7" w:rsidRPr="00DA76A7" w:rsidRDefault="00181BA7" w:rsidP="00D45D6B">
      <w:pPr>
        <w:pStyle w:val="a6"/>
        <w:numPr>
          <w:ilvl w:val="0"/>
          <w:numId w:val="51"/>
        </w:numPr>
        <w:shd w:val="clear" w:color="auto" w:fill="FFFFFF"/>
        <w:tabs>
          <w:tab w:val="left" w:pos="993"/>
        </w:tabs>
        <w:spacing w:after="0" w:line="240" w:lineRule="auto"/>
        <w:ind w:left="0" w:firstLine="567"/>
        <w:jc w:val="both"/>
        <w:rPr>
          <w:rFonts w:ascii="Arial" w:hAnsi="Arial" w:cs="Arial"/>
          <w:color w:val="000000" w:themeColor="text1"/>
          <w:shd w:val="clear" w:color="auto" w:fill="FFFFFF"/>
        </w:rPr>
      </w:pPr>
      <w:bookmarkStart w:id="63" w:name="_Ref505177011"/>
      <w:r w:rsidRPr="00DA76A7">
        <w:rPr>
          <w:rFonts w:ascii="Arial" w:hAnsi="Arial" w:cs="Arial"/>
          <w:color w:val="000000" w:themeColor="text1"/>
        </w:rPr>
        <w:t>Ярошенко К. Б. Обязательства вследствие причинения вреда // Комментарий части второй Гражданского кодекса РФ. — М.: Гардарика, 1996. - 652 с.</w:t>
      </w:r>
      <w:bookmarkEnd w:id="63"/>
    </w:p>
    <w:p w:rsidR="00181BA7" w:rsidRPr="00DA76A7" w:rsidRDefault="00181BA7" w:rsidP="00181BA7">
      <w:pPr>
        <w:tabs>
          <w:tab w:val="left" w:pos="851"/>
        </w:tabs>
        <w:ind w:firstLine="567"/>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7A79EB" w:rsidRPr="00DA76A7" w:rsidRDefault="007A79EB" w:rsidP="007A79EB">
      <w:pPr>
        <w:pStyle w:val="a4"/>
        <w:ind w:hanging="426"/>
        <w:jc w:val="both"/>
        <w:rPr>
          <w:rFonts w:ascii="Arial" w:hAnsi="Arial" w:cs="Arial"/>
          <w:color w:val="000000" w:themeColor="text1"/>
          <w:sz w:val="22"/>
          <w:szCs w:val="22"/>
        </w:rPr>
      </w:pPr>
    </w:p>
    <w:p w:rsidR="00E9771B" w:rsidRPr="00DA76A7" w:rsidRDefault="00E9771B" w:rsidP="007A79EB">
      <w:pPr>
        <w:pStyle w:val="a4"/>
        <w:ind w:hanging="426"/>
        <w:jc w:val="both"/>
        <w:rPr>
          <w:rFonts w:ascii="Arial" w:hAnsi="Arial" w:cs="Arial"/>
          <w:color w:val="000000" w:themeColor="text1"/>
          <w:sz w:val="22"/>
          <w:szCs w:val="22"/>
        </w:rPr>
      </w:pPr>
    </w:p>
    <w:p w:rsidR="00E9771B" w:rsidRPr="00DA76A7" w:rsidRDefault="00E9771B" w:rsidP="007A79EB">
      <w:pPr>
        <w:pStyle w:val="a4"/>
        <w:ind w:hanging="426"/>
        <w:jc w:val="both"/>
        <w:rPr>
          <w:rFonts w:ascii="Arial" w:hAnsi="Arial" w:cs="Arial"/>
          <w:color w:val="000000" w:themeColor="text1"/>
          <w:sz w:val="22"/>
          <w:szCs w:val="22"/>
        </w:rPr>
      </w:pPr>
    </w:p>
    <w:p w:rsidR="003F6435" w:rsidRDefault="003F6435" w:rsidP="00E9771B">
      <w:pPr>
        <w:pStyle w:val="a4"/>
        <w:jc w:val="center"/>
        <w:rPr>
          <w:rFonts w:ascii="Arial" w:hAnsi="Arial" w:cs="Arial"/>
          <w:b/>
          <w:color w:val="000000" w:themeColor="text1"/>
          <w:sz w:val="68"/>
          <w:szCs w:val="68"/>
        </w:rPr>
      </w:pPr>
    </w:p>
    <w:p w:rsidR="00C84297" w:rsidRPr="00DA76A7" w:rsidRDefault="00C84297" w:rsidP="00E9771B">
      <w:pPr>
        <w:pStyle w:val="a4"/>
        <w:jc w:val="center"/>
        <w:rPr>
          <w:rFonts w:ascii="Arial" w:hAnsi="Arial" w:cs="Arial"/>
          <w:b/>
          <w:color w:val="000000" w:themeColor="text1"/>
          <w:sz w:val="68"/>
          <w:szCs w:val="68"/>
        </w:rPr>
      </w:pPr>
    </w:p>
    <w:p w:rsidR="003F6435" w:rsidRPr="00DA76A7" w:rsidRDefault="003F6435" w:rsidP="00E9771B">
      <w:pPr>
        <w:pStyle w:val="a4"/>
        <w:jc w:val="center"/>
        <w:rPr>
          <w:rFonts w:ascii="Arial" w:hAnsi="Arial" w:cs="Arial"/>
          <w:b/>
          <w:color w:val="000000" w:themeColor="text1"/>
          <w:sz w:val="68"/>
          <w:szCs w:val="68"/>
        </w:rPr>
      </w:pPr>
    </w:p>
    <w:p w:rsidR="003F6435" w:rsidRDefault="003F6435" w:rsidP="00E9771B">
      <w:pPr>
        <w:pStyle w:val="a4"/>
        <w:jc w:val="center"/>
        <w:rPr>
          <w:rFonts w:ascii="Arial" w:hAnsi="Arial" w:cs="Arial"/>
          <w:b/>
          <w:color w:val="000000" w:themeColor="text1"/>
          <w:sz w:val="68"/>
          <w:szCs w:val="68"/>
        </w:rPr>
      </w:pPr>
    </w:p>
    <w:p w:rsidR="00C84297" w:rsidRDefault="00C84297" w:rsidP="00E9771B">
      <w:pPr>
        <w:pStyle w:val="a4"/>
        <w:jc w:val="center"/>
        <w:rPr>
          <w:rFonts w:ascii="Arial" w:hAnsi="Arial" w:cs="Arial"/>
          <w:b/>
          <w:color w:val="000000" w:themeColor="text1"/>
          <w:sz w:val="68"/>
          <w:szCs w:val="68"/>
        </w:rPr>
      </w:pPr>
    </w:p>
    <w:p w:rsidR="005C2070" w:rsidRPr="00DA76A7" w:rsidRDefault="005C2070" w:rsidP="00E9771B">
      <w:pPr>
        <w:pStyle w:val="a4"/>
        <w:jc w:val="center"/>
        <w:rPr>
          <w:rFonts w:ascii="Arial" w:hAnsi="Arial" w:cs="Arial"/>
          <w:b/>
          <w:color w:val="000000" w:themeColor="text1"/>
          <w:sz w:val="68"/>
          <w:szCs w:val="68"/>
        </w:rPr>
      </w:pPr>
    </w:p>
    <w:p w:rsidR="007A79EB" w:rsidRPr="00DA76A7" w:rsidRDefault="007A79EB" w:rsidP="00E9771B">
      <w:pPr>
        <w:pStyle w:val="a4"/>
        <w:jc w:val="center"/>
        <w:rPr>
          <w:rFonts w:ascii="Arial" w:hAnsi="Arial" w:cs="Arial"/>
          <w:b/>
          <w:color w:val="000000" w:themeColor="text1"/>
          <w:sz w:val="68"/>
          <w:szCs w:val="68"/>
        </w:rPr>
      </w:pPr>
      <w:r w:rsidRPr="00DA76A7">
        <w:rPr>
          <w:rFonts w:ascii="Arial" w:hAnsi="Arial" w:cs="Arial"/>
          <w:b/>
          <w:color w:val="000000" w:themeColor="text1"/>
          <w:sz w:val="68"/>
          <w:szCs w:val="68"/>
        </w:rPr>
        <w:t>СЕКЦИЯ АКТУАЛЬНЫЕ ПРОБЛЕМЫ УГОЛОВНОГО ПРАВА И УГОЛОВНОГО ПРОЦЕССА</w:t>
      </w:r>
    </w:p>
    <w:p w:rsidR="007A79EB" w:rsidRPr="00DA76A7" w:rsidRDefault="007A79EB" w:rsidP="00E9771B">
      <w:pPr>
        <w:pStyle w:val="a4"/>
        <w:jc w:val="center"/>
        <w:rPr>
          <w:rFonts w:ascii="Arial" w:hAnsi="Arial" w:cs="Arial"/>
          <w:color w:val="000000" w:themeColor="text1"/>
          <w:sz w:val="68"/>
          <w:szCs w:val="68"/>
        </w:rPr>
      </w:pPr>
    </w:p>
    <w:p w:rsidR="007A79EB" w:rsidRPr="00DA76A7" w:rsidRDefault="007A79EB" w:rsidP="00E9771B">
      <w:pPr>
        <w:pStyle w:val="a4"/>
        <w:jc w:val="center"/>
        <w:rPr>
          <w:rFonts w:ascii="Arial" w:hAnsi="Arial" w:cs="Arial"/>
          <w:color w:val="000000" w:themeColor="text1"/>
          <w:sz w:val="68"/>
          <w:szCs w:val="68"/>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Default="00E9771B" w:rsidP="007A79EB">
      <w:pPr>
        <w:pStyle w:val="a4"/>
        <w:ind w:hanging="426"/>
        <w:jc w:val="center"/>
        <w:rPr>
          <w:rFonts w:ascii="Arial" w:hAnsi="Arial" w:cs="Arial"/>
          <w:b/>
          <w:color w:val="000000" w:themeColor="text1"/>
          <w:sz w:val="22"/>
          <w:szCs w:val="22"/>
        </w:rPr>
      </w:pPr>
    </w:p>
    <w:p w:rsidR="00C84297" w:rsidRDefault="00C84297" w:rsidP="007A79EB">
      <w:pPr>
        <w:pStyle w:val="a4"/>
        <w:ind w:hanging="426"/>
        <w:jc w:val="center"/>
        <w:rPr>
          <w:rFonts w:ascii="Arial" w:hAnsi="Arial" w:cs="Arial"/>
          <w:b/>
          <w:color w:val="000000" w:themeColor="text1"/>
          <w:sz w:val="22"/>
          <w:szCs w:val="22"/>
        </w:rPr>
      </w:pPr>
    </w:p>
    <w:p w:rsidR="00C84297" w:rsidRDefault="00C84297" w:rsidP="007A79EB">
      <w:pPr>
        <w:pStyle w:val="a4"/>
        <w:ind w:hanging="426"/>
        <w:jc w:val="center"/>
        <w:rPr>
          <w:rFonts w:ascii="Arial" w:hAnsi="Arial" w:cs="Arial"/>
          <w:b/>
          <w:color w:val="000000" w:themeColor="text1"/>
          <w:sz w:val="22"/>
          <w:szCs w:val="22"/>
        </w:rPr>
      </w:pPr>
    </w:p>
    <w:p w:rsidR="00C84297" w:rsidRDefault="00C84297" w:rsidP="007A79EB">
      <w:pPr>
        <w:pStyle w:val="a4"/>
        <w:ind w:hanging="426"/>
        <w:jc w:val="center"/>
        <w:rPr>
          <w:rFonts w:ascii="Arial" w:hAnsi="Arial" w:cs="Arial"/>
          <w:b/>
          <w:color w:val="000000" w:themeColor="text1"/>
          <w:sz w:val="22"/>
          <w:szCs w:val="22"/>
        </w:rPr>
      </w:pPr>
    </w:p>
    <w:p w:rsidR="00C84297" w:rsidRDefault="00C84297" w:rsidP="007A79EB">
      <w:pPr>
        <w:pStyle w:val="a4"/>
        <w:ind w:hanging="426"/>
        <w:jc w:val="center"/>
        <w:rPr>
          <w:rFonts w:ascii="Arial" w:hAnsi="Arial" w:cs="Arial"/>
          <w:b/>
          <w:color w:val="000000" w:themeColor="text1"/>
          <w:sz w:val="22"/>
          <w:szCs w:val="22"/>
        </w:rPr>
      </w:pPr>
    </w:p>
    <w:p w:rsidR="00C84297" w:rsidRPr="00DA76A7" w:rsidRDefault="00C84297"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Default="00E9771B" w:rsidP="007A79EB">
      <w:pPr>
        <w:pStyle w:val="a4"/>
        <w:ind w:hanging="426"/>
        <w:jc w:val="center"/>
        <w:rPr>
          <w:rFonts w:ascii="Arial" w:hAnsi="Arial" w:cs="Arial"/>
          <w:b/>
          <w:color w:val="000000" w:themeColor="text1"/>
          <w:sz w:val="22"/>
          <w:szCs w:val="22"/>
        </w:rPr>
      </w:pPr>
    </w:p>
    <w:p w:rsidR="005C2070" w:rsidRDefault="005C2070" w:rsidP="007A79EB">
      <w:pPr>
        <w:pStyle w:val="a4"/>
        <w:ind w:hanging="426"/>
        <w:jc w:val="center"/>
        <w:rPr>
          <w:rFonts w:ascii="Arial" w:hAnsi="Arial" w:cs="Arial"/>
          <w:b/>
          <w:color w:val="000000" w:themeColor="text1"/>
          <w:sz w:val="22"/>
          <w:szCs w:val="22"/>
        </w:rPr>
      </w:pPr>
    </w:p>
    <w:p w:rsidR="005C2070" w:rsidRDefault="005C2070" w:rsidP="007A79EB">
      <w:pPr>
        <w:pStyle w:val="a4"/>
        <w:ind w:hanging="426"/>
        <w:jc w:val="center"/>
        <w:rPr>
          <w:rFonts w:ascii="Arial" w:hAnsi="Arial" w:cs="Arial"/>
          <w:b/>
          <w:color w:val="000000" w:themeColor="text1"/>
          <w:sz w:val="22"/>
          <w:szCs w:val="22"/>
        </w:rPr>
      </w:pPr>
    </w:p>
    <w:p w:rsidR="005C2070" w:rsidRDefault="005C2070" w:rsidP="007A79EB">
      <w:pPr>
        <w:pStyle w:val="a4"/>
        <w:ind w:hanging="426"/>
        <w:jc w:val="center"/>
        <w:rPr>
          <w:rFonts w:ascii="Arial" w:hAnsi="Arial" w:cs="Arial"/>
          <w:b/>
          <w:color w:val="000000" w:themeColor="text1"/>
          <w:sz w:val="22"/>
          <w:szCs w:val="22"/>
        </w:rPr>
      </w:pPr>
    </w:p>
    <w:p w:rsidR="005C2070" w:rsidRPr="00DA76A7" w:rsidRDefault="005C2070"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kk-KZ"/>
        </w:rPr>
      </w:pPr>
      <w:r w:rsidRPr="00DA76A7">
        <w:rPr>
          <w:rFonts w:ascii="Arial" w:hAnsi="Arial" w:cs="Arial"/>
          <w:b/>
          <w:color w:val="000000" w:themeColor="text1"/>
          <w:sz w:val="22"/>
          <w:szCs w:val="22"/>
          <w:lang w:val="kk-KZ"/>
        </w:rPr>
        <w:t>ПОНЯТИЕ И ПРАВОВАЯ ПРИРОДА ГЛАВНОГО СУДЕБНОГО РАЗБИРАТЕЛЬСТВА В СВЕТЕ НОВОГО У</w:t>
      </w:r>
      <w:r w:rsidR="00E45BB4" w:rsidRPr="00DA76A7">
        <w:rPr>
          <w:rFonts w:ascii="Arial" w:hAnsi="Arial" w:cs="Arial"/>
          <w:b/>
          <w:color w:val="000000" w:themeColor="text1"/>
          <w:sz w:val="22"/>
          <w:szCs w:val="22"/>
          <w:lang w:val="kk-KZ"/>
        </w:rPr>
        <w:t>ГОЛОВНО-</w:t>
      </w:r>
      <w:r w:rsidRPr="00DA76A7">
        <w:rPr>
          <w:rFonts w:ascii="Arial" w:hAnsi="Arial" w:cs="Arial"/>
          <w:b/>
          <w:color w:val="000000" w:themeColor="text1"/>
          <w:sz w:val="22"/>
          <w:szCs w:val="22"/>
          <w:lang w:val="kk-KZ"/>
        </w:rPr>
        <w:t>П</w:t>
      </w:r>
      <w:r w:rsidR="00E45BB4" w:rsidRPr="00DA76A7">
        <w:rPr>
          <w:rFonts w:ascii="Arial" w:hAnsi="Arial" w:cs="Arial"/>
          <w:b/>
          <w:color w:val="000000" w:themeColor="text1"/>
          <w:sz w:val="22"/>
          <w:szCs w:val="22"/>
          <w:lang w:val="kk-KZ"/>
        </w:rPr>
        <w:t xml:space="preserve">РОЦЕССУАЛЬНОГО </w:t>
      </w:r>
      <w:r w:rsidRPr="00DA76A7">
        <w:rPr>
          <w:rFonts w:ascii="Arial" w:hAnsi="Arial" w:cs="Arial"/>
          <w:b/>
          <w:color w:val="000000" w:themeColor="text1"/>
          <w:sz w:val="22"/>
          <w:szCs w:val="22"/>
          <w:lang w:val="kk-KZ"/>
        </w:rPr>
        <w:t>К</w:t>
      </w:r>
      <w:r w:rsidR="00E45BB4" w:rsidRPr="00DA76A7">
        <w:rPr>
          <w:rFonts w:ascii="Arial" w:hAnsi="Arial" w:cs="Arial"/>
          <w:b/>
          <w:color w:val="000000" w:themeColor="text1"/>
          <w:sz w:val="22"/>
          <w:szCs w:val="22"/>
          <w:lang w:val="kk-KZ"/>
        </w:rPr>
        <w:t>ОДЕКСА</w:t>
      </w:r>
      <w:r w:rsidRPr="00DA76A7">
        <w:rPr>
          <w:rFonts w:ascii="Arial" w:hAnsi="Arial" w:cs="Arial"/>
          <w:b/>
          <w:color w:val="000000" w:themeColor="text1"/>
          <w:sz w:val="22"/>
          <w:szCs w:val="22"/>
          <w:lang w:val="kk-KZ"/>
        </w:rPr>
        <w:t xml:space="preserve"> Р</w:t>
      </w:r>
      <w:r w:rsidR="00E45BB4" w:rsidRPr="00DA76A7">
        <w:rPr>
          <w:rFonts w:ascii="Arial" w:hAnsi="Arial" w:cs="Arial"/>
          <w:b/>
          <w:color w:val="000000" w:themeColor="text1"/>
          <w:sz w:val="22"/>
          <w:szCs w:val="22"/>
          <w:lang w:val="kk-KZ"/>
        </w:rPr>
        <w:t xml:space="preserve">ЕСПУБЛИКИ </w:t>
      </w:r>
      <w:r w:rsidRPr="00DA76A7">
        <w:rPr>
          <w:rFonts w:ascii="Arial" w:hAnsi="Arial" w:cs="Arial"/>
          <w:b/>
          <w:color w:val="000000" w:themeColor="text1"/>
          <w:sz w:val="22"/>
          <w:szCs w:val="22"/>
          <w:lang w:val="kk-KZ"/>
        </w:rPr>
        <w:t>К</w:t>
      </w:r>
      <w:r w:rsidR="00E45BB4" w:rsidRPr="00DA76A7">
        <w:rPr>
          <w:rFonts w:ascii="Arial" w:hAnsi="Arial" w:cs="Arial"/>
          <w:b/>
          <w:color w:val="000000" w:themeColor="text1"/>
          <w:sz w:val="22"/>
          <w:szCs w:val="22"/>
          <w:lang w:val="kk-KZ"/>
        </w:rPr>
        <w:t>АЗАХСТАН</w:t>
      </w:r>
      <w:r w:rsidRPr="00DA76A7">
        <w:rPr>
          <w:rFonts w:ascii="Arial" w:hAnsi="Arial" w:cs="Arial"/>
          <w:b/>
          <w:color w:val="000000" w:themeColor="text1"/>
          <w:sz w:val="22"/>
          <w:szCs w:val="22"/>
          <w:lang w:val="kk-KZ"/>
        </w:rPr>
        <w:t xml:space="preserve"> </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lang w:val="kk-KZ"/>
        </w:rPr>
        <w:t>Абдыхан Жанибек Талгатович</w:t>
      </w:r>
      <w:r w:rsidRPr="00DA76A7">
        <w:rPr>
          <w:rFonts w:ascii="Arial" w:hAnsi="Arial" w:cs="Arial"/>
          <w:b/>
          <w:color w:val="000000" w:themeColor="text1"/>
          <w:sz w:val="22"/>
          <w:szCs w:val="22"/>
        </w:rPr>
        <w:t xml:space="preserve">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1-го года обучения Высшей школы права «</w:t>
      </w:r>
      <w:r w:rsidRPr="00DA76A7">
        <w:rPr>
          <w:rFonts w:ascii="Arial" w:hAnsi="Arial" w:cs="Arial"/>
          <w:color w:val="000000" w:themeColor="text1"/>
          <w:sz w:val="22"/>
          <w:szCs w:val="22"/>
          <w:lang w:val="kk-KZ"/>
        </w:rPr>
        <w:t>Әділет</w:t>
      </w:r>
      <w:r w:rsidRPr="00DA76A7">
        <w:rPr>
          <w:rFonts w:ascii="Arial" w:hAnsi="Arial" w:cs="Arial"/>
          <w:color w:val="000000" w:themeColor="text1"/>
          <w:sz w:val="22"/>
          <w:szCs w:val="22"/>
        </w:rPr>
        <w:t>»</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Каспийский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А05А6К5, Республика Казахстан, г. Алматы, пр. Сейфуллина, д.521</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de-DE"/>
        </w:rPr>
        <w:t xml:space="preserve"> +7 707 684 54 22, e-mail: </w:t>
      </w:r>
      <w:r w:rsidRPr="00DA76A7">
        <w:rPr>
          <w:rFonts w:ascii="Arial" w:hAnsi="Arial" w:cs="Arial"/>
          <w:color w:val="000000" w:themeColor="text1"/>
          <w:sz w:val="22"/>
          <w:szCs w:val="22"/>
          <w:lang w:val="en-US"/>
        </w:rPr>
        <w:t>jabdehan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CONCEPT AND LEGAL NATURE OF THE MAIN TRIAL IN THE LIGHT OF THE NEW OF THE CODE OF CRIMINAL PROCEDURE OF THE REPUBLIC OF KAZAKHSTAN</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Abdyhan Zhanibek Talgatovich</w:t>
      </w: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first year of study at the Graduate school of law "Adilet"</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Caspian University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05</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6</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5, Republic of Kazakhstan, Almaty, Seifullin str, 521</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w:t>
      </w:r>
      <w:r w:rsidRPr="00DA76A7">
        <w:rPr>
          <w:rFonts w:ascii="Arial" w:hAnsi="Arial" w:cs="Arial"/>
          <w:color w:val="000000" w:themeColor="text1"/>
          <w:sz w:val="22"/>
          <w:szCs w:val="22"/>
          <w:lang w:val="de-DE"/>
        </w:rPr>
        <w:t xml:space="preserve"> +7 707 684 54 22, e-mail: </w:t>
      </w:r>
      <w:r w:rsidRPr="00DA76A7">
        <w:rPr>
          <w:rFonts w:ascii="Arial" w:hAnsi="Arial" w:cs="Arial"/>
          <w:color w:val="000000" w:themeColor="text1"/>
          <w:sz w:val="22"/>
          <w:szCs w:val="22"/>
          <w:lang w:val="en-US"/>
        </w:rPr>
        <w:t>jabdehan@mail.ru</w:t>
      </w:r>
    </w:p>
    <w:p w:rsidR="00592BC2" w:rsidRPr="00DA76A7" w:rsidRDefault="00592BC2" w:rsidP="00592BC2">
      <w:pPr>
        <w:ind w:firstLine="567"/>
        <w:jc w:val="center"/>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ассоц. профессор Тлеухан Р.К.</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lang w:val="kk-KZ"/>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Статья посвящена раскрытию </w:t>
      </w:r>
      <w:r w:rsidRPr="00DA76A7">
        <w:rPr>
          <w:rFonts w:ascii="Arial" w:hAnsi="Arial" w:cs="Arial"/>
          <w:i/>
          <w:color w:val="000000" w:themeColor="text1"/>
          <w:sz w:val="22"/>
          <w:szCs w:val="22"/>
          <w:lang w:val="kk-KZ"/>
        </w:rPr>
        <w:t>понятия и правовой природы главного судебного разбирательства в свете нового Уголовно-процессуального кодекса РК от 4 июля 2015 г.</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i/>
          <w:color w:val="000000" w:themeColor="text1"/>
          <w:sz w:val="22"/>
          <w:szCs w:val="22"/>
        </w:rPr>
        <w:t>Судебное разбирательство разделено на два этапа: 1) назначение главного судебного разбирательства; 2) главное судебное разбирательство. По своему назначению  и содержанию каждый из этих этапов имеет самостоятельное значение и обладает всеми признаками стадии уголовного процесса. Эта стадия начинается с поступления дела в суд и заканчивается завершением последнего подготовительного действия к главному судебному разбирательству.</w:t>
      </w:r>
    </w:p>
    <w:p w:rsidR="00592BC2" w:rsidRPr="00DA76A7" w:rsidRDefault="00592BC2" w:rsidP="00592BC2">
      <w:pPr>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Article is devoted to the concept and the legal nature of the main trial in the light of the new Criminal Procedure Code of the Republic of Kazakhstan from July 4, 2015.</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The trial is divided into two stages: 1) the main purpose of the trial; 2) The main trial. According to the purpose and content of each of these stages it has an independent value, and has all the features of the stage of the criminal process. This stage begins with the case to the court and ends with the completion of the last preparatory steps to the main trial.</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уголовный процесс, подсудность, уголовно-процессуальный кодекс, главное судебное разбирательство, стадия уголовного процесса, общие условия главного судебного разбирательства, суд.</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criminal procedure, jurisdiction, criminal procedure code, the main trial stage of criminal proceedings, the general conditions of the main trial, the court.</w:t>
      </w:r>
    </w:p>
    <w:p w:rsidR="00592BC2" w:rsidRPr="00DA76A7" w:rsidRDefault="00592BC2" w:rsidP="00592BC2">
      <w:pPr>
        <w:ind w:firstLine="567"/>
        <w:jc w:val="both"/>
        <w:rPr>
          <w:rFonts w:ascii="Arial" w:hAnsi="Arial" w:cs="Arial"/>
          <w:snapToGrid w:val="0"/>
          <w:color w:val="000000" w:themeColor="text1"/>
          <w:sz w:val="22"/>
          <w:szCs w:val="22"/>
          <w:lang w:val="kk-KZ"/>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Судебное разбирательство разделено на два этапа: 1) назначение главного судебного разбирательства; 2) главное судебное разбирательство. По своему назначению  и содержанию каждый из этих этапов имеет самостоятельное значение и обладает всеми признаками стадии уголовного процесса [3, 114].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Назначение главного судебного разбирательства по уголовному делу - стадия уголовного процесса, в которой судья единолично, не предрешая вопроса о виновности обвиняемого, в результате проверки мате</w:t>
      </w:r>
      <w:r w:rsidRPr="00DA76A7">
        <w:rPr>
          <w:rFonts w:ascii="Arial" w:hAnsi="Arial" w:cs="Arial"/>
          <w:color w:val="000000" w:themeColor="text1"/>
          <w:sz w:val="22"/>
          <w:szCs w:val="22"/>
        </w:rPr>
        <w:softHyphen/>
        <w:t>риалов уголовного дела устанавливает наличие или отсутствие достаточных фактических и юридических оснований для внесения дела в судебное разбирательство для его разрешения по существу.</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Эта стадия начинается с поступления дела в суд и заканчивается завершением последнего подготовительного действия к главному судебному разбирательству.</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 xml:space="preserve">При поступлении уголовного дела в суд председатель суда или другой судья по его поручению разрешает вопрос о принятии дела к производству в суде. </w:t>
      </w:r>
      <w:bookmarkStart w:id="64" w:name="SUB3190200"/>
      <w:bookmarkEnd w:id="64"/>
      <w:r w:rsidRPr="00DA76A7">
        <w:rPr>
          <w:rStyle w:val="s0"/>
          <w:rFonts w:ascii="Arial" w:hAnsi="Arial" w:cs="Arial"/>
          <w:color w:val="000000" w:themeColor="text1"/>
          <w:sz w:val="22"/>
          <w:szCs w:val="22"/>
        </w:rPr>
        <w:t>При этом судья принимает одно из следующих решений о:</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65" w:name="SUB3190201"/>
      <w:bookmarkEnd w:id="65"/>
      <w:r w:rsidRPr="00DA76A7">
        <w:rPr>
          <w:rStyle w:val="s0"/>
          <w:rFonts w:ascii="Arial" w:hAnsi="Arial" w:cs="Arial"/>
          <w:color w:val="000000" w:themeColor="text1"/>
          <w:sz w:val="22"/>
          <w:szCs w:val="22"/>
        </w:rPr>
        <w:t>1) назначении главного судебного разбирательства в общем или сокращенном порядке;</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66" w:name="SUB3190202"/>
      <w:bookmarkEnd w:id="66"/>
      <w:r w:rsidRPr="00DA76A7">
        <w:rPr>
          <w:rStyle w:val="s0"/>
          <w:rFonts w:ascii="Arial" w:hAnsi="Arial" w:cs="Arial"/>
          <w:color w:val="000000" w:themeColor="text1"/>
          <w:sz w:val="22"/>
          <w:szCs w:val="22"/>
        </w:rPr>
        <w:t>2) проведении предварительного слушания дела.</w:t>
      </w:r>
    </w:p>
    <w:p w:rsidR="00592BC2" w:rsidRPr="00DA76A7" w:rsidRDefault="00592BC2" w:rsidP="00592BC2">
      <w:pPr>
        <w:ind w:firstLine="567"/>
        <w:jc w:val="both"/>
        <w:rPr>
          <w:rFonts w:ascii="Arial" w:hAnsi="Arial" w:cs="Arial"/>
          <w:color w:val="000000" w:themeColor="text1"/>
          <w:sz w:val="22"/>
          <w:szCs w:val="22"/>
        </w:rPr>
      </w:pPr>
      <w:bookmarkStart w:id="67" w:name="SUB3190300"/>
      <w:bookmarkEnd w:id="67"/>
      <w:r w:rsidRPr="00DA76A7">
        <w:rPr>
          <w:rFonts w:ascii="Arial" w:hAnsi="Arial" w:cs="Arial"/>
          <w:color w:val="000000" w:themeColor="text1"/>
          <w:sz w:val="22"/>
          <w:szCs w:val="22"/>
        </w:rPr>
        <w:t>В стадии назначения главного судебного разбирательства судья единолично раз</w:t>
      </w:r>
      <w:r w:rsidRPr="00DA76A7">
        <w:rPr>
          <w:rFonts w:ascii="Arial" w:hAnsi="Arial" w:cs="Arial"/>
          <w:color w:val="000000" w:themeColor="text1"/>
          <w:sz w:val="22"/>
          <w:szCs w:val="22"/>
        </w:rPr>
        <w:softHyphen/>
        <w:t>решает следующие вопросы: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связанные с отсутствием препятствий для рассмотрения дела в суде и возможностью назначения судебного заседания;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связанные с проведением предварительного слушания дела.</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Предварительное слушание дела производится судьей единолично в судебном заседании в течение десяти суток с момента вынесения постановления о его проведении. </w:t>
      </w:r>
      <w:bookmarkStart w:id="68" w:name="SUB3210400"/>
      <w:bookmarkEnd w:id="68"/>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В ходе предварительного слушания судья выясняет у подсудимого, обвиняющегося в совершении преступления, за совершение которого уголовным законом предусмотрены смертная казнь или пожизненное лишение свободы, о наличии у него ходатайства о рассмотрении его дела с участием присяжных заседателей, а в случае, если такое ходатайство заявлено, поддерживает ли он свое ходатайство.</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69" w:name="SUB3210500"/>
      <w:bookmarkEnd w:id="69"/>
      <w:r w:rsidRPr="00DA76A7">
        <w:rPr>
          <w:rStyle w:val="s0"/>
          <w:rFonts w:ascii="Arial" w:hAnsi="Arial" w:cs="Arial"/>
          <w:color w:val="000000" w:themeColor="text1"/>
          <w:sz w:val="22"/>
          <w:szCs w:val="22"/>
        </w:rPr>
        <w:t xml:space="preserve">О результатах предварительного слушания дела судья выносит постановление, в котором излагает решение по рассмотренным вопросам. </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В ходе предварительного слушания дела ведется протокол.</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r w:rsidRPr="00DA76A7">
        <w:rPr>
          <w:rStyle w:val="s0"/>
          <w:rFonts w:ascii="Arial" w:hAnsi="Arial" w:cs="Arial"/>
          <w:color w:val="000000" w:themeColor="text1"/>
          <w:sz w:val="22"/>
          <w:szCs w:val="22"/>
        </w:rPr>
        <w:t>Придя к выводу, что в ходе досудебного производства соблюдены все требования уголовно-процессуального закона по обеспечению прав участников процесса и отсутствуют иные обстоятельства, препятствующие рассмотрению дела в суде, судья назначает главное судебное разбирательство.</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bookmarkStart w:id="70" w:name="SUB3220300"/>
      <w:bookmarkStart w:id="71" w:name="SUB3220400"/>
      <w:bookmarkEnd w:id="70"/>
      <w:bookmarkEnd w:id="71"/>
      <w:r w:rsidRPr="00DA76A7">
        <w:rPr>
          <w:rStyle w:val="s0"/>
          <w:rFonts w:ascii="Arial" w:hAnsi="Arial" w:cs="Arial"/>
          <w:color w:val="000000" w:themeColor="text1"/>
          <w:sz w:val="22"/>
          <w:szCs w:val="22"/>
        </w:rPr>
        <w:t>Для стадии начала главного судебного разбирательства УПК РК предусмотрены следующие сроки:</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r w:rsidRPr="00DA76A7">
        <w:rPr>
          <w:rStyle w:val="s0"/>
          <w:rFonts w:ascii="Arial" w:hAnsi="Arial" w:cs="Arial"/>
          <w:color w:val="000000" w:themeColor="text1"/>
          <w:sz w:val="22"/>
          <w:szCs w:val="22"/>
        </w:rPr>
        <w:t>1) оно должно быть начато не ранее истечения трех суток с момента извещения сторон о месте и времени начала судебного заседания;</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r w:rsidRPr="00DA76A7">
        <w:rPr>
          <w:rStyle w:val="s0"/>
          <w:rFonts w:ascii="Arial" w:hAnsi="Arial" w:cs="Arial"/>
          <w:color w:val="000000" w:themeColor="text1"/>
          <w:sz w:val="22"/>
          <w:szCs w:val="22"/>
        </w:rPr>
        <w:t>2) оно должно быть начато не позже десяти суток при сокращенном порядке рассмотрения;</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3) оно должно быть начато не позже пятнадцати суток при общем порядке рассмотрения с момента вынесения постановления о его назначении.  Этот срок может быть продлен -  не более чем до тридцати суток. </w:t>
      </w:r>
      <w:bookmarkStart w:id="72" w:name="SUB3220500"/>
      <w:bookmarkEnd w:id="72"/>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r w:rsidRPr="00DA76A7">
        <w:rPr>
          <w:rStyle w:val="s0"/>
          <w:rFonts w:ascii="Arial" w:hAnsi="Arial" w:cs="Arial"/>
          <w:color w:val="000000" w:themeColor="text1"/>
          <w:sz w:val="22"/>
          <w:szCs w:val="22"/>
        </w:rPr>
        <w:t>4) главное судебное разбирательство должно быть окончено в разумные сроки.</w:t>
      </w:r>
    </w:p>
    <w:p w:rsidR="00592BC2" w:rsidRPr="00DA76A7" w:rsidRDefault="00592BC2" w:rsidP="00592BC2">
      <w:pPr>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Стоит отметить, что внедрение в УПК РК  понятия «разумный срок» обусловлено положениями Международного Пакта о гражданских и политических правах, в ч.3 ст. 9 которого отмечается: «</w:t>
      </w:r>
      <w:r w:rsidRPr="00DA76A7">
        <w:rPr>
          <w:rFonts w:ascii="Arial" w:hAnsi="Arial" w:cs="Arial"/>
          <w:color w:val="000000" w:themeColor="text1"/>
          <w:sz w:val="22"/>
          <w:szCs w:val="22"/>
          <w:shd w:val="clear" w:color="auto" w:fill="FFFFFF"/>
        </w:rPr>
        <w:t xml:space="preserve">Каждое арестованное или задержанное по уголовному обвинению лицо в срочном порядке доставляется к судье или к другому должностному лицу, которому принадлежит по закону право осуществлять судебную власть, и имеет право на судебное разбирательство в течение разумного срока или на освобождение…» [1]. </w:t>
      </w:r>
    </w:p>
    <w:p w:rsidR="00592BC2" w:rsidRPr="00DA76A7" w:rsidRDefault="00592BC2" w:rsidP="00592BC2">
      <w:pPr>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Введение разумности срока окончания главного судебного разбирательства как и досудебного расследования направлено на предотвращение затягивания рассмотрения уголовного дела в суде, своевременное и эффективное проведения процессуальных и следственных действий.</w:t>
      </w:r>
    </w:p>
    <w:p w:rsidR="00592BC2" w:rsidRPr="00DA76A7" w:rsidRDefault="00592BC2" w:rsidP="00592BC2">
      <w:pPr>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При определении разумного срока окончания главного судебного разбирательства, на наш взгляд, должны учитываться обстоятельства,</w:t>
      </w:r>
      <w:r w:rsidRPr="00DA76A7">
        <w:rPr>
          <w:rFonts w:ascii="Arial" w:hAnsi="Arial" w:cs="Arial"/>
          <w:color w:val="000000" w:themeColor="text1"/>
          <w:sz w:val="22"/>
          <w:szCs w:val="22"/>
          <w:shd w:val="clear" w:color="auto" w:fill="FFFFFF"/>
        </w:rPr>
        <w:t xml:space="preserve"> </w:t>
      </w:r>
      <w:r w:rsidRPr="00DA76A7">
        <w:rPr>
          <w:rStyle w:val="apple-converted-space"/>
          <w:rFonts w:ascii="Arial" w:hAnsi="Arial" w:cs="Arial"/>
          <w:color w:val="000000" w:themeColor="text1"/>
          <w:sz w:val="22"/>
          <w:szCs w:val="22"/>
          <w:shd w:val="clear" w:color="auto" w:fill="FFFFFF"/>
        </w:rPr>
        <w:t xml:space="preserve">указанные в ч. 1 ст. 192 УПК </w:t>
      </w:r>
      <w:r w:rsidRPr="00DA76A7">
        <w:rPr>
          <w:rFonts w:ascii="Arial" w:hAnsi="Arial" w:cs="Arial"/>
          <w:color w:val="000000" w:themeColor="text1"/>
          <w:sz w:val="22"/>
          <w:szCs w:val="22"/>
          <w:shd w:val="clear" w:color="auto" w:fill="FFFFFF"/>
        </w:rPr>
        <w:t xml:space="preserve"> - сложность уголовного дела, объем следственных действий и достаточность исследования обстоятельств дела, а также </w:t>
      </w:r>
      <w:r w:rsidRPr="00DA76A7">
        <w:rPr>
          <w:rFonts w:ascii="Arial" w:hAnsi="Arial" w:cs="Arial"/>
          <w:color w:val="000000" w:themeColor="text1"/>
          <w:sz w:val="22"/>
          <w:szCs w:val="22"/>
        </w:rPr>
        <w:t>общая продолжительность уголовного судопроизводства [2].</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 xml:space="preserve">Исходя из вышеизложенного можно сделать вывод о том, что, </w:t>
      </w:r>
      <w:bookmarkStart w:id="73" w:name="SUB3300000"/>
      <w:bookmarkEnd w:id="73"/>
      <w:r w:rsidRPr="00DA76A7">
        <w:rPr>
          <w:rStyle w:val="s0"/>
          <w:rFonts w:ascii="Arial" w:hAnsi="Arial" w:cs="Arial"/>
          <w:color w:val="000000" w:themeColor="text1"/>
          <w:sz w:val="22"/>
          <w:szCs w:val="22"/>
        </w:rPr>
        <w:t>с</w:t>
      </w:r>
      <w:r w:rsidRPr="00DA76A7">
        <w:rPr>
          <w:rFonts w:ascii="Arial" w:hAnsi="Arial" w:cs="Arial"/>
          <w:color w:val="000000" w:themeColor="text1"/>
          <w:sz w:val="22"/>
          <w:szCs w:val="22"/>
        </w:rPr>
        <w:t>тадия назначения главного судебного разбирательства по отношению к досудебному расследованию является контрольной стадией, а по отношению к судебному разбирательству - ста</w:t>
      </w:r>
      <w:r w:rsidRPr="00DA76A7">
        <w:rPr>
          <w:rFonts w:ascii="Arial" w:hAnsi="Arial" w:cs="Arial"/>
          <w:color w:val="000000" w:themeColor="text1"/>
          <w:sz w:val="22"/>
          <w:szCs w:val="22"/>
        </w:rPr>
        <w:softHyphen/>
        <w:t>дией подготовительной, поскольку занимает промежу</w:t>
      </w:r>
      <w:r w:rsidRPr="00DA76A7">
        <w:rPr>
          <w:rFonts w:ascii="Arial" w:hAnsi="Arial" w:cs="Arial"/>
          <w:color w:val="000000" w:themeColor="text1"/>
          <w:sz w:val="22"/>
          <w:szCs w:val="22"/>
        </w:rPr>
        <w:softHyphen/>
        <w:t xml:space="preserve">точное место между ними. </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Значение данной стадии заключается в том, что здесь судья осуществляет проверку переданных прокурором материалов уголовного дела и подготовку к рассмотрению данного дела в суде, обеспечивая необходимые условия для правильного разрешения дела, реализации принципа законности, достижению задач правосудия.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Согласно уголовно-процессуальному закону главное судебное разбирательство – </w:t>
      </w:r>
      <w:r w:rsidRPr="00DA76A7">
        <w:rPr>
          <w:rFonts w:ascii="Arial" w:hAnsi="Arial" w:cs="Arial"/>
          <w:color w:val="000000" w:themeColor="text1"/>
          <w:sz w:val="22"/>
          <w:szCs w:val="22"/>
          <w:shd w:val="clear" w:color="auto" w:fill="FFFFFF"/>
        </w:rPr>
        <w:t>рассмотрение уголовного дела по существу судом первой инстанции (п.8 ст. 7 УПК). Э</w:t>
      </w:r>
      <w:r w:rsidRPr="00DA76A7">
        <w:rPr>
          <w:rFonts w:ascii="Arial" w:hAnsi="Arial" w:cs="Arial"/>
          <w:color w:val="000000" w:themeColor="text1"/>
          <w:sz w:val="22"/>
          <w:szCs w:val="22"/>
        </w:rPr>
        <w:t xml:space="preserve">та стадия уголовного процесса, которая следует за досудебным  расследованием и назначением дела к слушанию в суде.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Значение данной стадии заключается в том, что только суд на основе всестороннего, полного и объективного исследования всех обстоятельств уголовного дела в судебном разбирательстве может признать подсудимого виновным в совершении преступления и назначить наказание, либо признать его невиновным и оправдать. Решение суда о признании лица виновным и назначении ему меры наказания, либо об оправдании невиновного излагается в приговоре.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судебном разбирательстве производится исследование не только доказательств, собранных на предварительном следствии, но и дополнительных доказательства, представленных участниками судебного разбирательства или обнаруженные судом в ходе рассмотрения дела.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Задачи стадии главного судебного разбирательства вытекают из задач уголовного процесса.</w:t>
      </w:r>
      <w:r w:rsidRPr="00DA76A7">
        <w:rPr>
          <w:rFonts w:ascii="Arial" w:hAnsi="Arial" w:cs="Arial"/>
          <w:color w:val="000000" w:themeColor="text1"/>
          <w:sz w:val="22"/>
          <w:szCs w:val="22"/>
          <w:shd w:val="clear" w:color="auto" w:fill="FFFFFF"/>
        </w:rPr>
        <w:t xml:space="preserve"> Именно на этой стадии осуществляется правосудие, реализуются основные принципы уголовного процесса.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УПК РК закрепляет комплекс общих правил, которые относятся в целом к главному судебному разбирательству как стадии процесса. Их принято называть общими условиями, и им посвящена глава 42 УПК. Осуществляются они в ходе всей этой стадии и определяют наиболее характерные ее черты и особенности по отношению к другим стадиям процесса.</w:t>
      </w:r>
    </w:p>
    <w:p w:rsidR="00592BC2" w:rsidRPr="00DA76A7" w:rsidRDefault="00592BC2" w:rsidP="00592BC2">
      <w:pPr>
        <w:pStyle w:val="j113"/>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1"/>
          <w:rFonts w:ascii="Arial" w:hAnsi="Arial" w:cs="Arial"/>
          <w:bCs/>
          <w:color w:val="000000" w:themeColor="text1"/>
          <w:sz w:val="22"/>
          <w:szCs w:val="22"/>
        </w:rPr>
        <w:t>Непосредственность и устность судебного разбирательства. Данное требование закреплено в ст. 331 УПК. Это требование закона, согласно которому</w:t>
      </w:r>
      <w:bookmarkStart w:id="74" w:name="SUB3310100"/>
      <w:bookmarkEnd w:id="74"/>
      <w:r w:rsidRPr="00DA76A7">
        <w:rPr>
          <w:rStyle w:val="s1"/>
          <w:rFonts w:ascii="Arial" w:hAnsi="Arial" w:cs="Arial"/>
          <w:bCs/>
          <w:color w:val="000000" w:themeColor="text1"/>
          <w:sz w:val="22"/>
          <w:szCs w:val="22"/>
        </w:rPr>
        <w:t xml:space="preserve"> в</w:t>
      </w:r>
      <w:r w:rsidRPr="00DA76A7">
        <w:rPr>
          <w:rStyle w:val="s0"/>
          <w:rFonts w:ascii="Arial" w:hAnsi="Arial" w:cs="Arial"/>
          <w:color w:val="000000" w:themeColor="text1"/>
          <w:sz w:val="22"/>
          <w:szCs w:val="22"/>
        </w:rPr>
        <w:t xml:space="preserve"> судебном разбирательстве все доказательства по делу подлежат непосредственному исследованию. Суд должен заслушать показания подсудимого, потерпевшего, свидетелей, огласить и исследовать заключения экспертов, осмотреть вещественные доказательства, огласить протоколы и иные документы, произвести другие судебные действия по исследованию доказательств.</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75" w:name="SUB3310200"/>
      <w:bookmarkEnd w:id="75"/>
      <w:r w:rsidRPr="00DA76A7">
        <w:rPr>
          <w:rStyle w:val="s0"/>
          <w:rFonts w:ascii="Arial" w:hAnsi="Arial" w:cs="Arial"/>
          <w:color w:val="000000" w:themeColor="text1"/>
          <w:sz w:val="22"/>
          <w:szCs w:val="22"/>
        </w:rPr>
        <w:t>Оглашение показаний, данных при производстве досудебного расследования, возможно лишь в исключительных случаях, предусмотренных УПК.</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76" w:name="SUB3310300"/>
      <w:bookmarkEnd w:id="76"/>
      <w:r w:rsidRPr="00DA76A7">
        <w:rPr>
          <w:rStyle w:val="s0"/>
          <w:rFonts w:ascii="Arial" w:hAnsi="Arial" w:cs="Arial"/>
          <w:color w:val="000000" w:themeColor="text1"/>
          <w:sz w:val="22"/>
          <w:szCs w:val="22"/>
        </w:rPr>
        <w:t>Приговор суда может быть основан лишь на тех доказательствах, которые были исследованы в судебном заседании, а при сокращенном порядке судебного следствия - и на доказательствах, полученных при производстве следствия и дознания и не оспоренных в суде сторонами.</w:t>
      </w:r>
    </w:p>
    <w:p w:rsidR="00592BC2" w:rsidRPr="00DA76A7" w:rsidRDefault="00592BC2" w:rsidP="00592BC2">
      <w:pPr>
        <w:pStyle w:val="j113"/>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1"/>
          <w:rFonts w:ascii="Arial" w:hAnsi="Arial" w:cs="Arial"/>
          <w:bCs/>
          <w:color w:val="000000" w:themeColor="text1"/>
          <w:sz w:val="22"/>
          <w:szCs w:val="22"/>
        </w:rPr>
        <w:t xml:space="preserve">Неизменность состава суда при разбирательстве дела. В соответствии со ст. 332 УПК РК </w:t>
      </w:r>
      <w:bookmarkStart w:id="77" w:name="SUB3320100"/>
      <w:bookmarkEnd w:id="77"/>
      <w:r w:rsidRPr="00DA76A7">
        <w:rPr>
          <w:rStyle w:val="s0"/>
          <w:rFonts w:ascii="Arial" w:hAnsi="Arial" w:cs="Arial"/>
          <w:color w:val="000000" w:themeColor="text1"/>
          <w:sz w:val="22"/>
          <w:szCs w:val="22"/>
        </w:rPr>
        <w:t xml:space="preserve">Дело должно быть рассмотрено одним и тем же судьей. </w:t>
      </w:r>
      <w:bookmarkStart w:id="78" w:name="SUB3320200"/>
      <w:bookmarkEnd w:id="78"/>
      <w:r w:rsidRPr="00DA76A7">
        <w:rPr>
          <w:rStyle w:val="s0"/>
          <w:rFonts w:ascii="Arial" w:hAnsi="Arial" w:cs="Arial"/>
          <w:color w:val="000000" w:themeColor="text1"/>
          <w:sz w:val="22"/>
          <w:szCs w:val="22"/>
        </w:rPr>
        <w:t xml:space="preserve">При невозможности судьи продолжать участвовать в судебном разбирательстве он заменяется другим судьей, а разбирательство дела начинается сначала, за исключением случаев, предусмотренных ст. 333 УПК, согласно которой </w:t>
      </w:r>
      <w:bookmarkStart w:id="79" w:name="SUB3330000"/>
      <w:bookmarkStart w:id="80" w:name="SUB3330100"/>
      <w:bookmarkEnd w:id="79"/>
      <w:bookmarkEnd w:id="80"/>
      <w:r w:rsidRPr="00DA76A7">
        <w:rPr>
          <w:rStyle w:val="s0"/>
          <w:rFonts w:ascii="Arial" w:hAnsi="Arial" w:cs="Arial"/>
          <w:color w:val="000000" w:themeColor="text1"/>
          <w:sz w:val="22"/>
          <w:szCs w:val="22"/>
        </w:rPr>
        <w:t>при рассмотрении дела, требующего продолжительного времени для его разбирательства, может быть назначен запасной судья.</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81" w:name="SUB3330200"/>
      <w:bookmarkEnd w:id="81"/>
      <w:r w:rsidRPr="00DA76A7">
        <w:rPr>
          <w:rStyle w:val="s0"/>
          <w:rFonts w:ascii="Arial" w:hAnsi="Arial" w:cs="Arial"/>
          <w:color w:val="000000" w:themeColor="text1"/>
          <w:sz w:val="22"/>
          <w:szCs w:val="22"/>
        </w:rPr>
        <w:t>Запасной судья присутствует в главном судебном разбирательстве с начала открытия судебного заседания или с момента принятия судом решения о его участии и в случае выбытия судьи заменяет его. При этом разбирательство дела продолжается. Запасной судья пользуется правами судьи с момента выбытия предыдущего судьи. Запасной судья, вступивший на место выбывшего судьи, вправе требовать возобновления любых судебных действий.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Основными участниками главного судебного разбирательства являются:</w:t>
      </w:r>
    </w:p>
    <w:p w:rsidR="00592BC2" w:rsidRPr="00DA76A7" w:rsidRDefault="00592BC2" w:rsidP="00D45D6B">
      <w:pPr>
        <w:widowControl/>
        <w:numPr>
          <w:ilvl w:val="0"/>
          <w:numId w:val="11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суд; </w:t>
      </w:r>
    </w:p>
    <w:p w:rsidR="00592BC2" w:rsidRPr="00DA76A7" w:rsidRDefault="00592BC2" w:rsidP="00D45D6B">
      <w:pPr>
        <w:widowControl/>
        <w:numPr>
          <w:ilvl w:val="0"/>
          <w:numId w:val="11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участники уголовного судопроизводства со стороны обвинения и стороны защиты: государственный или частный обвинитель, подсудимый, его защитник (по делам несовершеннолетних - и (или) законный представитель), потерпевший, гражданский истец, гражданский ответчик, их представители. </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82" w:name="SUB3340000"/>
      <w:bookmarkStart w:id="83" w:name="SUB3340100"/>
      <w:bookmarkEnd w:id="82"/>
      <w:bookmarkEnd w:id="83"/>
      <w:r w:rsidRPr="00DA76A7">
        <w:rPr>
          <w:rStyle w:val="s0"/>
          <w:rFonts w:ascii="Arial" w:hAnsi="Arial" w:cs="Arial"/>
          <w:color w:val="000000" w:themeColor="text1"/>
          <w:sz w:val="22"/>
          <w:szCs w:val="22"/>
        </w:rPr>
        <w:t>В главном судебном разбирательстве председательствует судья, которому поручено рассмотрение дела.</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84" w:name="SUB3340200"/>
      <w:bookmarkEnd w:id="84"/>
      <w:r w:rsidRPr="00DA76A7">
        <w:rPr>
          <w:rStyle w:val="s0"/>
          <w:rFonts w:ascii="Arial" w:hAnsi="Arial" w:cs="Arial"/>
          <w:color w:val="000000" w:themeColor="text1"/>
          <w:sz w:val="22"/>
          <w:szCs w:val="22"/>
        </w:rPr>
        <w:t> </w:t>
      </w:r>
      <w:r w:rsidRPr="00DA76A7">
        <w:rPr>
          <w:rStyle w:val="s1"/>
          <w:rFonts w:ascii="Arial" w:hAnsi="Arial" w:cs="Arial"/>
          <w:bCs/>
          <w:color w:val="000000" w:themeColor="text1"/>
          <w:sz w:val="22"/>
          <w:szCs w:val="22"/>
        </w:rPr>
        <w:t>Пределы главного судебного разбирательства (ст. 340 УПК РК).</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85" w:name="SUB3400100"/>
      <w:bookmarkEnd w:id="85"/>
      <w:r w:rsidRPr="00DA76A7">
        <w:rPr>
          <w:rStyle w:val="s0"/>
          <w:rFonts w:ascii="Arial" w:hAnsi="Arial" w:cs="Arial"/>
          <w:color w:val="000000" w:themeColor="text1"/>
          <w:sz w:val="22"/>
          <w:szCs w:val="22"/>
        </w:rPr>
        <w:t xml:space="preserve">Согласно данному требованию главное судебное разбирательство проводится только в отношении подсудимого и в пределах того обвинения, по которому он предан суду. </w:t>
      </w:r>
      <w:bookmarkStart w:id="86" w:name="SUB3400200"/>
      <w:bookmarkEnd w:id="86"/>
      <w:r w:rsidRPr="00DA76A7">
        <w:rPr>
          <w:rStyle w:val="s0"/>
          <w:rFonts w:ascii="Arial" w:hAnsi="Arial" w:cs="Arial"/>
          <w:color w:val="000000" w:themeColor="text1"/>
          <w:sz w:val="22"/>
          <w:szCs w:val="22"/>
        </w:rPr>
        <w:t>Изменение обвинения допускается при условии, если этим не нарушается право обвиняемого на защиту.</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87" w:name="SUB3400300"/>
      <w:bookmarkEnd w:id="87"/>
      <w:r w:rsidRPr="00DA76A7">
        <w:rPr>
          <w:rStyle w:val="s0"/>
          <w:rFonts w:ascii="Arial" w:hAnsi="Arial" w:cs="Arial"/>
          <w:color w:val="000000" w:themeColor="text1"/>
          <w:sz w:val="22"/>
          <w:szCs w:val="22"/>
        </w:rPr>
        <w:t>Если в ходе главного судебного разбирательства возникла необходимость соединения рассматриваемого дела с другим уголовным делом, привлечения к уголовной ответственности других лиц, если их действия связаны с рассматриваемым делом и отдельное рассмотрение дела в отношении новых лиц невозможно, суд по ходатайству стороны обвинения с учетом мнения других участников процесса прерывает рассмотрение дела и проводит предварительное слушание.</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88" w:name="SUB3400400"/>
      <w:bookmarkEnd w:id="88"/>
      <w:r w:rsidRPr="00DA76A7">
        <w:rPr>
          <w:rStyle w:val="s0"/>
          <w:rFonts w:ascii="Arial" w:hAnsi="Arial" w:cs="Arial"/>
          <w:color w:val="000000" w:themeColor="text1"/>
          <w:sz w:val="22"/>
          <w:szCs w:val="22"/>
        </w:rPr>
        <w:t>При соединении в предварительном слушании рассматриваемого уголовного дела с вновь поступившим делом суд предоставляет прокурору время для составления нового обвинительного акта.</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89" w:name="SUB3400500"/>
      <w:bookmarkEnd w:id="89"/>
      <w:r w:rsidRPr="00DA76A7">
        <w:rPr>
          <w:rStyle w:val="s0"/>
          <w:rFonts w:ascii="Arial" w:hAnsi="Arial" w:cs="Arial"/>
          <w:color w:val="000000" w:themeColor="text1"/>
          <w:sz w:val="22"/>
          <w:szCs w:val="22"/>
        </w:rPr>
        <w:t>Если в ходе главного судебного разбирательства возникла необходимость предъявления подсудимому более тяжкого обвинения или отличающегося от первоначального, суд откладывает рассмотрение дела и предоставляет прокурору время, необходимое для составления нового обвинительного акта.</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90" w:name="SUB3400600"/>
      <w:bookmarkStart w:id="91" w:name="SUB3410000"/>
      <w:bookmarkEnd w:id="90"/>
      <w:bookmarkEnd w:id="91"/>
      <w:r w:rsidRPr="00DA76A7">
        <w:rPr>
          <w:rStyle w:val="s0"/>
          <w:rFonts w:ascii="Arial" w:hAnsi="Arial" w:cs="Arial"/>
          <w:color w:val="000000" w:themeColor="text1"/>
          <w:sz w:val="22"/>
          <w:szCs w:val="22"/>
        </w:rPr>
        <w:t>При невозможности разбирательства дела вследствие неявки в судебное заседание кого-либо из вызванных лиц или в связи с необходимостью истребования новых доказательств, составления и вручения прокурором нового обвинительного акта или проведения процедуры медиации, заключения процессуального соглашения суд выносит постановление об отложении разбирательства дела на определенный срок. Одновременно суд вправе обязать стороны обеспечить явку соответственно свидетелей обвинения и защиты, а также иных лиц, вызванных в судебное заседание по ходатайствам. При необходимости суд содействует сторонам в получении доказательств, о которых ими было заявлено ходатайство.</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92" w:name="SUB3410200"/>
      <w:bookmarkEnd w:id="92"/>
      <w:r w:rsidRPr="00DA76A7">
        <w:rPr>
          <w:rStyle w:val="s0"/>
          <w:rFonts w:ascii="Arial" w:hAnsi="Arial" w:cs="Arial"/>
          <w:color w:val="000000" w:themeColor="text1"/>
          <w:sz w:val="22"/>
          <w:szCs w:val="22"/>
        </w:rPr>
        <w:t>При отложении судебного разбирательства в связи с необходимостью составления нового обвинительного акта суд принимает меры для обеспечения права стороны защиты на ознакомление с дополнительными материалами дела и предоставляет время до семи суток для подготовки к защите от нового обвинения.</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Новый обвинительный акт вручается подсудимому, его защитнику (при его участии), потерпевшему, законному представителю и представителю и приобщается к материалам дела.</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93" w:name="SUB3410300"/>
      <w:bookmarkStart w:id="94" w:name="SUB3410400"/>
      <w:bookmarkEnd w:id="93"/>
      <w:bookmarkEnd w:id="94"/>
      <w:r w:rsidRPr="00DA76A7">
        <w:rPr>
          <w:rStyle w:val="s0"/>
          <w:rFonts w:ascii="Arial" w:hAnsi="Arial" w:cs="Arial"/>
          <w:color w:val="000000" w:themeColor="text1"/>
          <w:sz w:val="22"/>
          <w:szCs w:val="22"/>
        </w:rPr>
        <w:t>Розыск скрывающегося подсудимого объявляется постановлением суда.</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95" w:name="SUB3420000"/>
      <w:bookmarkStart w:id="96" w:name="SUB3420100"/>
      <w:bookmarkEnd w:id="95"/>
      <w:bookmarkEnd w:id="96"/>
      <w:r w:rsidRPr="00DA76A7">
        <w:rPr>
          <w:rStyle w:val="s0"/>
          <w:rFonts w:ascii="Arial" w:hAnsi="Arial" w:cs="Arial"/>
          <w:color w:val="000000" w:themeColor="text1"/>
          <w:sz w:val="22"/>
          <w:szCs w:val="22"/>
        </w:rPr>
        <w:t>Во время главного судебного разбирательства суд в соответствии со ст. 341 УПК вправе избрать, изменить, отменить или продлить меру пресечения в отношении подсудимого.</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97" w:name="SUB3420200"/>
      <w:bookmarkEnd w:id="97"/>
      <w:r w:rsidRPr="00DA76A7">
        <w:rPr>
          <w:rStyle w:val="s0"/>
          <w:rFonts w:ascii="Arial" w:hAnsi="Arial" w:cs="Arial"/>
          <w:color w:val="000000" w:themeColor="text1"/>
          <w:sz w:val="22"/>
          <w:szCs w:val="22"/>
        </w:rPr>
        <w:t>Срок содержания под стражей подсудимого в качестве меры пресечения со дня поступления дела в суд и до вынесения приговора не может превышать шесть месяцев.</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98" w:name="SUB3420300"/>
      <w:bookmarkEnd w:id="98"/>
      <w:r w:rsidRPr="00DA76A7">
        <w:rPr>
          <w:rStyle w:val="s0"/>
          <w:rFonts w:ascii="Arial" w:hAnsi="Arial" w:cs="Arial"/>
          <w:color w:val="000000" w:themeColor="text1"/>
          <w:sz w:val="22"/>
          <w:szCs w:val="22"/>
        </w:rPr>
        <w:t>По делам о тяжких преступлениях по истечении шести месяцев, суд своим постановлением вправе продлить срок содержания под стражей до двенадцати месяцев.</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99" w:name="SUB3420400"/>
      <w:bookmarkEnd w:id="99"/>
      <w:r w:rsidRPr="00DA76A7">
        <w:rPr>
          <w:rStyle w:val="s0"/>
          <w:rFonts w:ascii="Arial" w:hAnsi="Arial" w:cs="Arial"/>
          <w:color w:val="000000" w:themeColor="text1"/>
          <w:sz w:val="22"/>
          <w:szCs w:val="22"/>
        </w:rPr>
        <w:t>После истечения двенадцати месяцев содержания под стражей суд должен изменить подсудимому меру пресечения на домашний арест или иную меру пресечения.</w:t>
      </w:r>
    </w:p>
    <w:p w:rsidR="00592BC2" w:rsidRPr="00DA76A7" w:rsidRDefault="00592BC2" w:rsidP="00592BC2">
      <w:pPr>
        <w:pStyle w:val="j113"/>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100" w:name="SUB3420500"/>
      <w:bookmarkStart w:id="101" w:name="SUB3430000"/>
      <w:bookmarkEnd w:id="100"/>
      <w:bookmarkEnd w:id="101"/>
      <w:r w:rsidRPr="00DA76A7">
        <w:rPr>
          <w:rStyle w:val="s1"/>
          <w:rFonts w:ascii="Arial" w:hAnsi="Arial" w:cs="Arial"/>
          <w:bCs/>
          <w:color w:val="000000" w:themeColor="text1"/>
          <w:sz w:val="22"/>
          <w:szCs w:val="22"/>
        </w:rPr>
        <w:t>Прекращение дела в главном судебном разбирательстве (ст. 343 УПК РК).</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Дело подлежит прекращению в главном судебном разбирательстве, если будут установлены обстоятельства, указанные в пп. 3) - 12) ч. 1 ст. 35 УПК РК, а также при отказе обвинителя от обвинения (ч.6 ст. 337 УПК РК). </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Дело может быть прекращено в главном судебном разбирательстве также по основаниям, указанным в ч. 1 ст. 36 УПК РК.</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102" w:name="SUB3440100"/>
      <w:bookmarkEnd w:id="102"/>
      <w:r w:rsidRPr="00DA76A7">
        <w:rPr>
          <w:rStyle w:val="s0"/>
          <w:rFonts w:ascii="Arial" w:hAnsi="Arial" w:cs="Arial"/>
          <w:color w:val="000000" w:themeColor="text1"/>
          <w:sz w:val="22"/>
          <w:szCs w:val="22"/>
        </w:rPr>
        <w:t>По всем вопросам, разрешаемым судом во время главного судебного разбирательства, суд выносит постановления, которые подлежат оглашению в судебном заседании.</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103" w:name="SUB3440200"/>
      <w:bookmarkEnd w:id="103"/>
      <w:r w:rsidRPr="00DA76A7">
        <w:rPr>
          <w:rStyle w:val="s0"/>
          <w:rFonts w:ascii="Arial" w:hAnsi="Arial" w:cs="Arial"/>
          <w:color w:val="000000" w:themeColor="text1"/>
          <w:sz w:val="22"/>
          <w:szCs w:val="22"/>
        </w:rPr>
        <w:t> </w:t>
      </w:r>
      <w:r w:rsidRPr="00DA76A7">
        <w:rPr>
          <w:rStyle w:val="s1"/>
          <w:rFonts w:ascii="Arial" w:hAnsi="Arial" w:cs="Arial"/>
          <w:bCs/>
          <w:color w:val="000000" w:themeColor="text1"/>
          <w:sz w:val="22"/>
          <w:szCs w:val="22"/>
        </w:rPr>
        <w:t>Распорядок главного судебного разбирательства (ст. 345 УПК РК).</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104" w:name="SUB3450100"/>
      <w:bookmarkEnd w:id="104"/>
      <w:r w:rsidRPr="00DA76A7">
        <w:rPr>
          <w:rStyle w:val="s0"/>
          <w:rFonts w:ascii="Arial" w:hAnsi="Arial" w:cs="Arial"/>
          <w:color w:val="000000" w:themeColor="text1"/>
          <w:sz w:val="22"/>
          <w:szCs w:val="22"/>
        </w:rPr>
        <w:t>Главное судебное разбирательство происходит в условиях, обеспечивающих нормальную работу суда и безопасность участников процесса. Главное судебное разбирательство может происходить в режиме видеосвязи, решение о котором принимается председательствующим по делу.</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105" w:name="SUB3450200"/>
      <w:bookmarkEnd w:id="105"/>
      <w:r w:rsidRPr="00DA76A7">
        <w:rPr>
          <w:rStyle w:val="s0"/>
          <w:rFonts w:ascii="Arial" w:hAnsi="Arial" w:cs="Arial"/>
          <w:color w:val="000000" w:themeColor="text1"/>
          <w:sz w:val="22"/>
          <w:szCs w:val="22"/>
        </w:rPr>
        <w:t>Во время главного судебного разбирательства секретарем судебного заседания ведется протокол главного судебного заседания (ст. 347, 347-1 УПК РК).</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106" w:name="SUB3470200"/>
      <w:bookmarkEnd w:id="106"/>
      <w:r w:rsidRPr="00DA76A7">
        <w:rPr>
          <w:rStyle w:val="s0"/>
          <w:rFonts w:ascii="Arial" w:hAnsi="Arial" w:cs="Arial"/>
          <w:color w:val="000000" w:themeColor="text1"/>
          <w:sz w:val="22"/>
          <w:szCs w:val="22"/>
        </w:rPr>
        <w:t>Протокол изготавливается компьютерным, электронным (включая аудио-, видеофиксацию), машинописным либо рукописным способом.</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107" w:name="SUB3470300"/>
      <w:bookmarkEnd w:id="107"/>
      <w:r w:rsidRPr="00DA76A7">
        <w:rPr>
          <w:rStyle w:val="s0"/>
          <w:rFonts w:ascii="Arial" w:hAnsi="Arial" w:cs="Arial"/>
          <w:color w:val="000000" w:themeColor="text1"/>
          <w:sz w:val="22"/>
          <w:szCs w:val="22"/>
        </w:rPr>
        <w:t>Показания записываются от первого лица и по возможности дословно, вопросы и ответы на них записываются в той последовательности, которая имела место при допросе. Кроме того, в протоколе также указывается на факты, свидетельствующие о неуважении к суду, если они имели место, и на личность нарушителя, и о мерах воздействия, принятых судом в отношении нарушителя.</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bookmarkStart w:id="108" w:name="SUB3470400"/>
      <w:bookmarkEnd w:id="108"/>
      <w:r w:rsidRPr="00DA76A7">
        <w:rPr>
          <w:rStyle w:val="s0"/>
          <w:rFonts w:ascii="Arial" w:hAnsi="Arial" w:cs="Arial"/>
          <w:color w:val="000000" w:themeColor="text1"/>
          <w:sz w:val="22"/>
          <w:szCs w:val="22"/>
        </w:rPr>
        <w:t>Законом установлены сроки изготовления и подписания протокола. Так, согласно ч. 4 ст. 347 он должен быть изготовлен и подписан:</w:t>
      </w:r>
    </w:p>
    <w:p w:rsidR="00592BC2" w:rsidRPr="00DA76A7" w:rsidRDefault="00592BC2" w:rsidP="00592BC2">
      <w:pPr>
        <w:pStyle w:val="j112"/>
        <w:shd w:val="clear" w:color="auto" w:fill="FFFFFF"/>
        <w:spacing w:before="0" w:beforeAutospacing="0" w:after="0" w:afterAutospacing="0"/>
        <w:ind w:firstLine="567"/>
        <w:jc w:val="both"/>
        <w:textAlignment w:val="baseline"/>
        <w:rPr>
          <w:rStyle w:val="s0"/>
          <w:rFonts w:ascii="Arial" w:hAnsi="Arial" w:cs="Arial"/>
          <w:color w:val="000000" w:themeColor="text1"/>
          <w:sz w:val="22"/>
          <w:szCs w:val="22"/>
        </w:rPr>
      </w:pPr>
      <w:r w:rsidRPr="00DA76A7">
        <w:rPr>
          <w:rStyle w:val="s0"/>
          <w:rFonts w:ascii="Arial" w:hAnsi="Arial" w:cs="Arial"/>
          <w:color w:val="000000" w:themeColor="text1"/>
          <w:sz w:val="22"/>
          <w:szCs w:val="22"/>
        </w:rPr>
        <w:t>- председательствующим и секретарем - не позднее пяти суток;</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 xml:space="preserve">- по многоэпизодным делам и делам, рассмотренным с участием присяжных заседателей - в течение десяти суток по окончании судебного заседания. </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w:t>
      </w:r>
      <w:r w:rsidRPr="00DA76A7">
        <w:rPr>
          <w:rStyle w:val="s0"/>
          <w:rFonts w:ascii="Arial" w:hAnsi="Arial" w:cs="Arial"/>
          <w:color w:val="000000" w:themeColor="text1"/>
          <w:sz w:val="22"/>
          <w:szCs w:val="22"/>
        </w:rPr>
        <w:t>Фиксирование хода судебного заседания осуществляется с помощью средств аудио-, видеозаписи. Фиксирование судебного заседания средствами аудио-, видеозаписи осуществляет секретарь судебного заседания. Невозможность использования средств аудио-, видеозаписи не исключает продолжения судебного заседания.</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В случае фиксирования разбирательства дела с использованием средств аудио-, видеозаписи секретарем судебного заседания составляется краткий протокол в письменной форме.</w:t>
      </w:r>
    </w:p>
    <w:p w:rsidR="00592BC2" w:rsidRPr="00DA76A7" w:rsidRDefault="00592BC2" w:rsidP="00592BC2">
      <w:pPr>
        <w:pStyle w:val="a7"/>
        <w:shd w:val="clear" w:color="auto" w:fill="FFFFFF"/>
        <w:spacing w:before="0" w:beforeAutospacing="0" w:after="0" w:afterAutospacing="0"/>
        <w:ind w:firstLine="567"/>
        <w:jc w:val="both"/>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Анализируя статьи, регламентирующие порядок составления протокола главного судебного разбирательства, следует отметить, что краткий протокол имеет следующие отличия от полного протокола:</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1) в кратком протоколе в отличие от полного протокола не перечисляется порядок производства судебных  действий, при этом указываются сведения о применении судом средств аудио-, видеозаписи, а также наименование файла, содержащего аудио-, видеозапись;</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3) в полном протоколе указываются </w:t>
      </w:r>
      <w:r w:rsidRPr="00DA76A7">
        <w:rPr>
          <w:rStyle w:val="s0"/>
          <w:rFonts w:ascii="Arial" w:hAnsi="Arial" w:cs="Arial"/>
          <w:color w:val="000000" w:themeColor="text1"/>
          <w:sz w:val="22"/>
          <w:szCs w:val="22"/>
        </w:rPr>
        <w:t>заявления, возражения и ходатайства участвующих в деле лиц;  постановления суда, вынесенные без удаления в совещательную комнату;  указания на вынесение постановлений в совещательной комнате; разъяснение участвующим в деле лицам их прав и обязанностей; подробное содержание показаний; вопросы участвующих в допросе лиц, которые были отведены судом или на которые отказался отвечать допрашиваемый; вопросы, заданные эксперту, и его ответы;  результаты произведенных в судебном заседании осмотров и других действий по исследованию доказательств; результаты рассмотрения заявлений о применении пыток, насилия, иного жестокого или унижающего человеческое достоинство обращения и процесс их исследования; указания на факты, которые участвующие в деле лица просили удостоверить в протоколе; основное содержание выступлений сторон в судебных прениях и последнего слова подсудимого; указание об оглашении приговора, постановления, частного постановления и разъяснении порядка и срока их обжалования. В кратком протоколе указанные процессуальный и следственные действия не отражаются.</w:t>
      </w:r>
    </w:p>
    <w:p w:rsidR="00592BC2" w:rsidRPr="00DA76A7" w:rsidRDefault="00592BC2" w:rsidP="00592BC2">
      <w:pPr>
        <w:pStyle w:val="j1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4) краткий протокол содержит лишь сведения о приобщении к делу дополнительных материалов, представленных в качестве доказательств лицами, участвующими в деле и дату составления протокола в окончательной форме.</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Style w:val="ab"/>
          <w:rFonts w:ascii="Arial" w:hAnsi="Arial" w:cs="Arial"/>
          <w:b w:val="0"/>
          <w:color w:val="000000" w:themeColor="text1"/>
          <w:sz w:val="22"/>
          <w:szCs w:val="22"/>
        </w:rPr>
        <w:t>Таким образом, полный протокол</w:t>
      </w:r>
      <w:r w:rsidRPr="00DA76A7">
        <w:rPr>
          <w:rStyle w:val="apple-converted-space"/>
          <w:rFonts w:ascii="Arial" w:hAnsi="Arial" w:cs="Arial"/>
          <w:color w:val="000000" w:themeColor="text1"/>
          <w:sz w:val="22"/>
          <w:szCs w:val="22"/>
        </w:rPr>
        <w:t xml:space="preserve">, </w:t>
      </w:r>
      <w:r w:rsidRPr="00DA76A7">
        <w:rPr>
          <w:rFonts w:ascii="Arial" w:hAnsi="Arial" w:cs="Arial"/>
          <w:color w:val="000000" w:themeColor="text1"/>
          <w:sz w:val="22"/>
          <w:szCs w:val="22"/>
        </w:rPr>
        <w:t>содержит полные сведения о всех процессуальных действиях суда и участников судебного заседания, принятых решениях и фамилиях участвующих лиц, достаточно подробные записи, передающие содержание показаний и выступлений участников заседания, все высказанные мнения, прозвучавшие вопросы и реплики, замечания, позиции. Полный протокол позволяет документировать подробную картину заседания.</w:t>
      </w:r>
      <w:r w:rsidRPr="00DA76A7">
        <w:rPr>
          <w:rStyle w:val="apple-converted-space"/>
          <w:rFonts w:ascii="Arial" w:hAnsi="Arial" w:cs="Arial"/>
          <w:color w:val="000000" w:themeColor="text1"/>
          <w:sz w:val="22"/>
          <w:szCs w:val="22"/>
        </w:rPr>
        <w:t> </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Style w:val="ab"/>
          <w:rFonts w:ascii="Arial" w:hAnsi="Arial" w:cs="Arial"/>
          <w:b w:val="0"/>
          <w:color w:val="000000" w:themeColor="text1"/>
          <w:sz w:val="22"/>
          <w:szCs w:val="22"/>
        </w:rPr>
        <w:t>Краткий протокол</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 фиксирует обсуждавшиеся на заседании вопросы, фамилии участников и принятые решения.</w:t>
      </w:r>
    </w:p>
    <w:p w:rsidR="00592BC2" w:rsidRPr="00DA76A7" w:rsidRDefault="00592BC2" w:rsidP="00592BC2">
      <w:pPr>
        <w:pStyle w:val="j113"/>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bookmarkStart w:id="109" w:name="SUB347010500"/>
      <w:bookmarkStart w:id="110" w:name="SUB3480000"/>
      <w:bookmarkEnd w:id="109"/>
      <w:bookmarkEnd w:id="110"/>
      <w:r w:rsidRPr="00DA76A7">
        <w:rPr>
          <w:rStyle w:val="s0"/>
          <w:rFonts w:ascii="Arial" w:hAnsi="Arial" w:cs="Arial"/>
          <w:color w:val="000000" w:themeColor="text1"/>
          <w:sz w:val="22"/>
          <w:szCs w:val="22"/>
        </w:rPr>
        <w:t>Стороны, а также иные лица, участвующие в главном судебном разбирательстве, вправе ознакомиться с протоколом судебного заседания, подать замечания на протокол в письменной форме или форме электронного документа, удостоверенного электронной цифровой подписью –</w:t>
      </w:r>
      <w:r w:rsidRPr="00DA76A7">
        <w:rPr>
          <w:rStyle w:val="s1"/>
          <w:rFonts w:ascii="Arial" w:hAnsi="Arial" w:cs="Arial"/>
          <w:bCs/>
          <w:color w:val="000000" w:themeColor="text1"/>
          <w:sz w:val="22"/>
          <w:szCs w:val="22"/>
        </w:rPr>
        <w:t xml:space="preserve"> в </w:t>
      </w:r>
      <w:r w:rsidRPr="00DA76A7">
        <w:rPr>
          <w:rStyle w:val="s0"/>
          <w:rFonts w:ascii="Arial" w:hAnsi="Arial" w:cs="Arial"/>
          <w:color w:val="000000" w:themeColor="text1"/>
          <w:sz w:val="22"/>
          <w:szCs w:val="22"/>
        </w:rPr>
        <w:t xml:space="preserve">течение пяти суток после подписания протокола главного судебного разбирательства на бумажном носителе. </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592BC2">
      <w:pPr>
        <w:tabs>
          <w:tab w:val="num" w:pos="127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Международный Пакт о гражданских и политических правах (Нью-Йорк, 19 декабря 1966 г.) // Бюллетень международных договоров РК. – 2006. – № 4. – Ст. 30.</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w:t>
      </w:r>
      <w:r w:rsidRPr="00DA76A7">
        <w:rPr>
          <w:rFonts w:ascii="Arial" w:hAnsi="Arial" w:cs="Arial"/>
          <w:bCs/>
          <w:color w:val="000000" w:themeColor="text1"/>
          <w:sz w:val="22"/>
          <w:szCs w:val="22"/>
        </w:rPr>
        <w:t xml:space="preserve">Уголовно-процессуальный кодекс Республики Казахстан </w:t>
      </w:r>
      <w:r w:rsidRPr="00DA76A7">
        <w:rPr>
          <w:rFonts w:ascii="Arial" w:hAnsi="Arial" w:cs="Arial"/>
          <w:color w:val="000000" w:themeColor="text1"/>
          <w:sz w:val="22"/>
          <w:szCs w:val="22"/>
        </w:rPr>
        <w:t xml:space="preserve">[закон принят </w:t>
      </w:r>
      <w:r w:rsidRPr="00DA76A7">
        <w:rPr>
          <w:rFonts w:ascii="Arial" w:hAnsi="Arial" w:cs="Arial"/>
          <w:bCs/>
          <w:color w:val="000000" w:themeColor="text1"/>
          <w:sz w:val="22"/>
          <w:szCs w:val="22"/>
        </w:rPr>
        <w:t>4 июля 2014 года № 231-V</w:t>
      </w:r>
      <w:r w:rsidRPr="00DA76A7">
        <w:rPr>
          <w:rFonts w:ascii="Arial" w:hAnsi="Arial" w:cs="Arial"/>
          <w:color w:val="000000" w:themeColor="text1"/>
          <w:sz w:val="22"/>
          <w:szCs w:val="22"/>
        </w:rPr>
        <w:t>: по состоянию на 01 марта 2018 г.] // Казахстанская правда, 2014 год, 10 июля, № 133 (27754).</w:t>
      </w:r>
    </w:p>
    <w:p w:rsidR="00592BC2" w:rsidRPr="00DA76A7" w:rsidRDefault="00592BC2" w:rsidP="00D45D6B">
      <w:pPr>
        <w:pStyle w:val="af2"/>
        <w:widowControl w:val="0"/>
        <w:numPr>
          <w:ilvl w:val="0"/>
          <w:numId w:val="114"/>
        </w:numPr>
        <w:tabs>
          <w:tab w:val="left" w:pos="900"/>
          <w:tab w:val="left" w:pos="993"/>
        </w:tabs>
        <w:autoSpaceDE w:val="0"/>
        <w:autoSpaceDN w:val="0"/>
        <w:adjustRightInd w:val="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Уголовно-процессуальное право Республики Казахстан. Часть Общая: Академический курс /Под ред. д.ю.н., профессора Б.Х. Толеубековой. Книга первая. -  Алматы: ТОО Издательская компания «</w:t>
      </w:r>
      <w:r w:rsidRPr="00DA76A7">
        <w:rPr>
          <w:rFonts w:ascii="Arial" w:hAnsi="Arial" w:cs="Arial"/>
          <w:color w:val="000000" w:themeColor="text1"/>
          <w:sz w:val="22"/>
          <w:szCs w:val="22"/>
          <w:lang w:val="de-DE"/>
        </w:rPr>
        <w:t>HAS</w:t>
      </w:r>
      <w:r w:rsidRPr="00DA76A7">
        <w:rPr>
          <w:rFonts w:ascii="Arial" w:hAnsi="Arial" w:cs="Arial"/>
          <w:color w:val="000000" w:themeColor="text1"/>
          <w:sz w:val="22"/>
          <w:szCs w:val="22"/>
        </w:rPr>
        <w:t>», 2004. – 413 с.</w:t>
      </w:r>
    </w:p>
    <w:p w:rsidR="00592BC2" w:rsidRPr="00DA76A7" w:rsidRDefault="00592BC2" w:rsidP="00592BC2">
      <w:pPr>
        <w:pStyle w:val="af2"/>
        <w:ind w:firstLine="567"/>
        <w:jc w:val="center"/>
        <w:rPr>
          <w:rFonts w:ascii="Arial" w:hAnsi="Arial" w:cs="Arial"/>
          <w:b/>
          <w:color w:val="000000" w:themeColor="text1"/>
          <w:sz w:val="22"/>
          <w:szCs w:val="22"/>
          <w:lang w:val="kk-KZ"/>
        </w:rPr>
      </w:pPr>
    </w:p>
    <w:p w:rsidR="00592BC2" w:rsidRPr="00DA76A7" w:rsidRDefault="00592BC2" w:rsidP="00592BC2">
      <w:pPr>
        <w:pStyle w:val="af2"/>
        <w:ind w:firstLine="567"/>
        <w:jc w:val="center"/>
        <w:rPr>
          <w:rFonts w:ascii="Arial" w:hAnsi="Arial" w:cs="Arial"/>
          <w:b/>
          <w:color w:val="000000" w:themeColor="text1"/>
          <w:sz w:val="22"/>
          <w:szCs w:val="22"/>
          <w:lang w:val="kk-KZ"/>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ПОНЯТИЕ И ОСОБЕННОСТИ КВАЛИФИКАЦИИ ПРИВОЕНИЯ ИЛИ РАСТРАТЫ</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Азимов Фирдавсджон Собирович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дневного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992986326598,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fayzulaev</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CONCEPT AND QUALIFICATION PECULIARITIES OF MISAPPROPRIATION OR EMBEZZLEMENT</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Azimov Firdavsjon Sobirovich</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the 2 nd year of the full-time department of the faculty of law</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734025, Republic of Tajikistan, Dushanbe, M. Tursunzade str., 30 </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992986326598, e-mail: fayzulaev@mail.ru</w:t>
      </w:r>
    </w:p>
    <w:p w:rsidR="00592BC2" w:rsidRPr="00DA76A7" w:rsidRDefault="00592BC2" w:rsidP="00592BC2">
      <w:pPr>
        <w:ind w:firstLine="567"/>
        <w:jc w:val="right"/>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Чоршанбиев А.Ч.</w:t>
      </w:r>
    </w:p>
    <w:p w:rsidR="00592BC2" w:rsidRPr="00DA76A7" w:rsidRDefault="00592BC2" w:rsidP="00592BC2">
      <w:pPr>
        <w:ind w:firstLine="567"/>
        <w:jc w:val="both"/>
        <w:rPr>
          <w:rFonts w:ascii="Arial" w:hAnsi="Arial" w:cs="Arial"/>
          <w:b/>
          <w:i/>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рассматриваются вопросы присвоения или растраты: понятие, основные черты, особенности квалификации, в чем заключается специфичность данных преступлений. Также в статье описаны способы совершения таких преступлений, как присвоение и растрата, квалифицирующие признаки, существенные обстоятельства, которые должны быть установлены по делам присвоения и растраты и чем отличаются данные преступления друг от друга.</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deals with the issues of misappropriation or embezzlement: concept, main features and peculiarities of qualification and the specificities of these crimes. The authors describe means of committing such crimes as misappropriation or embezzlement, constituent elements, material circumstances, which should be fixed in cases of misappropriation or embezzlement, and the differences of these crimes.</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присвоение, растрата, доказывание, преступление, квалификация, имущество.</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misappropriation, embezzlement, proof, offence, qualification, property.</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Присвоения и растрату можно определить как синоним, т.к. оба эти преступления определяются  неправомерным удержанием чужого имущества, а также направлены вопреки собственности другого человека.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присвоении заложен значение того, чтобы удержать вещь входящие в собственность другого человека.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Следовательно, преступник, отставляет за собой в своей собственности имущество, которое по каким либо причинам было ему ранее вверено [1, 16].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Растратой является незаконное действие, которое характеризуется неправомерным завладением чужого имущества и использование его в своих целях. Растрата действует после присвоения и признается незаконным.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сути, присвоением называют такие действие, направленное на удержание в своей непосредственной собственности чужого имущества.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Растрата направлена на использование данного имущества в дальнейшем, проявляющееся в форме продажи, дарения или же иных сделок, совершаемых с имуществом.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Начальном этапом возбуждения уголовного дела по факту присвоении или растрате часто не совпадает с уверенностью в событии преступления, тем самым подчеркивая специфичность данного вида преступлений.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Только в процессе, когда идет расследования конкретного дела, начинают собирать, проверять и оценивать доказательства, подтверждающие факт данного состава присвоения и растраты.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возбуждения уголовного дела по данному составу требуются, тем не менее, достаточные основания.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Главной особенностью возбуждения уголовных дел по таким категориям  является выемка документов, который проводится на основании постановления  о выемки или же обыска.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этом случае, иногда возникают проблемы в процессе проведение выемки в банке. В данном случае на первоначальном этапе необходимо получить постановление суда для проведение такой выемки.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Перечень обстоятельств, которые подлежат своевременно доказывать по делам о присвоении и растрате указаны в ст. 73 УПК РФ [2, 98].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Наиболее значимые доказательство являются такие как: время, способ, место совершения, а также  не мала важную роль играет событие преступления.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Чтобы определить способ хищения, прежде всего, необходимо обнаружить существенные факты присвоения ценностей материального характера, а также выяснить источники растраты и присвоения, тем самом способы изъятия предметов, товаров, денег, способы сокрытия последствий преступления, а также круг лиц, которые причастных к данному преступлению в каждом случае, а также приемы укрытия недостач.</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Растрата характеризуется незаконными действиями, которое определяется неправомерным завладением имуществом принадлежавшего  другому лицу и использование его в своих корыстных целях. После присвоение действует растрата, которая, признается незаконным.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факту растраты или присвоения для возбуждение уголовного дело, необходимо, намола важную роль играет также установление форма собственности похищенного придмета.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Существенными обстоятельствами, установление которых является обязательным по делам присвоения и растраты, чужого имущество являются: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событие преступление, способ совершения данного преступление;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место совершения данного преступного деяния;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виновность обвиняемого, а также других соучастников, причастных к данному деянию;</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а также немало важную роль играет установление формы вины.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уголовном законодательстве насчитывается много способов совершения данного преступления, как присвоение, как и растрата [3, 32].</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первым способом является действие, направленное на скрытие недостачи.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Вторым способом является действие, направленное на неправомерное использование ценностей, которые ранее не были учтены.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Третий способ выступает создание реестра, в который затем войдет преступным путем имущество которые не были учтены.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современном этапе самым распространенным способом выступает завладение объектами, материальными ценностями или же денежными средствами.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совершение деяния лицом с использованием своего  служебное положение, является квалифицирующим признаком присвоение или растрата чужого имущество.</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Другим квалифицирующим признаком выступает совершение деяние в особо крупном размере.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растратой является те незаконное действие, которое определяется неправомерным способом завладением чужого имущества, а также использование его в своих корыстных целях. Растрата действует, тогда когда имущество было присвоена незаконным путем.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Можно резюмировать тем, что виновный, в момент окончания присвоения обладает имуществом, тем самом имея на то реальную возможность, чтобы распорядиться данным имуществом по своему личному усмотрению.</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Этот момент, присвоение переходить плавно в растрату. Следует сделать вывод, что между неправомерным удержанием и правомерным владением чужого имущества отсутствует промежуток времени, в который виновный незаконно осуществляет владение данным имуществом.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можно заключить то, что отличием растраты от присвоения является наличие у виновного незаконное имущества на момент окончания преступления.</w:t>
      </w:r>
    </w:p>
    <w:p w:rsidR="00592BC2" w:rsidRPr="00DA76A7" w:rsidRDefault="00592BC2" w:rsidP="00592BC2">
      <w:pPr>
        <w:ind w:firstLine="567"/>
        <w:jc w:val="center"/>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Тришкина Е.А. Особенности возбуждения уголовных дел и обстоятельства, подлежащие доказыванию по преступлениям о присвоении и растрате // Современные проблемы науки и образования. - 2015. - №2. - С. 15-23.</w:t>
      </w:r>
    </w:p>
    <w:p w:rsidR="00592BC2" w:rsidRPr="00DA76A7" w:rsidRDefault="00592BC2" w:rsidP="00592BC2">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2. Шейфер С.А. Доказательства и доказывание по уголовным делам: проблемы теории и правового регулирования. – М.: </w:t>
      </w:r>
      <w:r w:rsidRPr="00DA76A7">
        <w:rPr>
          <w:rFonts w:ascii="Arial" w:hAnsi="Arial" w:cs="Arial"/>
          <w:color w:val="000000" w:themeColor="text1"/>
          <w:sz w:val="22"/>
          <w:szCs w:val="22"/>
        </w:rPr>
        <w:t>СПбГУ</w:t>
      </w:r>
      <w:r w:rsidRPr="00DA76A7">
        <w:rPr>
          <w:rFonts w:ascii="Arial" w:hAnsi="Arial" w:cs="Arial"/>
          <w:color w:val="000000" w:themeColor="text1"/>
          <w:sz w:val="22"/>
          <w:szCs w:val="22"/>
          <w:shd w:val="clear" w:color="auto" w:fill="FFFFFF"/>
        </w:rPr>
        <w:t>, 2000. - 360 с.</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Эриашвили Н.Д. Субъективные признаки присвоения и растраты // Закон и право. - 2012. - №11. - С. 32-34.</w:t>
      </w:r>
    </w:p>
    <w:p w:rsidR="00592BC2" w:rsidRPr="00DA76A7" w:rsidRDefault="00592BC2" w:rsidP="00592BC2">
      <w:pPr>
        <w:ind w:firstLine="567"/>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ПОНЯТИЕ И СТРУКТУРА ЛИЧНОСТИ ПРЕСТУПНИКА</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Алаяров Низомиддин Ибрагимович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992915061050,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alayarov</w:t>
      </w:r>
      <w:r w:rsidRPr="00DA76A7">
        <w:rPr>
          <w:rFonts w:ascii="Arial" w:hAnsi="Arial" w:cs="Arial"/>
          <w:color w:val="000000" w:themeColor="text1"/>
          <w:sz w:val="22"/>
          <w:szCs w:val="22"/>
        </w:rPr>
        <w:t>92@</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CONCEPT AND STRUCTURE OF THE PERPETRATOR'S PERSONALITY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p>
    <w:p w:rsidR="00592BC2" w:rsidRPr="00DA76A7" w:rsidRDefault="00592BC2" w:rsidP="00592BC2">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Alayarov Nizomiddin Ibragimovich</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the second year of correspondence department of the Faculty of Law</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992915061050, e-mail: </w:t>
      </w:r>
      <w:hyperlink r:id="rId266" w:history="1">
        <w:r w:rsidRPr="00DA76A7">
          <w:rPr>
            <w:rStyle w:val="af0"/>
            <w:rFonts w:ascii="Arial" w:hAnsi="Arial" w:cs="Arial"/>
            <w:color w:val="000000" w:themeColor="text1"/>
            <w:sz w:val="22"/>
            <w:szCs w:val="22"/>
            <w:u w:val="none"/>
            <w:lang w:val="en-US"/>
          </w:rPr>
          <w:t>alayarov92@mail.ru</w:t>
        </w:r>
      </w:hyperlink>
    </w:p>
    <w:p w:rsidR="00592BC2" w:rsidRPr="00DA76A7" w:rsidRDefault="00592BC2" w:rsidP="00592BC2">
      <w:pPr>
        <w:ind w:firstLine="567"/>
        <w:jc w:val="right"/>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Зоиров Дж.З.</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shd w:val="clear" w:color="auto" w:fill="FFFFFF"/>
        </w:rPr>
        <w:t>Аннотация.</w:t>
      </w:r>
      <w:r w:rsidRPr="00DA76A7">
        <w:rPr>
          <w:rFonts w:ascii="Arial" w:hAnsi="Arial" w:cs="Arial"/>
          <w:i/>
          <w:color w:val="000000" w:themeColor="text1"/>
          <w:sz w:val="22"/>
          <w:szCs w:val="22"/>
          <w:shd w:val="clear" w:color="auto" w:fill="FFFFFF"/>
        </w:rPr>
        <w:t xml:space="preserve"> </w:t>
      </w:r>
      <w:r w:rsidRPr="00DA76A7">
        <w:rPr>
          <w:rFonts w:ascii="Arial" w:hAnsi="Arial" w:cs="Arial"/>
          <w:i/>
          <w:color w:val="000000" w:themeColor="text1"/>
          <w:sz w:val="22"/>
          <w:szCs w:val="22"/>
        </w:rPr>
        <w:t>В данной статье рассматриваются криминологическая характеристика понятие и личности  преступника на современном этапе.</w:t>
      </w:r>
    </w:p>
    <w:p w:rsidR="00592BC2" w:rsidRPr="00DA76A7" w:rsidRDefault="00592BC2" w:rsidP="00592BC2">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 xml:space="preserve">Annotation. </w:t>
      </w:r>
      <w:r w:rsidRPr="00DA76A7">
        <w:rPr>
          <w:rFonts w:ascii="Arial" w:hAnsi="Arial" w:cs="Arial"/>
          <w:i/>
          <w:color w:val="000000" w:themeColor="text1"/>
          <w:sz w:val="22"/>
          <w:szCs w:val="22"/>
          <w:shd w:val="clear" w:color="auto" w:fill="FFFFFF"/>
          <w:lang w:val="en-US"/>
        </w:rPr>
        <w:t>In this article, the criminological characteristics of the criminal's concept and personality at the present stage are considered.</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личность, преступник, криминологическая характеристика, модель.</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shd w:val="clear" w:color="auto" w:fill="FFFFFF"/>
          <w:lang w:val="en-US"/>
        </w:rPr>
        <w:t>Key words:</w:t>
      </w:r>
      <w:r w:rsidRPr="00DA76A7">
        <w:rPr>
          <w:rFonts w:ascii="Arial" w:hAnsi="Arial" w:cs="Arial"/>
          <w:i/>
          <w:color w:val="000000" w:themeColor="text1"/>
          <w:sz w:val="22"/>
          <w:szCs w:val="22"/>
          <w:shd w:val="clear" w:color="auto" w:fill="FFFFFF"/>
          <w:lang w:val="en-US"/>
        </w:rPr>
        <w:t xml:space="preserve"> personality, criminal, criminological characteristics, model.</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rPr>
        <w:t>С точки зрения научно-практического применения понятие личности преступника подразделяется на составные части (структурные элементы или подсистемы). Такой структурный анализ делает более удобным проведение различных исследований личности правонарушителей [1, 153]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Многие из тех, кто совершал хулиганство, разбойное нападение, грабежи, кражи, часто меняли место работы, периодически имели длительные перерывы в трудовой деятельности, т.е. не занимались общественно полезным трудом. Самый низкий уровень образования зарегистрирован у лиц, виновных в совершении насильственных, насильственно-корыстных преступлений, хулиганства; наиболее высокий - у совершивших должностные преступления и хищения путем присвоения, растраты или злоупотребления доверием и т.д. [2, 95].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Наибольшая криминогенная активность лиц более молодого возраста во многом объясняется не только их большей активностью, но и в значительной мере социальной незрелостью их личности, еще не завершившимся процессом социализации, низким уровнем культуры, отношений и поведения, примитивностью интересов, ценностных ориентации, отсутствием устойчивых жизненных планов. Таких лиц отличает отрицательное или безразличное отношение к выполнению гражданских обязанностей добросовестно трудиться, заботиться о воспитании детей и т.п. «Преобладающей части преступников присуща та или другая степень отчужденности, оторванности от трудового или учебного коллектива, от неформальных групп, которые объединяют лиц с положительным поведением. Они ориентированы преимущественно на деятельность и одобрение в неформальных группах с негативной направленностью».</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Исследования Ю.М. Антоняна показывают: импульсивность, тенденция поступать по первому побуждению под влиянием эмоций, застревание аффекта (ригидность), подозрительность, злопамятность, уход в себя, стремление к соблюдению дистанции между собой и окружающим миром наиболее характерны лицам, наносящим тяжкий вред здоровью, и совершающим грабежи, разбойные нападения, убийства и изнасилования [3, 46].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как утверждает А.Н. Пастушеня, в некоторых случаях личность человека, совершившего противозаконное деяние, может не иметь существенных отличий по криминогенно значимым признакам от личности законопослушных граждан. Например, нельзя не учитывать возможность совершения преступлений в результате неадекватного восприятия и оценки субъектом ситуации, когда он полагает, что его действия правомерны (т.е. добросовестно заблуждается), либо не знает правового запрета или дозволения (при отсутствии возможности получить информацию) [4, 22].</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Они обнаруживаются в личностно значимых и эмоционально насыщенных ситуациях; связаны с проявлением отрицательных эмоций и чувств - страха, ревности, гнева, ненависти, выплеск которых приводит к агрессивным и жестоким действиям.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Различные категории личности преступников обладают своими отличительными личностными особенностями, которые поддаются анализу и обобщению, и успешно используются в интересах правоохранительной деятельности.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то же время при всей значимости представленных в литературе результатов психологических исследований личности преступника еще не сложилась концепция, раскрывающая данную личность в совокупности ее проявлений.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Психологические феномены личности преступника изучаются без должного учета психологической структуры (механизма) преступного деяния, недостаточно учитывается соотношение социальной роли преступника и роли жертвы в конкретной ситуации. Остаются малоизученными связи психологических свойств разных сфер личности преступника: интеллектуальной, эмоциональной и волевой.</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Андрюшин Г.Д. Основы криминальной и следственной психологии: учеб. пособие. – М.:  Юрайт, - 2005. – 195 с.</w:t>
      </w:r>
    </w:p>
    <w:p w:rsidR="00592BC2" w:rsidRPr="00DA76A7" w:rsidRDefault="00592BC2" w:rsidP="00D45D6B">
      <w:pPr>
        <w:pStyle w:val="a6"/>
        <w:numPr>
          <w:ilvl w:val="0"/>
          <w:numId w:val="1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Кондрашов Д.В. Социально-демографические и нравственно-культурные особенности личности современного насильственного преступника// Уголовно-правовая политика России и стран СНГ: материалы конференции  (24-28 апреля 2007г.). - Новосибирск: Издательство Новосибирского государственного университета, - 2007. – С. 94-100.</w:t>
      </w:r>
    </w:p>
    <w:p w:rsidR="00592BC2" w:rsidRPr="00DA76A7" w:rsidRDefault="00592BC2" w:rsidP="00D45D6B">
      <w:pPr>
        <w:pStyle w:val="a6"/>
        <w:numPr>
          <w:ilvl w:val="0"/>
          <w:numId w:val="1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Кургузкина Е.Б. Теоретические основы учения о личности преступника: учеб. пособие. – М.: СГУ, - 2002. - 360 с.</w:t>
      </w:r>
    </w:p>
    <w:p w:rsidR="00592BC2" w:rsidRPr="00DA76A7" w:rsidRDefault="00592BC2" w:rsidP="00D45D6B">
      <w:pPr>
        <w:pStyle w:val="a6"/>
        <w:numPr>
          <w:ilvl w:val="0"/>
          <w:numId w:val="11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Пастушеня А.Н. Криминогенная сущность личности преступника: методология познания и психологическая концепция. - Минск, 2000. – 152 с.</w:t>
      </w:r>
    </w:p>
    <w:p w:rsidR="00592BC2" w:rsidRPr="00DA76A7" w:rsidRDefault="00592BC2" w:rsidP="00592BC2">
      <w:pPr>
        <w:ind w:firstLine="567"/>
        <w:rPr>
          <w:rFonts w:ascii="Arial" w:hAnsi="Arial" w:cs="Arial"/>
          <w:color w:val="000000" w:themeColor="text1"/>
          <w:sz w:val="22"/>
          <w:szCs w:val="22"/>
        </w:rPr>
      </w:pPr>
      <w:bookmarkStart w:id="111" w:name="_ftn31"/>
    </w:p>
    <w:bookmarkEnd w:id="111"/>
    <w:p w:rsidR="00592BC2" w:rsidRPr="00240D8D" w:rsidRDefault="00592BC2" w:rsidP="00592BC2">
      <w:pPr>
        <w:ind w:firstLine="567"/>
        <w:jc w:val="center"/>
        <w:rPr>
          <w:rFonts w:ascii="Times New Roman Tj" w:hAnsi="Times New Roman Tj" w:cs="Arial"/>
          <w:b/>
          <w:color w:val="000000" w:themeColor="text1"/>
          <w:sz w:val="22"/>
          <w:szCs w:val="22"/>
        </w:rPr>
      </w:pPr>
    </w:p>
    <w:p w:rsidR="00592BC2" w:rsidRPr="00240D8D" w:rsidRDefault="00592BC2" w:rsidP="00592BC2">
      <w:pPr>
        <w:keepNext/>
        <w:keepLines/>
        <w:suppressAutoHyphens/>
        <w:kinsoku w:val="0"/>
        <w:overflowPunct w:val="0"/>
        <w:ind w:firstLine="567"/>
        <w:jc w:val="center"/>
        <w:outlineLvl w:val="3"/>
        <w:rPr>
          <w:rFonts w:ascii="Times New Roman Tj" w:hAnsi="Times New Roman Tj" w:cs="Arial"/>
          <w:b/>
          <w:color w:val="000000" w:themeColor="text1"/>
          <w:spacing w:val="-4"/>
          <w:kern w:val="2"/>
          <w:sz w:val="23"/>
          <w:szCs w:val="23"/>
        </w:rPr>
      </w:pPr>
      <w:r w:rsidRPr="00240D8D">
        <w:rPr>
          <w:rFonts w:ascii="Times New Roman Tj" w:hAnsi="Times New Roman Tj" w:cs="Arial"/>
          <w:b/>
          <w:color w:val="000000" w:themeColor="text1"/>
          <w:spacing w:val="-4"/>
          <w:kern w:val="2"/>
          <w:sz w:val="23"/>
          <w:szCs w:val="23"/>
        </w:rPr>
        <w:t>МАЌСАД ВА ВАЗИФАИ МУРОФИАИ ЉИНОЯТЇ</w:t>
      </w:r>
    </w:p>
    <w:p w:rsidR="00592BC2" w:rsidRPr="00240D8D" w:rsidRDefault="00592BC2" w:rsidP="00592BC2">
      <w:pPr>
        <w:shd w:val="clear" w:color="auto" w:fill="FFFFFF"/>
        <w:ind w:firstLine="567"/>
        <w:jc w:val="center"/>
        <w:rPr>
          <w:rFonts w:ascii="Times New Roman Tj" w:hAnsi="Times New Roman Tj" w:cs="Arial"/>
          <w:b/>
          <w:color w:val="000000" w:themeColor="text1"/>
          <w:spacing w:val="-4"/>
          <w:kern w:val="2"/>
          <w:sz w:val="23"/>
          <w:szCs w:val="23"/>
        </w:rPr>
      </w:pPr>
    </w:p>
    <w:p w:rsidR="00592BC2" w:rsidRPr="00240D8D" w:rsidRDefault="00592BC2" w:rsidP="00592BC2">
      <w:pPr>
        <w:shd w:val="clear" w:color="auto" w:fill="FFFFFF"/>
        <w:ind w:firstLine="567"/>
        <w:jc w:val="center"/>
        <w:rPr>
          <w:rFonts w:ascii="Times New Roman Tj" w:hAnsi="Times New Roman Tj" w:cs="Arial"/>
          <w:color w:val="000000" w:themeColor="text1"/>
          <w:sz w:val="23"/>
          <w:szCs w:val="23"/>
        </w:rPr>
      </w:pPr>
      <w:r w:rsidRPr="00240D8D">
        <w:rPr>
          <w:rFonts w:ascii="Times New Roman Tj" w:hAnsi="Times New Roman Tj" w:cs="Arial"/>
          <w:b/>
          <w:color w:val="000000" w:themeColor="text1"/>
          <w:sz w:val="23"/>
          <w:szCs w:val="23"/>
        </w:rPr>
        <w:t>Бойматов Фирузљон Давлатљонович</w:t>
      </w:r>
    </w:p>
    <w:p w:rsidR="00592BC2" w:rsidRPr="00240D8D" w:rsidRDefault="00592BC2" w:rsidP="00592BC2">
      <w:pPr>
        <w:shd w:val="clear" w:color="auto" w:fill="FFFFFF"/>
        <w:ind w:firstLine="567"/>
        <w:jc w:val="center"/>
        <w:rPr>
          <w:rFonts w:ascii="Times New Roman Tj" w:hAnsi="Times New Roman Tj" w:cs="Arial"/>
          <w:color w:val="000000" w:themeColor="text1"/>
          <w:sz w:val="23"/>
          <w:szCs w:val="23"/>
        </w:rPr>
      </w:pPr>
      <w:r w:rsidRPr="00240D8D">
        <w:rPr>
          <w:rFonts w:ascii="Times New Roman Tj" w:hAnsi="Times New Roman Tj" w:cs="Arial"/>
          <w:color w:val="000000" w:themeColor="text1"/>
          <w:sz w:val="23"/>
          <w:szCs w:val="23"/>
        </w:rPr>
        <w:t>сержанти хурди милитсия, курсанти курси 3 факултети № 2</w:t>
      </w:r>
    </w:p>
    <w:p w:rsidR="00592BC2" w:rsidRPr="00240D8D" w:rsidRDefault="00592BC2" w:rsidP="00592BC2">
      <w:pPr>
        <w:shd w:val="clear" w:color="auto" w:fill="FFFFFF"/>
        <w:ind w:firstLine="567"/>
        <w:jc w:val="center"/>
        <w:rPr>
          <w:rFonts w:ascii="Times New Roman Tj" w:hAnsi="Times New Roman Tj" w:cs="Arial"/>
          <w:color w:val="000000" w:themeColor="text1"/>
          <w:sz w:val="23"/>
          <w:szCs w:val="23"/>
        </w:rPr>
      </w:pPr>
      <w:r w:rsidRPr="00240D8D">
        <w:rPr>
          <w:rFonts w:ascii="Times New Roman Tj" w:hAnsi="Times New Roman Tj" w:cs="Arial"/>
          <w:color w:val="000000" w:themeColor="text1"/>
          <w:sz w:val="23"/>
          <w:szCs w:val="23"/>
        </w:rPr>
        <w:t>Академияи ВКД Љумњурии Тољикистон,</w:t>
      </w:r>
    </w:p>
    <w:p w:rsidR="00592BC2" w:rsidRPr="00240D8D" w:rsidRDefault="00592BC2" w:rsidP="00592BC2">
      <w:pPr>
        <w:shd w:val="clear" w:color="auto" w:fill="FFFFFF"/>
        <w:ind w:firstLine="567"/>
        <w:jc w:val="center"/>
        <w:rPr>
          <w:rFonts w:ascii="Times New Roman Tj" w:hAnsi="Times New Roman Tj" w:cs="Arial"/>
          <w:color w:val="000000" w:themeColor="text1"/>
        </w:rPr>
      </w:pPr>
      <w:r w:rsidRPr="00240D8D">
        <w:rPr>
          <w:rFonts w:ascii="Times New Roman Tj" w:hAnsi="Times New Roman Tj" w:cs="Arial"/>
          <w:color w:val="000000" w:themeColor="text1"/>
          <w:sz w:val="23"/>
          <w:szCs w:val="23"/>
        </w:rPr>
        <w:t>734012, ш. Душанбе, Љумњурии Тољикистон</w:t>
      </w:r>
    </w:p>
    <w:p w:rsidR="00592BC2" w:rsidRPr="00DA76A7" w:rsidRDefault="00592BC2" w:rsidP="00592BC2">
      <w:pPr>
        <w:shd w:val="clear" w:color="auto" w:fill="FFFFFF"/>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тел.: +(992) 918 73 91 33,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67" w:history="1">
        <w:r w:rsidRPr="00DA76A7">
          <w:rPr>
            <w:rFonts w:ascii="Arial" w:hAnsi="Arial" w:cs="Arial"/>
            <w:color w:val="000000" w:themeColor="text1"/>
            <w:sz w:val="22"/>
            <w:szCs w:val="22"/>
            <w:lang w:val="en-US"/>
          </w:rPr>
          <w:t>reefat</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yandex</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hyperlink>
    </w:p>
    <w:p w:rsidR="00592BC2" w:rsidRPr="00DA76A7" w:rsidRDefault="00592BC2" w:rsidP="00592BC2">
      <w:pPr>
        <w:shd w:val="clear" w:color="auto" w:fill="FFFFFF"/>
        <w:ind w:firstLine="567"/>
        <w:jc w:val="center"/>
        <w:rPr>
          <w:rFonts w:ascii="Arial" w:hAnsi="Arial" w:cs="Arial"/>
          <w:color w:val="000000" w:themeColor="text1"/>
          <w:sz w:val="22"/>
          <w:szCs w:val="22"/>
        </w:rPr>
      </w:pPr>
    </w:p>
    <w:p w:rsidR="00592BC2" w:rsidRPr="00DA76A7" w:rsidRDefault="00592BC2" w:rsidP="00592BC2">
      <w:pPr>
        <w:keepNext/>
        <w:keepLines/>
        <w:suppressAutoHyphens/>
        <w:kinsoku w:val="0"/>
        <w:overflowPunct w:val="0"/>
        <w:ind w:firstLine="567"/>
        <w:jc w:val="center"/>
        <w:outlineLvl w:val="3"/>
        <w:rPr>
          <w:rFonts w:ascii="Arial" w:hAnsi="Arial" w:cs="Arial"/>
          <w:b/>
          <w:color w:val="000000" w:themeColor="text1"/>
          <w:spacing w:val="-4"/>
          <w:kern w:val="2"/>
          <w:sz w:val="22"/>
          <w:szCs w:val="22"/>
        </w:rPr>
      </w:pPr>
      <w:r w:rsidRPr="00DA76A7">
        <w:rPr>
          <w:rFonts w:ascii="Arial" w:hAnsi="Arial" w:cs="Arial"/>
          <w:b/>
          <w:color w:val="000000" w:themeColor="text1"/>
          <w:spacing w:val="-4"/>
          <w:kern w:val="2"/>
          <w:sz w:val="22"/>
          <w:szCs w:val="22"/>
        </w:rPr>
        <w:t>ЦЕЛИ И ЗАДАЧИ УГОЛОВНОГО ПРОЦЕССА</w:t>
      </w:r>
    </w:p>
    <w:p w:rsidR="00592BC2" w:rsidRPr="00DA76A7" w:rsidRDefault="00592BC2" w:rsidP="00592BC2">
      <w:pPr>
        <w:shd w:val="clear" w:color="auto" w:fill="FFFFFF"/>
        <w:ind w:firstLine="567"/>
        <w:jc w:val="center"/>
        <w:rPr>
          <w:rFonts w:ascii="Arial" w:hAnsi="Arial" w:cs="Arial"/>
          <w:b/>
          <w:color w:val="000000" w:themeColor="text1"/>
          <w:spacing w:val="-4"/>
          <w:kern w:val="2"/>
          <w:sz w:val="22"/>
          <w:szCs w:val="22"/>
        </w:rPr>
      </w:pPr>
    </w:p>
    <w:p w:rsidR="00592BC2" w:rsidRPr="00DA76A7" w:rsidRDefault="00592BC2" w:rsidP="00592BC2">
      <w:pPr>
        <w:shd w:val="clear" w:color="auto" w:fill="FFFFFF"/>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Бойматов Фирузджон Давлатджонович</w:t>
      </w:r>
    </w:p>
    <w:p w:rsidR="00592BC2" w:rsidRPr="00DA76A7" w:rsidRDefault="00592BC2" w:rsidP="00592BC2">
      <w:pPr>
        <w:shd w:val="clear" w:color="auto" w:fill="FFFFFF"/>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младший сержант милиции, курсант 3-го курса факультета № 2</w:t>
      </w:r>
    </w:p>
    <w:p w:rsidR="00592BC2" w:rsidRPr="00DA76A7" w:rsidRDefault="00592BC2" w:rsidP="00592BC2">
      <w:pPr>
        <w:shd w:val="clear" w:color="auto" w:fill="FFFFFF"/>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Академия МВД Республики Таджикистан</w:t>
      </w:r>
    </w:p>
    <w:p w:rsidR="00592BC2" w:rsidRPr="00DA76A7" w:rsidRDefault="00592BC2" w:rsidP="00592BC2">
      <w:pPr>
        <w:shd w:val="clear" w:color="auto" w:fill="FFFFFF"/>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734012, г. Душанбе, Республика Таджикистан</w:t>
      </w:r>
    </w:p>
    <w:p w:rsidR="00592BC2" w:rsidRPr="00DA76A7" w:rsidRDefault="00592BC2" w:rsidP="00592BC2">
      <w:pPr>
        <w:shd w:val="clear" w:color="auto" w:fill="FFFFFF"/>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 (992) 918 73 91 33,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268" w:history="1">
        <w:r w:rsidRPr="00DA76A7">
          <w:rPr>
            <w:rFonts w:ascii="Arial" w:hAnsi="Arial" w:cs="Arial"/>
            <w:color w:val="000000" w:themeColor="text1"/>
            <w:sz w:val="22"/>
            <w:szCs w:val="22"/>
            <w:lang w:val="en-US"/>
          </w:rPr>
          <w:t>reefat@yandex.ru</w:t>
        </w:r>
      </w:hyperlink>
    </w:p>
    <w:p w:rsidR="00592BC2" w:rsidRPr="00DA76A7" w:rsidRDefault="00592BC2" w:rsidP="00592BC2">
      <w:pPr>
        <w:shd w:val="clear" w:color="auto" w:fill="FFFFFF"/>
        <w:ind w:firstLine="567"/>
        <w:jc w:val="center"/>
        <w:rPr>
          <w:rFonts w:ascii="Arial" w:hAnsi="Arial" w:cs="Arial"/>
          <w:color w:val="000000" w:themeColor="text1"/>
          <w:sz w:val="22"/>
          <w:szCs w:val="22"/>
          <w:lang w:val="en-US"/>
        </w:rPr>
      </w:pPr>
    </w:p>
    <w:p w:rsidR="00592BC2" w:rsidRPr="00DA76A7" w:rsidRDefault="00592BC2" w:rsidP="00592BC2">
      <w:pPr>
        <w:keepNext/>
        <w:keepLines/>
        <w:suppressAutoHyphens/>
        <w:kinsoku w:val="0"/>
        <w:overflowPunct w:val="0"/>
        <w:ind w:firstLine="567"/>
        <w:jc w:val="center"/>
        <w:outlineLvl w:val="3"/>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OBJECTIVES AND OBJECTIVES OF THE CRIMINAL PROCESS</w:t>
      </w:r>
    </w:p>
    <w:p w:rsidR="00592BC2" w:rsidRPr="00DA76A7" w:rsidRDefault="00592BC2" w:rsidP="00592BC2">
      <w:pPr>
        <w:keepNext/>
        <w:keepLines/>
        <w:suppressAutoHyphens/>
        <w:kinsoku w:val="0"/>
        <w:overflowPunct w:val="0"/>
        <w:ind w:firstLine="567"/>
        <w:jc w:val="center"/>
        <w:outlineLvl w:val="3"/>
        <w:rPr>
          <w:rFonts w:ascii="Arial" w:hAnsi="Arial" w:cs="Arial"/>
          <w:color w:val="000000" w:themeColor="text1"/>
          <w:sz w:val="22"/>
          <w:szCs w:val="22"/>
          <w:lang w:val="en-US"/>
        </w:rPr>
      </w:pPr>
    </w:p>
    <w:p w:rsidR="00592BC2" w:rsidRPr="00DA76A7" w:rsidRDefault="00592BC2" w:rsidP="00592BC2">
      <w:pPr>
        <w:keepNext/>
        <w:keepLines/>
        <w:suppressAutoHyphens/>
        <w:kinsoku w:val="0"/>
        <w:overflowPunct w:val="0"/>
        <w:ind w:firstLine="567"/>
        <w:jc w:val="center"/>
        <w:outlineLvl w:val="3"/>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Boimatov Firuzdzhon Davlatjonovich</w:t>
      </w:r>
    </w:p>
    <w:p w:rsidR="00592BC2" w:rsidRPr="00DA76A7" w:rsidRDefault="00592BC2" w:rsidP="00592BC2">
      <w:pPr>
        <w:keepNext/>
        <w:keepLines/>
        <w:suppressAutoHyphens/>
        <w:kinsoku w:val="0"/>
        <w:overflowPunct w:val="0"/>
        <w:ind w:firstLine="567"/>
        <w:jc w:val="center"/>
        <w:outlineLvl w:val="3"/>
        <w:rPr>
          <w:rFonts w:ascii="Arial" w:hAnsi="Arial" w:cs="Arial"/>
          <w:color w:val="000000" w:themeColor="text1"/>
          <w:sz w:val="22"/>
          <w:szCs w:val="22"/>
          <w:lang w:val="en-US"/>
        </w:rPr>
      </w:pPr>
      <w:r w:rsidRPr="00DA76A7">
        <w:rPr>
          <w:rFonts w:ascii="Arial" w:hAnsi="Arial" w:cs="Arial"/>
          <w:color w:val="000000" w:themeColor="text1"/>
          <w:sz w:val="22"/>
          <w:szCs w:val="22"/>
          <w:lang w:val="en-US"/>
        </w:rPr>
        <w:t>junior sergeant of militia, 3rd year cadet of Faculty № 2</w:t>
      </w:r>
    </w:p>
    <w:p w:rsidR="00592BC2" w:rsidRPr="00DA76A7" w:rsidRDefault="00592BC2" w:rsidP="00592BC2">
      <w:pPr>
        <w:keepNext/>
        <w:keepLines/>
        <w:suppressAutoHyphens/>
        <w:kinsoku w:val="0"/>
        <w:overflowPunct w:val="0"/>
        <w:ind w:firstLine="567"/>
        <w:jc w:val="center"/>
        <w:outlineLvl w:val="3"/>
        <w:rPr>
          <w:rFonts w:ascii="Arial" w:hAnsi="Arial" w:cs="Arial"/>
          <w:color w:val="000000" w:themeColor="text1"/>
          <w:sz w:val="22"/>
          <w:szCs w:val="22"/>
          <w:lang w:val="en-US"/>
        </w:rPr>
      </w:pPr>
      <w:r w:rsidRPr="00DA76A7">
        <w:rPr>
          <w:rFonts w:ascii="Arial" w:hAnsi="Arial" w:cs="Arial"/>
          <w:color w:val="000000" w:themeColor="text1"/>
          <w:sz w:val="22"/>
          <w:szCs w:val="22"/>
          <w:lang w:val="en-US"/>
        </w:rPr>
        <w:t>Academy of the Ministry of Internal Affairs of the Republic of Tajikistan</w:t>
      </w:r>
    </w:p>
    <w:p w:rsidR="00592BC2" w:rsidRPr="00DA76A7" w:rsidRDefault="00592BC2" w:rsidP="00592BC2">
      <w:pPr>
        <w:keepNext/>
        <w:keepLines/>
        <w:suppressAutoHyphens/>
        <w:kinsoku w:val="0"/>
        <w:overflowPunct w:val="0"/>
        <w:ind w:firstLine="567"/>
        <w:jc w:val="center"/>
        <w:outlineLvl w:val="3"/>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734012, Dushanbe, Republic of Tajikistan</w:t>
      </w:r>
    </w:p>
    <w:p w:rsidR="00592BC2" w:rsidRPr="00DA76A7" w:rsidRDefault="00592BC2" w:rsidP="00592BC2">
      <w:pPr>
        <w:shd w:val="clear" w:color="auto" w:fill="FFFFFF"/>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 (992) 918 73 91 33,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269" w:history="1">
        <w:r w:rsidRPr="00DA76A7">
          <w:rPr>
            <w:rStyle w:val="af0"/>
            <w:rFonts w:ascii="Arial" w:hAnsi="Arial" w:cs="Arial"/>
            <w:color w:val="000000" w:themeColor="text1"/>
            <w:sz w:val="22"/>
            <w:szCs w:val="22"/>
            <w:u w:val="none"/>
            <w:lang w:val="en-US"/>
          </w:rPr>
          <w:t>reefat@yandex.ru</w:t>
        </w:r>
      </w:hyperlink>
    </w:p>
    <w:p w:rsidR="00592BC2" w:rsidRPr="00DA76A7" w:rsidRDefault="00592BC2" w:rsidP="00592BC2">
      <w:pPr>
        <w:shd w:val="clear" w:color="auto" w:fill="FFFFFF"/>
        <w:ind w:firstLine="567"/>
        <w:jc w:val="center"/>
        <w:rPr>
          <w:rFonts w:ascii="Arial" w:hAnsi="Arial" w:cs="Arial"/>
          <w:color w:val="000000" w:themeColor="text1"/>
          <w:sz w:val="22"/>
          <w:szCs w:val="22"/>
          <w:lang w:val="en-US"/>
        </w:rPr>
      </w:pPr>
    </w:p>
    <w:p w:rsidR="00592BC2" w:rsidRPr="00DA76A7" w:rsidRDefault="00592BC2" w:rsidP="00592BC2">
      <w:pPr>
        <w:shd w:val="clear" w:color="auto" w:fill="FFFFFF"/>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к.ю.н., доцент Юлдошев Р.Р. </w:t>
      </w:r>
    </w:p>
    <w:p w:rsidR="00592BC2" w:rsidRPr="00DA76A7" w:rsidRDefault="00592BC2" w:rsidP="00592BC2">
      <w:pPr>
        <w:keepNext/>
        <w:keepLines/>
        <w:suppressAutoHyphens/>
        <w:kinsoku w:val="0"/>
        <w:overflowPunct w:val="0"/>
        <w:ind w:firstLine="567"/>
        <w:jc w:val="right"/>
        <w:outlineLvl w:val="3"/>
        <w:rPr>
          <w:rFonts w:ascii="Arial" w:hAnsi="Arial" w:cs="Arial"/>
          <w:color w:val="000000" w:themeColor="text1"/>
          <w:sz w:val="22"/>
          <w:szCs w:val="22"/>
        </w:rPr>
      </w:pPr>
    </w:p>
    <w:p w:rsidR="00592BC2" w:rsidRPr="00240D8D" w:rsidRDefault="00592BC2" w:rsidP="00592BC2">
      <w:pPr>
        <w:tabs>
          <w:tab w:val="center" w:pos="4677"/>
          <w:tab w:val="right" w:pos="9355"/>
        </w:tabs>
        <w:ind w:firstLine="567"/>
        <w:jc w:val="both"/>
        <w:rPr>
          <w:rFonts w:ascii="Times New Roman Tj" w:hAnsi="Times New Roman Tj" w:cs="Arial"/>
          <w:b/>
          <w:i/>
          <w:color w:val="000000" w:themeColor="text1"/>
          <w:sz w:val="23"/>
          <w:szCs w:val="23"/>
        </w:rPr>
      </w:pPr>
      <w:r w:rsidRPr="00240D8D">
        <w:rPr>
          <w:rFonts w:ascii="Times New Roman Tj" w:hAnsi="Times New Roman Tj" w:cs="Arial"/>
          <w:b/>
          <w:i/>
          <w:color w:val="000000" w:themeColor="text1"/>
          <w:sz w:val="23"/>
          <w:szCs w:val="23"/>
        </w:rPr>
        <w:t xml:space="preserve">Аннотатсия. </w:t>
      </w:r>
      <w:r w:rsidRPr="00240D8D">
        <w:rPr>
          <w:rFonts w:ascii="Times New Roman Tj" w:hAnsi="Times New Roman Tj" w:cs="Arial"/>
          <w:i/>
          <w:color w:val="000000" w:themeColor="text1"/>
          <w:sz w:val="23"/>
          <w:szCs w:val="23"/>
        </w:rPr>
        <w:t>Дар маќола маќсад ва вазифаи мурофиаи љиноятии Љумњурии Тољикистон мавриди тањлил ва баррасї ќарор дода шудааст.</w:t>
      </w:r>
    </w:p>
    <w:p w:rsidR="00592BC2" w:rsidRPr="00DA76A7" w:rsidRDefault="00592BC2" w:rsidP="00592BC2">
      <w:pPr>
        <w:tabs>
          <w:tab w:val="center" w:pos="4677"/>
          <w:tab w:val="right" w:pos="9355"/>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анализируются цели и задачи уголовного процесса Республики Таджикистан.</w:t>
      </w:r>
    </w:p>
    <w:p w:rsidR="00592BC2" w:rsidRPr="00DA76A7" w:rsidRDefault="00592BC2" w:rsidP="00592BC2">
      <w:pPr>
        <w:tabs>
          <w:tab w:val="center" w:pos="4677"/>
          <w:tab w:val="right" w:pos="9355"/>
        </w:tabs>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The article analyzes the goals and objectives of the criminal process of the Republic of Tajikistan.</w:t>
      </w:r>
    </w:p>
    <w:p w:rsidR="00592BC2" w:rsidRPr="00240D8D" w:rsidRDefault="00592BC2" w:rsidP="00592BC2">
      <w:pPr>
        <w:tabs>
          <w:tab w:val="center" w:pos="4677"/>
          <w:tab w:val="right" w:pos="9355"/>
        </w:tabs>
        <w:ind w:firstLine="567"/>
        <w:jc w:val="both"/>
        <w:rPr>
          <w:rFonts w:ascii="Times New Roman Tj" w:hAnsi="Times New Roman Tj" w:cs="Arial"/>
          <w:i/>
          <w:color w:val="000000" w:themeColor="text1"/>
          <w:sz w:val="23"/>
          <w:szCs w:val="23"/>
          <w:lang w:val="en-US"/>
        </w:rPr>
      </w:pPr>
      <w:r w:rsidRPr="00240D8D">
        <w:rPr>
          <w:rFonts w:ascii="Times New Roman Tj" w:hAnsi="Times New Roman Tj" w:cs="Arial"/>
          <w:b/>
          <w:i/>
          <w:color w:val="000000" w:themeColor="text1"/>
          <w:sz w:val="23"/>
          <w:szCs w:val="23"/>
        </w:rPr>
        <w:t>Калидвожањо</w:t>
      </w:r>
      <w:r w:rsidRPr="00240D8D">
        <w:rPr>
          <w:rFonts w:ascii="Times New Roman Tj" w:hAnsi="Times New Roman Tj" w:cs="Arial"/>
          <w:b/>
          <w:i/>
          <w:color w:val="000000" w:themeColor="text1"/>
          <w:sz w:val="23"/>
          <w:szCs w:val="23"/>
          <w:lang w:val="en-US"/>
        </w:rPr>
        <w:t xml:space="preserve">. </w:t>
      </w:r>
      <w:r w:rsidRPr="00240D8D">
        <w:rPr>
          <w:rFonts w:ascii="Times New Roman Tj" w:hAnsi="Times New Roman Tj" w:cs="Arial"/>
          <w:i/>
          <w:color w:val="000000" w:themeColor="text1"/>
          <w:sz w:val="23"/>
          <w:szCs w:val="23"/>
        </w:rPr>
        <w:t>Љумњурии</w:t>
      </w:r>
      <w:r w:rsidRPr="00240D8D">
        <w:rPr>
          <w:rFonts w:ascii="Times New Roman Tj" w:hAnsi="Times New Roman Tj" w:cs="Arial"/>
          <w:i/>
          <w:color w:val="000000" w:themeColor="text1"/>
          <w:sz w:val="23"/>
          <w:szCs w:val="23"/>
          <w:lang w:val="en-US"/>
        </w:rPr>
        <w:t xml:space="preserve"> </w:t>
      </w:r>
      <w:r w:rsidRPr="00240D8D">
        <w:rPr>
          <w:rFonts w:ascii="Times New Roman Tj" w:hAnsi="Times New Roman Tj" w:cs="Arial"/>
          <w:i/>
          <w:color w:val="000000" w:themeColor="text1"/>
          <w:sz w:val="23"/>
          <w:szCs w:val="23"/>
        </w:rPr>
        <w:t>Тољикистон</w:t>
      </w:r>
      <w:r w:rsidRPr="00240D8D">
        <w:rPr>
          <w:rFonts w:ascii="Times New Roman Tj" w:hAnsi="Times New Roman Tj" w:cs="Arial"/>
          <w:i/>
          <w:color w:val="000000" w:themeColor="text1"/>
          <w:sz w:val="23"/>
          <w:szCs w:val="23"/>
          <w:lang w:val="en-US"/>
        </w:rPr>
        <w:t xml:space="preserve">, </w:t>
      </w:r>
      <w:r w:rsidRPr="00240D8D">
        <w:rPr>
          <w:rFonts w:ascii="Times New Roman Tj" w:hAnsi="Times New Roman Tj" w:cs="Arial"/>
          <w:i/>
          <w:color w:val="000000" w:themeColor="text1"/>
          <w:sz w:val="23"/>
          <w:szCs w:val="23"/>
        </w:rPr>
        <w:t>маќсад</w:t>
      </w:r>
      <w:r w:rsidRPr="00240D8D">
        <w:rPr>
          <w:rFonts w:ascii="Times New Roman Tj" w:hAnsi="Times New Roman Tj" w:cs="Arial"/>
          <w:i/>
          <w:color w:val="000000" w:themeColor="text1"/>
          <w:sz w:val="23"/>
          <w:szCs w:val="23"/>
          <w:lang w:val="en-US"/>
        </w:rPr>
        <w:t xml:space="preserve">, </w:t>
      </w:r>
      <w:r w:rsidRPr="00240D8D">
        <w:rPr>
          <w:rFonts w:ascii="Times New Roman Tj" w:hAnsi="Times New Roman Tj" w:cs="Arial"/>
          <w:i/>
          <w:color w:val="000000" w:themeColor="text1"/>
          <w:sz w:val="23"/>
          <w:szCs w:val="23"/>
        </w:rPr>
        <w:t>вазифа</w:t>
      </w:r>
      <w:r w:rsidRPr="00240D8D">
        <w:rPr>
          <w:rFonts w:ascii="Times New Roman Tj" w:hAnsi="Times New Roman Tj" w:cs="Arial"/>
          <w:i/>
          <w:color w:val="000000" w:themeColor="text1"/>
          <w:sz w:val="23"/>
          <w:szCs w:val="23"/>
          <w:lang w:val="en-US"/>
        </w:rPr>
        <w:t xml:space="preserve">, </w:t>
      </w:r>
      <w:r w:rsidRPr="00240D8D">
        <w:rPr>
          <w:rFonts w:ascii="Times New Roman Tj" w:hAnsi="Times New Roman Tj" w:cs="Arial"/>
          <w:i/>
          <w:color w:val="000000" w:themeColor="text1"/>
          <w:sz w:val="23"/>
          <w:szCs w:val="23"/>
        </w:rPr>
        <w:t>мурофиаи</w:t>
      </w:r>
      <w:r w:rsidRPr="00240D8D">
        <w:rPr>
          <w:rFonts w:ascii="Times New Roman Tj" w:hAnsi="Times New Roman Tj" w:cs="Arial"/>
          <w:i/>
          <w:color w:val="000000" w:themeColor="text1"/>
          <w:sz w:val="23"/>
          <w:szCs w:val="23"/>
          <w:lang w:val="en-US"/>
        </w:rPr>
        <w:t xml:space="preserve"> </w:t>
      </w:r>
      <w:r w:rsidRPr="00240D8D">
        <w:rPr>
          <w:rFonts w:ascii="Times New Roman Tj" w:hAnsi="Times New Roman Tj" w:cs="Arial"/>
          <w:i/>
          <w:color w:val="000000" w:themeColor="text1"/>
          <w:sz w:val="23"/>
          <w:szCs w:val="23"/>
        </w:rPr>
        <w:t>љиноятї</w:t>
      </w:r>
      <w:r w:rsidRPr="00240D8D">
        <w:rPr>
          <w:rFonts w:ascii="Times New Roman Tj" w:hAnsi="Times New Roman Tj" w:cs="Arial"/>
          <w:i/>
          <w:color w:val="000000" w:themeColor="text1"/>
          <w:sz w:val="23"/>
          <w:szCs w:val="23"/>
          <w:lang w:val="en-US"/>
        </w:rPr>
        <w:t>.</w:t>
      </w:r>
    </w:p>
    <w:p w:rsidR="00592BC2" w:rsidRPr="00DA76A7" w:rsidRDefault="00592BC2" w:rsidP="00592BC2">
      <w:pPr>
        <w:tabs>
          <w:tab w:val="center" w:pos="4677"/>
          <w:tab w:val="right" w:pos="9355"/>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Республика Таджикистан, цели, задачи, уголовный процесс.</w:t>
      </w:r>
    </w:p>
    <w:p w:rsidR="00592BC2" w:rsidRPr="00DA76A7" w:rsidRDefault="00592BC2" w:rsidP="00592BC2">
      <w:pPr>
        <w:keepNext/>
        <w:keepLines/>
        <w:suppressAutoHyphens/>
        <w:kinsoku w:val="0"/>
        <w:overflowPunct w:val="0"/>
        <w:ind w:firstLine="567"/>
        <w:jc w:val="both"/>
        <w:outlineLvl w:val="3"/>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Republic of Tajikistan, goals, objectives, criminal process.</w:t>
      </w:r>
    </w:p>
    <w:p w:rsidR="00592BC2" w:rsidRPr="00DA76A7" w:rsidRDefault="00592BC2" w:rsidP="00592BC2">
      <w:pPr>
        <w:keepNext/>
        <w:keepLines/>
        <w:suppressAutoHyphens/>
        <w:kinsoku w:val="0"/>
        <w:overflowPunct w:val="0"/>
        <w:ind w:firstLine="567"/>
        <w:jc w:val="center"/>
        <w:outlineLvl w:val="3"/>
        <w:rPr>
          <w:rFonts w:ascii="Arial" w:hAnsi="Arial" w:cs="Arial"/>
          <w:color w:val="000000" w:themeColor="text1"/>
          <w:sz w:val="22"/>
          <w:szCs w:val="22"/>
          <w:lang w:val="en-US"/>
        </w:rPr>
      </w:pP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240D8D">
        <w:rPr>
          <w:rFonts w:ascii="Times New Roman Tj" w:hAnsi="Times New Roman Tj" w:cs="Arial"/>
          <w:i/>
          <w:color w:val="000000" w:themeColor="text1"/>
          <w:spacing w:val="-4"/>
          <w:kern w:val="2"/>
          <w:sz w:val="23"/>
          <w:szCs w:val="23"/>
        </w:rPr>
        <w:t>Маќсади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мурофиаи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љиноятї</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баръало</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дар</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ќонунгузории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мурофиавии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љиноятї</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пешбинї</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нагардида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бошад</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њам</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аз</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м</w:t>
      </w:r>
      <w:r w:rsidRPr="00240D8D">
        <w:rPr>
          <w:rFonts w:ascii="Times New Roman Tj" w:hAnsi="Times New Roman Tj" w:cs="Arial"/>
          <w:color w:val="000000" w:themeColor="text1"/>
          <w:spacing w:val="-4"/>
          <w:kern w:val="2"/>
          <w:sz w:val="23"/>
          <w:szCs w:val="23"/>
          <w:lang w:val="en-US"/>
        </w:rPr>
        <w:t xml:space="preserve">. 2 </w:t>
      </w:r>
      <w:r w:rsidRPr="00240D8D">
        <w:rPr>
          <w:rFonts w:ascii="Times New Roman Tj" w:hAnsi="Times New Roman Tj" w:cs="Arial"/>
          <w:color w:val="000000" w:themeColor="text1"/>
          <w:spacing w:val="-4"/>
          <w:kern w:val="2"/>
          <w:sz w:val="23"/>
          <w:szCs w:val="23"/>
        </w:rPr>
        <w:t>КМЉ</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чунин</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бармеояд</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њимояи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давлатдории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Љумњурии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Тољикистон</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сохтори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конститутсионии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он</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љомеа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инсону</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шањрванд</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њуќуќ</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озодї</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ва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манфиатњои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ќонунии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он</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моликият</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тартибот</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ва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амнияти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љамъиятї</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муњити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атроф</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аз</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таљовузњои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љинояткорона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ва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аз</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таъќиботи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беасосу</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ѓайриќонунї</w:t>
      </w:r>
      <w:r w:rsidRPr="00240D8D">
        <w:rPr>
          <w:rFonts w:ascii="Times New Roman Tj" w:hAnsi="Times New Roman Tj" w:cs="Arial"/>
          <w:color w:val="000000" w:themeColor="text1"/>
          <w:spacing w:val="-4"/>
          <w:kern w:val="2"/>
          <w:sz w:val="23"/>
          <w:szCs w:val="23"/>
          <w:lang w:val="en-US"/>
        </w:rPr>
        <w:t>.</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240D8D">
        <w:rPr>
          <w:rFonts w:ascii="Times New Roman Tj" w:hAnsi="Times New Roman Tj" w:cs="Arial"/>
          <w:i/>
          <w:color w:val="000000" w:themeColor="text1"/>
          <w:spacing w:val="-4"/>
          <w:kern w:val="2"/>
          <w:sz w:val="23"/>
          <w:szCs w:val="23"/>
        </w:rPr>
        <w:t>Вазифањои</w:t>
      </w:r>
      <w:r w:rsidRPr="00240D8D">
        <w:rPr>
          <w:rFonts w:ascii="Times New Roman Tj" w:hAnsi="Times New Roman Tj" w:cs="Arial"/>
          <w:i/>
          <w:color w:val="000000" w:themeColor="text1"/>
          <w:spacing w:val="-4"/>
          <w:kern w:val="2"/>
          <w:sz w:val="23"/>
          <w:szCs w:val="23"/>
          <w:lang w:val="en-US"/>
        </w:rPr>
        <w:t xml:space="preserve"> </w:t>
      </w:r>
      <w:r w:rsidRPr="00240D8D">
        <w:rPr>
          <w:rFonts w:ascii="Times New Roman Tj" w:hAnsi="Times New Roman Tj" w:cs="Arial"/>
          <w:i/>
          <w:color w:val="000000" w:themeColor="text1"/>
          <w:spacing w:val="-4"/>
          <w:kern w:val="2"/>
          <w:sz w:val="23"/>
          <w:szCs w:val="23"/>
        </w:rPr>
        <w:t>пешбурди</w:t>
      </w:r>
      <w:r w:rsidRPr="00240D8D">
        <w:rPr>
          <w:rFonts w:ascii="Times New Roman Tj" w:hAnsi="Times New Roman Tj" w:cs="Arial"/>
          <w:i/>
          <w:color w:val="000000" w:themeColor="text1"/>
          <w:spacing w:val="-4"/>
          <w:kern w:val="2"/>
          <w:sz w:val="23"/>
          <w:szCs w:val="23"/>
          <w:lang w:val="en-US"/>
        </w:rPr>
        <w:t xml:space="preserve"> </w:t>
      </w:r>
      <w:r w:rsidRPr="00240D8D">
        <w:rPr>
          <w:rFonts w:ascii="Times New Roman Tj" w:hAnsi="Times New Roman Tj" w:cs="Arial"/>
          <w:i/>
          <w:color w:val="000000" w:themeColor="text1"/>
          <w:spacing w:val="-4"/>
          <w:kern w:val="2"/>
          <w:sz w:val="23"/>
          <w:szCs w:val="23"/>
        </w:rPr>
        <w:t>мурофиаи</w:t>
      </w:r>
      <w:r w:rsidRPr="00240D8D">
        <w:rPr>
          <w:rFonts w:ascii="Times New Roman Tj" w:hAnsi="Times New Roman Tj" w:cs="Arial"/>
          <w:i/>
          <w:color w:val="000000" w:themeColor="text1"/>
          <w:spacing w:val="-4"/>
          <w:kern w:val="2"/>
          <w:sz w:val="23"/>
          <w:szCs w:val="23"/>
          <w:lang w:val="en-US"/>
        </w:rPr>
        <w:t xml:space="preserve"> </w:t>
      </w:r>
      <w:r w:rsidRPr="00240D8D">
        <w:rPr>
          <w:rFonts w:ascii="Times New Roman Tj" w:hAnsi="Times New Roman Tj" w:cs="Arial"/>
          <w:i/>
          <w:color w:val="000000" w:themeColor="text1"/>
          <w:spacing w:val="-4"/>
          <w:kern w:val="2"/>
          <w:sz w:val="23"/>
          <w:szCs w:val="23"/>
        </w:rPr>
        <w:t>судии</w:t>
      </w:r>
      <w:r w:rsidRPr="00240D8D">
        <w:rPr>
          <w:rFonts w:ascii="Times New Roman Tj" w:hAnsi="Times New Roman Tj" w:cs="Arial"/>
          <w:i/>
          <w:color w:val="000000" w:themeColor="text1"/>
          <w:spacing w:val="-4"/>
          <w:kern w:val="2"/>
          <w:sz w:val="23"/>
          <w:szCs w:val="23"/>
          <w:lang w:val="en-US"/>
        </w:rPr>
        <w:t xml:space="preserve"> </w:t>
      </w:r>
      <w:r w:rsidRPr="00240D8D">
        <w:rPr>
          <w:rFonts w:ascii="Times New Roman Tj" w:hAnsi="Times New Roman Tj" w:cs="Arial"/>
          <w:i/>
          <w:color w:val="000000" w:themeColor="text1"/>
          <w:spacing w:val="-4"/>
          <w:kern w:val="2"/>
          <w:sz w:val="23"/>
          <w:szCs w:val="23"/>
        </w:rPr>
        <w:t>љиноятї</w:t>
      </w:r>
      <w:r w:rsidRPr="00240D8D">
        <w:rPr>
          <w:rFonts w:ascii="Times New Roman Tj" w:hAnsi="Times New Roman Tj" w:cs="Arial"/>
          <w:i/>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дар</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м</w:t>
      </w:r>
      <w:r w:rsidRPr="00240D8D">
        <w:rPr>
          <w:rFonts w:ascii="Times New Roman Tj" w:hAnsi="Times New Roman Tj" w:cs="Arial"/>
          <w:color w:val="000000" w:themeColor="text1"/>
          <w:spacing w:val="-4"/>
          <w:kern w:val="2"/>
          <w:sz w:val="23"/>
          <w:szCs w:val="23"/>
          <w:lang w:val="en-US"/>
        </w:rPr>
        <w:t xml:space="preserve">. 2 </w:t>
      </w:r>
      <w:r w:rsidRPr="00240D8D">
        <w:rPr>
          <w:rFonts w:ascii="Times New Roman Tj" w:hAnsi="Times New Roman Tj" w:cs="Arial"/>
          <w:color w:val="000000" w:themeColor="text1"/>
          <w:spacing w:val="-4"/>
          <w:kern w:val="2"/>
          <w:sz w:val="23"/>
          <w:szCs w:val="23"/>
        </w:rPr>
        <w:t>КМЉ</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пешбинї</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гардида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аз</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инњо</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иборатанд</w:t>
      </w:r>
      <w:r w:rsidRPr="00240D8D">
        <w:rPr>
          <w:rFonts w:ascii="Times New Roman Tj" w:hAnsi="Times New Roman Tj" w:cs="Arial"/>
          <w:color w:val="000000" w:themeColor="text1"/>
          <w:spacing w:val="-4"/>
          <w:kern w:val="2"/>
          <w:sz w:val="23"/>
          <w:szCs w:val="23"/>
          <w:lang w:val="en-US"/>
        </w:rPr>
        <w:t>:</w:t>
      </w:r>
    </w:p>
    <w:p w:rsidR="00592BC2" w:rsidRPr="00240D8D" w:rsidRDefault="00592BC2" w:rsidP="00D45D6B">
      <w:pPr>
        <w:widowControl/>
        <w:numPr>
          <w:ilvl w:val="0"/>
          <w:numId w:val="145"/>
        </w:numPr>
        <w:tabs>
          <w:tab w:val="left" w:pos="993"/>
        </w:tabs>
        <w:kinsoku w:val="0"/>
        <w:overflowPunct w:val="0"/>
        <w:adjustRightInd/>
        <w:ind w:left="0" w:firstLine="567"/>
        <w:jc w:val="both"/>
        <w:rPr>
          <w:rFonts w:ascii="Times New Roman Tj" w:hAnsi="Times New Roman Tj" w:cs="Arial"/>
          <w:color w:val="000000" w:themeColor="text1"/>
          <w:spacing w:val="-4"/>
          <w:kern w:val="2"/>
          <w:sz w:val="23"/>
          <w:szCs w:val="23"/>
          <w:lang w:val="en-US"/>
        </w:rPr>
      </w:pPr>
      <w:r w:rsidRPr="00240D8D">
        <w:rPr>
          <w:rFonts w:ascii="Times New Roman Tj" w:hAnsi="Times New Roman Tj" w:cs="Arial"/>
          <w:color w:val="000000" w:themeColor="text1"/>
          <w:spacing w:val="-4"/>
          <w:kern w:val="2"/>
          <w:sz w:val="23"/>
          <w:szCs w:val="23"/>
        </w:rPr>
        <w:t>муќаррар</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кардани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тартиби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пешбурди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парвандањои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љиноятї</w:t>
      </w:r>
      <w:r w:rsidRPr="00240D8D">
        <w:rPr>
          <w:rFonts w:ascii="Times New Roman Tj" w:hAnsi="Times New Roman Tj" w:cs="Arial"/>
          <w:color w:val="000000" w:themeColor="text1"/>
          <w:spacing w:val="-4"/>
          <w:kern w:val="2"/>
          <w:sz w:val="23"/>
          <w:szCs w:val="23"/>
          <w:lang w:val="en-US"/>
        </w:rPr>
        <w:t>;</w:t>
      </w:r>
    </w:p>
    <w:p w:rsidR="00592BC2" w:rsidRPr="00240D8D" w:rsidRDefault="00592BC2" w:rsidP="00D45D6B">
      <w:pPr>
        <w:widowControl/>
        <w:numPr>
          <w:ilvl w:val="0"/>
          <w:numId w:val="145"/>
        </w:numPr>
        <w:tabs>
          <w:tab w:val="left" w:pos="993"/>
        </w:tabs>
        <w:kinsoku w:val="0"/>
        <w:overflowPunct w:val="0"/>
        <w:adjustRightInd/>
        <w:ind w:left="0" w:firstLine="567"/>
        <w:jc w:val="both"/>
        <w:rPr>
          <w:rFonts w:ascii="Times New Roman Tj" w:hAnsi="Times New Roman Tj" w:cs="Arial"/>
          <w:color w:val="000000" w:themeColor="text1"/>
          <w:spacing w:val="-4"/>
          <w:kern w:val="2"/>
          <w:sz w:val="23"/>
          <w:szCs w:val="23"/>
          <w:lang w:val="en-US"/>
        </w:rPr>
      </w:pPr>
      <w:r w:rsidRPr="00240D8D">
        <w:rPr>
          <w:rFonts w:ascii="Times New Roman Tj" w:hAnsi="Times New Roman Tj" w:cs="Arial"/>
          <w:color w:val="000000" w:themeColor="text1"/>
          <w:spacing w:val="-4"/>
          <w:kern w:val="2"/>
          <w:sz w:val="23"/>
          <w:szCs w:val="23"/>
        </w:rPr>
        <w:t>њимояи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њуќуќу</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озодињои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инсон</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ва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шањрванд</w:t>
      </w:r>
      <w:r w:rsidRPr="00240D8D">
        <w:rPr>
          <w:rFonts w:ascii="Times New Roman Tj" w:hAnsi="Times New Roman Tj" w:cs="Arial"/>
          <w:color w:val="000000" w:themeColor="text1"/>
          <w:spacing w:val="-4"/>
          <w:kern w:val="2"/>
          <w:sz w:val="23"/>
          <w:szCs w:val="23"/>
          <w:lang w:val="en-US"/>
        </w:rPr>
        <w:t>;</w:t>
      </w:r>
    </w:p>
    <w:p w:rsidR="00592BC2" w:rsidRPr="00240D8D" w:rsidRDefault="00592BC2" w:rsidP="00D45D6B">
      <w:pPr>
        <w:widowControl/>
        <w:numPr>
          <w:ilvl w:val="0"/>
          <w:numId w:val="145"/>
        </w:numPr>
        <w:tabs>
          <w:tab w:val="left" w:pos="993"/>
        </w:tabs>
        <w:kinsoku w:val="0"/>
        <w:overflowPunct w:val="0"/>
        <w:adjustRightInd/>
        <w:ind w:left="0" w:firstLine="567"/>
        <w:jc w:val="both"/>
        <w:rPr>
          <w:rFonts w:ascii="Times New Roman Tj" w:hAnsi="Times New Roman Tj" w:cs="Arial"/>
          <w:color w:val="000000" w:themeColor="text1"/>
          <w:spacing w:val="-4"/>
          <w:kern w:val="2"/>
          <w:sz w:val="23"/>
          <w:szCs w:val="23"/>
          <w:lang w:val="en-US"/>
        </w:rPr>
      </w:pPr>
      <w:r w:rsidRPr="00240D8D">
        <w:rPr>
          <w:rFonts w:ascii="Times New Roman Tj" w:hAnsi="Times New Roman Tj" w:cs="Arial"/>
          <w:color w:val="000000" w:themeColor="text1"/>
          <w:spacing w:val="-4"/>
          <w:kern w:val="2"/>
          <w:sz w:val="23"/>
          <w:szCs w:val="23"/>
        </w:rPr>
        <w:t>њимояи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манфиати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љамъият</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давлат</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ва</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ташкилотњо</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ки</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аз</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љиноят</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зарар</w:t>
      </w:r>
      <w:r w:rsidRPr="00240D8D">
        <w:rPr>
          <w:rFonts w:ascii="Times New Roman Tj" w:hAnsi="Times New Roman Tj" w:cs="Arial"/>
          <w:color w:val="000000" w:themeColor="text1"/>
          <w:spacing w:val="-4"/>
          <w:kern w:val="2"/>
          <w:sz w:val="23"/>
          <w:szCs w:val="23"/>
          <w:lang w:val="en-US"/>
        </w:rPr>
        <w:t xml:space="preserve"> </w:t>
      </w:r>
      <w:r w:rsidRPr="00240D8D">
        <w:rPr>
          <w:rFonts w:ascii="Times New Roman Tj" w:hAnsi="Times New Roman Tj" w:cs="Arial"/>
          <w:color w:val="000000" w:themeColor="text1"/>
          <w:spacing w:val="-4"/>
          <w:kern w:val="2"/>
          <w:sz w:val="23"/>
          <w:szCs w:val="23"/>
        </w:rPr>
        <w:t>дидаанд</w:t>
      </w:r>
      <w:r w:rsidRPr="00240D8D">
        <w:rPr>
          <w:rFonts w:ascii="Times New Roman Tj" w:hAnsi="Times New Roman Tj" w:cs="Arial"/>
          <w:color w:val="000000" w:themeColor="text1"/>
          <w:spacing w:val="-4"/>
          <w:kern w:val="2"/>
          <w:sz w:val="23"/>
          <w:szCs w:val="23"/>
          <w:lang w:val="en-US"/>
        </w:rPr>
        <w:t>;</w:t>
      </w:r>
    </w:p>
    <w:p w:rsidR="00592BC2" w:rsidRPr="00240D8D" w:rsidRDefault="00592BC2" w:rsidP="00D45D6B">
      <w:pPr>
        <w:widowControl/>
        <w:numPr>
          <w:ilvl w:val="0"/>
          <w:numId w:val="145"/>
        </w:numPr>
        <w:tabs>
          <w:tab w:val="left" w:pos="993"/>
        </w:tabs>
        <w:kinsoku w:val="0"/>
        <w:overflowPunct w:val="0"/>
        <w:adjustRightInd/>
        <w:ind w:left="0"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сари ваќт ва пурра ошкор намудани љиноят;</w:t>
      </w:r>
    </w:p>
    <w:p w:rsidR="00592BC2" w:rsidRPr="00240D8D" w:rsidRDefault="00592BC2" w:rsidP="00D45D6B">
      <w:pPr>
        <w:widowControl/>
        <w:numPr>
          <w:ilvl w:val="0"/>
          <w:numId w:val="145"/>
        </w:numPr>
        <w:tabs>
          <w:tab w:val="left" w:pos="993"/>
        </w:tabs>
        <w:kinsoku w:val="0"/>
        <w:overflowPunct w:val="0"/>
        <w:adjustRightInd/>
        <w:ind w:left="0"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ба љавобгарии љиноятї кашидани шахси љиноят содиркарда;</w:t>
      </w:r>
    </w:p>
    <w:p w:rsidR="00592BC2" w:rsidRPr="00240D8D" w:rsidRDefault="00592BC2" w:rsidP="00D45D6B">
      <w:pPr>
        <w:widowControl/>
        <w:numPr>
          <w:ilvl w:val="0"/>
          <w:numId w:val="145"/>
        </w:numPr>
        <w:tabs>
          <w:tab w:val="left" w:pos="993"/>
        </w:tabs>
        <w:kinsoku w:val="0"/>
        <w:overflowPunct w:val="0"/>
        <w:adjustRightInd/>
        <w:ind w:left="0"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њалли одилонаи масъалањои баррасишаванда дар суд;</w:t>
      </w:r>
    </w:p>
    <w:p w:rsidR="00592BC2" w:rsidRPr="00240D8D" w:rsidRDefault="00592BC2" w:rsidP="00D45D6B">
      <w:pPr>
        <w:widowControl/>
        <w:numPr>
          <w:ilvl w:val="0"/>
          <w:numId w:val="145"/>
        </w:numPr>
        <w:tabs>
          <w:tab w:val="left" w:pos="993"/>
        </w:tabs>
        <w:kinsoku w:val="0"/>
        <w:overflowPunct w:val="0"/>
        <w:adjustRightInd/>
        <w:ind w:left="0"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риоя намудани меъёрњои мурофиавї њангоми татбиќи ќонуни љиноятї;</w:t>
      </w:r>
    </w:p>
    <w:p w:rsidR="00592BC2" w:rsidRPr="00240D8D" w:rsidRDefault="00592BC2" w:rsidP="00D45D6B">
      <w:pPr>
        <w:widowControl/>
        <w:numPr>
          <w:ilvl w:val="0"/>
          <w:numId w:val="145"/>
        </w:numPr>
        <w:tabs>
          <w:tab w:val="left" w:pos="993"/>
        </w:tabs>
        <w:kinsoku w:val="0"/>
        <w:overflowPunct w:val="0"/>
        <w:adjustRightInd/>
        <w:ind w:left="0"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кафолати њимояи манфиати ќонунии иштирокчиёни мурофиаи судии љиноятї ва шахсони дигар.</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 xml:space="preserve">Вобаста ба наќши мурофиаи љиноятї дар њаёти љомеа вазифањои онро ба </w:t>
      </w:r>
      <w:r w:rsidRPr="00240D8D">
        <w:rPr>
          <w:rFonts w:ascii="Times New Roman Tj" w:hAnsi="Times New Roman Tj" w:cs="Arial"/>
          <w:i/>
          <w:color w:val="000000" w:themeColor="text1"/>
          <w:spacing w:val="-4"/>
          <w:kern w:val="2"/>
          <w:sz w:val="23"/>
          <w:szCs w:val="23"/>
        </w:rPr>
        <w:t>вазифањои умумї</w:t>
      </w:r>
      <w:r w:rsidRPr="00240D8D">
        <w:rPr>
          <w:rFonts w:ascii="Times New Roman Tj" w:hAnsi="Times New Roman Tj" w:cs="Arial"/>
          <w:color w:val="000000" w:themeColor="text1"/>
          <w:spacing w:val="-4"/>
          <w:kern w:val="2"/>
          <w:sz w:val="23"/>
          <w:szCs w:val="23"/>
        </w:rPr>
        <w:t xml:space="preserve"> ва </w:t>
      </w:r>
      <w:r w:rsidRPr="00240D8D">
        <w:rPr>
          <w:rFonts w:ascii="Times New Roman Tj" w:hAnsi="Times New Roman Tj" w:cs="Arial"/>
          <w:i/>
          <w:color w:val="000000" w:themeColor="text1"/>
          <w:spacing w:val="-4"/>
          <w:kern w:val="2"/>
          <w:sz w:val="23"/>
          <w:szCs w:val="23"/>
        </w:rPr>
        <w:t>вазифањои махсус</w:t>
      </w:r>
      <w:r w:rsidRPr="00240D8D">
        <w:rPr>
          <w:rFonts w:ascii="Times New Roman Tj" w:hAnsi="Times New Roman Tj" w:cs="Arial"/>
          <w:color w:val="000000" w:themeColor="text1"/>
          <w:spacing w:val="-4"/>
          <w:kern w:val="2"/>
          <w:sz w:val="23"/>
          <w:szCs w:val="23"/>
        </w:rPr>
        <w:t xml:space="preserve"> људо менамоянд.</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i/>
          <w:color w:val="000000" w:themeColor="text1"/>
          <w:spacing w:val="-4"/>
          <w:kern w:val="2"/>
          <w:sz w:val="23"/>
          <w:szCs w:val="23"/>
        </w:rPr>
        <w:t>Вазифањои умумии мурофиаи љиноятї</w:t>
      </w:r>
      <w:r w:rsidRPr="00240D8D">
        <w:rPr>
          <w:rFonts w:ascii="Times New Roman Tj" w:hAnsi="Times New Roman Tj" w:cs="Arial"/>
          <w:color w:val="000000" w:themeColor="text1"/>
          <w:spacing w:val="-4"/>
          <w:kern w:val="2"/>
          <w:sz w:val="23"/>
          <w:szCs w:val="23"/>
        </w:rPr>
        <w:t xml:space="preserve"> аз њимояи њуќуќу озодињои инсон ва шањрванд; манфиати љамъият, давлат ва ташкилотњо, ки аз љиноят зарар дидаанд; тањкими ќонуният ва тартиботи њуќуќї, пешгирии љиноят, эњтироми ќонун, њимояи њуќуќу озодињои инсон ва шањрванд, ба амал баровардани адолати судї иборат аст.</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i/>
          <w:color w:val="000000" w:themeColor="text1"/>
          <w:spacing w:val="-4"/>
          <w:kern w:val="2"/>
          <w:sz w:val="23"/>
          <w:szCs w:val="23"/>
        </w:rPr>
        <w:t>Вазифањои махсуси</w:t>
      </w:r>
      <w:r w:rsidRPr="00240D8D">
        <w:rPr>
          <w:rFonts w:ascii="Times New Roman Tj" w:hAnsi="Times New Roman Tj" w:cs="Arial"/>
          <w:b/>
          <w:i/>
          <w:color w:val="000000" w:themeColor="text1"/>
          <w:spacing w:val="-4"/>
          <w:kern w:val="2"/>
          <w:sz w:val="23"/>
          <w:szCs w:val="23"/>
        </w:rPr>
        <w:t xml:space="preserve"> </w:t>
      </w:r>
      <w:r w:rsidRPr="00240D8D">
        <w:rPr>
          <w:rFonts w:ascii="Times New Roman Tj" w:hAnsi="Times New Roman Tj" w:cs="Arial"/>
          <w:i/>
          <w:color w:val="000000" w:themeColor="text1"/>
          <w:spacing w:val="-4"/>
          <w:kern w:val="2"/>
          <w:sz w:val="23"/>
          <w:szCs w:val="23"/>
        </w:rPr>
        <w:t>мурофиаи љиноятї,</w:t>
      </w:r>
      <w:r w:rsidRPr="00240D8D">
        <w:rPr>
          <w:rFonts w:ascii="Times New Roman Tj" w:hAnsi="Times New Roman Tj" w:cs="Arial"/>
          <w:color w:val="000000" w:themeColor="text1"/>
          <w:spacing w:val="-4"/>
          <w:kern w:val="2"/>
          <w:sz w:val="23"/>
          <w:szCs w:val="23"/>
        </w:rPr>
        <w:t xml:space="preserve"> ки ба њалли вазифањои умумї мусоидат менамоянд, инњоянд:</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а) муќаррар кардани тартиби пешбурди парвандањои љиноятї;</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б) сариваќт ва пурра ошкор намудани љиноятњо;</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в) ба љавобгарии љиноятї кашидани шахсе, ки љиноят содир кардааст;</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г) дуруст татбиќ намудани ќонунгузории љиноятї, мурофиавии љиноятї ва дигар ќонунњое, ки ба парвандаи љиноятї дахл доранд;</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д) таъмини кафолати њимояи манфиатњои ќонунии иштирокчиёни мурофиаи судии љиноятї ва шахсони дигар.</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Мурофиаи судии љиноятї барои тањкими ќонуният ва тартиботи њуќуќї, пешгирии љиноят, эњтироми ќонун, њимояи њуќуќу озодињои инсон ва шањрванд, ба амал баровардани адолати судї равона шудааст.</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Тартиби муќаррарнамудаи КМЉ оид ба пешбурди парвандаи љиноятї инсон ва шањрвандро аз беасос айбдор ва мањкум кардан, ѓайриќонунї мањдуд кардани њуќуќу озодињои ў њимоя мекунад ва дар њолати гунањгор донистан ё мањкум намудани шахси бегуноњ ўро бетаъхир сафед менамояд.</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Дар замони муосир вазифањои мурофиаи љиноятї њамчун масъалаи (ѓояи) муњими барпо кардани давлати њуќуќбунёд ба њисоб меравад. Барои он, ки ин ѓоя бо њадди нињоии таъмин ва риояи њуќуќу озодии инсон ва шањрванд пайванд буда, уњдадории давлатро дар назди шахс ва уњдадории шахсро дар назди давлат бо афзалиятнокии муќаррароти ќонун муайян менамояд.</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Њамчунин дар шумораи вазифањои мурофиаи љиноятї бояд вазифаи татбиќи аниќи њимояи њуќуќи инсон ва шањрванд аз таљовузи љинояткорона ба њаёт, саломатї, озодї ва эњтироми шаъну шарафи шахсї ва моликияти шањрвандон таљассум ёбад.</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Мурофиаи судии љиноятї, њамчунин барои иљрои принсипи ногузирии љавобгарии љиноятї низ вазифадор шудааст. Вазифаи мазкур, маќомоти татбиќкунандаи мурофиаи љиноятиро уњдадор менамояд, ки њатман њар як иттилоотро дар бораи омодагї ба содир кардани љиноят ё љинояти содиршуда ќабул ва санљида дар доираи ваколати худ доир ба маълум гардидани аломати таркиби љиноят парвандаи љиноятї оѓоз намояд, мувофиќи муќаррароти ќонун њама чорањои заруриро оид ба муайян кардани њодисаи љиноят ва шахси онро содиркарда, ба љавобгарї кашидани он ва таъини љазои љиноятї андешад.</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Вазифаи мазкурро иљро карда маќомоти тафтишоти пешакї ва прокуратура бояд як ќоидаи муњимро аз мадди назар дур накунанд: дар содир кардани љиноят татбиќи љазои вазнин муњим нест, муњим он аст, ки ягон љинояти содиршуда ошкор нашуда намонад. Маънои ин тартибот дар он аст, ки њар як љинояти содиршуда бояд ба пуррагї ошкор гардида, ба шахси онро содиркарда, љазои сазовор татбиќ гардад.</w:t>
      </w:r>
    </w:p>
    <w:p w:rsidR="00592BC2" w:rsidRPr="00240D8D" w:rsidRDefault="00592BC2" w:rsidP="00592BC2">
      <w:pPr>
        <w:kinsoku w:val="0"/>
        <w:overflowPunct w:val="0"/>
        <w:ind w:firstLine="567"/>
        <w:jc w:val="both"/>
        <w:rPr>
          <w:rFonts w:ascii="Times New Roman Tj" w:hAnsi="Times New Roman Tj" w:cs="Arial"/>
          <w:color w:val="000000" w:themeColor="text1"/>
          <w:spacing w:val="-4"/>
          <w:kern w:val="2"/>
          <w:sz w:val="23"/>
          <w:szCs w:val="23"/>
        </w:rPr>
      </w:pPr>
      <w:r w:rsidRPr="00240D8D">
        <w:rPr>
          <w:rFonts w:ascii="Times New Roman Tj" w:hAnsi="Times New Roman Tj" w:cs="Arial"/>
          <w:color w:val="000000" w:themeColor="text1"/>
          <w:spacing w:val="-4"/>
          <w:kern w:val="2"/>
          <w:sz w:val="23"/>
          <w:szCs w:val="23"/>
        </w:rPr>
        <w:t>Боз як маънои дигараш он аст, ки њар як љинояти содиршуда сариваќт ва ба пуррагї ошкор карда шавад, яъне ваќти ба љавобгарии љиноятї кашидан ва таъини љазо нисбати шахси ин кирдорро содир карда бо таври воќеї наздик бошад.</w:t>
      </w:r>
    </w:p>
    <w:p w:rsidR="00592BC2" w:rsidRPr="00240D8D" w:rsidRDefault="00592BC2" w:rsidP="00592BC2">
      <w:pPr>
        <w:kinsoku w:val="0"/>
        <w:overflowPunct w:val="0"/>
        <w:ind w:firstLine="567"/>
        <w:jc w:val="both"/>
        <w:rPr>
          <w:rFonts w:ascii="Times New Roman Tj" w:hAnsi="Times New Roman Tj" w:cs="Arial"/>
          <w:color w:val="000000" w:themeColor="text1"/>
          <w:kern w:val="2"/>
          <w:sz w:val="23"/>
          <w:szCs w:val="23"/>
        </w:rPr>
      </w:pPr>
      <w:r w:rsidRPr="00240D8D">
        <w:rPr>
          <w:rFonts w:ascii="Times New Roman Tj" w:hAnsi="Times New Roman Tj" w:cs="Arial"/>
          <w:color w:val="000000" w:themeColor="text1"/>
          <w:kern w:val="2"/>
          <w:sz w:val="23"/>
          <w:szCs w:val="23"/>
        </w:rPr>
        <w:t>Амалияи њуќуќтатбиќнамої нишон медињад, ки ба пуррагї ошкор кардани љиноят бо сариваќт ошкор кардани он дар алоќаи зич мебошад, яъне, љиноят дар он њолате бештар ба пурагї ошкор мешавад, агар дар њолати «гармогармї» ошкор ва шахси ин кирдорро содиркарда дарњол баъд аз содир кардани љиноят дастгир гардад.</w:t>
      </w:r>
    </w:p>
    <w:p w:rsidR="00592BC2" w:rsidRPr="00240D8D" w:rsidRDefault="00592BC2" w:rsidP="00592BC2">
      <w:pPr>
        <w:kinsoku w:val="0"/>
        <w:overflowPunct w:val="0"/>
        <w:ind w:firstLine="567"/>
        <w:jc w:val="both"/>
        <w:rPr>
          <w:rFonts w:ascii="Times New Roman Tj" w:hAnsi="Times New Roman Tj" w:cs="Arial"/>
          <w:color w:val="000000" w:themeColor="text1"/>
          <w:kern w:val="2"/>
          <w:sz w:val="23"/>
          <w:szCs w:val="23"/>
        </w:rPr>
      </w:pPr>
      <w:r w:rsidRPr="00240D8D">
        <w:rPr>
          <w:rFonts w:ascii="Times New Roman Tj" w:hAnsi="Times New Roman Tj" w:cs="Arial"/>
          <w:color w:val="000000" w:themeColor="text1"/>
          <w:kern w:val="2"/>
          <w:sz w:val="23"/>
          <w:szCs w:val="23"/>
        </w:rPr>
        <w:t>Ба пуррагї ошкор шудани љиноят, маънои онро дорад, ки дар њар як њолат бояд њамаи лањзањои љиноят ва њар як амали љинояткорона, инчунин, њамаи шарикони љиноят маълум ва фош, сабаб ва шароити барои содир кардани љиноят мусоидаткунанда муайян гардад. Сариваќт ва пурра ошкор накардани љиноят ба шахсе, ки онро содир кардааст ва ё медонад, бовар мекунонад, ки ў бе љавобгарї мемонад, ин амал метавонад барои содир кардани љинояти нав мусоидат намояд.</w:t>
      </w:r>
    </w:p>
    <w:p w:rsidR="00592BC2" w:rsidRPr="00240D8D" w:rsidRDefault="00592BC2" w:rsidP="00592BC2">
      <w:pPr>
        <w:ind w:firstLine="567"/>
        <w:jc w:val="both"/>
        <w:rPr>
          <w:rFonts w:ascii="Arial" w:hAnsi="Arial" w:cs="Arial"/>
          <w:color w:val="000000" w:themeColor="text1"/>
          <w:sz w:val="23"/>
          <w:szCs w:val="23"/>
        </w:rPr>
      </w:pP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ПРАВОВОЕ ПРОСВЕЩЕНИЕ В БОРЬБЕ С ПРЕСТУПНОЙ ДЕЯТЕЛЬНОСТЬЮ ТЕРРОРИСТОВ В СЕТИ ИНТЕРНЕТ  </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Гаджиев Вугар Эдвар оглы</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кандидат юридических наук, старший научный сотрудник,</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старший преподаватель кафедры уголовно-процессуального права и криминалистики</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Российский государственный университет правосудия</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664074, Россия, г. Иркутск, ул. Ивана Франко, 23а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89501341972,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70" w:history="1">
        <w:r w:rsidRPr="00DA76A7">
          <w:rPr>
            <w:rStyle w:val="af0"/>
            <w:rFonts w:ascii="Arial" w:hAnsi="Arial" w:cs="Arial"/>
            <w:color w:val="000000" w:themeColor="text1"/>
            <w:sz w:val="22"/>
            <w:szCs w:val="22"/>
            <w:u w:val="none"/>
            <w:lang w:val="en-US"/>
          </w:rPr>
          <w:t>gadjievv</w:t>
        </w:r>
        <w:r w:rsidRPr="00DA76A7">
          <w:rPr>
            <w:rStyle w:val="af0"/>
            <w:rFonts w:ascii="Arial" w:hAnsi="Arial" w:cs="Arial"/>
            <w:color w:val="000000" w:themeColor="text1"/>
            <w:sz w:val="22"/>
            <w:szCs w:val="22"/>
            <w:u w:val="none"/>
          </w:rPr>
          <w:t>81@</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92BC2" w:rsidRPr="00DA76A7" w:rsidRDefault="00592BC2" w:rsidP="00592BC2">
      <w:pPr>
        <w:jc w:val="center"/>
        <w:rPr>
          <w:rFonts w:ascii="Arial" w:hAnsi="Arial" w:cs="Arial"/>
          <w:i/>
          <w:color w:val="000000" w:themeColor="text1"/>
          <w:sz w:val="22"/>
          <w:szCs w:val="22"/>
        </w:rPr>
      </w:pPr>
    </w:p>
    <w:p w:rsidR="00592BC2" w:rsidRPr="00DA76A7" w:rsidRDefault="00592BC2" w:rsidP="00592BC2">
      <w:pPr>
        <w:jc w:val="center"/>
        <w:rPr>
          <w:rFonts w:ascii="Arial" w:hAnsi="Arial" w:cs="Arial"/>
          <w:i/>
          <w:color w:val="000000" w:themeColor="text1"/>
          <w:sz w:val="22"/>
          <w:szCs w:val="22"/>
        </w:rPr>
      </w:pPr>
      <w:r w:rsidRPr="00DA76A7">
        <w:rPr>
          <w:rFonts w:ascii="Arial" w:hAnsi="Arial" w:cs="Arial"/>
          <w:b/>
          <w:color w:val="000000" w:themeColor="text1"/>
          <w:sz w:val="22"/>
          <w:szCs w:val="22"/>
        </w:rPr>
        <w:t>Дёмина Марина Леонидовна</w:t>
      </w:r>
      <w:r w:rsidRPr="00DA76A7">
        <w:rPr>
          <w:rFonts w:ascii="Arial" w:hAnsi="Arial" w:cs="Arial"/>
          <w:i/>
          <w:color w:val="000000" w:themeColor="text1"/>
          <w:sz w:val="22"/>
          <w:szCs w:val="22"/>
        </w:rPr>
        <w:t xml:space="preserve">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преподаватель кафедры уголовно-процессуального права и криминалистики</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Российский государственный университет правосудия</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664074, Россия, г. Иркутск, ул. Ивана Франко, 23а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89086611712,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shd w:val="clear" w:color="auto" w:fill="FFFFFF"/>
        </w:rPr>
        <w:t xml:space="preserve"> </w:t>
      </w:r>
      <w:hyperlink r:id="rId271" w:history="1">
        <w:r w:rsidRPr="00DA76A7">
          <w:rPr>
            <w:rStyle w:val="af0"/>
            <w:rFonts w:ascii="Arial" w:hAnsi="Arial" w:cs="Arial"/>
            <w:color w:val="000000" w:themeColor="text1"/>
            <w:sz w:val="22"/>
            <w:szCs w:val="22"/>
            <w:u w:val="none"/>
            <w:shd w:val="clear" w:color="auto" w:fill="FFFFFF"/>
            <w:lang w:val="en-US"/>
          </w:rPr>
          <w:t>dyomina</w:t>
        </w:r>
        <w:r w:rsidRPr="00DA76A7">
          <w:rPr>
            <w:rStyle w:val="af0"/>
            <w:rFonts w:ascii="Arial" w:hAnsi="Arial" w:cs="Arial"/>
            <w:color w:val="000000" w:themeColor="text1"/>
            <w:sz w:val="22"/>
            <w:szCs w:val="22"/>
            <w:u w:val="none"/>
            <w:shd w:val="clear" w:color="auto" w:fill="FFFFFF"/>
          </w:rPr>
          <w:t>-</w:t>
        </w:r>
        <w:r w:rsidRPr="00DA76A7">
          <w:rPr>
            <w:rStyle w:val="af0"/>
            <w:rFonts w:ascii="Arial" w:hAnsi="Arial" w:cs="Arial"/>
            <w:color w:val="000000" w:themeColor="text1"/>
            <w:sz w:val="22"/>
            <w:szCs w:val="22"/>
            <w:u w:val="none"/>
            <w:shd w:val="clear" w:color="auto" w:fill="FFFFFF"/>
            <w:lang w:val="en-US"/>
          </w:rPr>
          <w:t>mari</w:t>
        </w:r>
        <w:r w:rsidRPr="00DA76A7">
          <w:rPr>
            <w:rStyle w:val="af0"/>
            <w:rFonts w:ascii="Arial" w:hAnsi="Arial" w:cs="Arial"/>
            <w:color w:val="000000" w:themeColor="text1"/>
            <w:sz w:val="22"/>
            <w:szCs w:val="22"/>
            <w:u w:val="none"/>
            <w:shd w:val="clear" w:color="auto" w:fill="FFFFFF"/>
          </w:rPr>
          <w:t>@</w:t>
        </w:r>
        <w:r w:rsidRPr="00DA76A7">
          <w:rPr>
            <w:rStyle w:val="af0"/>
            <w:rFonts w:ascii="Arial" w:hAnsi="Arial" w:cs="Arial"/>
            <w:color w:val="000000" w:themeColor="text1"/>
            <w:sz w:val="22"/>
            <w:szCs w:val="22"/>
            <w:u w:val="none"/>
            <w:shd w:val="clear" w:color="auto" w:fill="FFFFFF"/>
            <w:lang w:val="en-US"/>
          </w:rPr>
          <w:t>mail</w:t>
        </w:r>
        <w:r w:rsidRPr="00DA76A7">
          <w:rPr>
            <w:rStyle w:val="af0"/>
            <w:rFonts w:ascii="Arial" w:hAnsi="Arial" w:cs="Arial"/>
            <w:color w:val="000000" w:themeColor="text1"/>
            <w:sz w:val="22"/>
            <w:szCs w:val="22"/>
            <w:u w:val="none"/>
            <w:shd w:val="clear" w:color="auto" w:fill="FFFFFF"/>
          </w:rPr>
          <w:t>.</w:t>
        </w:r>
        <w:r w:rsidRPr="00DA76A7">
          <w:rPr>
            <w:rStyle w:val="af0"/>
            <w:rFonts w:ascii="Arial" w:hAnsi="Arial" w:cs="Arial"/>
            <w:color w:val="000000" w:themeColor="text1"/>
            <w:sz w:val="22"/>
            <w:szCs w:val="22"/>
            <w:u w:val="none"/>
            <w:shd w:val="clear" w:color="auto" w:fill="FFFFFF"/>
            <w:lang w:val="en-US"/>
          </w:rPr>
          <w:t>ru</w:t>
        </w:r>
      </w:hyperlink>
    </w:p>
    <w:p w:rsidR="00592BC2" w:rsidRPr="00DA76A7" w:rsidRDefault="00592BC2" w:rsidP="00592BC2">
      <w:pPr>
        <w:jc w:val="center"/>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Юдин Дмитрий Викторович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 3-го курса факультета непрерывного образования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Российский государственный университет правосудия</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664074, Россия, г. Иркутск, ул. Ивана Франко, 23а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тел.: 89148775425,</w:t>
      </w:r>
      <w:r w:rsidRPr="00DA76A7">
        <w:rPr>
          <w:rFonts w:ascii="Arial" w:hAnsi="Arial" w:cs="Arial"/>
          <w:color w:val="000000" w:themeColor="text1"/>
          <w:sz w:val="22"/>
          <w:szCs w:val="22"/>
          <w:shd w:val="clear" w:color="auto" w:fill="FFFFFF"/>
        </w:rPr>
        <w:t xml:space="preserve">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shd w:val="clear" w:color="auto" w:fill="FFFFFF"/>
        </w:rPr>
        <w:t xml:space="preserve"> </w:t>
      </w:r>
      <w:hyperlink r:id="rId272" w:history="1">
        <w:r w:rsidRPr="00DA76A7">
          <w:rPr>
            <w:rStyle w:val="af0"/>
            <w:rFonts w:ascii="Arial" w:hAnsi="Arial" w:cs="Arial"/>
            <w:color w:val="000000" w:themeColor="text1"/>
            <w:sz w:val="22"/>
            <w:szCs w:val="22"/>
            <w:u w:val="none"/>
            <w:shd w:val="clear" w:color="auto" w:fill="FFFFFF"/>
            <w:lang w:val="en-US"/>
          </w:rPr>
          <w:t>super</w:t>
        </w:r>
        <w:r w:rsidRPr="00DA76A7">
          <w:rPr>
            <w:rStyle w:val="af0"/>
            <w:rFonts w:ascii="Arial" w:hAnsi="Arial" w:cs="Arial"/>
            <w:color w:val="000000" w:themeColor="text1"/>
            <w:sz w:val="22"/>
            <w:szCs w:val="22"/>
            <w:u w:val="none"/>
            <w:shd w:val="clear" w:color="auto" w:fill="FFFFFF"/>
          </w:rPr>
          <w:t>.</w:t>
        </w:r>
        <w:r w:rsidRPr="00DA76A7">
          <w:rPr>
            <w:rStyle w:val="af0"/>
            <w:rFonts w:ascii="Arial" w:hAnsi="Arial" w:cs="Arial"/>
            <w:color w:val="000000" w:themeColor="text1"/>
            <w:sz w:val="22"/>
            <w:szCs w:val="22"/>
            <w:u w:val="none"/>
            <w:shd w:val="clear" w:color="auto" w:fill="FFFFFF"/>
            <w:lang w:val="en-US"/>
          </w:rPr>
          <w:t>yudin</w:t>
        </w:r>
        <w:r w:rsidRPr="00DA76A7">
          <w:rPr>
            <w:rStyle w:val="af0"/>
            <w:rFonts w:ascii="Arial" w:hAnsi="Arial" w:cs="Arial"/>
            <w:color w:val="000000" w:themeColor="text1"/>
            <w:sz w:val="22"/>
            <w:szCs w:val="22"/>
            <w:u w:val="none"/>
            <w:shd w:val="clear" w:color="auto" w:fill="FFFFFF"/>
          </w:rPr>
          <w:t>@</w:t>
        </w:r>
        <w:r w:rsidRPr="00DA76A7">
          <w:rPr>
            <w:rStyle w:val="af0"/>
            <w:rFonts w:ascii="Arial" w:hAnsi="Arial" w:cs="Arial"/>
            <w:color w:val="000000" w:themeColor="text1"/>
            <w:sz w:val="22"/>
            <w:szCs w:val="22"/>
            <w:u w:val="none"/>
            <w:shd w:val="clear" w:color="auto" w:fill="FFFFFF"/>
            <w:lang w:val="en-US"/>
          </w:rPr>
          <w:t>bk</w:t>
        </w:r>
        <w:r w:rsidRPr="00DA76A7">
          <w:rPr>
            <w:rStyle w:val="af0"/>
            <w:rFonts w:ascii="Arial" w:hAnsi="Arial" w:cs="Arial"/>
            <w:color w:val="000000" w:themeColor="text1"/>
            <w:sz w:val="22"/>
            <w:szCs w:val="22"/>
            <w:u w:val="none"/>
            <w:shd w:val="clear" w:color="auto" w:fill="FFFFFF"/>
          </w:rPr>
          <w:t>.</w:t>
        </w:r>
        <w:r w:rsidRPr="00DA76A7">
          <w:rPr>
            <w:rStyle w:val="af0"/>
            <w:rFonts w:ascii="Arial" w:hAnsi="Arial" w:cs="Arial"/>
            <w:color w:val="000000" w:themeColor="text1"/>
            <w:sz w:val="22"/>
            <w:szCs w:val="22"/>
            <w:u w:val="none"/>
            <w:shd w:val="clear" w:color="auto" w:fill="FFFFFF"/>
            <w:lang w:val="en-US"/>
          </w:rPr>
          <w:t>ru</w:t>
        </w:r>
      </w:hyperlink>
      <w:r w:rsidRPr="00DA76A7">
        <w:rPr>
          <w:rFonts w:ascii="Arial" w:hAnsi="Arial" w:cs="Arial"/>
          <w:color w:val="000000" w:themeColor="text1"/>
          <w:sz w:val="22"/>
          <w:szCs w:val="22"/>
          <w:shd w:val="clear" w:color="auto" w:fill="FFFFFF"/>
        </w:rPr>
        <w:t xml:space="preserve">  </w:t>
      </w:r>
    </w:p>
    <w:p w:rsidR="00592BC2" w:rsidRPr="00DA76A7" w:rsidRDefault="00592BC2" w:rsidP="00592BC2">
      <w:pPr>
        <w:jc w:val="right"/>
        <w:rPr>
          <w:rFonts w:ascii="Arial" w:hAnsi="Arial" w:cs="Arial"/>
          <w:b/>
          <w:color w:val="000000" w:themeColor="text1"/>
          <w:sz w:val="22"/>
          <w:szCs w:val="22"/>
        </w:rPr>
      </w:pPr>
      <w:r w:rsidRPr="00DA76A7">
        <w:rPr>
          <w:rFonts w:ascii="Arial" w:hAnsi="Arial" w:cs="Arial"/>
          <w:b/>
          <w:color w:val="000000" w:themeColor="text1"/>
          <w:sz w:val="22"/>
          <w:szCs w:val="22"/>
        </w:rPr>
        <w:t xml:space="preserve"> </w:t>
      </w: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LEGAL EDUCATION IN STRUGGLE AGAINST CRIMINAL ACTIVITY OF TERRORISTS IN THE INTERNET NETWORK  </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Gadzhiev Vugar Edvar oglu</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andidate of juridical sciences</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senior researcher, senior lecturer</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 state university of justice</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664074, Russia, Irkutsk, st. Ivan Franko, 23a </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89501341972,</w:t>
      </w:r>
      <w:r w:rsidRPr="00DA76A7">
        <w:rPr>
          <w:rFonts w:ascii="Arial" w:hAnsi="Arial" w:cs="Arial"/>
          <w:i/>
          <w:color w:val="000000" w:themeColor="text1"/>
          <w:sz w:val="22"/>
          <w:szCs w:val="22"/>
          <w:lang w:val="en-US"/>
        </w:rPr>
        <w:t xml:space="preserve"> </w:t>
      </w:r>
      <w:r w:rsidRPr="00DA76A7">
        <w:rPr>
          <w:rFonts w:ascii="Arial" w:hAnsi="Arial" w:cs="Arial"/>
          <w:color w:val="000000" w:themeColor="text1"/>
          <w:sz w:val="22"/>
          <w:szCs w:val="22"/>
          <w:lang w:val="en-US"/>
        </w:rPr>
        <w:t xml:space="preserve">e-mail: </w:t>
      </w:r>
      <w:hyperlink r:id="rId273" w:history="1">
        <w:r w:rsidRPr="00DA76A7">
          <w:rPr>
            <w:rStyle w:val="af0"/>
            <w:rFonts w:ascii="Arial" w:hAnsi="Arial" w:cs="Arial"/>
            <w:color w:val="000000" w:themeColor="text1"/>
            <w:sz w:val="22"/>
            <w:szCs w:val="22"/>
            <w:u w:val="none"/>
            <w:lang w:val="en-US"/>
          </w:rPr>
          <w:t>gadjievv81@mail.ru</w:t>
        </w:r>
      </w:hyperlink>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Dyomina Marina Leonidovna</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the teacher of the department of criminal procedure law and criminalistics</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 state university of justice</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664074, Russia, Irkutsk, st. Ivan Franko, 23a </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89086611712, e-mail:</w:t>
      </w:r>
      <w:r w:rsidRPr="00DA76A7">
        <w:rPr>
          <w:rFonts w:ascii="Arial" w:hAnsi="Arial" w:cs="Arial"/>
          <w:color w:val="000000" w:themeColor="text1"/>
          <w:sz w:val="22"/>
          <w:szCs w:val="22"/>
          <w:shd w:val="clear" w:color="auto" w:fill="FFFFFF"/>
          <w:lang w:val="en-US"/>
        </w:rPr>
        <w:t xml:space="preserve"> </w:t>
      </w:r>
      <w:hyperlink r:id="rId274" w:history="1">
        <w:r w:rsidRPr="00DA76A7">
          <w:rPr>
            <w:rStyle w:val="af0"/>
            <w:rFonts w:ascii="Arial" w:hAnsi="Arial" w:cs="Arial"/>
            <w:color w:val="000000" w:themeColor="text1"/>
            <w:sz w:val="22"/>
            <w:szCs w:val="22"/>
            <w:u w:val="none"/>
            <w:shd w:val="clear" w:color="auto" w:fill="FFFFFF"/>
            <w:lang w:val="en-US"/>
          </w:rPr>
          <w:t>dyomina-mari@mail.ru</w:t>
        </w:r>
      </w:hyperlink>
      <w:r w:rsidRPr="00DA76A7">
        <w:rPr>
          <w:rFonts w:ascii="Arial" w:hAnsi="Arial" w:cs="Arial"/>
          <w:color w:val="000000" w:themeColor="text1"/>
          <w:sz w:val="22"/>
          <w:szCs w:val="22"/>
          <w:shd w:val="clear" w:color="auto" w:fill="FFFFFF"/>
          <w:lang w:val="en-US"/>
        </w:rPr>
        <w:t xml:space="preserve"> </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Yudin Dmitry Viktorovich</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3-year student of the faculty of continuing education</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 state university of justice</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664074, Russia, Irkutsk, st. Ivan Franko, 23a </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w:t>
      </w:r>
      <w:r w:rsidRPr="00DA76A7">
        <w:rPr>
          <w:rFonts w:ascii="Arial" w:hAnsi="Arial" w:cs="Arial"/>
          <w:color w:val="000000" w:themeColor="text1"/>
          <w:sz w:val="22"/>
          <w:szCs w:val="22"/>
          <w:shd w:val="clear" w:color="auto" w:fill="FFFFFF"/>
          <w:lang w:val="en-US"/>
        </w:rPr>
        <w:t xml:space="preserve"> </w:t>
      </w:r>
      <w:r w:rsidRPr="00DA76A7">
        <w:rPr>
          <w:rFonts w:ascii="Arial" w:hAnsi="Arial" w:cs="Arial"/>
          <w:color w:val="000000" w:themeColor="text1"/>
          <w:sz w:val="22"/>
          <w:szCs w:val="22"/>
          <w:lang w:val="en-US"/>
        </w:rPr>
        <w:t>89148775425, e-mail:</w:t>
      </w:r>
      <w:r w:rsidRPr="00DA76A7">
        <w:rPr>
          <w:rFonts w:ascii="Arial" w:hAnsi="Arial" w:cs="Arial"/>
          <w:color w:val="000000" w:themeColor="text1"/>
          <w:sz w:val="22"/>
          <w:szCs w:val="22"/>
          <w:shd w:val="clear" w:color="auto" w:fill="FFFFFF"/>
          <w:lang w:val="en-US"/>
        </w:rPr>
        <w:t xml:space="preserve"> </w:t>
      </w:r>
      <w:hyperlink r:id="rId275" w:history="1">
        <w:r w:rsidRPr="00DA76A7">
          <w:rPr>
            <w:rStyle w:val="af0"/>
            <w:rFonts w:ascii="Arial" w:hAnsi="Arial" w:cs="Arial"/>
            <w:color w:val="000000" w:themeColor="text1"/>
            <w:sz w:val="22"/>
            <w:szCs w:val="22"/>
            <w:u w:val="none"/>
            <w:shd w:val="clear" w:color="auto" w:fill="FFFFFF"/>
            <w:lang w:val="en-US"/>
          </w:rPr>
          <w:t>super.yudin@bk.ru</w:t>
        </w:r>
      </w:hyperlink>
      <w:r w:rsidRPr="00DA76A7">
        <w:rPr>
          <w:rFonts w:ascii="Arial" w:hAnsi="Arial" w:cs="Arial"/>
          <w:color w:val="000000" w:themeColor="text1"/>
          <w:sz w:val="22"/>
          <w:szCs w:val="22"/>
          <w:shd w:val="clear" w:color="auto" w:fill="FFFFFF"/>
          <w:lang w:val="en-US"/>
        </w:rPr>
        <w:t xml:space="preserve"> </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данной статье рассматривается порядок вербовки террористов международной террористической организации «Исламское государство Ирака и Леванта» с использованием социальных сетей, а также необходимость и эффективность использования правового просвещения в борьбе с этим антисоциальным явлением. Авторы анализируют процесс поиска и привлечения новых сторонников указанной преступной деятельности, приводят возможные способы воздействия на человека с использованием знаний в области психологии и универсальные показатели противодействия манипуляциям.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examines the procedure for recruiting terrorists of the international terrorist organization «The Islamic state of Iraq and the Levant» using social networks, as well as the need and effectiveness of using legal education to combat this antisocial phenomenon. The authors analyze the process of searching for and attracting new supporters of this criminal activity, leading possible ways of influencing a person using knowledge in the field of psychology and universal indicators of resistance to manipulation.</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вербовка, интернет, информационное пространство, манипулятивное воздействие, правовое просвещение</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предупреждение, психологическое воздействие, социальные сети, терроризм, этапы вербовки.</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recruitment, the Internet, information space, manipulative influence, legal education, prevention, psychological impact, social networks, terrorism, stages of recruitment.</w:t>
      </w:r>
    </w:p>
    <w:p w:rsidR="00592BC2" w:rsidRPr="00DA76A7" w:rsidRDefault="00592BC2" w:rsidP="00592BC2">
      <w:pPr>
        <w:ind w:firstLine="567"/>
        <w:jc w:val="both"/>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 </w:t>
      </w:r>
    </w:p>
    <w:p w:rsidR="00592BC2" w:rsidRPr="00DA76A7" w:rsidRDefault="00592BC2" w:rsidP="00592BC2">
      <w:pPr>
        <w:tabs>
          <w:tab w:val="left" w:pos="709"/>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определения, данного законодателем, т</w:t>
      </w:r>
      <w:r w:rsidRPr="00DA76A7">
        <w:rPr>
          <w:rFonts w:ascii="Arial" w:hAnsi="Arial" w:cs="Arial"/>
          <w:color w:val="000000" w:themeColor="text1"/>
          <w:sz w:val="22"/>
          <w:szCs w:val="22"/>
          <w:shd w:val="clear" w:color="auto" w:fill="FFFFFF"/>
        </w:rPr>
        <w:t xml:space="preserve">ерроризм – это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 [1]. Приведенное понятие раскрывает возможность достижения такой цели терроризма, как дестабилизация общества, подрыв государственной власти и предполагает множество различных способов их достижения. </w:t>
      </w:r>
    </w:p>
    <w:p w:rsidR="00592BC2" w:rsidRPr="00DA76A7" w:rsidRDefault="00592BC2" w:rsidP="00592BC2">
      <w:pPr>
        <w:pStyle w:val="a7"/>
        <w:shd w:val="clear" w:color="auto" w:fill="FFFFFF"/>
        <w:tabs>
          <w:tab w:val="left" w:pos="851"/>
        </w:tabs>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Большую угрозу в настоящее время представляет проявление социально-опасного направления террористической деятельности – вербовка террористов. Совершение этого преступного деяния предусматривает уголовную ответственность по ст. 205.1 УК РФ «Содействие террористической деятельности». Согласно пункта 14 Постановления Пленума Верховного Суда РФ от 9 февраля 2012 г. № 1 «О некоторых вопросах судебной практики по уголовным делам о преступлениях террористической направленности» под вербовкой в совершении хотя бы одного из преступлений,</w:t>
      </w:r>
      <w:r w:rsidRPr="00DA76A7">
        <w:rPr>
          <w:rStyle w:val="apple-converted-space"/>
          <w:rFonts w:ascii="Arial" w:hAnsi="Arial" w:cs="Arial"/>
          <w:color w:val="000000" w:themeColor="text1"/>
          <w:sz w:val="22"/>
          <w:szCs w:val="22"/>
        </w:rPr>
        <w:t> </w:t>
      </w:r>
      <w:bookmarkStart w:id="112" w:name="bec252"/>
      <w:bookmarkEnd w:id="112"/>
      <w:r w:rsidRPr="00DA76A7">
        <w:rPr>
          <w:rFonts w:ascii="Arial" w:hAnsi="Arial" w:cs="Arial"/>
          <w:color w:val="000000" w:themeColor="text1"/>
          <w:sz w:val="22"/>
          <w:szCs w:val="22"/>
        </w:rPr>
        <w:t>перечисленных в</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части 1</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статьи 205.1 УК РФ (ст. 205, 206, 208, 211, 277, 278, 279 и 360 УК РФ), следует понимать умышленные действия, направленные на вовлечение лица в совершение одного или нескольких указанных преступлений, например, путем  уговоров, убеждения, просьб, предложений (в том числе совершенные посредством размещения материалов на различных носителях и распространения через информационно-телекоммуникационные сети), применения физического воздействия или посредством поиска лиц и вовлечения их в</w:t>
      </w:r>
      <w:r w:rsidRPr="00DA76A7">
        <w:rPr>
          <w:rStyle w:val="apple-converted-space"/>
          <w:rFonts w:ascii="Arial" w:hAnsi="Arial" w:cs="Arial"/>
          <w:color w:val="000000" w:themeColor="text1"/>
          <w:sz w:val="22"/>
          <w:szCs w:val="22"/>
        </w:rPr>
        <w:t> </w:t>
      </w:r>
      <w:bookmarkStart w:id="113" w:name="54e5d1"/>
      <w:bookmarkEnd w:id="113"/>
      <w:r w:rsidRPr="00DA76A7">
        <w:rPr>
          <w:rFonts w:ascii="Arial" w:hAnsi="Arial" w:cs="Arial"/>
          <w:color w:val="000000" w:themeColor="text1"/>
          <w:sz w:val="22"/>
          <w:szCs w:val="22"/>
        </w:rPr>
        <w:t>совершение хотя бы одного из указанных преступлений.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сведениям Национального антитеррористического комитета, с начала вооруженного конфликта в ближневосточный регион выехали и примкнули к рядам террористов около 3,5 тыс. граждан РФ [2], что не может не вызывать серьезных опасений за безопасность не только отдельных граждан, но и страны в целом. </w:t>
      </w:r>
    </w:p>
    <w:p w:rsidR="00592BC2" w:rsidRPr="00DA76A7" w:rsidRDefault="00592BC2" w:rsidP="00592BC2">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В целях противодействия привлечения новых сторонников террористической организации проводиться комплексная работа на постоянной основе, связанная с защитой информационного пространства, по предупреждению, выявлению и раскрытию подобных преступлений. Однако, следует заметить, что не значительную роль в борьбе с негативными социальными проявлениями играет правовое просвещение населения. Не случайно, в п. 1 ст. 15 </w:t>
      </w:r>
      <w:r w:rsidRPr="00DA76A7">
        <w:rPr>
          <w:rFonts w:ascii="Arial" w:hAnsi="Arial" w:cs="Arial"/>
          <w:color w:val="000000" w:themeColor="text1"/>
          <w:sz w:val="22"/>
          <w:szCs w:val="22"/>
          <w:shd w:val="clear" w:color="auto" w:fill="FFFFFF"/>
        </w:rPr>
        <w:t>Основ государственной политики Российской Федерации в сфере развития правовой грамотности и правосознания граждан (утвержденных Президентом РФ 28.04.2011 № Пр-1168) одним из основных направлений государственной политики является правовое просвещение и правовое информирование граждан.</w:t>
      </w:r>
    </w:p>
    <w:p w:rsidR="00592BC2" w:rsidRPr="00DA76A7" w:rsidRDefault="00592BC2" w:rsidP="00592BC2">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При этом необходимо отличать средства правового просвещения от средств правового информирования, предупреждения преступления и др. </w:t>
      </w:r>
    </w:p>
    <w:p w:rsidR="00592BC2" w:rsidRPr="00DA76A7" w:rsidRDefault="00592BC2" w:rsidP="00592BC2">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Так, профессор Ю. П. Гармаев выделил принципы формирования правового просвещения. Приведем некоторые из них:</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rPr>
        <w:t xml:space="preserve"> излагаются доступным языком, иными доступными методами (с применением рисунков, фото, анимации, </w:t>
      </w:r>
      <w:r w:rsidRPr="00DA76A7">
        <w:rPr>
          <w:rFonts w:ascii="Arial" w:hAnsi="Arial" w:cs="Arial"/>
          <w:i/>
          <w:color w:val="000000" w:themeColor="text1"/>
          <w:sz w:val="22"/>
          <w:szCs w:val="22"/>
        </w:rPr>
        <w:t>ярких жизненных примеров</w:t>
      </w:r>
      <w:r w:rsidRPr="00DA76A7">
        <w:rPr>
          <w:rFonts w:ascii="Arial" w:hAnsi="Arial" w:cs="Arial"/>
          <w:color w:val="000000" w:themeColor="text1"/>
          <w:sz w:val="22"/>
          <w:szCs w:val="22"/>
        </w:rPr>
        <w:t xml:space="preserve"> (здесь и далее выделено нами – В. Г., М. Д., Д. Ю.) и т.п.), в адресной, доброжелательной по отношению к «потребителю» манере и по возможности кратко;</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удовлетворяют требованиям достоверности, разумности и жизненности советов и примеров, актуальности и увлекательности информации; </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создаются и распространяются не только в печатной форме, но в форме аудио, видеоматериалов, а также в виде специальных электронных программных продуктов, приложений для мобильных устройств и иной компьютерной техники;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распространяют знания не только о правах, свободах и обязанностях человека, но и о способах их реализации. То есть содержат не только правовую информацию (нормативную и ненормативную), но и ее анализ, добрые советы и рекомендации о том, как, какими способами оптимально использовать предоставляемые права и возможности;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должны быть </w:t>
      </w:r>
      <w:r w:rsidRPr="00DA76A7">
        <w:rPr>
          <w:rFonts w:ascii="Arial" w:hAnsi="Arial" w:cs="Arial"/>
          <w:i/>
          <w:color w:val="000000" w:themeColor="text1"/>
          <w:sz w:val="22"/>
          <w:szCs w:val="22"/>
        </w:rPr>
        <w:t>ситуационно обусловлены</w:t>
      </w:r>
      <w:r w:rsidRPr="00DA76A7">
        <w:rPr>
          <w:rFonts w:ascii="Arial" w:hAnsi="Arial" w:cs="Arial"/>
          <w:color w:val="000000" w:themeColor="text1"/>
          <w:sz w:val="22"/>
          <w:szCs w:val="22"/>
        </w:rPr>
        <w:t>; </w:t>
      </w:r>
    </w:p>
    <w:p w:rsidR="00592BC2" w:rsidRPr="00DA76A7" w:rsidRDefault="00592BC2" w:rsidP="00592BC2">
      <w:pPr>
        <w:shd w:val="clear" w:color="auto" w:fill="FFFFFF"/>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 исходят из приоритета нравственных ценностей, целей не только информирования, но и повышения уровня правового сознания и правовой культуры определенных категорий лиц, включая цель противодействия правовому нигилизму и др. [12, 269]. </w:t>
      </w:r>
      <w:r w:rsidRPr="00DA76A7">
        <w:rPr>
          <w:rFonts w:ascii="Arial" w:hAnsi="Arial" w:cs="Arial"/>
          <w:b/>
          <w:color w:val="000000" w:themeColor="text1"/>
          <w:sz w:val="22"/>
          <w:szCs w:val="22"/>
        </w:rPr>
        <w:t xml:space="preserve"> </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Представляется особенно эффективным использование ярких жизненных примеров в ходе правового просвещения. В некоторых случаях (например, при вербовке террористов) по мимо сообщения общих сведений о противоправных деяниях (примерах), возникает острая необходимость также и в разъяснении самого процесса совершения преступления (вербовки), включающий в себя использование сведений из различных областей знаний (психологии, религии и др.).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 самой известной и жестокой международной террористической организации, активно осуществляющей вербовку, в настоящее время относиться «Исламское государство Ирака и Леванта» (ИГИЛ). Наиболее эффективным методом привлечения людей в ряды террористов является интернет-вербовка, то есть использование Интернет-ресурсов популярных социальных сетей: </w:t>
      </w:r>
      <w:r w:rsidRPr="00DA76A7">
        <w:rPr>
          <w:rFonts w:ascii="Arial" w:hAnsi="Arial" w:cs="Arial"/>
          <w:color w:val="000000" w:themeColor="text1"/>
          <w:sz w:val="22"/>
          <w:szCs w:val="22"/>
          <w:lang w:val="en-US"/>
        </w:rPr>
        <w:t>B</w:t>
      </w:r>
      <w:r w:rsidRPr="00DA76A7">
        <w:rPr>
          <w:rFonts w:ascii="Arial" w:hAnsi="Arial" w:cs="Arial"/>
          <w:color w:val="000000" w:themeColor="text1"/>
          <w:sz w:val="22"/>
          <w:szCs w:val="22"/>
        </w:rPr>
        <w:t xml:space="preserve">Контакте, </w:t>
      </w:r>
      <w:r w:rsidRPr="00DA76A7">
        <w:rPr>
          <w:rFonts w:ascii="Arial" w:hAnsi="Arial" w:cs="Arial"/>
          <w:color w:val="000000" w:themeColor="text1"/>
          <w:sz w:val="22"/>
          <w:szCs w:val="22"/>
          <w:shd w:val="clear" w:color="auto" w:fill="FFFFFF"/>
        </w:rPr>
        <w:t>Facebook, Twitter, Instagram и др., где ими на различных языках создаются аккаунты, выкладываются видеосообщения, видеоролики, фотографии, призывы и обращения пропагандистской направленности своей незаконной деятельности</w:t>
      </w:r>
      <w:r w:rsidRPr="00DA76A7">
        <w:rPr>
          <w:rFonts w:ascii="Arial" w:hAnsi="Arial" w:cs="Arial"/>
          <w:color w:val="000000" w:themeColor="text1"/>
          <w:sz w:val="22"/>
          <w:szCs w:val="22"/>
        </w:rPr>
        <w:t xml:space="preserve">. </w:t>
      </w:r>
    </w:p>
    <w:p w:rsidR="00592BC2" w:rsidRPr="00DA76A7" w:rsidRDefault="00592BC2" w:rsidP="00592BC2">
      <w:pPr>
        <w:tabs>
          <w:tab w:val="left" w:pos="709"/>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Рассмотрим более подробно процесс подбора будущих боевиков.</w:t>
      </w:r>
    </w:p>
    <w:p w:rsidR="00592BC2" w:rsidRPr="00DA76A7" w:rsidRDefault="00592BC2" w:rsidP="00592BC2">
      <w:pPr>
        <w:tabs>
          <w:tab w:val="left" w:pos="709"/>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Объектами вербовки террористов являются мужчины, женщины, дети, принадлежащие к различным социальным слоям, независимо от вероисповедания, возраста, семейного положения и образования. Особую ценность представляют </w:t>
      </w:r>
      <w:r w:rsidRPr="00DA76A7">
        <w:rPr>
          <w:rFonts w:ascii="Arial" w:hAnsi="Arial" w:cs="Arial"/>
          <w:color w:val="000000" w:themeColor="text1"/>
          <w:sz w:val="22"/>
          <w:szCs w:val="22"/>
          <w:shd w:val="clear" w:color="auto" w:fill="FCFCFC"/>
        </w:rPr>
        <w:t xml:space="preserve">переводчики, программисты, инженеры, специалисты нефтяной промышленности и др. Например, большим спросом пользуются медицинские работники, особенно хирурги, которые не только лечат раненых боевиков ИГИЛ, но и занимаются трансплантологией органов, с последующей их перепродажей за огромные деньги в зарубежные медицинские центры [5].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Условно процесс вербовки можно разделить на четыре этапа: знакомство и общение; проверка; предложение; вхождение в террористическую организацию.</w:t>
      </w:r>
    </w:p>
    <w:p w:rsidR="00592BC2" w:rsidRPr="00DA76A7" w:rsidRDefault="00592BC2" w:rsidP="00592BC2">
      <w:pPr>
        <w:tabs>
          <w:tab w:val="left" w:pos="709"/>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первый этап входит обнаружение и изучение материалов пропаганды группировки «Исламское государство» с последующей перепиской (общением) пользователя Интернета с представителями сайта. Здесь возможны два варианта знакомства: вербовщик сам выходит на свою жертву, предлагает познакомиться, инициирует для этого необходимые условия, либо наоборот пользователь Интернета сам активно начинает проявлять интерес к запрещенному сайту. После знакомства, спустя некоторое время, возникает необходимость в разговоре по телефону или путем использования видео в режиме онлайн, а иногда и путем непосредственной встречи. С целью определения направления дальнейшей вербовки (принципов) ведется проверка личности, сбор максимально доступной необходимой информации (материальное положение, вероисповедание, национальность, образование, социальный статус, круг знакомых, родственников, хобби, психологическое состояние и др.). Большую часть таких сведений, как правило, получают благодаря социальным сетям.</w:t>
      </w:r>
    </w:p>
    <w:p w:rsidR="00592BC2" w:rsidRPr="00DA76A7" w:rsidRDefault="00592BC2" w:rsidP="00592BC2">
      <w:pPr>
        <w:tabs>
          <w:tab w:val="left" w:pos="709"/>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Выделяют три принципа, используемых для привлечения людей по сети Интернет: материальный, идеологический, социальный [13].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Материальный принцип соблюдается при вербовке лиц, находящихся в затруднительном материальном положении (наличие кредитов, долгов, невозможность содержания семьи, отсутствие жилья, постоянного заработка и т.п.).</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Идеологический принцип предусматривает формирование у людей представление об исламе, как о единственной правильной религии, раскрывая при этом содержание «радикального ислама», а не истинного.</w:t>
      </w:r>
    </w:p>
    <w:p w:rsidR="00592BC2" w:rsidRPr="00DA76A7" w:rsidRDefault="00592BC2" w:rsidP="00592BC2">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Применение социального принципа вербовки осуществляется, как правило, в отношении девушек / женщин. </w:t>
      </w:r>
      <w:r w:rsidRPr="00DA76A7">
        <w:rPr>
          <w:rFonts w:ascii="Arial" w:hAnsi="Arial" w:cs="Arial"/>
          <w:color w:val="000000" w:themeColor="text1"/>
          <w:sz w:val="22"/>
          <w:szCs w:val="22"/>
          <w:shd w:val="clear" w:color="auto" w:fill="FFFFFF"/>
        </w:rPr>
        <w:t>Преступник (вербовщик) входит в доверие, создает хорошие отношения и только тогда начинает менять систему убеждения женщины и ее ценностей, пробуждает те качества и мнения, которыми потенциальная жертва уже и так обладает [4]. В основном делается акцент на возможность удачного замужества, создания идеальной семьи, трудоустройства на хорошо оплачиваемую работу и т.п.</w:t>
      </w:r>
    </w:p>
    <w:p w:rsidR="00592BC2" w:rsidRPr="00DA76A7" w:rsidRDefault="00592BC2" w:rsidP="00592BC2">
      <w:pPr>
        <w:tabs>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С учетом возможности привлечения на сторону ИГИЛ лиц с психическими отклонениями, оказавшихся в тяжелой кризисной ситуации, не связанной с материальными трудностями, а также тех, в отношении которых имеются компрометирующие материалы, представленную классификацию следует дополнить еще и психологическим принципом.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После подробного изучения личности, получения дополнительных нужных сведений, выбора принципа вербовки и хорошей психологической обработки, начинают поступать соответствующие «выгодные» предложения. На данном этапе используют индивидуальный подход к каждому лицу с учетом его потребностей, недостатков и развития. Предлагаются соответствующие альтернативы: социальная справедливость, отмена ростовщичества, романтика отношений, высоко оплачиваемая работа и др. </w:t>
      </w:r>
      <w:r w:rsidRPr="00DA76A7">
        <w:rPr>
          <w:rFonts w:ascii="Arial" w:hAnsi="Arial" w:cs="Arial"/>
          <w:color w:val="000000" w:themeColor="text1"/>
          <w:sz w:val="22"/>
          <w:szCs w:val="22"/>
        </w:rPr>
        <w:t xml:space="preserve">Принятие выдвинутого заманчивого предложения является успехом проведенной вербовки. Далее будущий «новобранец» добровольно переправляется в указанное ему/ей место для прибытия в «Исламское государство» или же остается на прежнем месте своего пребывания в качестве верного и исполнительного «воина», ожидающего команды о начале осуществления конкретных преступных действий. </w:t>
      </w:r>
    </w:p>
    <w:p w:rsidR="00592BC2" w:rsidRPr="00DA76A7" w:rsidRDefault="00592BC2" w:rsidP="00592BC2">
      <w:pPr>
        <w:tabs>
          <w:tab w:val="left" w:pos="567"/>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Вербовщиками являются физические лица (мужского или женского пола), любой национальности, достигшее возраста 16 лет, имеющее только прямой умысел и специальную цель в виде совершения преступления (ст. 205, 206, 208, 211, 277, 278, 279 и 360 УК РФ). Лица, осуществляющие вербовку разбираются в вопросах религии (Ислама) и обладают хорошими практическими навыками в области психологии.  </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Необходимо подробно рассмотреть вопросы использования и применения знаний из области психологии в процессе вербовки террористов через социальные сети.   </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Как справедливо отмечает Р. В. Гоннов и Е. Н. Шаров, социальные сети Интернет предоставляют широкие возможности для вербовки. По мнению авторов, суть вербовки заключается в том, чтобы создать ситуацию таким образом, чтобы человек воспринимал желание вербуемого как своё собственное. С точки зрения психологического комфорта познакомиться в сети намного легче, чем в реальной жизни. Так, например, с вами знакомится человек и в результате приятного общения вы находите много общего во взглядах, интересах, увлечениях, это мотиватор, который усилит и углубит представления о несовершенстве и несправедливости окружающего мира, поможет найти «верный» путь. Затем будут встречи, на которых объект вербовки осознает, что он один из немногих избранных достойный шанса постичь истину и стать на сторону «справедливости» [3, 179].</w:t>
      </w:r>
    </w:p>
    <w:p w:rsidR="00592BC2" w:rsidRPr="00DA76A7" w:rsidRDefault="00592BC2" w:rsidP="00592BC2">
      <w:pPr>
        <w:shd w:val="clear" w:color="auto" w:fill="FFFFFF"/>
        <w:tabs>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 специальной литературе по данной проблематике выделяют характерные признаки вербовки: религиозный маркетинг, агрессивный прозелитизм, психологическое давление, двойное учение, иерархия, программирование сознания, контроль жизнедеятельности и др.</w:t>
      </w:r>
    </w:p>
    <w:p w:rsidR="00592BC2" w:rsidRPr="00DA76A7" w:rsidRDefault="00592BC2" w:rsidP="00592BC2">
      <w:pPr>
        <w:shd w:val="clear" w:color="auto" w:fill="FFFFFF"/>
        <w:tabs>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Под религиозным маркетингом понимается распространение своего учения и вербовка новых членов особыми средствами, где пропаганда, в первую очередь, обращена к подсознанию путем «навязывания» своего вероучения в формах, исключающих рациональное осмысление (то есть это установка на постоянную вербовку). Сюда относятся все виды рекламы в средствах массовой информации (уличная, почтовая и пр.). Так, например, это назойливые приглашения посетить собрания, тренинги или семинары с неопределенными названиями.</w:t>
      </w:r>
    </w:p>
    <w:p w:rsidR="00592BC2" w:rsidRPr="00DA76A7" w:rsidRDefault="00592BC2" w:rsidP="00592BC2">
      <w:pPr>
        <w:shd w:val="clear" w:color="auto" w:fill="FFFFFF"/>
        <w:tabs>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Суть агрессивного прозелитизма и психологического давления заключается в том, что у вербуемого создается ощущение, что именно его ждали, он важен и нужен, его не отпускают ни на минуту, чтобы не оставить его наедине с его мыслями и переживаниями. Всегда имеется компрометирующий человека материал. Кроме того, обязывают совершить поступок, ставящий его вне традиционных общественных и нравственных связей: отречься от родителей, от веры и даже подвергается угрозам и шантажу.</w:t>
      </w:r>
    </w:p>
    <w:p w:rsidR="00592BC2" w:rsidRPr="00DA76A7" w:rsidRDefault="00592BC2" w:rsidP="00592BC2">
      <w:pPr>
        <w:shd w:val="clear" w:color="auto" w:fill="FFFFFF"/>
        <w:tabs>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Двойное учение означает то, что вербовщики не сообщают тем, кого пытаются привлечь, всей правды. Религиозные учения, навязываемые сегодня российским гражданам, в конечном счете, направлены на разрушение традиционной российской культуры, а потому всегда будут маскироваться под общепризнанные ценности.</w:t>
      </w:r>
    </w:p>
    <w:p w:rsidR="00592BC2" w:rsidRPr="00DA76A7" w:rsidRDefault="00592BC2" w:rsidP="00592BC2">
      <w:pPr>
        <w:shd w:val="clear" w:color="auto" w:fill="FFFFFF"/>
        <w:tabs>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Иерархическое устройство позволяет держать под строгим контролем и направлять действия вербуемых на всех ступенях и не допускать критического отношения к лидерам, идеи и пр.</w:t>
      </w:r>
    </w:p>
    <w:p w:rsidR="00592BC2" w:rsidRPr="00DA76A7" w:rsidRDefault="00592BC2" w:rsidP="00592BC2">
      <w:pPr>
        <w:shd w:val="clear" w:color="auto" w:fill="FFFFFF"/>
        <w:tabs>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Программирование сознания. Легко вербуются прежде всего люди с неустойчивой психикой, не имеющие ясных нравственных критериев, духовных и культурных знаний. Такие люди, как правило, легко внушаемы, то есть готовы отказаться от своей свободы и принять установки вербующих. При этом человек получает иллюзорный смысл жизни, но мышление его может строиться лишь по примитивным схемам.</w:t>
      </w:r>
    </w:p>
    <w:p w:rsidR="00592BC2" w:rsidRPr="00DA76A7" w:rsidRDefault="00592BC2" w:rsidP="00592BC2">
      <w:pPr>
        <w:shd w:val="clear" w:color="auto" w:fill="FFFFFF"/>
        <w:tabs>
          <w:tab w:val="left" w:pos="709"/>
        </w:tabs>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Для достижения контроля жизнедеятельности, вербуемые вырываются из привычной жизни, лишаются привычного круга общения.</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По мнению Р. В. Гоннова, С. И. Гуц и Е. Н. Шарова, в интернет-переписке нередко используются следующие приемы:     </w:t>
      </w:r>
    </w:p>
    <w:p w:rsidR="00592BC2" w:rsidRPr="00DA76A7" w:rsidRDefault="00592BC2" w:rsidP="00D45D6B">
      <w:pPr>
        <w:widowControl/>
        <w:numPr>
          <w:ilvl w:val="0"/>
          <w:numId w:val="117"/>
        </w:numPr>
        <w:shd w:val="clear" w:color="auto" w:fill="FFFFFF"/>
        <w:tabs>
          <w:tab w:val="left" w:pos="709"/>
          <w:tab w:val="left" w:pos="851"/>
          <w:tab w:val="left" w:pos="993"/>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вызов определенного эмоционального состояния у собеседника путем одобрения</w:t>
      </w:r>
      <w:r w:rsidRPr="00DA76A7">
        <w:rPr>
          <w:rFonts w:ascii="Arial" w:hAnsi="Arial" w:cs="Arial"/>
          <w:color w:val="000000" w:themeColor="text1"/>
          <w:sz w:val="22"/>
          <w:szCs w:val="22"/>
          <w:shd w:val="clear" w:color="auto" w:fill="FFFFFF"/>
        </w:rPr>
        <w:br/>
        <w:t>«верных» выводов и суждений;</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давление авторитетом («я лучше знаю!»);</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желание добра собеседнику («да укрепит твой дух Аллах»);</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идентификация близости (указание на определенную схожесть с собеседником по</w:t>
      </w:r>
      <w:r w:rsidR="005C2070">
        <w:rPr>
          <w:rFonts w:ascii="Arial" w:hAnsi="Arial" w:cs="Arial"/>
          <w:color w:val="000000" w:themeColor="text1"/>
          <w:sz w:val="22"/>
          <w:szCs w:val="22"/>
          <w:shd w:val="clear" w:color="auto" w:fill="FFFFFF"/>
        </w:rPr>
        <w:t xml:space="preserve"> </w:t>
      </w:r>
      <w:r w:rsidRPr="00DA76A7">
        <w:rPr>
          <w:rFonts w:ascii="Arial" w:hAnsi="Arial" w:cs="Arial"/>
          <w:color w:val="000000" w:themeColor="text1"/>
          <w:sz w:val="22"/>
          <w:szCs w:val="22"/>
          <w:shd w:val="clear" w:color="auto" w:fill="FFFFFF"/>
        </w:rPr>
        <w:t>переписке);</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использование «голословного» примера без какого-либо подтверждения;</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приведение позитивных примеров определенного выбора (принятого решения) без предложения такового;</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применение индоктринизирующих утверждений («Аллах...Ислам и только Ислам....никакой больше религии не существует»);</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применение паралогичных утверждений (Бог один, но ты поклоняешься не тому</w:t>
      </w:r>
      <w:r w:rsidRPr="00DA76A7">
        <w:rPr>
          <w:rFonts w:ascii="Arial" w:hAnsi="Arial" w:cs="Arial"/>
          <w:color w:val="000000" w:themeColor="text1"/>
          <w:sz w:val="22"/>
          <w:szCs w:val="22"/>
          <w:shd w:val="clear" w:color="auto" w:fill="FFFFFF"/>
        </w:rPr>
        <w:br/>
        <w:t>Богу, которому покланяюсь я (т.е. подтверждая, что Бог один тут же идет утверждение, что их несколько);</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приведение бездоказательных утверждений («но не так как мы чисты!!! Вы верите в приметы... это язычество... пойми ты уже!!! Вы в день 5 раз молитву не совершаете.... это вера в Аллаха??? сейчас начали принимать Ислам... и русские... украинцы... англ... и т.д...»);</w:t>
      </w:r>
    </w:p>
    <w:p w:rsidR="00592BC2" w:rsidRPr="00DA76A7" w:rsidRDefault="00592BC2" w:rsidP="00D45D6B">
      <w:pPr>
        <w:widowControl/>
        <w:numPr>
          <w:ilvl w:val="0"/>
          <w:numId w:val="117"/>
        </w:numPr>
        <w:shd w:val="clear" w:color="auto" w:fill="FFFFFF"/>
        <w:tabs>
          <w:tab w:val="left" w:pos="709"/>
          <w:tab w:val="left" w:pos="851"/>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принцип простоты (принятие ислама – решение всех проблем);</w:t>
      </w:r>
    </w:p>
    <w:p w:rsidR="00592BC2" w:rsidRPr="00DA76A7" w:rsidRDefault="00592BC2" w:rsidP="00D45D6B">
      <w:pPr>
        <w:widowControl/>
        <w:numPr>
          <w:ilvl w:val="0"/>
          <w:numId w:val="117"/>
        </w:numPr>
        <w:shd w:val="clear" w:color="auto" w:fill="FFFFFF"/>
        <w:tabs>
          <w:tab w:val="left" w:pos="709"/>
          <w:tab w:val="left" w:pos="851"/>
          <w:tab w:val="left" w:pos="993"/>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принцип выбор без выбора (т.е. если примет ислам – все будет хорошо, если нет – все плохо («...где бы ты не был бы хоть в тюрьме... Аллах с тобой... это жизнь испытание.... Аллах смотрит на нас... если, сегодня, не приняв Ислам, умрешь, знай рая</w:t>
      </w:r>
      <w:r w:rsidRPr="00DA76A7">
        <w:rPr>
          <w:rFonts w:ascii="Arial" w:hAnsi="Arial" w:cs="Arial"/>
          <w:color w:val="000000" w:themeColor="text1"/>
          <w:sz w:val="22"/>
          <w:szCs w:val="22"/>
          <w:shd w:val="clear" w:color="auto" w:fill="FFFFFF"/>
        </w:rPr>
        <w:br/>
        <w:t>не будет для тебя»; «Какая польза от жизни, прожитой не в исламе? задумайтесь, конец однозначен. Каждая душа вкусит смерть. что нам поможет в этот момент.</w:t>
      </w:r>
      <w:r w:rsidRPr="00DA76A7">
        <w:rPr>
          <w:rFonts w:ascii="Arial" w:hAnsi="Arial" w:cs="Arial"/>
          <w:color w:val="000000" w:themeColor="text1"/>
          <w:sz w:val="22"/>
          <w:szCs w:val="22"/>
          <w:shd w:val="clear" w:color="auto" w:fill="FFFFFF"/>
        </w:rPr>
        <w:br/>
        <w:t>Какой ответ мы дадим Ангелам смерти, что ответим Аллаху в Судный День. Будет ли возможность исправить свои ошибки. задумайтесь, не пора ли принять ислам и жить по велению Аллаха, свят он и велик»);</w:t>
      </w:r>
    </w:p>
    <w:p w:rsidR="00592BC2" w:rsidRPr="00DA76A7" w:rsidRDefault="00592BC2" w:rsidP="00D45D6B">
      <w:pPr>
        <w:widowControl/>
        <w:numPr>
          <w:ilvl w:val="0"/>
          <w:numId w:val="117"/>
        </w:numPr>
        <w:shd w:val="clear" w:color="auto" w:fill="FFFFFF"/>
        <w:tabs>
          <w:tab w:val="left" w:pos="709"/>
          <w:tab w:val="left" w:pos="851"/>
          <w:tab w:val="left" w:pos="993"/>
        </w:tabs>
        <w:autoSpaceDE/>
        <w:autoSpaceDN/>
        <w:adjustRightInd/>
        <w:ind w:left="0"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периодическое подчеркивание исключительности и особенности собеседника [3, 180].</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Е. Н. Шаров и С. Ф. Самойлов считают, что следствием подобного воздействия является факт радикального изменения личностных ориентации и поведения человека с изменением всего модуса прежней жизни и с появлением признаков явного психологического изменения [17, 325]. Под воздействием выше описанной методологии, используемой в книгах и приемах переписки, у вербуемого характерны следующие психологические изменения: </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 нивелирование индивидуально-психологических черт человека; </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 разрыв связи между мышлением человека и способностью им принимать самостоятельные решения; </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резкое снижение критичности мышления;</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 – десоциализация личности [3, 180]. </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Ряд специалистов (</w:t>
      </w:r>
      <w:r w:rsidRPr="00DA76A7">
        <w:rPr>
          <w:rFonts w:ascii="Arial" w:hAnsi="Arial" w:cs="Arial"/>
          <w:color w:val="000000" w:themeColor="text1"/>
          <w:sz w:val="22"/>
          <w:szCs w:val="22"/>
        </w:rPr>
        <w:t>А. О. Малофей, А. Н. Харечкин, Ю. О. Харечкина) отмечают, что п</w:t>
      </w:r>
      <w:r w:rsidRPr="00DA76A7">
        <w:rPr>
          <w:rFonts w:ascii="Arial" w:hAnsi="Arial" w:cs="Arial"/>
          <w:color w:val="000000" w:themeColor="text1"/>
          <w:sz w:val="22"/>
          <w:szCs w:val="22"/>
          <w:shd w:val="clear" w:color="auto" w:fill="FFFFFF"/>
        </w:rPr>
        <w:t>одобного рода изменения личности способны нарушить слаженность и эффективность работы звеньев системы произвольной саморегуляции поведения человека (мотив – целеполагание – планирование – целедостижение – оценка результата) [8, 21]. Так, Е. Н.  Шаров считает, что нарушения, недостаточность или дисфункции указанных составляющих целевого поведения свидетельствуют о существенном ограничении возможностей сознательной произвольной регуляции (состояние ограниченной вменяемости) [15, 190]. Наличие подобного рода психологических изменений дает возможность использовать лиц, подвергшихся деструктивному психологическому воздействию, в собственных интересах, в том числе дает возможность сформировать у лиц, подвергшихся вышеописанному деструктивному воздействию методом процессуальности, допустимость использования крайних мер для достижения сугубо своих целей (руководителей группы или организации).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Итак, на сегодняшний день исследователи выделяют большое количество различных манипулятивных приемов, суть действия которых заключаются в подчинении психики человека путем оказания скрытого психологического воздействия на нее.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Итак, под «воздействием» в психологии понимается «</w:t>
      </w:r>
      <w:r w:rsidRPr="00DA76A7">
        <w:rPr>
          <w:rFonts w:ascii="Arial" w:hAnsi="Arial" w:cs="Arial"/>
          <w:bCs/>
          <w:color w:val="000000" w:themeColor="text1"/>
          <w:sz w:val="22"/>
          <w:szCs w:val="22"/>
        </w:rPr>
        <w:t xml:space="preserve">целенаправленный перенос движения и информации от одного участника взаимодействия к другому» </w:t>
      </w:r>
      <w:r w:rsidRPr="00DA76A7">
        <w:rPr>
          <w:rFonts w:ascii="Arial" w:hAnsi="Arial" w:cs="Arial"/>
          <w:color w:val="000000" w:themeColor="text1"/>
          <w:sz w:val="22"/>
          <w:szCs w:val="22"/>
        </w:rPr>
        <w:t>[7]. Одним из направлений социальной психологии, которое активно осваивается социальными психологами является психология воздействия. Следует отметить, что среди отечественных психологов, таких как Г. А. Балл, В. М. Бехтерев, А. А. Бодалев, А. А. Деркач, Е. Л. Доценко, И. Г. Дубов, В. П. Зухаров, Т. С. Кобаченко, Г. А. Ковалев, В. Н. Куликов, А. Н. Леонтьев, Е. В. Сидоренко, Г. С. Сухобская, А. У. Хараш. А. Д. Чанько и др., нет единства в отношении понятия «психологического воздействия». С точки зрения Г. А. Ковалёва, под психологическим воздействием понимается «воздействие одного индивида на психику другого индивида (группы), которое в своей произвольной форме исходит из определенного мотива и преследует цель изменения или укрепления взглядов, мнений, отношений, установок и других психологических явлений» [6, 117]. Н. В. Матяш характеризует психологическое воздействие как «изменение психологического состояния человека, его поведения, его личностно-смысловых образований (установок, мнений, целей, оценок и др.) другим человеком или группой людей» [10, 13]. Учитывая вышесказанное, объединяющим определения психологического воздействия является понятие «изменение», которое должно стать результатом любого психологического воздействия.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Анализ литературы по данной проблематике показал, что выделяют императивную и манипулятивную стратегии психологического воздействия. Императивная стратегия не затрагивает глубинные структуры психической организации личности и ориентирована на кратковременный эффект психологического воздействия. Манипулятивная стратегия способна существенно изменить психологическое поле личности с помощью приемов подсознательного стимулирования, которые действуют в обход психического контроля личности, а также с помощью, так называемых, маркировочных и конверсионных техник, которые блокируют или разрушают их системы защиты, выстраивая взамен новые психологические установки и модели поведения [9, с. 46].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Субъект является центральной фигурой любой формы психологического воздействия, от которого во многом зависит эффективность воздействия. Кроме субъекта, следует различать и объект воздействия. Для личности объектом воздействия являются ее особенности, объектом воздействия могут выступать: психические процессы, психические явления, психические состояния. Помимо личности в целом, объектом воздействия могут выступать и такие сферы личности как когнитивная, поведенческая и аффективная.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Важнейшими компонентами структуры любого психологического воздействия выступают: заражение, подражание, внушение и убеждение.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отмечает Ю. В. Макаров, специфика заражения и подражания заключается в том, что их истоки уходят в глубины человеческой истории: ритуальные танцы и пляски членов первобытной общины, массовые психозы, возникающие в различные исторические отрезки времени и религиозные экстазы [12, с. 49].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Л. Г. Титова к психотехническим приемам внушения относит: интонационное стимулирование внушаемого высказывания; ссылки на авторитет; многократное воспроизведение через определенные одинаковые промежутки времени одних и тех же логически выстроенных дискурсов, в которых содержится внушаемая информация; идентификацию через уподобление социально значимому другому, подражание его имиджу и модели поведения [16, 141].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Убеждение представляет собой весьма специфический компонент как структуры воспитываемой личности, так и способа организованного воздействия на психику человека. В отличие от внушения, убеждение основывается на системе логических доказательств и предполагает осознанное отношение того, кто его воспринимает.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 Д. Парыгин  отмечает, что для того чтобы убеждение как метод психологического воздействия было наиболее эффективным, оно должно отвечать целому ряду требований: содержание и форма убеждения должны отвечать уровню возрастного развития личности; убеждение должно строиться с учетом индивидуальных особенностей личности; при всех условиях убеждение должно быть последовательным, логичным, максимально доказательным; убеждения должны содержать как обобщенные положения (принципы и правила), так и конкретные факты и примеры; при убеждении часто бывает необходимо анализировать факты поведения, которые одинаково известны собеседникам. Это дает возможность избежать сомнений, как в истинности самого факта, так и в характере общего вывода; убеждая других человек должен сам глубоко верить в то, что он сообщает [11, 408].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специальной литературе по данной проблематике указываются ряд универсальных приемов эффективного противодействия психологическому воздействию, такие как: недоверие; избегание источников воздействия; смех, насмешка, высмеивание; мнимое непонимание; критичность мышления; вера в собственную избранность; возможность выбора; бесстрашие и уверенность в себе; наличие времени для обдумывания и самодостаточность.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Рассмотрим некоторые из них. Так, например, наличие времени для обдумывании того или иного ответа «времени на размышление», в большинстве случаев позволяет уверенно отыскать пути выхода из любой сложной и критической ситуации, а значит само по себе манипулятивное воздействие может быть нивелировано.Наличие уверенности человека в собственных силах позволяет преодолевать любые направленные на него манипуляции. Данный факт многократно описан и подтвержден примерами из истории, например, восстания рабов или гладиаторов в Древнем Риме, воспитание самураев и ниндзя в Древнем Востоке, народные восстания и революции (Россия – восстание Е. Пугачева и др.), революционные призывы К. Маркса и Ф. Энгельса («рабам нечего терять кроме своих цепей»), восстание рабочих и крестьян во время Октябрьской революции 1917 года (ставка В. И. Ленина была на отсталые слои населения) и многочисленные другие примеры, из которых сотканы революции, восстания, бунты, и которые демонстрируют пример исключительной отваги и невозможности сломить сопротивления восставших. </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На наш взгляд, обладание гражданами подобных сведений имеет большое значение, поскольку реально может способствовать предупреждению преступлений, связанных с вербовкой террористов в социальных сетях. </w:t>
      </w:r>
    </w:p>
    <w:p w:rsidR="00592BC2" w:rsidRPr="00DA76A7" w:rsidRDefault="00592BC2" w:rsidP="00592BC2">
      <w:pPr>
        <w:shd w:val="clear" w:color="auto" w:fill="FFFFFF"/>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В настоящее время особой популярностью у населения пользуется продукция правового просвещения, изготовленная в виде буклетов, памяток, пособий, приложений для мобильных, компьютерных и иных устройств.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осуществляя правовое просвещений населения путем распространения важной информации в печатных и электронных изданиях, направленной на противодействие террористической деятельности, необходимо освещать вопросы, раскрывающие приемы психологических манипуляций, о возможности наступления уголовной ответственности за поддержание связи (оказание содействия) с террористами, о полном представлении сущности ИГИЛ (цели, задачи, отсутствие исламской идеологии, последствия и т.п.) и др.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условиях проявления активной и опасной преступной деятельности, использующей различные способы достижения своей цели, вполне целесообразным будет принятие адекватных мер его противодействия, в числе которых именно правовое просвещение населения может реально способствовать предупреждению отдельных видов преступлений (связанных с терроризмом, с незаконным оборотом наркотиков, с хищениями скота, и др.).</w:t>
      </w:r>
    </w:p>
    <w:p w:rsidR="00592BC2" w:rsidRPr="00DA76A7" w:rsidRDefault="00592BC2" w:rsidP="00592BC2">
      <w:pPr>
        <w:ind w:firstLine="567"/>
        <w:jc w:val="center"/>
        <w:rPr>
          <w:rFonts w:ascii="Arial" w:hAnsi="Arial" w:cs="Arial"/>
          <w:b/>
          <w:smallCaps/>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w:t>
      </w:r>
      <w:r w:rsidRPr="00DA76A7">
        <w:rPr>
          <w:rFonts w:ascii="Arial" w:hAnsi="Arial" w:cs="Arial"/>
          <w:color w:val="000000" w:themeColor="text1"/>
          <w:sz w:val="22"/>
          <w:szCs w:val="22"/>
          <w:shd w:val="clear" w:color="auto" w:fill="FFFFFF"/>
        </w:rPr>
        <w:t xml:space="preserve"> </w:t>
      </w:r>
      <w:hyperlink r:id="rId276" w:history="1">
        <w:r w:rsidRPr="00DA76A7">
          <w:rPr>
            <w:rStyle w:val="af0"/>
            <w:rFonts w:ascii="Arial" w:hAnsi="Arial" w:cs="Arial"/>
            <w:bCs/>
            <w:color w:val="000000" w:themeColor="text1"/>
            <w:sz w:val="22"/>
            <w:szCs w:val="22"/>
            <w:u w:val="none"/>
            <w:shd w:val="clear" w:color="auto" w:fill="FFFFFF"/>
          </w:rPr>
          <w:t>Федеральный закон от 06.03.2006 № 35-ФЗ «О противодействии терроризму</w:t>
        </w:r>
      </w:hyperlink>
      <w:r w:rsidRPr="00DA76A7">
        <w:rPr>
          <w:rStyle w:val="af0"/>
          <w:rFonts w:ascii="Arial" w:hAnsi="Arial" w:cs="Arial"/>
          <w:bCs/>
          <w:color w:val="000000" w:themeColor="text1"/>
          <w:sz w:val="22"/>
          <w:szCs w:val="22"/>
          <w:u w:val="none"/>
          <w:shd w:val="clear" w:color="auto" w:fill="FFFFFF"/>
        </w:rPr>
        <w:t>».</w:t>
      </w:r>
    </w:p>
    <w:p w:rsidR="00592BC2" w:rsidRPr="00DA76A7" w:rsidRDefault="00592BC2" w:rsidP="00592BC2">
      <w:pPr>
        <w:pStyle w:val="af8"/>
        <w:ind w:firstLine="567"/>
        <w:jc w:val="both"/>
        <w:rPr>
          <w:rFonts w:ascii="Arial" w:eastAsia="Times New Roman" w:hAnsi="Arial" w:cs="Arial"/>
          <w:color w:val="000000" w:themeColor="text1"/>
          <w:sz w:val="22"/>
          <w:szCs w:val="22"/>
        </w:rPr>
      </w:pPr>
      <w:r w:rsidRPr="00DA76A7">
        <w:rPr>
          <w:rFonts w:ascii="Arial" w:hAnsi="Arial" w:cs="Arial"/>
          <w:color w:val="000000" w:themeColor="text1"/>
          <w:sz w:val="22"/>
          <w:szCs w:val="22"/>
        </w:rPr>
        <w:t xml:space="preserve">2. </w:t>
      </w:r>
      <w:r w:rsidRPr="00DA76A7">
        <w:rPr>
          <w:rFonts w:ascii="Arial" w:eastAsia="Times New Roman" w:hAnsi="Arial" w:cs="Arial"/>
          <w:color w:val="000000" w:themeColor="text1"/>
          <w:sz w:val="22"/>
          <w:szCs w:val="22"/>
        </w:rPr>
        <w:t xml:space="preserve">Выступление Генерального прокурора Российской Федерации Ю. Я. Чайки на «Правительственном часе» в Государственной Думе Федерального Собрания Российской Федерации [Электронный ресурс]. – Режим доступа: </w:t>
      </w:r>
      <w:hyperlink r:id="rId277" w:history="1">
        <w:r w:rsidRPr="00DA76A7">
          <w:rPr>
            <w:rStyle w:val="af0"/>
            <w:rFonts w:ascii="Arial" w:hAnsi="Arial" w:cs="Arial"/>
            <w:color w:val="000000" w:themeColor="text1"/>
            <w:sz w:val="22"/>
            <w:szCs w:val="22"/>
            <w:u w:val="none"/>
          </w:rPr>
          <w:t>http://genproc.gov.ru/smi/news/genproc/news-1091254/</w:t>
        </w:r>
      </w:hyperlink>
      <w:r w:rsidRPr="00DA76A7">
        <w:rPr>
          <w:rFonts w:ascii="Arial" w:hAnsi="Arial" w:cs="Arial"/>
          <w:color w:val="000000" w:themeColor="text1"/>
          <w:sz w:val="22"/>
          <w:szCs w:val="22"/>
        </w:rPr>
        <w:t xml:space="preserve">. – </w:t>
      </w:r>
      <w:r w:rsidRPr="00DA76A7">
        <w:rPr>
          <w:rFonts w:ascii="Arial" w:eastAsia="Times New Roman" w:hAnsi="Arial" w:cs="Arial"/>
          <w:color w:val="000000" w:themeColor="text1"/>
          <w:sz w:val="22"/>
          <w:szCs w:val="22"/>
        </w:rPr>
        <w:t>Генеральная прокуратура РФ (дата обращения 21.01.2018).</w:t>
      </w:r>
    </w:p>
    <w:p w:rsidR="00592BC2" w:rsidRPr="00DA76A7" w:rsidRDefault="00592BC2" w:rsidP="00592BC2">
      <w:pPr>
        <w:pStyle w:val="af8"/>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 xml:space="preserve">3. </w:t>
      </w:r>
      <w:r w:rsidRPr="00DA76A7">
        <w:rPr>
          <w:rFonts w:ascii="Arial" w:hAnsi="Arial" w:cs="Arial"/>
          <w:color w:val="000000" w:themeColor="text1"/>
          <w:sz w:val="22"/>
          <w:szCs w:val="22"/>
          <w:shd w:val="clear" w:color="auto" w:fill="FFFFFF"/>
        </w:rPr>
        <w:t>Гоннов Р. В., Шаров Е. Н. Клинико-психологический анализ методов вербовки ваххабитского движения на примере литературы и интернет-переписки // Актуальные проблемы формирования профессиональной компетентности у курсантов и слушателей ВУЗов МВД России: сборник материалов межвузовского круглого стола / под общ. ред. Л.И. Тимошенко – Ставрополь: СФ КрУ МВД России, 2016. С. 180.</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4. </w:t>
      </w:r>
      <w:r w:rsidRPr="00DA76A7">
        <w:rPr>
          <w:rFonts w:ascii="Arial" w:eastAsia="Times New Roman" w:hAnsi="Arial" w:cs="Arial"/>
          <w:bCs/>
          <w:color w:val="000000" w:themeColor="text1"/>
          <w:kern w:val="36"/>
          <w:sz w:val="22"/>
          <w:szCs w:val="22"/>
        </w:rPr>
        <w:t xml:space="preserve">Как вербуют женщин в ИГИЛ </w:t>
      </w:r>
      <w:r w:rsidRPr="00DA76A7">
        <w:rPr>
          <w:rFonts w:ascii="Arial" w:eastAsia="Times New Roman" w:hAnsi="Arial" w:cs="Arial"/>
          <w:color w:val="000000" w:themeColor="text1"/>
          <w:sz w:val="22"/>
          <w:szCs w:val="22"/>
        </w:rPr>
        <w:t>[Электронный ресурс]. – Режим доступа:</w:t>
      </w:r>
      <w:r w:rsidRPr="00DA76A7">
        <w:rPr>
          <w:rFonts w:ascii="Arial" w:hAnsi="Arial" w:cs="Arial"/>
          <w:color w:val="000000" w:themeColor="text1"/>
          <w:sz w:val="22"/>
          <w:szCs w:val="22"/>
        </w:rPr>
        <w:t xml:space="preserve"> </w:t>
      </w:r>
      <w:hyperlink r:id="rId278" w:history="1">
        <w:r w:rsidRPr="00DA76A7">
          <w:rPr>
            <w:rStyle w:val="af0"/>
            <w:rFonts w:ascii="Arial" w:hAnsi="Arial" w:cs="Arial"/>
            <w:color w:val="000000" w:themeColor="text1"/>
            <w:sz w:val="22"/>
            <w:szCs w:val="22"/>
            <w:u w:val="none"/>
          </w:rPr>
          <w:t>http://www.muslim-info.com/kak-verbuyut-zhenschin-v-igil.html</w:t>
        </w:r>
      </w:hyperlink>
      <w:r w:rsidRPr="00DA76A7">
        <w:rPr>
          <w:rStyle w:val="af0"/>
          <w:rFonts w:ascii="Arial" w:hAnsi="Arial" w:cs="Arial"/>
          <w:color w:val="000000" w:themeColor="text1"/>
          <w:sz w:val="22"/>
          <w:szCs w:val="22"/>
          <w:u w:val="none"/>
        </w:rPr>
        <w:t xml:space="preserve">. – </w:t>
      </w:r>
      <w:r w:rsidRPr="00DA76A7">
        <w:rPr>
          <w:rFonts w:ascii="Arial" w:eastAsia="Times New Roman" w:hAnsi="Arial" w:cs="Arial"/>
          <w:bCs/>
          <w:color w:val="000000" w:themeColor="text1"/>
          <w:kern w:val="36"/>
          <w:sz w:val="22"/>
          <w:szCs w:val="22"/>
        </w:rPr>
        <w:t xml:space="preserve">Всемирный Исламский сайт мусульман </w:t>
      </w:r>
      <w:r w:rsidRPr="00DA76A7">
        <w:rPr>
          <w:rFonts w:ascii="Arial" w:eastAsia="Times New Roman" w:hAnsi="Arial" w:cs="Arial"/>
          <w:color w:val="000000" w:themeColor="text1"/>
          <w:sz w:val="22"/>
          <w:szCs w:val="22"/>
        </w:rPr>
        <w:t>(дата обращения 10.12.2017).</w:t>
      </w:r>
      <w:r w:rsidRPr="00DA76A7">
        <w:rPr>
          <w:rFonts w:ascii="Arial" w:hAnsi="Arial" w:cs="Arial"/>
          <w:color w:val="000000" w:themeColor="text1"/>
          <w:sz w:val="22"/>
          <w:szCs w:val="22"/>
        </w:rPr>
        <w:t xml:space="preserve"> </w:t>
      </w:r>
      <w:r w:rsidRPr="00DA76A7">
        <w:rPr>
          <w:rFonts w:ascii="Arial" w:eastAsia="Times New Roman" w:hAnsi="Arial" w:cs="Arial"/>
          <w:color w:val="000000" w:themeColor="text1"/>
          <w:spacing w:val="-5"/>
          <w:kern w:val="36"/>
          <w:sz w:val="22"/>
          <w:szCs w:val="22"/>
        </w:rPr>
        <w:t xml:space="preserve">     </w:t>
      </w:r>
      <w:r w:rsidRPr="00DA76A7">
        <w:rPr>
          <w:rFonts w:ascii="Arial" w:hAnsi="Arial" w:cs="Arial"/>
          <w:color w:val="000000" w:themeColor="text1"/>
          <w:sz w:val="22"/>
          <w:szCs w:val="22"/>
        </w:rPr>
        <w:t xml:space="preserve">    </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5. </w:t>
      </w:r>
      <w:r w:rsidRPr="00DA76A7">
        <w:rPr>
          <w:rFonts w:ascii="Arial" w:hAnsi="Arial" w:cs="Arial"/>
          <w:bCs/>
          <w:color w:val="000000" w:themeColor="text1"/>
          <w:sz w:val="22"/>
          <w:szCs w:val="22"/>
        </w:rPr>
        <w:t>Как происходит вербовка в ИГИЛ</w:t>
      </w:r>
      <w:r w:rsidRPr="00DA76A7">
        <w:rPr>
          <w:rFonts w:ascii="Arial" w:hAnsi="Arial" w:cs="Arial"/>
          <w:color w:val="000000" w:themeColor="text1"/>
          <w:sz w:val="22"/>
          <w:szCs w:val="22"/>
        </w:rPr>
        <w:t xml:space="preserve"> </w:t>
      </w:r>
      <w:r w:rsidRPr="00DA76A7">
        <w:rPr>
          <w:rFonts w:ascii="Arial" w:eastAsia="Times New Roman" w:hAnsi="Arial" w:cs="Arial"/>
          <w:color w:val="000000" w:themeColor="text1"/>
          <w:sz w:val="22"/>
          <w:szCs w:val="22"/>
        </w:rPr>
        <w:t xml:space="preserve">[Электронный ресурс]. – Режим доступа: </w:t>
      </w:r>
      <w:hyperlink r:id="rId279" w:history="1">
        <w:r w:rsidRPr="00DA76A7">
          <w:rPr>
            <w:rStyle w:val="af0"/>
            <w:rFonts w:ascii="Arial" w:hAnsi="Arial" w:cs="Arial"/>
            <w:color w:val="000000" w:themeColor="text1"/>
            <w:sz w:val="22"/>
            <w:szCs w:val="22"/>
            <w:u w:val="none"/>
          </w:rPr>
          <w:t>http://zn.asu.ru/issue.shtml?i_n_seq=1422&amp;a_n=22</w:t>
        </w:r>
      </w:hyperlink>
      <w:r w:rsidRPr="00DA76A7">
        <w:rPr>
          <w:rStyle w:val="af0"/>
          <w:rFonts w:ascii="Arial" w:hAnsi="Arial" w:cs="Arial"/>
          <w:color w:val="000000" w:themeColor="text1"/>
          <w:sz w:val="22"/>
          <w:szCs w:val="22"/>
          <w:u w:val="none"/>
        </w:rPr>
        <w:t xml:space="preserve">. – </w:t>
      </w:r>
      <w:r w:rsidRPr="00DA76A7">
        <w:rPr>
          <w:rFonts w:ascii="Arial" w:hAnsi="Arial" w:cs="Arial"/>
          <w:color w:val="000000" w:themeColor="text1"/>
          <w:sz w:val="22"/>
          <w:szCs w:val="22"/>
        </w:rPr>
        <w:t>«За науку» газета Алтайского государственного университета, № 1 (1422) от 14.01.2016 г. (дата обращения 15.11.2017).</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Ковалев Г. А. Психологическое воздействие : теория, методология, практика : дис. … д-ра психол. наук / Г. А. Ковалев. – М., 1991. – 477 с.</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Общая психология. Словарь. Под ред. А.В. </w:t>
      </w:r>
      <w:r w:rsidRPr="00DA76A7">
        <w:rPr>
          <w:rFonts w:ascii="Arial" w:hAnsi="Arial" w:cs="Arial"/>
          <w:bCs/>
          <w:color w:val="000000" w:themeColor="text1"/>
          <w:sz w:val="22"/>
          <w:szCs w:val="22"/>
        </w:rPr>
        <w:t>Петровского</w:t>
      </w:r>
      <w:r w:rsidRPr="00DA76A7">
        <w:rPr>
          <w:rFonts w:ascii="Arial" w:hAnsi="Arial" w:cs="Arial"/>
          <w:color w:val="000000" w:themeColor="text1"/>
          <w:sz w:val="22"/>
          <w:szCs w:val="22"/>
        </w:rPr>
        <w:t xml:space="preserve"> </w:t>
      </w:r>
      <w:r w:rsidRPr="00DA76A7">
        <w:rPr>
          <w:rFonts w:ascii="Arial" w:eastAsia="Times New Roman" w:hAnsi="Arial" w:cs="Arial"/>
          <w:color w:val="000000" w:themeColor="text1"/>
          <w:sz w:val="22"/>
          <w:szCs w:val="22"/>
        </w:rPr>
        <w:t>[Электронный ресурс]. – Режим доступа:</w:t>
      </w:r>
      <w:r w:rsidRPr="00DA76A7">
        <w:rPr>
          <w:rFonts w:ascii="Arial" w:hAnsi="Arial" w:cs="Arial"/>
          <w:color w:val="000000" w:themeColor="text1"/>
          <w:sz w:val="22"/>
          <w:szCs w:val="22"/>
        </w:rPr>
        <w:t xml:space="preserve"> </w:t>
      </w:r>
      <w:r w:rsidRPr="00DA76A7">
        <w:rPr>
          <w:rFonts w:ascii="Arial" w:eastAsia="Times New Roman" w:hAnsi="Arial" w:cs="Arial"/>
          <w:color w:val="000000" w:themeColor="text1"/>
          <w:sz w:val="22"/>
          <w:szCs w:val="22"/>
        </w:rPr>
        <w:t>http://www.insai.ru/slovar/1521?page=2</w:t>
      </w:r>
      <w:r w:rsidRPr="00DA76A7">
        <w:rPr>
          <w:rFonts w:ascii="Arial" w:hAnsi="Arial" w:cs="Arial"/>
          <w:color w:val="000000" w:themeColor="text1"/>
          <w:sz w:val="22"/>
          <w:szCs w:val="22"/>
        </w:rPr>
        <w:t xml:space="preserve"> (дата обращения 22.12.2017).</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Малофей А. О., Харечкин А. Н., Харечкина Ю. О. Педагогический вклад И.И. Бецкого в разработку научно-практических ос- нов образования в XVIII веке, как важная структурная единица современной системы образования (на примере кадетс- ких корпусов) // Научно-методические проблемы подготовки инструкторско-педагогических кадров по боевой и физичес- кой подготовке для органов внутренних дел. Сборник материалов VIII межвузовской научно-практической конференции. ФГКОУ ВПО «Ставропольский филиал Краснодарского университета МВД России». Ставрополь: 2015. С. 21-26.</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9. Макаров Ю. В. Известия Иркутского государственного университета,  Иркутск : ИГУ, 2014. </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 xml:space="preserve">Т. 10. Серия «Психология». </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 xml:space="preserve">С. 43–50. </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10. Матяш Н. В. Методы активного социально-психологического обучения : учеб. пособие / Н. В. Матяш, Т. А. Павлова. – 2-е изд., стер. – М. : Издат. центр «Академия», 2010. – 96 с.</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11. Парыгин Б. Д. Социальная психология. Проблемы методологии, истории и теории / Б. Д. Парыгин. – СПб. : ИГУП, 1999. – 592 с.</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12. Правовое просвещение и правовое информирование в уголовном процессе и криминалистике / Ю. П. Гармаев // Библиотека криминалиста. - 2015. - № 5. - С. 258-270.</w:t>
      </w:r>
    </w:p>
    <w:p w:rsidR="00592BC2" w:rsidRPr="00DA76A7" w:rsidRDefault="00592BC2" w:rsidP="00592BC2">
      <w:pPr>
        <w:ind w:firstLine="567"/>
        <w:jc w:val="both"/>
        <w:rPr>
          <w:rFonts w:ascii="Arial" w:hAnsi="Arial" w:cs="Arial"/>
          <w:color w:val="000000" w:themeColor="text1"/>
          <w:spacing w:val="-5"/>
          <w:kern w:val="36"/>
          <w:sz w:val="22"/>
          <w:szCs w:val="22"/>
        </w:rPr>
      </w:pPr>
      <w:r w:rsidRPr="00DA76A7">
        <w:rPr>
          <w:rFonts w:ascii="Arial" w:hAnsi="Arial" w:cs="Arial"/>
          <w:color w:val="000000" w:themeColor="text1"/>
          <w:sz w:val="22"/>
          <w:szCs w:val="22"/>
        </w:rPr>
        <w:t xml:space="preserve">13. </w:t>
      </w:r>
      <w:r w:rsidRPr="00DA76A7">
        <w:rPr>
          <w:rFonts w:ascii="Arial" w:hAnsi="Arial" w:cs="Arial"/>
          <w:color w:val="000000" w:themeColor="text1"/>
          <w:spacing w:val="-5"/>
          <w:kern w:val="36"/>
          <w:sz w:val="22"/>
          <w:szCs w:val="22"/>
        </w:rPr>
        <w:t xml:space="preserve">Принципы вербовки в ИГИЛ </w:t>
      </w:r>
      <w:r w:rsidRPr="00DA76A7">
        <w:rPr>
          <w:rFonts w:ascii="Arial" w:hAnsi="Arial" w:cs="Arial"/>
          <w:color w:val="000000" w:themeColor="text1"/>
          <w:sz w:val="22"/>
          <w:szCs w:val="22"/>
        </w:rPr>
        <w:t xml:space="preserve">[Электронный ресурс]. – Режим доступа: </w:t>
      </w:r>
      <w:hyperlink r:id="rId280" w:history="1">
        <w:r w:rsidRPr="00DA76A7">
          <w:rPr>
            <w:rStyle w:val="af0"/>
            <w:rFonts w:ascii="Arial" w:hAnsi="Arial" w:cs="Arial"/>
            <w:color w:val="000000" w:themeColor="text1"/>
            <w:sz w:val="22"/>
            <w:szCs w:val="22"/>
            <w:u w:val="none"/>
          </w:rPr>
          <w:t>http://xn--80ayjz.xn--p1ai/archives/2529</w:t>
        </w:r>
      </w:hyperlink>
      <w:r w:rsidRPr="00DA76A7">
        <w:rPr>
          <w:rFonts w:ascii="Arial" w:hAnsi="Arial" w:cs="Arial"/>
          <w:color w:val="000000" w:themeColor="text1"/>
          <w:sz w:val="22"/>
          <w:szCs w:val="22"/>
        </w:rPr>
        <w:t>. –</w:t>
      </w:r>
      <w:r w:rsidRPr="00DA76A7">
        <w:rPr>
          <w:rFonts w:ascii="Arial" w:hAnsi="Arial" w:cs="Arial"/>
          <w:b/>
          <w:bCs/>
          <w:color w:val="000000" w:themeColor="text1"/>
          <w:sz w:val="22"/>
          <w:szCs w:val="22"/>
        </w:rPr>
        <w:t xml:space="preserve"> </w:t>
      </w:r>
      <w:r w:rsidRPr="00DA76A7">
        <w:rPr>
          <w:rFonts w:ascii="Arial" w:hAnsi="Arial" w:cs="Arial"/>
          <w:bCs/>
          <w:color w:val="000000" w:themeColor="text1"/>
          <w:sz w:val="22"/>
          <w:szCs w:val="22"/>
        </w:rPr>
        <w:t>Ц</w:t>
      </w:r>
      <w:r w:rsidRPr="00DA76A7">
        <w:rPr>
          <w:rFonts w:ascii="Arial" w:hAnsi="Arial" w:cs="Arial"/>
          <w:color w:val="000000" w:themeColor="text1"/>
          <w:spacing w:val="-5"/>
          <w:kern w:val="36"/>
          <w:sz w:val="22"/>
          <w:szCs w:val="22"/>
        </w:rPr>
        <w:t xml:space="preserve">ентр анализа международных процессов РГГУ </w:t>
      </w:r>
      <w:r w:rsidRPr="00DA76A7">
        <w:rPr>
          <w:rFonts w:ascii="Arial" w:hAnsi="Arial" w:cs="Arial"/>
          <w:color w:val="000000" w:themeColor="text1"/>
          <w:sz w:val="22"/>
          <w:szCs w:val="22"/>
        </w:rPr>
        <w:t xml:space="preserve">(дата обращения 01.02.2018). </w:t>
      </w:r>
      <w:r w:rsidRPr="00DA76A7">
        <w:rPr>
          <w:rFonts w:ascii="Arial" w:hAnsi="Arial" w:cs="Arial"/>
          <w:color w:val="000000" w:themeColor="text1"/>
          <w:spacing w:val="-5"/>
          <w:kern w:val="36"/>
          <w:sz w:val="22"/>
          <w:szCs w:val="22"/>
        </w:rPr>
        <w:t xml:space="preserve">  </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14. Титова Л. Г. Технологии делового общения : учеб. пособие / Л. Г. Титова. – М. : ЮНИТИ-ДАНА, 2008. – 271 с.</w:t>
      </w:r>
    </w:p>
    <w:p w:rsidR="00592BC2" w:rsidRPr="00DA76A7" w:rsidRDefault="00592BC2" w:rsidP="00592BC2">
      <w:pPr>
        <w:pStyle w:val="af8"/>
        <w:ind w:firstLine="567"/>
        <w:jc w:val="both"/>
        <w:rPr>
          <w:rStyle w:val="af0"/>
          <w:rFonts w:ascii="Arial" w:hAnsi="Arial" w:cs="Arial"/>
          <w:bCs/>
          <w:color w:val="000000" w:themeColor="text1"/>
          <w:sz w:val="22"/>
          <w:szCs w:val="22"/>
          <w:u w:val="none"/>
          <w:shd w:val="clear" w:color="auto" w:fill="FFFFFF"/>
        </w:rPr>
      </w:pPr>
      <w:r w:rsidRPr="00DA76A7">
        <w:rPr>
          <w:rFonts w:ascii="Arial" w:hAnsi="Arial" w:cs="Arial"/>
          <w:color w:val="000000" w:themeColor="text1"/>
          <w:sz w:val="22"/>
          <w:szCs w:val="22"/>
        </w:rPr>
        <w:t xml:space="preserve">15. </w:t>
      </w:r>
      <w:r w:rsidRPr="00DA76A7">
        <w:rPr>
          <w:rFonts w:ascii="Arial" w:hAnsi="Arial" w:cs="Arial"/>
          <w:color w:val="000000" w:themeColor="text1"/>
          <w:sz w:val="22"/>
          <w:szCs w:val="22"/>
          <w:shd w:val="clear" w:color="auto" w:fill="FFFFFF"/>
        </w:rPr>
        <w:t>Шаров Е. Н. Фото-видео фиксация действий сотрудников полиции при выполнении служебных обязанностей // В сборнике: Актуальные проблемы формирования профессиональной компетентности у курсантов и слушателей вузов МВД России электронный сборник материалов межвузовского круглого стола 09.02.2016 Ставрополь, 2016. С. 189-196.</w:t>
      </w:r>
    </w:p>
    <w:p w:rsidR="00592BC2" w:rsidRPr="00DA76A7" w:rsidRDefault="00592BC2" w:rsidP="00592BC2">
      <w:pPr>
        <w:pStyle w:val="af8"/>
        <w:ind w:firstLine="567"/>
        <w:jc w:val="both"/>
        <w:rPr>
          <w:rFonts w:ascii="Arial" w:hAnsi="Arial" w:cs="Arial"/>
          <w:color w:val="000000" w:themeColor="text1"/>
          <w:sz w:val="22"/>
          <w:szCs w:val="22"/>
          <w:shd w:val="clear" w:color="auto" w:fill="FFFFFF"/>
        </w:rPr>
      </w:pPr>
      <w:r w:rsidRPr="00DA76A7">
        <w:rPr>
          <w:rStyle w:val="af0"/>
          <w:rFonts w:ascii="Arial" w:hAnsi="Arial" w:cs="Arial"/>
          <w:bCs/>
          <w:color w:val="000000" w:themeColor="text1"/>
          <w:sz w:val="22"/>
          <w:szCs w:val="22"/>
          <w:u w:val="none"/>
          <w:shd w:val="clear" w:color="auto" w:fill="FFFFFF"/>
        </w:rPr>
        <w:t xml:space="preserve">16. </w:t>
      </w:r>
      <w:r w:rsidRPr="00DA76A7">
        <w:rPr>
          <w:rFonts w:ascii="Arial" w:hAnsi="Arial" w:cs="Arial"/>
          <w:color w:val="000000" w:themeColor="text1"/>
          <w:sz w:val="22"/>
          <w:szCs w:val="22"/>
          <w:shd w:val="clear" w:color="auto" w:fill="FFFFFF"/>
        </w:rPr>
        <w:t>Шаров Е. Н., Гуц С. И. Использование инновационных образовательных технологий в обучении стрельбе курсантов и слушателей образовательных учреждений МВД России // В сборнике: Актуальные вопросы совершенствования специальной подготовки курсантов и слушателей образовательных учреждений системы МВД России Материалы Всероссийской  Международно-правовые средства противодействия терроризму в условиях глобализации... научно-практической конференции. 2014. С. 261-266.</w:t>
      </w:r>
    </w:p>
    <w:p w:rsidR="00592BC2" w:rsidRPr="00DA76A7" w:rsidRDefault="00592BC2" w:rsidP="00592BC2">
      <w:pPr>
        <w:pStyle w:val="af8"/>
        <w:ind w:firstLine="567"/>
        <w:jc w:val="both"/>
        <w:rPr>
          <w:rFonts w:ascii="Arial" w:hAnsi="Arial" w:cs="Arial"/>
          <w:color w:val="000000" w:themeColor="text1"/>
          <w:sz w:val="22"/>
          <w:szCs w:val="22"/>
          <w:shd w:val="clear" w:color="auto" w:fill="FFFFFF"/>
        </w:rPr>
      </w:pPr>
      <w:r w:rsidRPr="00DA76A7">
        <w:rPr>
          <w:rStyle w:val="af0"/>
          <w:rFonts w:ascii="Arial" w:hAnsi="Arial" w:cs="Arial"/>
          <w:bCs/>
          <w:color w:val="000000" w:themeColor="text1"/>
          <w:sz w:val="22"/>
          <w:szCs w:val="22"/>
          <w:u w:val="none"/>
          <w:shd w:val="clear" w:color="auto" w:fill="FFFFFF"/>
        </w:rPr>
        <w:t xml:space="preserve">17. </w:t>
      </w:r>
      <w:r w:rsidRPr="00DA76A7">
        <w:rPr>
          <w:rFonts w:ascii="Arial" w:hAnsi="Arial" w:cs="Arial"/>
          <w:color w:val="000000" w:themeColor="text1"/>
          <w:sz w:val="22"/>
          <w:szCs w:val="22"/>
          <w:shd w:val="clear" w:color="auto" w:fill="FFFFFF"/>
        </w:rPr>
        <w:t>Шаров Е. Н., Самойлов С. Ф. Теоретико-методологические аспекты социальной коммуникации сотрудников полиции с представителями мусульманской религии // Общество и право. 2014. №3 (49). С. 323-328.</w:t>
      </w:r>
    </w:p>
    <w:p w:rsidR="00592BC2" w:rsidRPr="00DA76A7" w:rsidRDefault="00592BC2" w:rsidP="00592BC2">
      <w:pPr>
        <w:pStyle w:val="af8"/>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592BC2" w:rsidRPr="00DA76A7" w:rsidRDefault="00592BC2" w:rsidP="00592BC2">
      <w:pPr>
        <w:pStyle w:val="af8"/>
        <w:jc w:val="both"/>
        <w:rPr>
          <w:rStyle w:val="af0"/>
          <w:rFonts w:ascii="Arial" w:hAnsi="Arial" w:cs="Arial"/>
          <w:bCs/>
          <w:color w:val="000000" w:themeColor="text1"/>
          <w:sz w:val="22"/>
          <w:szCs w:val="22"/>
          <w:u w:val="none"/>
          <w:shd w:val="clear" w:color="auto" w:fill="FFFFFF"/>
        </w:rPr>
      </w:pPr>
    </w:p>
    <w:p w:rsidR="00592BC2" w:rsidRPr="00DA76A7" w:rsidRDefault="00592BC2" w:rsidP="000C563A">
      <w:pPr>
        <w:pStyle w:val="1"/>
        <w:rPr>
          <w:caps/>
          <w:color w:val="000000" w:themeColor="text1"/>
          <w:sz w:val="22"/>
          <w:szCs w:val="22"/>
        </w:rPr>
      </w:pPr>
      <w:r w:rsidRPr="00DA76A7">
        <w:rPr>
          <w:caps/>
          <w:color w:val="000000" w:themeColor="text1"/>
          <w:sz w:val="22"/>
          <w:szCs w:val="22"/>
        </w:rPr>
        <w:t>Субъект злоупотребления должностными полномочиями</w:t>
      </w:r>
    </w:p>
    <w:p w:rsidR="00592BC2" w:rsidRPr="00DA76A7" w:rsidRDefault="00592BC2" w:rsidP="00592BC2">
      <w:pPr>
        <w:jc w:val="center"/>
        <w:rPr>
          <w:rFonts w:ascii="Arial" w:hAnsi="Arial" w:cs="Arial"/>
          <w:b/>
          <w:color w:val="000000" w:themeColor="text1"/>
          <w:sz w:val="22"/>
          <w:szCs w:val="22"/>
          <w:lang w:val="tg-Cyrl-TJ"/>
        </w:rPr>
      </w:pPr>
    </w:p>
    <w:p w:rsidR="00592BC2" w:rsidRPr="00DA76A7" w:rsidRDefault="00592BC2" w:rsidP="00592BC2">
      <w:pPr>
        <w:jc w:val="center"/>
        <w:rPr>
          <w:rFonts w:ascii="Arial" w:hAnsi="Arial" w:cs="Arial"/>
          <w:b/>
          <w:color w:val="000000" w:themeColor="text1"/>
          <w:sz w:val="22"/>
          <w:szCs w:val="22"/>
          <w:lang w:val="tg-Cyrl-TJ"/>
        </w:rPr>
      </w:pPr>
      <w:r w:rsidRPr="00DA76A7">
        <w:rPr>
          <w:rFonts w:ascii="Arial" w:hAnsi="Arial" w:cs="Arial"/>
          <w:b/>
          <w:color w:val="000000" w:themeColor="text1"/>
          <w:sz w:val="22"/>
          <w:szCs w:val="22"/>
          <w:lang w:val="tg-Cyrl-TJ"/>
        </w:rPr>
        <w:t>Гасанов Азиз Алишерович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дневного отделения юридического факультета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Душанбе, ул. М. Турсунзаде, 30</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919 25 26 14 53,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Gasan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jc w:val="both"/>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SUBJECT OF ABUSE OFFICIAL AUTHORITY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Hasanov Aziz Alisherovich</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the 2 nd year of the full-time department of the faculty of law</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734025, Republic of Tajikistan, Dushanbe, M. Tursunzade str., 30 </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919 25 26 14, e-mail: Gasan@mail.ru</w:t>
      </w:r>
    </w:p>
    <w:p w:rsidR="00592BC2" w:rsidRPr="00DA76A7" w:rsidRDefault="00592BC2" w:rsidP="00592BC2">
      <w:pPr>
        <w:ind w:firstLine="567"/>
        <w:jc w:val="right"/>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Чоршанбиев А.Ч.</w:t>
      </w:r>
    </w:p>
    <w:p w:rsidR="00592BC2" w:rsidRPr="00DA76A7" w:rsidRDefault="00592BC2" w:rsidP="00592BC2">
      <w:pPr>
        <w:shd w:val="clear" w:color="auto" w:fill="FFFFFF"/>
        <w:ind w:firstLine="567"/>
        <w:jc w:val="both"/>
        <w:rPr>
          <w:rFonts w:ascii="Arial" w:hAnsi="Arial" w:cs="Arial"/>
          <w:b/>
          <w:i/>
          <w:color w:val="000000" w:themeColor="text1"/>
          <w:sz w:val="22"/>
          <w:szCs w:val="22"/>
        </w:rPr>
      </w:pPr>
    </w:p>
    <w:p w:rsidR="00592BC2" w:rsidRPr="00DA76A7" w:rsidRDefault="00592BC2" w:rsidP="00592BC2">
      <w:pPr>
        <w:shd w:val="clear" w:color="auto" w:fill="FFFFFF"/>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Кроме субъективной стороны, большое значение для квалификации имеет субъект злоупотребления должностными полномочиями, который един для большинства должностных преступлений.</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b/>
          <w:i/>
          <w:color w:val="000000" w:themeColor="text1"/>
          <w:sz w:val="22"/>
          <w:szCs w:val="22"/>
          <w:lang w:val="tg-Cyrl-TJ"/>
        </w:rPr>
        <w:t xml:space="preserve"> </w:t>
      </w:r>
      <w:r w:rsidRPr="00DA76A7">
        <w:rPr>
          <w:rFonts w:ascii="Arial" w:hAnsi="Arial" w:cs="Arial"/>
          <w:i/>
          <w:color w:val="000000" w:themeColor="text1"/>
          <w:sz w:val="22"/>
          <w:szCs w:val="22"/>
          <w:lang w:val="en-US"/>
        </w:rPr>
        <w:t>In addition to the subjective side, great importance for qualification is the subject of abuse of official powers, which is the same for the majority of malfeasance.</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субъект, злоупотребление, должностные полномочие.</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subject, abuse, official authority.</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Субъектом преступления, предусмотренного ч. 1 ст. 285 УК РФ, может быть только должностное лицо, не занимающее государственных должностей РФ либо субъекта РФ, а также должности главы органа местного самоуправления. К лицам, занимающим государственные должности РФ, закон относит лиц, занимающих должности, установленные Конституцией Российской Федерации, федеральными конституционными законами и федеральными законами для непосредственного исполнения полномочий федеральных государственных органов (примечание 2 к ст. 285 УК РФ). В соответствии со ст. 1 Федерального закона «Об основах государственной службы Российской Федерации», государственные должности Российской Федерации и государственные должности субъектов Российской Федерации - должности, устанавливаемые Конституцией Российской Федерации, федеральными законами для непосредственного исполнения полномочий федеральных государственных органов,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новое служебное законодательство не знает разделения должностей на три категории: «А», «Б» и «В», что было характерно для Федерального закона «Об основах государственной службы» 1995 г. Общепризнанно, что должностное лицо исполняет свои обязанности постоянно, временно или по специальному полномочию, но на законных основаниях. Не обязательно, чтобы в момент злоупотребления должностными полномочиями лицо демонстрировало внешние атрибуты власти (находилось в форме, предъявило удостоверение). С другой стороны, необходимо, чтобы виновный в начальной стадии превышения выступал в качестве должностного лица и воспринимался в этом качестве окружающими и потерпевшими [6, 124].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 главой органа местного самоуправления следует понимать предусмотренное уставом данного муниципального образования выборное должностное лицо, возглавляющее деятельность по осуществлению местного самоуправления на территории муниципального образования, которое избирается населением либо представительным органом данного муниципального образования в порядке, установленном федеральными законами и законами субъекта РФ (ст. 16 ФЗ «Об общих принципах организации местного самоуправления в Российской Федерации»).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 13 Федерального закона «О системе государственной службы Российской Федерации» указывает, что 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на должности гражданской службы в соответствии с актом о назначении на должность и со служебным контрактом, и получает денежное содержание за счет средств федерального бюджета или бюджета субъекта Российской Федерации. Статус публичного (государственного или муниципального) служащего складывается из органически взаимосвязанных элементов: прав, обязанностей, поощрений и гарантий, ответственности, однако с позиций уголовного права первоочередное значение имеют первые два элемента - права и обязанности, описанные в законодательстве и научной литературе [3, 148].</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термина «служащий», в административном законодательстве широко употребляется термин «должностные лица» (например, в Таможенном кодексе РФ 2003 г.), определение которого содержится в ст. 2.4 Кодекса об административных правонарушениях Российской Федерации (далее - КоАП РФ). Получается, что понятие должностного лица в административном праве имеет существенные особенности по сравнению с уголовным правом. Представляется, что выработка общего понятия должностного лица для уголовного и административного права невозможна с учетом разных методов правового регулирования административного и уголовного законодательства.</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Федеральному закону «О государственной гражданской службе Российской Федерации» должности гражданской службы подразделяются на категории и группы. Категорий четыре:</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руководители - должности руководителей и заместителей руководителей государственных органов и их структурных подразделений,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 [4, 326].</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свою очередь, эти должности подразделяются на пять групп в различных соотношениях: 1) высшие должности гражданской службы; 2) главные должности гражданской службы; 3) ведущие должности гражданской службы; 4) старшие должности гражданской службы; 5) младшие должности гражданской службы.</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Соответствующие полномочия должны быть возложены на должностное лицо лишь в письменном виде, поскольку в противном случае размываются четкие границы законности, нет однозначных оснований для признания или непризнания лица должностным. Из этого правила существует лишь одно исключение. Согласно определению Военной коллегии Верховного Суда СССР не имеет существенного значения форма приказа или распоряжения о назначении военнослужащего начальником. Причина такого решения в особом характере властных отношений в воинском коллективе, наличии строгой дисциплины и необходимости оперативно реагировать на любые изменения условий военной службы [2].</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Субъект злоупотребления должностными полномочиями специальный - это должностное лицо, определение которого содержится в примечании 1 к ст. 285 УК РФ и раскрывается в постановлении Пленума Верховного Суда РФ от 16 октября 2009 г. № 19 «О судебной практике по делам о злоупотреблении должностными полномочиями и о превышении должностных полномочий». Согласно примечанию 1 к ст. 285 УК РФ должностными лицами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и (или) административно-хозяйственные функции в государственном органе, органе местного самоуправления, государственном и муниципальном учреждении, государственной корпорации, а также в Вооруженных Силах Российской Федерации, других войсках и воинских формированиях Российской Федерации и при этом не занимающее в указанных органах государственную должность Российской Федерации или государственную должность субъектов Российской Федерации». Обращает внимание допущенная неточность, касающаяся того, что рассматриваемое определение распространяется лишь на статьи гл. 30 УК РФ. Хотя, например, квалифицирующим признаком контрабанды является совершение ее должностным лицом с использованием своего служебного положения (п. «б» ч. 3 ст. 188 УК РФ). В данном случае должностное лицо ничем не отличается от аналогичного понятия, используемого в статьях УК РФ [5, 98].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Итак, субъектом злоупотребления должностными полномочиями - должностным лицом следует признавать любого государственного или муниципального служащего, на которого возложено исполнение тех или иных функций государства или муниципалитета вне зависимости от конкретного участка работы (коммерческая организация, государственный орган, учреждение и т. п.), а также нотариуса. Поэтому возможно следует дополнить примечание 1 к ст. 285 УК, «…а также лица, выполняющие указанные функции в коммерческих и иных организациях от имени государства или муниципального органа».</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18"/>
        </w:numPr>
        <w:shd w:val="clear" w:color="auto" w:fill="FFFFFF"/>
        <w:tabs>
          <w:tab w:val="left" w:pos="851"/>
        </w:tabs>
        <w:spacing w:after="0" w:line="240" w:lineRule="auto"/>
        <w:ind w:left="0" w:firstLine="567"/>
        <w:jc w:val="both"/>
        <w:textAlignment w:val="baseline"/>
        <w:rPr>
          <w:rFonts w:ascii="Arial" w:hAnsi="Arial" w:cs="Arial"/>
          <w:color w:val="000000" w:themeColor="text1"/>
        </w:rPr>
      </w:pPr>
      <w:r w:rsidRPr="00DA76A7">
        <w:rPr>
          <w:rFonts w:ascii="Arial" w:hAnsi="Arial" w:cs="Arial"/>
          <w:color w:val="000000" w:themeColor="text1"/>
        </w:rPr>
        <w:t>Конституция Российской Федерации (12 декабря 1993 года). – М.: Книга, 2009. - 110 с.</w:t>
      </w:r>
    </w:p>
    <w:p w:rsidR="00592BC2" w:rsidRPr="00DA76A7" w:rsidRDefault="00592BC2" w:rsidP="00D45D6B">
      <w:pPr>
        <w:pStyle w:val="a6"/>
        <w:numPr>
          <w:ilvl w:val="0"/>
          <w:numId w:val="118"/>
        </w:numPr>
        <w:shd w:val="clear" w:color="auto" w:fill="FFFFFF"/>
        <w:tabs>
          <w:tab w:val="left" w:pos="851"/>
        </w:tabs>
        <w:spacing w:after="0" w:line="240" w:lineRule="auto"/>
        <w:ind w:left="0" w:firstLine="567"/>
        <w:jc w:val="both"/>
        <w:textAlignment w:val="baseline"/>
        <w:rPr>
          <w:rFonts w:ascii="Arial" w:hAnsi="Arial" w:cs="Arial"/>
          <w:color w:val="000000" w:themeColor="text1"/>
        </w:rPr>
      </w:pPr>
      <w:r w:rsidRPr="00DA76A7">
        <w:rPr>
          <w:rFonts w:ascii="Arial" w:hAnsi="Arial" w:cs="Arial"/>
          <w:color w:val="000000" w:themeColor="text1"/>
        </w:rPr>
        <w:t>Уголовный кодекс Российской Федерации от 13 июня 1996 г. N 63-ФЗ</w:t>
      </w:r>
      <w:r w:rsidRPr="00DA76A7">
        <w:rPr>
          <w:rFonts w:ascii="Arial" w:hAnsi="Arial" w:cs="Arial"/>
          <w:color w:val="000000" w:themeColor="text1"/>
        </w:rPr>
        <w:br/>
        <w:t xml:space="preserve">(с изменениями на 25.09.2009 года). – М.: «ОМЕГА-Л», 2009. - 420 </w:t>
      </w:r>
      <w:r w:rsidRPr="00DA76A7">
        <w:rPr>
          <w:rFonts w:ascii="Arial" w:hAnsi="Arial" w:cs="Arial"/>
          <w:color w:val="000000" w:themeColor="text1"/>
          <w:lang w:val="en-US"/>
        </w:rPr>
        <w:t>c</w:t>
      </w:r>
      <w:r w:rsidRPr="00DA76A7">
        <w:rPr>
          <w:rFonts w:ascii="Arial" w:hAnsi="Arial" w:cs="Arial"/>
          <w:color w:val="000000" w:themeColor="text1"/>
        </w:rPr>
        <w:t>.</w:t>
      </w:r>
    </w:p>
    <w:p w:rsidR="00592BC2" w:rsidRPr="00DA76A7" w:rsidRDefault="00592BC2" w:rsidP="00D45D6B">
      <w:pPr>
        <w:pStyle w:val="a6"/>
        <w:numPr>
          <w:ilvl w:val="0"/>
          <w:numId w:val="118"/>
        </w:numPr>
        <w:shd w:val="clear" w:color="auto" w:fill="FFFFFF"/>
        <w:tabs>
          <w:tab w:val="left" w:pos="851"/>
        </w:tabs>
        <w:spacing w:after="0" w:line="240" w:lineRule="auto"/>
        <w:ind w:left="0" w:firstLine="567"/>
        <w:jc w:val="both"/>
        <w:textAlignment w:val="baseline"/>
        <w:rPr>
          <w:rFonts w:ascii="Arial" w:hAnsi="Arial" w:cs="Arial"/>
          <w:color w:val="000000" w:themeColor="text1"/>
        </w:rPr>
      </w:pPr>
      <w:r w:rsidRPr="00DA76A7">
        <w:rPr>
          <w:rFonts w:ascii="Arial" w:hAnsi="Arial" w:cs="Arial"/>
          <w:color w:val="000000" w:themeColor="text1"/>
        </w:rPr>
        <w:t>Богданов И.Я., Калинин А.П. Коррупция в России. – М.: Мир, 2001. - 562 с.</w:t>
      </w:r>
    </w:p>
    <w:p w:rsidR="00592BC2" w:rsidRPr="00DA76A7" w:rsidRDefault="00592BC2" w:rsidP="00D45D6B">
      <w:pPr>
        <w:pStyle w:val="a6"/>
        <w:numPr>
          <w:ilvl w:val="0"/>
          <w:numId w:val="118"/>
        </w:numPr>
        <w:shd w:val="clear" w:color="auto" w:fill="FFFFFF"/>
        <w:tabs>
          <w:tab w:val="left" w:pos="851"/>
        </w:tabs>
        <w:spacing w:after="0" w:line="240" w:lineRule="auto"/>
        <w:ind w:left="0" w:firstLine="567"/>
        <w:jc w:val="both"/>
        <w:textAlignment w:val="baseline"/>
        <w:rPr>
          <w:rFonts w:ascii="Arial" w:hAnsi="Arial" w:cs="Arial"/>
          <w:color w:val="000000" w:themeColor="text1"/>
        </w:rPr>
      </w:pPr>
      <w:r w:rsidRPr="00DA76A7">
        <w:rPr>
          <w:rFonts w:ascii="Arial" w:hAnsi="Arial" w:cs="Arial"/>
          <w:color w:val="000000" w:themeColor="text1"/>
        </w:rPr>
        <w:t>Дуюнова В.К. Уголовное право России. – М.: РИОР, 2009. - 457 с.</w:t>
      </w:r>
    </w:p>
    <w:p w:rsidR="00592BC2" w:rsidRPr="00DA76A7" w:rsidRDefault="00592BC2" w:rsidP="00D45D6B">
      <w:pPr>
        <w:pStyle w:val="a6"/>
        <w:numPr>
          <w:ilvl w:val="0"/>
          <w:numId w:val="118"/>
        </w:numPr>
        <w:shd w:val="clear" w:color="auto" w:fill="FFFFFF"/>
        <w:tabs>
          <w:tab w:val="left" w:pos="851"/>
        </w:tabs>
        <w:spacing w:after="0" w:line="240" w:lineRule="auto"/>
        <w:ind w:left="0" w:firstLine="567"/>
        <w:jc w:val="both"/>
        <w:textAlignment w:val="baseline"/>
        <w:rPr>
          <w:rFonts w:ascii="Arial" w:hAnsi="Arial" w:cs="Arial"/>
          <w:color w:val="000000" w:themeColor="text1"/>
        </w:rPr>
      </w:pPr>
      <w:r w:rsidRPr="00DA76A7">
        <w:rPr>
          <w:rFonts w:ascii="Arial" w:hAnsi="Arial" w:cs="Arial"/>
          <w:color w:val="000000" w:themeColor="text1"/>
        </w:rPr>
        <w:t>Журавлёва М.П. и Никулина С.И. Уголовное право. – М.: НОРМА, 2008. - 896 с.</w:t>
      </w:r>
    </w:p>
    <w:p w:rsidR="00592BC2" w:rsidRPr="00DA76A7" w:rsidRDefault="00592BC2" w:rsidP="00D45D6B">
      <w:pPr>
        <w:pStyle w:val="a6"/>
        <w:numPr>
          <w:ilvl w:val="0"/>
          <w:numId w:val="118"/>
        </w:numPr>
        <w:shd w:val="clear" w:color="auto" w:fill="FFFFFF"/>
        <w:tabs>
          <w:tab w:val="left" w:pos="851"/>
        </w:tabs>
        <w:spacing w:after="0" w:line="240" w:lineRule="auto"/>
        <w:ind w:left="0" w:firstLine="567"/>
        <w:jc w:val="both"/>
        <w:textAlignment w:val="baseline"/>
        <w:rPr>
          <w:rFonts w:ascii="Arial" w:hAnsi="Arial" w:cs="Arial"/>
          <w:color w:val="000000" w:themeColor="text1"/>
        </w:rPr>
      </w:pPr>
      <w:r w:rsidRPr="00DA76A7">
        <w:rPr>
          <w:rFonts w:ascii="Arial" w:hAnsi="Arial" w:cs="Arial"/>
          <w:color w:val="000000" w:themeColor="text1"/>
        </w:rPr>
        <w:t>Яни П.С. Взяточничество и должностное преступление: уголовно-правовая ответственность. – М.: «Интел-Синтез», 2002. - 265 с.</w:t>
      </w:r>
    </w:p>
    <w:p w:rsidR="00592BC2" w:rsidRPr="00DA76A7" w:rsidRDefault="00592BC2" w:rsidP="00592BC2">
      <w:pPr>
        <w:ind w:firstLine="567"/>
        <w:contextualSpacing/>
        <w:jc w:val="center"/>
        <w:rPr>
          <w:rFonts w:ascii="Arial" w:hAnsi="Arial" w:cs="Arial"/>
          <w:b/>
          <w:color w:val="000000" w:themeColor="text1"/>
          <w:sz w:val="22"/>
          <w:szCs w:val="22"/>
        </w:rPr>
      </w:pPr>
    </w:p>
    <w:p w:rsidR="000C563A" w:rsidRPr="00DA76A7" w:rsidRDefault="000C563A" w:rsidP="00592BC2">
      <w:pPr>
        <w:contextualSpacing/>
        <w:jc w:val="center"/>
        <w:rPr>
          <w:rFonts w:ascii="Arial" w:hAnsi="Arial" w:cs="Arial"/>
          <w:b/>
          <w:color w:val="000000" w:themeColor="text1"/>
          <w:sz w:val="22"/>
          <w:szCs w:val="22"/>
        </w:rPr>
      </w:pPr>
    </w:p>
    <w:p w:rsidR="00592BC2" w:rsidRPr="00DA76A7" w:rsidRDefault="00592BC2" w:rsidP="00592BC2">
      <w:pPr>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СПЕЦИФИКА И ПРОБЛЕМЫ ПРОКУРОРСКОГО НАДЗОРА ЗА СОБЛЮДЕНИЕМ ЗАКОННОСТИ ОРГАНАМИ ПРЕДВАРИТЕЛЬНОГО СЛЕДСТВИЯ В РОССИЙСКОЙ ФЕДЕРАЦИИ</w:t>
      </w:r>
    </w:p>
    <w:p w:rsidR="00592BC2" w:rsidRPr="00DA76A7" w:rsidRDefault="00592BC2" w:rsidP="00592BC2">
      <w:pPr>
        <w:contextualSpacing/>
        <w:jc w:val="center"/>
        <w:rPr>
          <w:rFonts w:ascii="Arial" w:hAnsi="Arial" w:cs="Arial"/>
          <w:color w:val="000000" w:themeColor="text1"/>
          <w:sz w:val="22"/>
          <w:szCs w:val="22"/>
        </w:rPr>
      </w:pPr>
    </w:p>
    <w:p w:rsidR="00592BC2" w:rsidRPr="00DA76A7" w:rsidRDefault="00592BC2" w:rsidP="00592BC2">
      <w:pPr>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Горнов Андрей Иванович </w:t>
      </w:r>
    </w:p>
    <w:p w:rsidR="00592BC2" w:rsidRPr="00DA76A7" w:rsidRDefault="00592BC2" w:rsidP="00592BC2">
      <w:pPr>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 3 курса очного отделения </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Тамбовский государственный университет имени Г.Р. Державина</w:t>
      </w:r>
      <w:r w:rsidRPr="00DA76A7">
        <w:rPr>
          <w:rFonts w:ascii="Arial" w:hAnsi="Arial" w:cs="Arial"/>
          <w:color w:val="000000" w:themeColor="text1"/>
          <w:sz w:val="22"/>
          <w:szCs w:val="22"/>
        </w:rPr>
        <w:br/>
        <w:t>392008, Российская Федерация, г. Тамбов, ул. Советская</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 181</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br/>
      </w: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89158664894, e-mail: </w:t>
      </w:r>
      <w:hyperlink r:id="rId281" w:history="1">
        <w:r w:rsidRPr="00DA76A7">
          <w:rPr>
            <w:rStyle w:val="af0"/>
            <w:rFonts w:ascii="Arial" w:hAnsi="Arial" w:cs="Arial"/>
            <w:color w:val="000000" w:themeColor="text1"/>
            <w:sz w:val="22"/>
            <w:szCs w:val="22"/>
            <w:u w:val="none"/>
            <w:lang w:val="en-US"/>
          </w:rPr>
          <w:t>ai-gornov@yandex.ru</w:t>
        </w:r>
      </w:hyperlink>
    </w:p>
    <w:p w:rsidR="00592BC2" w:rsidRPr="00DA76A7" w:rsidRDefault="00592BC2" w:rsidP="00592BC2">
      <w:pPr>
        <w:contextualSpacing/>
        <w:jc w:val="center"/>
        <w:rPr>
          <w:rFonts w:ascii="Arial" w:hAnsi="Arial" w:cs="Arial"/>
          <w:color w:val="000000" w:themeColor="text1"/>
          <w:sz w:val="22"/>
          <w:szCs w:val="22"/>
          <w:lang w:val="en-US"/>
        </w:rPr>
      </w:pPr>
    </w:p>
    <w:p w:rsidR="00592BC2" w:rsidRPr="00DA76A7" w:rsidRDefault="00592BC2" w:rsidP="00592BC2">
      <w:pPr>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SPECIFICS AND PROBLEMS PRODUCED SUPERVISION OF COMPLIANCE WITH THE DISADVANTAGES FROM THE BODIES OF PRELIMINARY INVESTIGATION IN THE RUSSIAN FEDERATION</w:t>
      </w:r>
    </w:p>
    <w:p w:rsidR="00592BC2" w:rsidRPr="00DA76A7" w:rsidRDefault="00592BC2" w:rsidP="00592BC2">
      <w:pPr>
        <w:contextualSpacing/>
        <w:jc w:val="center"/>
        <w:rPr>
          <w:rFonts w:ascii="Arial" w:hAnsi="Arial" w:cs="Arial"/>
          <w:color w:val="000000" w:themeColor="text1"/>
          <w:sz w:val="22"/>
          <w:szCs w:val="22"/>
          <w:lang w:val="en-US"/>
        </w:rPr>
      </w:pPr>
    </w:p>
    <w:p w:rsidR="00592BC2" w:rsidRPr="00DA76A7" w:rsidRDefault="00592BC2" w:rsidP="00592BC2">
      <w:pPr>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Gornov Andrey Ivanovich </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3rd year student of full-time department </w:t>
      </w: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Tambov state university named after G.R. Derzhavin</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392008, Russia, Thumb, street Soviet, d. 181</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 xml:space="preserve"> </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89158664894,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ai-gornov@yandex.ru</w:t>
      </w:r>
    </w:p>
    <w:p w:rsidR="00592BC2" w:rsidRPr="00DA76A7" w:rsidRDefault="00592BC2" w:rsidP="00592BC2">
      <w:pPr>
        <w:ind w:firstLine="567"/>
        <w:contextualSpacing/>
        <w:jc w:val="center"/>
        <w:rPr>
          <w:rFonts w:ascii="Arial" w:hAnsi="Arial" w:cs="Arial"/>
          <w:color w:val="000000" w:themeColor="text1"/>
          <w:sz w:val="22"/>
          <w:szCs w:val="22"/>
          <w:lang w:val="en-US"/>
        </w:rPr>
      </w:pPr>
    </w:p>
    <w:p w:rsidR="00592BC2" w:rsidRPr="00DA76A7" w:rsidRDefault="00592BC2" w:rsidP="00592BC2">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Статья посвящена изучению специфике деятельности прокурорского надзора в сфере предварительного следствия. Рассмотрены основные тенденции вопроса, дана небольшая характеристика существующей проблематике в данной области, предложены меры по ее преодолению. </w:t>
      </w:r>
    </w:p>
    <w:p w:rsidR="00592BC2" w:rsidRPr="00DA76A7" w:rsidRDefault="00592BC2" w:rsidP="00592BC2">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The article is devoted to the study of the specifics of the Prosecutor's supervision in the field of preliminary investigation. The main tendencies of the question are considered, the small characteristic of the existing problem in the given area is given, the measures on its overcoming are offered.</w:t>
      </w:r>
    </w:p>
    <w:p w:rsidR="00592BC2" w:rsidRPr="00DA76A7" w:rsidRDefault="00592BC2" w:rsidP="00592BC2">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предварительное следствие, следователь, прокурор, прокурорский надзор.</w:t>
      </w:r>
    </w:p>
    <w:p w:rsidR="00592BC2" w:rsidRPr="00DA76A7" w:rsidRDefault="00592BC2" w:rsidP="00592BC2">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preliminary investigation, investigator, prosecutor, prosecutor's supervision.</w:t>
      </w:r>
    </w:p>
    <w:p w:rsidR="00592BC2" w:rsidRPr="00DA76A7" w:rsidRDefault="00592BC2" w:rsidP="00592BC2">
      <w:pPr>
        <w:ind w:firstLine="567"/>
        <w:contextualSpacing/>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ab/>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Предметом прокурорского надзора охватывает достаточно широкий круг общественных отношений. Статья 29 Федерального закона «о прокуратуре» (далее – закон о прокуратуре) декларирует в качестве предмета надзора: соблюдение прав и свобод человека и гражданина, установленного порядка разрешения заявлений и сообщений о совершенных и готовящихся преступлениях, выполнения оперативно-розыскных мероприятий и проведения расследования, а также законность решений, принимаемых органами, осуществляющими оперативно-розыскную деятельность, дознание и предварительное следствие.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 данной работе рассмотрен специфический вид общественных отношений в сфере прокурорского надзора за органами предварительного расследования. Прежде чем начать выявление проблематики вопроса, предложения идей по преодолению, выявлению взаимосвязи в деятельности органов прокуратуры и следствия необходимо четко определить понятие предварительного следствия и прокурорского надзора.</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Нормы Уголовно-процессуального кодекса Российской Федерации (далее – УПК РФ) выделяют предварительное следствие как одну из форм предварительного расследования. Основной формой предварительного расследования по отношению к дознанию является именно предварительное следствие.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Предварительное следствие – это обеспечивающая максимальные гарантии установления истины и реализации прав участников уголовного процесса основная и наиболее полная форма предварительного расследования, поскольку оно обязательно по всем уголовным делам, за исключением тех, по которым производится дознание, и возбуждение дел в порядке частного обвинения. </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3, с.95</w:t>
      </w:r>
      <w:r w:rsidRPr="00DA76A7">
        <w:rPr>
          <w:rFonts w:ascii="Arial" w:hAnsi="Arial" w:cs="Arial"/>
          <w:color w:val="000000" w:themeColor="text1"/>
          <w:sz w:val="22"/>
          <w:szCs w:val="22"/>
        </w:rPr>
        <w:sym w:font="Symbol" w:char="F05D"/>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основе анализа норм Закона о прокуратуре выявим понятие прокурорского надзора. Прокурорский надзор – это специфический вид государственной деятельности, основанный на принципах гласности и независимости, проявляющийся в осуществлении надзорных полномочий за отношениями, входящими в предмет надзора (предмет рассмотрен выше).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Гарантией защиты прав и законных интересов лиц, потерпевших от преступлений, законного привлечения к уголовной ответственности лиц, подозреваемых и обвиняемых в совершении преступления, выступает прокурорский надзор, который имеет наибольшую важность в данном качестве на такой стадии уголовного процесса, как возбуждение уголовного дела. Своевременность реагирования на преступления, обеспечение доступа граждан к правосудию зависит не только от качественного предварительного следствия, но и от надзора за следствием, который и осуществляет прокуратура. Прокуратура осуществляет свою деятельность на основе принципов независимости от каких-либо федеральных и иных органов, гласности в работе в установленном качестве, что позволяет ей вносить большой вклад в обеспечение законности деятельности поднадзорных органов.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Термины «предварительное следствие» и «прокурорский надзор» некорректно соотносить как часть и целое, так как соотношение надзора органов прокуратуры и следствия не прослеживается в границах самой этой деятельности, а в пределах взаимодействия следственных органов и органов прокуратуры. Пределы прокурорского надзора определены законодательно. Согласно статье 21 Закона о прокуратуре при осуществлении надзора органы прокуратуры не подменяют иные государственные органы, то есть прокурор, безусловно, действует в пределах своей компетенции,  определенной законодательно. Прокурор не может совершать действия, противоречащие закону, а также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бездействовать там, где законодательно предписаны определенные действия, не обладает исполнительно-распорядительной властью в отношении органов и лиц, законность деятельности которых не подлежит надзору.</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4, с.2-3</w:t>
      </w:r>
      <w:r w:rsidRPr="00DA76A7">
        <w:rPr>
          <w:rFonts w:ascii="Arial" w:hAnsi="Arial" w:cs="Arial"/>
          <w:color w:val="000000" w:themeColor="text1"/>
          <w:sz w:val="22"/>
          <w:szCs w:val="22"/>
        </w:rPr>
        <w:sym w:font="Symbol" w:char="F05D"/>
      </w:r>
      <w:r w:rsidRPr="00DA76A7">
        <w:rPr>
          <w:rFonts w:ascii="Arial" w:hAnsi="Arial" w:cs="Arial"/>
          <w:color w:val="000000" w:themeColor="text1"/>
          <w:sz w:val="22"/>
          <w:szCs w:val="22"/>
        </w:rPr>
        <w:t xml:space="preserve">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ab/>
        <w:t xml:space="preserve">Прокурор осуществляет надзор от имени государства в отношении следственных органов, органов дознания, но не в отношении суда и защитника, за которыми прокуратура осуществлять надзор не вправе.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ab/>
        <w:t>Выделяется несколько отраслей прокурорского надзора, наравне с надзором за предварительным следствием. Последняя отрасль надзора имеет специфические черты, не присущие другим. Отличие прокурорского надзора за предварительным следствием от других отраслей надзора по пределам по кругу актов заключается в том, что предварительное следствие помимо того, что охватывает Конституцию РФ и иные законы, в том числе Закон о прокуратуре, УПК РФ, Закон о Следственном комитете РФ, ФЗ «О ФСБ РФ», ФЗ «О полиции» и другие, которые следователи, как носители возложенных на них полномочий и в рамках своей компетенции, обязаны соблюдать, осуществляя предварительное следствие, как объект прокурорского надзора.</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ab/>
        <w:t xml:space="preserve">Прокурор не вправе возбуждать уголовные дела, не вправе проводить расследование по уголовному делу, не вправе избирать меры процессуального принуждения, выполнять иные следственные действия. Однако в обязанности прокурора в рамках надзора входит, в том числе, и обязанность, которая заключается в том, чтобы незамедлительно освободить любого незаконно задержанного, лишенного свободы, незаконно психиатрический стационар, в том числе незаконно содержащегося под стражей свыше того срока, установленного законом. Также к полномочиям прокурора по уголовному делу относят обязанность: </w:t>
      </w:r>
    </w:p>
    <w:p w:rsidR="00592BC2" w:rsidRPr="00DA76A7" w:rsidRDefault="00592BC2" w:rsidP="00D45D6B">
      <w:pPr>
        <w:pStyle w:val="a6"/>
        <w:numPr>
          <w:ilvl w:val="0"/>
          <w:numId w:val="11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проверять исполнение требований федерального закона при приеме, регистрации и разрешении сообщений о преступлениях;</w:t>
      </w:r>
    </w:p>
    <w:p w:rsidR="00592BC2" w:rsidRPr="00DA76A7" w:rsidRDefault="00592BC2" w:rsidP="00D45D6B">
      <w:pPr>
        <w:pStyle w:val="a6"/>
        <w:numPr>
          <w:ilvl w:val="0"/>
          <w:numId w:val="11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выносить мотивированное постановление о направлении соответствующих материалов в следственный орган для решения вопроса об уголовном преследовании по фактам выявленных прокурором нарушений уголовного законодательства; </w:t>
      </w:r>
    </w:p>
    <w:p w:rsidR="00592BC2" w:rsidRPr="00DA76A7" w:rsidRDefault="00592BC2" w:rsidP="00D45D6B">
      <w:pPr>
        <w:pStyle w:val="a6"/>
        <w:numPr>
          <w:ilvl w:val="0"/>
          <w:numId w:val="11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требовать от следственных органов устранения нарушения федерального законодательства, допущенных в ходе предварительного следствия. </w:t>
      </w:r>
    </w:p>
    <w:p w:rsidR="00592BC2" w:rsidRPr="00DA76A7" w:rsidRDefault="00592BC2" w:rsidP="00D45D6B">
      <w:pPr>
        <w:pStyle w:val="a6"/>
        <w:numPr>
          <w:ilvl w:val="0"/>
          <w:numId w:val="11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рассматривать представленную руководителем следственного органа информацию следователя о несогласии с требованиями прокурора и принимать по ней решение;</w:t>
      </w:r>
    </w:p>
    <w:p w:rsidR="00592BC2" w:rsidRPr="00DA76A7" w:rsidRDefault="00592BC2" w:rsidP="00D45D6B">
      <w:pPr>
        <w:pStyle w:val="a6"/>
        <w:numPr>
          <w:ilvl w:val="0"/>
          <w:numId w:val="11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истребовать и проверять законность и обоснованность решений следователя или руководителя следственного органа об отказе в возбуждении, приостановлении или прекращении уголовного дела и принимать по ним решение в соответствии с уголовно- процессуальным законом.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Изучение следственной практики показывает, что по-прежнему остается актуальной проблемой, – это необоснованное и незаконное применение к подозреваемым и обвиняемым мер процессуального принуждения.</w:t>
      </w:r>
    </w:p>
    <w:p w:rsidR="00592BC2" w:rsidRPr="00DA76A7" w:rsidRDefault="00592BC2" w:rsidP="00592BC2">
      <w:pPr>
        <w:pStyle w:val="a6"/>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 нашей точки зрения, прокурору в ходе проверки следует обращать особое внимание на соблюдение следственными подразделениями порядка задержания, соответствие сведений, изложенных в протоколе, материалам уголовного дела. При выявлении нарушений безотлагательно принимать меры к их устранению, а также пресекать случаи задержания лиц, подозреваемых в совершении преступлений, на основании протоколов об административных правонарушениях.</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заметить, что прокурор по надзору при обнаружении лиц, незаконно задержанных или лишенных свободы, незаконно помещенных в медицинский или психиатрический стационар либо содержащихся под стражей свыше срока, определенного уголовно-процессуальным законом, может использовать полномочия, предусмотренные ч. 2 ст. 10 УПК РФ. </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4, с.3</w:t>
      </w:r>
      <w:r w:rsidRPr="00DA76A7">
        <w:rPr>
          <w:rFonts w:ascii="Arial" w:hAnsi="Arial" w:cs="Arial"/>
          <w:color w:val="000000" w:themeColor="text1"/>
          <w:sz w:val="22"/>
          <w:szCs w:val="22"/>
        </w:rPr>
        <w:sym w:font="Symbol" w:char="F05D"/>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Прокурор, осуществляя надзор при проверке законности постановлений о приостановлении предварительного следствия по основаниям пп. 1 и 2 ч. 1 ст. 208 УПК РФ, должен не только применять комплексный подход к оценке полноты расследования и оперативно-розыскных мероприятий, а также и изучать материалы приостановленных уголовных дел одновременно с соответствующими делами оперативного учета.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 нашей точки зрения прокурор, оценивая законность и обоснованность процессуальных решений о приостановлении предварительного следствия по основанию, предусмотренному п. 3 ч. 1 ст. 208 УПК РФ, должен принимать во внимание лишь объективно сложившиеся обстоятельства, подтверждающие выводы следователя о невозможности участия указанных в законе лиц в производстве по уголовному делу.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проверяя решения о приостановлении предварительного следствия в связи с временным тяжелым заболеванием обвиняемого (подозреваемого), следует исходить из того, что такие процессуальные решения могут приниматься только при наличии медицинского заключения о невозможности участия лица в следственных и процессуальных действиях по уголовному делу.</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ab/>
        <w:t xml:space="preserve">Подводя итог, напрашивается однозначный вывод, что прокуратура действительно является органом надзора, существование которого в современных уголовно-правовых реалиях необходимо. Соблюдение законности может быть обеспечено только при комплексном взаимодействии органов власти, а прокуратура призвана простимулировать  поднадзорные ей органы к выполнению своих функций в рамках закона. </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2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Уголовно–процессуальный кодекс Российской Федерации от 18.12.2011 № 174-ФЗ (ред. от 13.07.2015) // Собрание законодательства РФ. 18.12.2016. № 25. Ст. 3630.</w:t>
      </w:r>
    </w:p>
    <w:p w:rsidR="00592BC2" w:rsidRPr="00DA76A7" w:rsidRDefault="00592BC2" w:rsidP="00D45D6B">
      <w:pPr>
        <w:pStyle w:val="a6"/>
        <w:numPr>
          <w:ilvl w:val="0"/>
          <w:numId w:val="12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 прокуратуре Российской Федерации: федер. закон от 17 января 1992 г. № 2202-1 (ред. от 7 мая 2013 г.) // ВСНД Российской Федерации и ВС Российской Федерации. 1992. № 8. Ст. 366.</w:t>
      </w:r>
    </w:p>
    <w:p w:rsidR="00592BC2" w:rsidRPr="00DA76A7" w:rsidRDefault="00592BC2" w:rsidP="00D45D6B">
      <w:pPr>
        <w:pStyle w:val="a6"/>
        <w:numPr>
          <w:ilvl w:val="0"/>
          <w:numId w:val="12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Ласкина Н.В. Прокурорский надзор: учебник. – М.: Изд-во Юстицинформ., 2012 – 173 с. – С.95.</w:t>
      </w:r>
    </w:p>
    <w:p w:rsidR="00592BC2" w:rsidRPr="00DA76A7" w:rsidRDefault="00592BC2" w:rsidP="00D45D6B">
      <w:pPr>
        <w:pStyle w:val="a6"/>
        <w:numPr>
          <w:ilvl w:val="0"/>
          <w:numId w:val="12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Барабаш Д.И. Пределы прокурорского надзора в сфере безопасности дорожного движения //Научный журнал КубГАУ. – 2014 – №102(08). – С.2-3.</w:t>
      </w:r>
    </w:p>
    <w:p w:rsidR="00592BC2" w:rsidRPr="00DA76A7" w:rsidRDefault="00592BC2" w:rsidP="00592BC2">
      <w:pPr>
        <w:ind w:firstLine="567"/>
        <w:rPr>
          <w:rFonts w:ascii="Arial" w:hAnsi="Arial" w:cs="Arial"/>
          <w:color w:val="000000" w:themeColor="text1"/>
          <w:sz w:val="22"/>
          <w:szCs w:val="22"/>
        </w:rPr>
      </w:pPr>
    </w:p>
    <w:p w:rsidR="00592BC2" w:rsidRPr="00DA76A7" w:rsidRDefault="00592BC2" w:rsidP="00592BC2">
      <w:pPr>
        <w:ind w:firstLine="567"/>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ОСОБЕННОСТИ ПРИМЕНЕНИЯ СПЕЦИАЛЬНЫХ ЗНАНИЙ ПРИ РАСКРЫТИ</w:t>
      </w:r>
      <w:r w:rsidR="000C563A" w:rsidRPr="00DA76A7">
        <w:rPr>
          <w:rFonts w:ascii="Arial" w:hAnsi="Arial" w:cs="Arial"/>
          <w:b/>
          <w:color w:val="000000" w:themeColor="text1"/>
          <w:sz w:val="22"/>
          <w:szCs w:val="22"/>
        </w:rPr>
        <w:t>И И РАССЛЕДОВАНИИ ИЗНАСИЛОВАНИЙ</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Давлатова Мохира Хакимжоновна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4-го курса 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+992550250606,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madina</w:t>
      </w:r>
      <w:r w:rsidRPr="00DA76A7">
        <w:rPr>
          <w:rFonts w:ascii="Arial" w:hAnsi="Arial" w:cs="Arial"/>
          <w:color w:val="000000" w:themeColor="text1"/>
          <w:sz w:val="22"/>
          <w:szCs w:val="22"/>
        </w:rPr>
        <w:t>_</w:t>
      </w:r>
      <w:r w:rsidRPr="00DA76A7">
        <w:rPr>
          <w:rFonts w:ascii="Arial" w:hAnsi="Arial" w:cs="Arial"/>
          <w:color w:val="000000" w:themeColor="text1"/>
          <w:sz w:val="22"/>
          <w:szCs w:val="22"/>
          <w:lang w:val="en-US"/>
        </w:rPr>
        <w:t>davlyatov</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jc w:val="center"/>
        <w:rPr>
          <w:rFonts w:ascii="Arial" w:hAnsi="Arial" w:cs="Arial"/>
          <w:b/>
          <w:color w:val="000000" w:themeColor="text1"/>
          <w:sz w:val="22"/>
          <w:szCs w:val="22"/>
        </w:rPr>
      </w:pPr>
    </w:p>
    <w:p w:rsidR="00592BC2" w:rsidRPr="005D1C4B"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FEATURES OF THE APPLICATION OF SPECIAL KNOWLEDGE IN THE DISCLOSUR</w:t>
      </w:r>
      <w:r w:rsidR="000C563A" w:rsidRPr="00DA76A7">
        <w:rPr>
          <w:rFonts w:ascii="Arial" w:hAnsi="Arial" w:cs="Arial"/>
          <w:b/>
          <w:color w:val="000000" w:themeColor="text1"/>
          <w:sz w:val="22"/>
          <w:szCs w:val="22"/>
          <w:lang w:val="en-US"/>
        </w:rPr>
        <w:t>E AND INVESTIGATION OF RAPE</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Davlatova Mohira Khakimjonovna</w:t>
      </w: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of the 4th year full-time department of the law faculty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+992550250606, e-mail: madina_davlyatov@mail.ru</w:t>
      </w:r>
    </w:p>
    <w:p w:rsidR="00592BC2" w:rsidRPr="00DA76A7" w:rsidRDefault="00592BC2" w:rsidP="00592BC2">
      <w:pPr>
        <w:jc w:val="center"/>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ст. преподаватель Парфёнов А.А.</w:t>
      </w:r>
    </w:p>
    <w:p w:rsidR="00592BC2" w:rsidRPr="00DA76A7" w:rsidRDefault="00592BC2" w:rsidP="00592BC2">
      <w:pPr>
        <w:ind w:firstLine="567"/>
        <w:jc w:val="both"/>
        <w:rPr>
          <w:rFonts w:ascii="Arial" w:hAnsi="Arial" w:cs="Arial"/>
          <w:b/>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особенности применения специальных знаний при раскрытии и расследовании изнасилований, в контексте производства следственных действий и применения различных видов судебных экспертиз, способствующих раскрытию преступлений данного вида.</w:t>
      </w:r>
    </w:p>
    <w:p w:rsidR="00592BC2" w:rsidRPr="00240D8D"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examines the specifics of applying special knowledge in the disclosure and investigation of rape, in particular the use of various kinds of expertise that facilitate the </w:t>
      </w:r>
      <w:r w:rsidRPr="00240D8D">
        <w:rPr>
          <w:rFonts w:ascii="Arial" w:hAnsi="Arial" w:cs="Arial"/>
          <w:i/>
          <w:color w:val="000000" w:themeColor="text1"/>
          <w:sz w:val="22"/>
          <w:szCs w:val="22"/>
          <w:lang w:val="en-US"/>
        </w:rPr>
        <w:t>disclosure of this type of crime.</w:t>
      </w:r>
    </w:p>
    <w:p w:rsidR="00592BC2" w:rsidRPr="00240D8D" w:rsidRDefault="00592BC2" w:rsidP="00592BC2">
      <w:pPr>
        <w:ind w:firstLine="567"/>
        <w:jc w:val="both"/>
        <w:rPr>
          <w:rFonts w:ascii="Arial" w:hAnsi="Arial" w:cs="Arial"/>
          <w:i/>
          <w:color w:val="000000" w:themeColor="text1"/>
          <w:sz w:val="22"/>
          <w:szCs w:val="22"/>
        </w:rPr>
      </w:pPr>
      <w:r w:rsidRPr="00240D8D">
        <w:rPr>
          <w:rFonts w:ascii="Arial" w:hAnsi="Arial" w:cs="Arial"/>
          <w:b/>
          <w:i/>
          <w:color w:val="000000" w:themeColor="text1"/>
          <w:sz w:val="22"/>
          <w:szCs w:val="22"/>
        </w:rPr>
        <w:t xml:space="preserve">Ключевые слова: </w:t>
      </w:r>
      <w:r w:rsidRPr="00240D8D">
        <w:rPr>
          <w:rFonts w:ascii="Arial" w:hAnsi="Arial" w:cs="Arial"/>
          <w:i/>
          <w:color w:val="000000" w:themeColor="text1"/>
          <w:sz w:val="22"/>
          <w:szCs w:val="22"/>
        </w:rPr>
        <w:t>изнасилование,</w:t>
      </w:r>
      <w:r w:rsidRPr="00240D8D">
        <w:rPr>
          <w:rFonts w:ascii="Arial" w:hAnsi="Arial" w:cs="Arial"/>
          <w:b/>
          <w:i/>
          <w:color w:val="000000" w:themeColor="text1"/>
          <w:sz w:val="22"/>
          <w:szCs w:val="22"/>
        </w:rPr>
        <w:t xml:space="preserve"> </w:t>
      </w:r>
      <w:r w:rsidRPr="00240D8D">
        <w:rPr>
          <w:rFonts w:ascii="Arial" w:hAnsi="Arial" w:cs="Arial"/>
          <w:i/>
          <w:color w:val="000000" w:themeColor="text1"/>
          <w:sz w:val="22"/>
          <w:szCs w:val="22"/>
        </w:rPr>
        <w:t xml:space="preserve">специальные знания, судебная экспертиза, осмотр места происшествия, расследование. </w:t>
      </w:r>
    </w:p>
    <w:p w:rsidR="00592BC2" w:rsidRPr="00DA76A7" w:rsidRDefault="00592BC2" w:rsidP="00592BC2">
      <w:pPr>
        <w:ind w:firstLine="567"/>
        <w:jc w:val="both"/>
        <w:rPr>
          <w:rFonts w:ascii="Arial" w:hAnsi="Arial" w:cs="Arial"/>
          <w:i/>
          <w:color w:val="000000" w:themeColor="text1"/>
          <w:sz w:val="22"/>
          <w:szCs w:val="22"/>
          <w:lang w:val="en-US"/>
        </w:rPr>
      </w:pPr>
      <w:r w:rsidRPr="00240D8D">
        <w:rPr>
          <w:rFonts w:ascii="Arial" w:hAnsi="Arial" w:cs="Arial"/>
          <w:b/>
          <w:i/>
          <w:color w:val="000000" w:themeColor="text1"/>
          <w:sz w:val="22"/>
          <w:szCs w:val="22"/>
          <w:lang w:val="en-US"/>
        </w:rPr>
        <w:t xml:space="preserve">Key words: </w:t>
      </w:r>
      <w:r w:rsidRPr="00240D8D">
        <w:rPr>
          <w:rFonts w:ascii="Arial" w:hAnsi="Arial" w:cs="Arial"/>
          <w:i/>
          <w:color w:val="000000" w:themeColor="text1"/>
          <w:sz w:val="22"/>
          <w:szCs w:val="22"/>
          <w:lang w:val="en-US"/>
        </w:rPr>
        <w:t>special knowledge, forensic examination, samples for comparative study, forensic science.</w:t>
      </w:r>
    </w:p>
    <w:p w:rsidR="00592BC2" w:rsidRPr="00DA76A7" w:rsidRDefault="00592BC2" w:rsidP="00592BC2">
      <w:pPr>
        <w:ind w:firstLine="567"/>
        <w:jc w:val="both"/>
        <w:rPr>
          <w:rFonts w:ascii="Arial" w:hAnsi="Arial" w:cs="Arial"/>
          <w:b/>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Изнасилование – это одно из наиболее распространенных и тяжких половых преступлений, под которым, в соответствии со ст. 138 Уголовного кодекса Республики Таджикистан (далее по тексту УК РТ), понимается половое сношение с применением насилия или с угрозой его применения к женщине или её близким либо с использованием беспомощного состояния женщины [2]. Как справедливо отмечается в юридической литературе, общественная опасность изнасилования определяется не только исключительной важностью объекта, на который в данном случае направлено преступное посягательство [16, 3] (общественные отношения, обеспечивающие половую неприкосновенность и половую свободу, являющиеся частью гарантированных Конституцией Республики Таджикистан [1] прав и свобод личности), но и физическими, психическими, моральными последствиями данного преступления для потерпевшей. Так, А.В. Дыдо, верно конкретизирует, что опасность его определяется тем, что оно влечет за собой тяжкие последствия, вредно сказывается на психике и здоровье потерпевшей, отрицательно влияет на потомство, нередко приводит к расторжению браков, способствует распространению разврата, снижает культурный уровень общества [10, 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Нельзя не заметить, что при кажущейся многоаспектности и обширности исследований еще многие свойства и механизмы квалификации данной категории преступлений недостаточно познаны, поскольку основными вопросами, которые позволят правильно квалифицировать преступление и могут подтвердить или опровергнуть выдвинутые по делу версии, являются вопросы о факте полового сношения с потерпевшей и о примененном к ней насилии, а также о факте пребывания потерпевшей и подозреваемого в определенное время в указанном ею месте, целесообразно в первую очередь осуществить мероприятия, позволяющие выяснить эти вопросы. Выяснение данных вопросов, в процессе раскрытия и расследования изнасилований осуществляется с помощью специальных знаний.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юридической литературе, под специальными знаниями принято понимать знания в определенной области человеческой деятельности (за исключением знаний в области материального, про</w:t>
      </w:r>
      <w:r w:rsidRPr="00DA76A7">
        <w:rPr>
          <w:rFonts w:ascii="Arial" w:hAnsi="Arial" w:cs="Arial"/>
          <w:color w:val="000000" w:themeColor="text1"/>
          <w:sz w:val="22"/>
          <w:szCs w:val="22"/>
        </w:rPr>
        <w:softHyphen/>
        <w:t>цессуального права и методологических наук), полученные в результате профессиональной подготовки, научной деятельности или опыта прак</w:t>
      </w:r>
      <w:r w:rsidRPr="00DA76A7">
        <w:rPr>
          <w:rFonts w:ascii="Arial" w:hAnsi="Arial" w:cs="Arial"/>
          <w:color w:val="000000" w:themeColor="text1"/>
          <w:sz w:val="22"/>
          <w:szCs w:val="22"/>
        </w:rPr>
        <w:softHyphen/>
        <w:t>тической работы и используемые в процессе раскрытия и расследования преступлений [14, 179].</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ходе раскрытия и расследования преступлений по делам об изнасилованиях используются раз</w:t>
      </w:r>
      <w:r w:rsidRPr="00DA76A7">
        <w:rPr>
          <w:rFonts w:ascii="Arial" w:hAnsi="Arial" w:cs="Arial"/>
          <w:color w:val="000000" w:themeColor="text1"/>
          <w:sz w:val="22"/>
          <w:szCs w:val="22"/>
        </w:rPr>
        <w:softHyphen/>
        <w:t>личные формы специальных знаний, которые принято подразделять на процессуальные и непроцессуальные [6; 7]. К основным формам исполь</w:t>
      </w:r>
      <w:r w:rsidRPr="00DA76A7">
        <w:rPr>
          <w:rFonts w:ascii="Arial" w:hAnsi="Arial" w:cs="Arial"/>
          <w:color w:val="000000" w:themeColor="text1"/>
          <w:sz w:val="22"/>
          <w:szCs w:val="22"/>
        </w:rPr>
        <w:softHyphen/>
        <w:t>зования специальных знаний в процессе раскрытия и расследования преступлений следует отнести: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процессуальные формы использования специальных знаний: а) самостоятельное использование специальных знаний самим следователем (используются специальные знания в области есте</w:t>
      </w:r>
      <w:r w:rsidRPr="00DA76A7">
        <w:rPr>
          <w:rFonts w:ascii="Arial" w:hAnsi="Arial" w:cs="Arial"/>
          <w:color w:val="000000" w:themeColor="text1"/>
          <w:sz w:val="22"/>
          <w:szCs w:val="22"/>
        </w:rPr>
        <w:softHyphen/>
        <w:t>ственных наук, психологии, психиатрии, и др.); б) участие специалиста в производстве следственных действий (например, участие специалиста в области бухгалтерского учета в допросе по делам об экономических преступлениях, специалиста- психиатра в следственных действиях с участием подследственного с психическими аномалиями); участие педагога в допросе несо</w:t>
      </w:r>
      <w:r w:rsidRPr="00DA76A7">
        <w:rPr>
          <w:rFonts w:ascii="Arial" w:hAnsi="Arial" w:cs="Arial"/>
          <w:color w:val="000000" w:themeColor="text1"/>
          <w:sz w:val="22"/>
          <w:szCs w:val="22"/>
        </w:rPr>
        <w:softHyphen/>
        <w:t>вершеннолетнего, проявляющего признаки отклоняющегося социального поведения, в том числе и отклоняющегося преступ</w:t>
      </w:r>
      <w:r w:rsidRPr="00DA76A7">
        <w:rPr>
          <w:rFonts w:ascii="Arial" w:hAnsi="Arial" w:cs="Arial"/>
          <w:color w:val="000000" w:themeColor="text1"/>
          <w:sz w:val="22"/>
          <w:szCs w:val="22"/>
        </w:rPr>
        <w:softHyphen/>
        <w:t>ного поведения); в) использование специальных знаний экспертом при производстве экспертизы;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непроцессуальные: а) предварительное исследование следов и других вещественных доказательств при производстве следственных действий (исполь</w:t>
      </w:r>
      <w:r w:rsidRPr="00DA76A7">
        <w:rPr>
          <w:rFonts w:ascii="Arial" w:hAnsi="Arial" w:cs="Arial"/>
          <w:color w:val="000000" w:themeColor="text1"/>
          <w:sz w:val="22"/>
          <w:szCs w:val="22"/>
        </w:rPr>
        <w:softHyphen/>
        <w:t>зуются специальные знания в процессе исследования следов-ото</w:t>
      </w:r>
      <w:r w:rsidRPr="00DA76A7">
        <w:rPr>
          <w:rFonts w:ascii="Arial" w:hAnsi="Arial" w:cs="Arial"/>
          <w:color w:val="000000" w:themeColor="text1"/>
          <w:sz w:val="22"/>
          <w:szCs w:val="22"/>
        </w:rPr>
        <w:softHyphen/>
        <w:t>бражений, следов-предметов и следов-веществ на месте проис</w:t>
      </w:r>
      <w:r w:rsidRPr="00DA76A7">
        <w:rPr>
          <w:rFonts w:ascii="Arial" w:hAnsi="Arial" w:cs="Arial"/>
          <w:color w:val="000000" w:themeColor="text1"/>
          <w:sz w:val="22"/>
          <w:szCs w:val="22"/>
        </w:rPr>
        <w:softHyphen/>
        <w:t>шествия, совершенного в условиях неочевидности, выдвижения версий о личности неустановленного преступника); б) консультативно-справочная помощь сведущих лиц (например, использование помощи специалиста-психиатра в процессе подго</w:t>
      </w:r>
      <w:r w:rsidRPr="00DA76A7">
        <w:rPr>
          <w:rFonts w:ascii="Arial" w:hAnsi="Arial" w:cs="Arial"/>
          <w:color w:val="000000" w:themeColor="text1"/>
          <w:sz w:val="22"/>
          <w:szCs w:val="22"/>
        </w:rPr>
        <w:softHyphen/>
        <w:t>товки к проведению допроса подследственного, поведение которого позволяет предположить наличие у него отклонений в психике); в) использование специальных знаний в оперативно-розыскной деятельности (использование знаний, ранее названных специ</w:t>
      </w:r>
      <w:r w:rsidRPr="00DA76A7">
        <w:rPr>
          <w:rFonts w:ascii="Arial" w:hAnsi="Arial" w:cs="Arial"/>
          <w:color w:val="000000" w:themeColor="text1"/>
          <w:sz w:val="22"/>
          <w:szCs w:val="22"/>
        </w:rPr>
        <w:softHyphen/>
        <w:t>алистов в ходе проведения оперативно-розыскных мероприятий, осуществляемых преимущественно негласным путем, например, в процессе собирания оперативной информации о лицах, прояв</w:t>
      </w:r>
      <w:r w:rsidRPr="00DA76A7">
        <w:rPr>
          <w:rFonts w:ascii="Arial" w:hAnsi="Arial" w:cs="Arial"/>
          <w:color w:val="000000" w:themeColor="text1"/>
          <w:sz w:val="22"/>
          <w:szCs w:val="22"/>
        </w:rPr>
        <w:softHyphen/>
        <w:t>ляющих внешнеповеденческие признаки социальной агрессии, сексуальных извращений, а также в процессе оперативного сопро</w:t>
      </w:r>
      <w:r w:rsidRPr="00DA76A7">
        <w:rPr>
          <w:rFonts w:ascii="Arial" w:hAnsi="Arial" w:cs="Arial"/>
          <w:color w:val="000000" w:themeColor="text1"/>
          <w:sz w:val="22"/>
          <w:szCs w:val="22"/>
        </w:rPr>
        <w:softHyphen/>
        <w:t>вождения расследования нераскрытых преступлений).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показывает практика раскрытия и расследования преступлений Республики Таджикистан [3; 4; 5; 9; 25] и научные изыскания в области криминалистики [15; 24], особое значение для построения версий имеет непосредственное ознакомление следователя с обстановкой преступления в ходе осмотра места происшествия и личное исследование вещественных доказательств, т.е. самостоятельное использование мледователем специальных знаний. Осмотр места происшествия в юридической литературе характеризуется как </w:t>
      </w:r>
      <w:r w:rsidRPr="00DA76A7">
        <w:rPr>
          <w:rFonts w:ascii="Arial" w:hAnsi="Arial" w:cs="Arial"/>
          <w:color w:val="000000" w:themeColor="text1"/>
          <w:sz w:val="22"/>
          <w:szCs w:val="22"/>
          <w:lang w:bidi="ru-RU"/>
        </w:rPr>
        <w:t xml:space="preserve">основное, первоначальное, неотложное следственное действие, от которого зависит весь последующий ход расследования </w:t>
      </w:r>
      <w:r w:rsidRPr="00DA76A7">
        <w:rPr>
          <w:rFonts w:ascii="Arial" w:hAnsi="Arial" w:cs="Arial"/>
          <w:color w:val="000000" w:themeColor="text1"/>
          <w:sz w:val="22"/>
          <w:szCs w:val="22"/>
        </w:rPr>
        <w:t>[17, 263]</w:t>
      </w:r>
      <w:r w:rsidRPr="00DA76A7">
        <w:rPr>
          <w:rFonts w:ascii="Arial" w:hAnsi="Arial" w:cs="Arial"/>
          <w:color w:val="000000" w:themeColor="text1"/>
          <w:sz w:val="22"/>
          <w:szCs w:val="22"/>
          <w:lang w:bidi="ru-RU"/>
        </w:rPr>
        <w:t>.</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данным исследований, проведенных Ю.В. Кадонцевым, осмотр места происшествия по делам об изнасилованиях, совершенных молодыми лицами (от 18 до 25 лет), проводился в 70,7% случаев. В ходе осмотра места происшествия удавалось обнаружить следы преступления в 62% случаев [13, 17]. Тем не менее, на первоначальном этапе расследования осмотр места происшествия часто не проводится, что является одной из основных причин приостановления и прекращения производства по уголовным делам об изнасилованиях, либо вынесения подсудимым оправдательных приговоров.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С.А. Гунарев же, анализируя дела об изнасилованиях, с сожалением констатирует, что в 3% случаев осмотр производился в течение дня с момента поступления заявления, по 17% и 23% уголовных дел в течение 1 и 2 суток, в течение недели осмотр был произведен по 43% дел, а в 9% случаев осмотр не производился вовсе [8, 12].</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Глубокое и всестороннее рассмотрение различных аспектов типичных ошибок, допускаемых при производстве осмотра места происшествия содержится в исследованиях А.А. Парфёнова [17; 18; 20; 21; 22; 23], который отмечает, что примерно в 25% случаев следователи производят в процессе осмотра действия, выходящие за его пределы, что ставит под сомнение достоверность результатов всего следственного действия, а иногда и законность его производства [22, 294].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контексте сказанного обратимся к процедуре осмотра места происшествия по делам об изнасилованиях. Существенное значение при осмотре имеют обнаруженные вещи, принадлежащие подозреваемому (расчески, брелоки, зажигалки, перочинные ножи, перчатки, головные уборы, пуговицы, частицы одежды и т.п.), следы биологического происхождения (кровь, слюна, сперма, влагалищные и другие выделения организма человека, отразившиеся в объектах материальной обстановки), а также большое значение имеют следы пальцев и ладонной поверхности рук в тех случаях, когда преступники и потерпевшая вместе распивали спиртные напитки.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С.А. Гунарев отмечает, что расположение следов биологического происхождения при совершении убийств и изнасилований имеет разнообразный характер, но при этом он выделяет семь участков наиболее вероятного нахождения и концентрации данных следов: 1) труп и место его расположения; 2) участок непосредственных преступных действий (причинение повреждений, осуществление полового акта, первоначальное местонахождение трупа); 3) предметы, обстановки, которые изменили свое положение; 4) тела живых участников события преступления, их одежда, вещи и их местонахождение; 5) участок подхода преступника; 6) участок ожидания (засады); 7) участок отхода преступника [8, 13].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Поэтому, рассматривая место происшествия, как некое пространство, имеющее условные границы, следователь со специалистом-биологом должны выделить эти конкретные участки, на которых преступник мог с наибольшей вероятностью оставить биологические следы [8, 13]. При этом, к участию в осмотре места происшествия желательно привлечь специалиста, который может оказать следователю квалифицированную помощь в обнаружении, выявлении, фиксации, описании, изъятии, упаковке и транспортировке материальных следов изнасилования.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С.А. Гунарев так же настаивает на обязательном участии в следственно-оперативной группе при осмотре места происшествия по делам об изначиловании специалиста-биолога, объясняя это тем, что отсутствие специалиста-биолога приводит к тому, что следователь тратит свое время на проведение дополнительного или повторного осмотра [8, 12]. Нельзя не согласиться с автором, что данное обстоятельство сильно влияет на качество и результативность проведения осмотра места происшествия.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Придерживаясь данной позиции мы убеждены, что осмотр места происшествия по данной категории уголовных дел целесообразно проводить с участием потерпевшей, которая может помочь следователю разобраться в обстановке места происшествия, обратит его внимание на отдельные обстоятельства, даст соответствующее объяснение, укажет пути подхода и ухода подозреваемых, расположение отдельных предметов и следов. В случае, если осмотр места происшествия решено провести в отсутствии потерпевшей, то весьма полезно это осуществить по возможности сразу после поступления заявления или сообщения об изнасиловании. Однако в дальнейшем следует повторно осмотреть место происшествия с участием потерпевшей, поскольку это, по нашему мнению, способствует уточнению обстоятельств, подлежащих установлению, дополнению сведений о них и отысканию следов преступления. Помимо отмеченного выше, в ходе осмотра также может быть получена информация о социально-психологических качествах, привычках преступника, на основании которой, в целях розыска преступника, можно составить его психологический профиль.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Вышеизложенное подчеркивает то обстоятельство, что производство осмотра места происшествия является важным средством эффективной проверки всех выдвигаемых следствием версий и фундаментом материальной базы вещественных доказательств для последующего назначения судебных экспертиз. Вместе с тем, как показывают материалы изученной нами следственной практики, осмотр места происшествия проводится не всегда. Последствия такой ошибки следователя можно представить следующим образом. В обвинительном заключении по уголовному делу в отношении гр. Б., 1988 года рождения, и гр. К., 1987 года рождения, обвиняемых в совершении преступлений, предусмотренных ч. 2 п. «б», «в» ст. 138 и ч. 2 п. «б», «в» ст. 139, УК РТ, в качестве доказательств были перечислены лишь свидетельские показания и заключение судебно-медицинской экспертизы, а осмотр места происшествия не производился, в результате чего была утрачена доказательственная информация и впоследствии это было отмечено судом при вынесении оправдательного приговора.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при изучении уголовных дел нами замечено, что названное следственное действие зачастую производится достаточно бегло и поверхностно, что и является причиной неполноты и поверхностности фиксации в протоколе осмотра.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А.В. Иванов анализируя основные недостатки, допускаемые при производстве осмотра, отмечает, что в протоколах осмотра места происшествия нередко отсутствовали указания на время и место их проведения, не были отражены погодные условия, не указывались данные экспертов и т.д. [11, 13]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если позволяет состояние здоровья потерпевшей, то первоначальным следственным действием должно быть проведение выемки одежды потерпевшей, либо освидетельствование. При этом, освидетельствование может быть заменено экспертизой лишь в том случае, если последнюю можно провести сразу же после получения сообщения или заявления об изнасиловании [12, 291]. В ходе освидетельствования либо выемки у потерпевшей должны быть немедленно изъяты: весь комплект верхней и нижней одежды, которая могла соприкасаться с преступниками и на которой могут находиться микрочастицы волокон ткани и загрязнений предметов верхней и нижней одежды преступников; обувь; предметы, которыми вытиралось тело, очищалась одежда и обувь; микрочастицы с рук и других частей тела, которых касались преступники; содержимое из-под ногтей; образцы содержимого половых путей, прямой кишки, рта; счес волос с лобка с целью обнаружения волос преступника в ходе последующей судебно-медицинской экспертизы.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делам об изнасилованиях, как и при любом другом преступлении, где родовым объектом выступает личность, велико значение результатов проведенных специальных исследований в форме экспертизы. Как правило, по делам об изнасилованиях назначаются и проводятся следующие виды судебных экспертиз: 1) судебно-медицинская экспертиза вещественных доказательств; 2) судебно-медицинская экспертиза живого лица; 3) судебно-генетическая; 4) судебная экспертиза микрообъектов; 5) судебно-биологическая; 6) криминалистическая (дактилоскопическая, трасологическая, баллистическая, холодного оружия, почерковедческая и автороведческая, криминалистическая экспертиза материалов и веществ и др.); 7) судебно-химическая; 8) судебно-почвоведческая; 9) судебно-ботаническая; 10) судебно-зоологическая; 11) судебно-психиатрическая; 12) судебно-психологическая и др. [19, 645-647]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Следы преступления, оставляемые при совершении убийств и изнасилований, требуют полного их исследования и идентификации по ним личности преступника и жертвы. Поэтому, одной из значимых идентификационных судебных экспертиз является судебно-генетическая экспертиза [8, 6]. Обязательным в целях установления факта полового сношения является производство судебно-медицинской экспертизы потерпевшей и подозреваемых, а также изъятой у них одежды [26, 26]. Предметом психологической экспертизы является не установление достоверности показаний обвиняемых, подсудимых, свидетелей и потерпевших, а выяснение возможности допрашиваемого лица в силу индивидуальных особенностей протекания психических процессов адекватно воспринять, сохранить в памяти и воспроизвести сведения о фактах, подлежащих доказыванию [8, 6]. Судебно-психиатрическая экспертиза назначается для определения психического состояния подозреваемых, в отношении которых у следствия возникло сомнение в их психической полноценности. В случае, что беспомощное состояние жертвы наступило в результате применения наркотических средств, лекарственных препаратов, сильнодействующих или ядовитых веществ, то свойства и характер их воздействия на организм человека устанавливаются судебно-медицинской и судебно-химической экспертизами, заключения которых следователь должен учитывать при оценке состояния жертвы сексуального посягательства наряду с другими доказательствами.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Таким образом, результаты проведенного нами исследования позволяют сделать некоторые частные выводы: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В ходе раскрытия и расследования преступлений по делам об изнасилованиях используются раз</w:t>
      </w:r>
      <w:r w:rsidRPr="00DA76A7">
        <w:rPr>
          <w:rFonts w:ascii="Arial" w:hAnsi="Arial" w:cs="Arial"/>
          <w:color w:val="000000" w:themeColor="text1"/>
          <w:sz w:val="22"/>
          <w:szCs w:val="22"/>
        </w:rPr>
        <w:softHyphen/>
        <w:t>личные формы специальных знаний, которые принято подразделять на процессуальные и непроцессуальные.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Осмотр места происшествия является неотложным следственным действием, неправильное производство которого может повлечь за собой приостановление и прекращение производства по уголовным делам об изнасилованиях, вынесения по ним оправдательных приговоров.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Промедление с проведением осмотра места происшествия приводит к изменению обстановки и утрате вещественных доказательств.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При производстве осмотра считаем целесообразным обязательное привлечение для производства данного следственного действия потерпевшей, а также специалистов в области судебной медицины, биолога и др.</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Если позволяет состояние здоровья потерпевшей, то первоначальным следственным действием должно быть проведение выемки одежды потерпевшей, либо освидетельствование.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В ходе расследования изнасилований проводится широкий круг экспертиз. Зачастую экспертиза является первоначальным следственным действием, ибо промедление с ее назначением может лишить следствие важных доказательств. Одной из значимых идентификационных судебных экспертиз на сегодняшний день, является судебно-генетическая экспертиза.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Для совершенствования системы информирования о достижениях в области назначения и производства судебной экспертизы и повышения результативности практической деятельности по расследованию преступлений подобного рода необходимы: а) организация систематического изучения и распространения передового опыта экспертной работы; б) координация планирования и разработки новых экспертных методик по линии экспертно-криминалистических подразделений Министерства внутренних дел Республики Таджикистан и Республиканского центра судебных экспертиз Министерства юстиции Республики Таджикистан; в) организация межведомственного обмена литературой о новых средствах и методах экспертных исследований, проведение научно-практических семинаров.</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 xml:space="preserve">Список литературы: </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Конституция Республики Таджикистан от 6 ноября 1994 г. (ред. от 22.09.2016) [Электронный ресурс] // Официальный интернет-портал правовой информации. – Режим доступа: http://www.</w:t>
      </w:r>
      <w:r w:rsidRPr="00DA76A7">
        <w:rPr>
          <w:rFonts w:ascii="Arial" w:hAnsi="Arial" w:cs="Arial"/>
          <w:color w:val="000000" w:themeColor="text1"/>
          <w:sz w:val="22"/>
          <w:szCs w:val="22"/>
          <w:lang w:val="en-US"/>
        </w:rPr>
        <w:t>mmk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tj</w:t>
      </w:r>
      <w:r w:rsidRPr="00DA76A7">
        <w:rPr>
          <w:rFonts w:ascii="Arial" w:hAnsi="Arial" w:cs="Arial"/>
          <w:color w:val="000000" w:themeColor="text1"/>
          <w:sz w:val="22"/>
          <w:szCs w:val="22"/>
        </w:rPr>
        <w:t xml:space="preserve"> (дата обращения: 04.03.2018).</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Уголовный кодекс Республики Таджикистан от 21 мая 1998 г. № 575 (ред. от 02.01.2018 № 1473) [Электронный ресурс] // Официальный интернет-портал правовой информации. – Режим доступа: http://www.</w:t>
      </w:r>
      <w:r w:rsidRPr="00DA76A7">
        <w:rPr>
          <w:rFonts w:ascii="Arial" w:hAnsi="Arial" w:cs="Arial"/>
          <w:color w:val="000000" w:themeColor="text1"/>
          <w:sz w:val="22"/>
          <w:szCs w:val="22"/>
          <w:lang w:val="en-US"/>
        </w:rPr>
        <w:t>mmk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tj</w:t>
      </w:r>
      <w:r w:rsidRPr="00DA76A7">
        <w:rPr>
          <w:rFonts w:ascii="Arial" w:hAnsi="Arial" w:cs="Arial"/>
          <w:color w:val="000000" w:themeColor="text1"/>
          <w:sz w:val="22"/>
          <w:szCs w:val="22"/>
        </w:rPr>
        <w:t xml:space="preserve"> (дата обращения: 04.03.2018).</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Актуальные вопросы реформирования уголовно-процессуального законодательства и правоохранительной деятельности: материалы международной научно практической конференции (Душанбе, 25 ноября 2016 г.) / Под ред. И.Т. Махмудова. – Душанбе: Визави, 2016. – 372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Актуальные проблемы реформирования органов внутренних дел Республики Таджикистан: материалы международной научно-практической конференции. – Душанбе: Типография МВД, 2015. – 255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Актуальные проблемы уголовного права и процесса: материалы республиканской научно-практической конференции (Душанбе, 23 апреля 2014 г.). – Душанбе: РТСУ, 2014. - 318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Грамович Г.И. Проблемы теории и практики эффективного применения специальных знаний и научно-технических средств в раскрытии и расследовании преступлений: Автореф. дис. докт. юрид. наук. - Киев, 1989. – 28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Грамович Г.И. Тактика использования специальных познаний в раскрытии и расследовании преступлений: учебное пособие. - Минск: изд-во МВШ МВД СССР, 1987. – 216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Гунарев С.А. Тактические и правовые основы использования судебно-генетической экспертизы при расследовании и судебном рассмотрении дел об убийствах и изнасилованиях: Автореф. дисс. канд. юрид. наук. - СПб., 2001. – 25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Достижения и перспективы развития уголовно-процессуального законодательства Республики Таджикистан: материалы междунароодной научно-практической конференции (Душанбе, 3 декабря 2014 г.). – Душанбе: Ирфон, 2014. – 283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Дыдо А. В. Изнасилование: проблемы уголовно-правовой квалификации: Автореф. дисс. канд. юрид. наук. - Владивосток, 2006. - 24.</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Иванов А.В. Расследование изнасилований малолетних: Автореф. дисс. канд. юрид. наук. - Челябинск, 2004. - С. 13.</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Ищенко Е.П., Топорков А.А. Криминалистика: учебник / под ред. Е.П. Ищенко. 2-е изд., испр., доп. и перераб. - М.: КОНТРАКТ, ИНФРА-М, 2010. - С.291.</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Кадонцев Ю. В. Методика расследования изнасилований, совершенных лицами молодежного возраста, 18 - 25 лет: Автореф. дисс. канд. юрид. наук. - Уфа, 2001. – 23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Мухин Г.Н., Исютин-Федотков Д.В. Криминалистика: современные проблемы, история и методология: научно-методическое пособие. – М.: Юрлитинформ, 2012. – 320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Организация предварительного расследования. Проблемы и перспективы: материалы международной научно-практической конференции (Москва, 20 ноября 2015 г.) / Поод ред. А.И. Бастрыкина. – М.: Юнити-Дана, 2015. – 511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Павлов А.С. Изнасилование: уголовно-правовой и криминологический аспекты: Автореферат дисс. канд. юрид. наук. - М., 2009. – 23 с. </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Парфёнов А.А. Актуальные проблемы осмотра места происшествия и перспективы их решения // Организация предварительного расследования. Проблемы и перспективы: материалы Междунар. науч.-практич. конф. (Москва, 20 ноября 2015 г.) / под ред. А.И. Бастрыкина. - М.: ЮНИТИ-ДАНА, 2015. - С. 263-268.</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Парфёнов А.А. Генезис и эволюция учения криминалистики о месте происшествия, как средстве получения доказательств в уголовном процессе // Актуальные проблемы юридических наук: теория и практика. Материалы Международной научно-практической конференции, посвященной 25-летию независимости РТ и 20-летию РТСУ (Душанбе, 27-28 октября 2016 г.). - Душанбе: РТСУ, 2016. - С. 312-320; </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Парфёнов А.А. Криминалистика (Криминалистическая тактика, общие вопросы организации раскрытия и расследования преступлений и криминалистическая методика расследования отдельных видов преступлений): Учебное пособие для студента. - Душанбе, 2015. – С. 645-647.</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Парфёнов А.А. Проблемы усовершенствования экспертно-криминалистических подразделений, в рамках проекта реформирования органов внутренних дел Республики Таджикистан // Сборник материалов международной научно-практической конференции «Актуальные проблемы реформирования органов внутренних дел Республики Таджикистан» (Душанбе, 27 ноября 2015 г.). - Душанбе: Типография МВД, 2016. - С. 149-152; </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Парфенов А.А. Роль и значение криминалистических теорий и учений в методологической основе учения о месте происшествия // Труды Академии МВД Республики Таджикистан. - 2017. - № 2 (34). - С. 37-46.</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Парфёнов А.А. Типичные ошибки, допускаемые субъектами расследования при производстве осмотра места происшествия // Сборник материалов Международной научно-практической конференции «Роль права в современном обществе: достижения и перспективы» посвященная 20-летию конституции Республики Таджикистан (Душанбе, РТСУ 17 октября 2014 г.). - Душанбе: РТСУ, 2014. - С. 294-299; </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Парфёнов А.А., Хамроев Ш.С. Особенности фиксации вещественных доказательств при производстве осмотра места происшествия: анализ практики осуществления в Республике Таджикистан, Российской Федерации и зарубежных странах // Национальная правовая система Республики Таджикистан и стран СНГ: анализ тенденций и перспектив развития: материалы </w:t>
      </w:r>
      <w:r w:rsidRPr="00DA76A7">
        <w:rPr>
          <w:rFonts w:ascii="Arial" w:hAnsi="Arial" w:cs="Arial"/>
          <w:color w:val="000000" w:themeColor="text1"/>
          <w:sz w:val="22"/>
          <w:szCs w:val="22"/>
          <w:lang w:val="en-US"/>
        </w:rPr>
        <w:t>V</w:t>
      </w:r>
      <w:r w:rsidRPr="00DA76A7">
        <w:rPr>
          <w:rFonts w:ascii="Arial" w:hAnsi="Arial" w:cs="Arial"/>
          <w:color w:val="000000" w:themeColor="text1"/>
          <w:sz w:val="22"/>
          <w:szCs w:val="22"/>
        </w:rPr>
        <w:t xml:space="preserve"> международной научно-практической конференции (Душанбе, 31 октября 2017 г.). - Душанбе: РТСУ, 2017. - С. 503-511; </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Следствие в России три века в поисках концепции: материалы Международной научно-практической конференции (Москва, 12 октября 2017 г.) / Под ред. А.И. Бастрыкина. – М.: Московская академия следственного комитета Российской Федерации, 2017. – 311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Современное состояние науки и законодательства об оперативно-розыскной деятельности: материалы научно-практической конференции (Душанбе, 7 апреля 2016 г.). – Душанбе: Вектор-Принт, 2016. – 200 с.</w:t>
      </w:r>
    </w:p>
    <w:p w:rsidR="00592BC2" w:rsidRPr="00DA76A7" w:rsidRDefault="00592BC2" w:rsidP="00D45D6B">
      <w:pPr>
        <w:pStyle w:val="af2"/>
        <w:numPr>
          <w:ilvl w:val="0"/>
          <w:numId w:val="12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Хлынцов М.Н. Расследование половых преступлений. – Саратов, 1965. - С. 26.</w:t>
      </w:r>
    </w:p>
    <w:p w:rsidR="00592BC2" w:rsidRPr="00DA76A7" w:rsidRDefault="00592BC2" w:rsidP="00592BC2">
      <w:pPr>
        <w:ind w:firstLine="567"/>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ОПРАВДАТЕЛЬНЫЙ ПРИГОВОР В ЗАКОНОДАТЕЛЬСТВЕ СОВЕТСКОГО И ПОСТСОВЕТСКОГО ПЕРИОДОВ</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Дудко Ольга Васильевна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 4 –го курса очного отделения факультета управления</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Академия управления при Президенте Республики Беларусь</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220007, Республика Беларусь, г. Минск, ул. Московская, 17</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+375295526432, </w:t>
      </w:r>
      <w:r w:rsidRPr="00DA76A7">
        <w:rPr>
          <w:rFonts w:ascii="Arial" w:eastAsia="Calibri" w:hAnsi="Arial" w:cs="Arial"/>
          <w:color w:val="000000" w:themeColor="text1"/>
          <w:sz w:val="22"/>
          <w:szCs w:val="22"/>
          <w:lang w:val="en-US"/>
        </w:rPr>
        <w:t>e</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dudko</w:t>
      </w:r>
      <w:r w:rsidRPr="00DA76A7">
        <w:rPr>
          <w:rFonts w:ascii="Arial" w:hAnsi="Arial" w:cs="Arial"/>
          <w:color w:val="000000" w:themeColor="text1"/>
          <w:sz w:val="22"/>
          <w:szCs w:val="22"/>
        </w:rPr>
        <w:t>-1997@</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jc w:val="center"/>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JUSTICE AGREEMENT IN THE LAW OF THE SOVIET AND POST-SOVIET PERIODS</w:t>
      </w:r>
    </w:p>
    <w:p w:rsidR="00592BC2" w:rsidRPr="00DA76A7" w:rsidRDefault="00592BC2" w:rsidP="00592BC2">
      <w:pPr>
        <w:jc w:val="center"/>
        <w:rPr>
          <w:rFonts w:ascii="Arial" w:hAnsi="Arial" w:cs="Arial"/>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Dudko Volha Vasilevna</w:t>
      </w:r>
    </w:p>
    <w:p w:rsidR="00592BC2" w:rsidRPr="00DA76A7" w:rsidRDefault="00592BC2" w:rsidP="00592BC2">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the 4-th year student of full-time department of the faculty of management</w:t>
      </w:r>
    </w:p>
    <w:p w:rsidR="00592BC2" w:rsidRPr="00DA76A7" w:rsidRDefault="00592BC2" w:rsidP="00592BC2">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Academy of Public Administration under the Aegis of the President of the Republic of Belarus</w:t>
      </w:r>
    </w:p>
    <w:p w:rsidR="00592BC2" w:rsidRPr="00DA76A7" w:rsidRDefault="00592BC2" w:rsidP="00592BC2">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220007, Republic of Belarus, Minsk, st. Moskovskay, 17</w:t>
      </w:r>
    </w:p>
    <w:p w:rsidR="00592BC2" w:rsidRPr="00DA76A7" w:rsidRDefault="00592BC2" w:rsidP="00592BC2">
      <w:pPr>
        <w:jc w:val="center"/>
        <w:rPr>
          <w:rFonts w:ascii="Arial" w:hAnsi="Arial" w:cs="Arial"/>
          <w:color w:val="000000" w:themeColor="text1"/>
          <w:sz w:val="22"/>
          <w:szCs w:val="22"/>
          <w:lang w:val="en-US"/>
        </w:rPr>
      </w:pPr>
      <w:r w:rsidRPr="00DA76A7">
        <w:rPr>
          <w:rStyle w:val="af0"/>
          <w:rFonts w:ascii="Arial" w:hAnsi="Arial" w:cs="Arial"/>
          <w:color w:val="000000" w:themeColor="text1"/>
          <w:sz w:val="22"/>
          <w:szCs w:val="22"/>
          <w:u w:val="none"/>
          <w:lang w:val="en-US"/>
        </w:rPr>
        <w:t xml:space="preserve">tel.: +375295526432, </w:t>
      </w:r>
      <w:r w:rsidRPr="00DA76A7">
        <w:rPr>
          <w:rFonts w:ascii="Arial" w:eastAsia="Calibri" w:hAnsi="Arial" w:cs="Arial"/>
          <w:color w:val="000000" w:themeColor="text1"/>
          <w:sz w:val="22"/>
          <w:szCs w:val="22"/>
          <w:lang w:val="en-US"/>
        </w:rPr>
        <w:t>e-mail:</w:t>
      </w:r>
      <w:r w:rsidRPr="00DA76A7">
        <w:rPr>
          <w:rFonts w:ascii="Arial" w:hAnsi="Arial" w:cs="Arial"/>
          <w:color w:val="000000" w:themeColor="text1"/>
          <w:sz w:val="22"/>
          <w:szCs w:val="22"/>
          <w:lang w:val="en-US"/>
        </w:rPr>
        <w:t xml:space="preserve"> </w:t>
      </w:r>
      <w:hyperlink r:id="rId282" w:history="1">
        <w:r w:rsidRPr="00DA76A7">
          <w:rPr>
            <w:rStyle w:val="af0"/>
            <w:rFonts w:ascii="Arial" w:hAnsi="Arial" w:cs="Arial"/>
            <w:color w:val="000000" w:themeColor="text1"/>
            <w:sz w:val="22"/>
            <w:szCs w:val="22"/>
            <w:u w:val="none"/>
            <w:lang w:val="en-US"/>
          </w:rPr>
          <w:t>dudko-1997@mail.ru</w:t>
        </w:r>
      </w:hyperlink>
    </w:p>
    <w:p w:rsidR="00592BC2" w:rsidRPr="00DA76A7" w:rsidRDefault="00592BC2" w:rsidP="00592BC2">
      <w:pPr>
        <w:ind w:firstLine="567"/>
        <w:jc w:val="right"/>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рассматривается правовая регламентация оправдательного приговора в законодательстве советского и постсоветского периодов, отношение ученых-процессуалистов советской эпохи к данному судебному акту, приводятся статистические данные об оправдании в обозначенные исторические этапы.</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deals with the legal regulation of acquittal in the legislation of the Soviet and post-Soviet periods, the attitude of Soviet-era process scientists to this judicial act, and provides statistical data on justification in the indicated historical stages.</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w:t>
      </w:r>
      <w:r w:rsidRPr="00DA76A7">
        <w:rPr>
          <w:rFonts w:ascii="Arial" w:hAnsi="Arial" w:cs="Arial"/>
          <w:i/>
          <w:color w:val="000000" w:themeColor="text1"/>
          <w:sz w:val="22"/>
          <w:szCs w:val="22"/>
        </w:rPr>
        <w:t xml:space="preserve"> </w:t>
      </w:r>
      <w:r w:rsidRPr="00DA76A7">
        <w:rPr>
          <w:rFonts w:ascii="Arial" w:hAnsi="Arial" w:cs="Arial"/>
          <w:b/>
          <w:i/>
          <w:color w:val="000000" w:themeColor="text1"/>
          <w:sz w:val="22"/>
          <w:szCs w:val="22"/>
        </w:rPr>
        <w:t>слова:</w:t>
      </w:r>
      <w:r w:rsidRPr="00DA76A7">
        <w:rPr>
          <w:rFonts w:ascii="Arial" w:hAnsi="Arial" w:cs="Arial"/>
          <w:i/>
          <w:color w:val="000000" w:themeColor="text1"/>
          <w:sz w:val="22"/>
          <w:szCs w:val="22"/>
        </w:rPr>
        <w:t xml:space="preserve"> оправдание; обвиняемый; правосудие; приговор; уголовное судопроизводство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justification; accused; justice; sentence; criminal proceedings</w:t>
      </w:r>
    </w:p>
    <w:p w:rsidR="00592BC2" w:rsidRPr="00DA76A7" w:rsidRDefault="00592BC2" w:rsidP="00592BC2">
      <w:pPr>
        <w:ind w:firstLine="567"/>
        <w:jc w:val="both"/>
        <w:rPr>
          <w:rFonts w:ascii="Arial" w:hAnsi="Arial" w:cs="Arial"/>
          <w:i/>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Одним из признаков демократичности уголовного судопроизводства является процентное соотношение оправдательных приговоров с общим количеством выносимых судебных приговоров и, в частности, с количеством обвинительных приговоров. Каждый оправдательный приговор, как справедливо отмечал И.Л. Петрухин, – свидетельство силы судебной власти, которая не боится противостоять столь могущественным органам, как прокуратура, министерство внутренних дел или служба государственной безопасности и преодолеть сложившееся под их влиянием общественное мнение [6, 30]. Количество оправдательных приговоров, прежде всего, зависит от законодательно установленных требований, предъявляемых к данному акту судебной власти: законности, обоснованности, мотивированности и справедливости. Отметим, что на различных исторических этапах развития государства и права требования к приговору отличались по своему характеру. Поэтому представляет интерес исследование таких требований с ретроспективной позиции, особенно в советский период, когда уголовное судопроизводство имело ярко выраженный обвинительный уклон, а оправдание рассматривалось как «эксклюзивное» правовое явление.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рассматриваемом нами контексте целесообразно определить трактовку приговора суда в советском уголовном процессе. Так, согласно п. 9 ст. 23 УПК РСФСР 1922 г. под приговором понималось решение, вынесенное судом в судебном заседании по вопросу о виновности или невиновности обвиняемого [4]. Такая трактовка приговора присутствует и в современном уголовно-процессуальном законодательстве бывших государств постсоветского пространства, но с некоторым уточнением: закон конкретизирует судебную инстанцию, в компетенцию которой входит вынесение приговора, и разрешение судом вопроса о применении или неприменении к обвиняемому наказания. Примечательно, что в Российской Федерации приговор может выноситься как первой, так и апелляционной инстанцией, а в Республике Беларусь – только судом первой инстанции.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Относительно же термина «оправдательный приговор», то, как и в советское время, так и в настоящий период, оно не получило легального определения. Советское законодательство предусматривало лишь случаи вынесения приговора об оправдании, к которым относились: 1) не доказанность события приписываемого преступления; 2) не доказанность участия подсудимого в совершении преступления; 3) деяние, учиненное подсудимым, не содержит в себе состава преступления [3]. Данные основания не подвергались корректировке ни в одном советском уголовно-процессуальном кодексе (всего история советского законодательства насчитывает три уголовно-процессуальных кодекса: 1922, 1923, 1960 гг.). И только в 2001 г. в Уголовно-процессуальном кодексе Российской Федерации появилось еще одно основание: вынесение оправдательного вердикта коллегией присяжных заседателей [2], что было обусловлено введением в российское уголовное судопроизводство суда присяжных. В то же время Уголовно-процессуальный кодекс Республики Беларусь сохранил основания для постановления оправдательного приговора, известные советскому законодательству, начиная с 1922 г. Что касается требований, предъявляемых к оправдательному приговору, то ни в одном из кодексов советского периода они не были прямо закреплены, а лишь следовали из текста отдельных статей. Прямое закрепление в уголовно-процессуальном законодательстве союзных республик получили лишь вопросы, требующие разъяснения при постановлении приговора.</w:t>
      </w:r>
    </w:p>
    <w:p w:rsidR="00592BC2" w:rsidRPr="00DA76A7" w:rsidRDefault="00592BC2" w:rsidP="00592BC2">
      <w:pPr>
        <w:pStyle w:val="53"/>
        <w:shd w:val="clear" w:color="auto" w:fill="auto"/>
        <w:spacing w:after="0" w:line="240" w:lineRule="auto"/>
        <w:ind w:firstLine="567"/>
        <w:rPr>
          <w:rFonts w:ascii="Arial" w:hAnsi="Arial" w:cs="Arial"/>
          <w:color w:val="000000" w:themeColor="text1"/>
        </w:rPr>
      </w:pPr>
      <w:r w:rsidRPr="00DA76A7">
        <w:rPr>
          <w:rFonts w:ascii="Arial" w:hAnsi="Arial" w:cs="Arial"/>
          <w:color w:val="000000" w:themeColor="text1"/>
        </w:rPr>
        <w:t>По мнению И.Л. Петрухина, «статистику оправдательных приговоров предопределяют колебания уголовной политики, изгибы которой отражают стремление руководителя страны то к беспощадному подавлению преступности и ужесточению уголовных наказаний, то к гуманизации судебной репрессии, смягчению наказаний в расчете на меры культурно-воспитательного характера» [6, 31].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Статистические данные о вынесении судами оправдательных приговоров в дореволюционный период показывают, что суд присяжных оправдывал около 40 % подсудимых, а в период революционных преобразований вплоть до Октябрьской революции 1917 г. – около 25 % подсудимых. В советский период высокие цифры оправданий, как ни странно, приходятся на тот период, когда несудебными методами уничтожались «враги народа». Так, по всем уголовным делам в СССР оправдывалось судами первой инстанции лиц (в процентном соотношении от вынесенных судами приговоров): с 1937 г. по1940 г. – 10 %; с 1954 г. по 1956 г. – 5,5 %; с 1957 г. по1966 г. – 2,5 %; с 1967 г. по 1970 г. – 1 % [6, 30]. Эти данные свидетельствуют о крайне низком уровне расследования преступлений и обвинительном уклоне следствия, на который не могли не реагировать даже рабоче-крестьянские судьи (в довоенный период в СССР только 5 % народных судей имели высшее юридическое образование, в 1946 г. таких судей было 14,6 %) [6, 31]. В последующие годы процент оправдательных приговоров, выносимых судами Российской Федерации и Республики Беларусь, колебался, но не превышал 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И.Л. Петрухина, к факторам, влияющим на распространенность оправдательных приговоров, относятся следующие обстоятельства: 1) уголовная политика, колебания которой вызывают рост или снижение числа оправдательных приговоров; 2) стандарты доказанности обвинения, вводимые высшими судами путем изменения уровня требований к приговору; 3) качество следствия, повышение которого ведет к снижению доли оправдательных приговоров, а понижение – вызывает необходимость вынесения большего числа оправдательных приговоров; 4) идея профессиональной солидарности судей, прокуроров, следователей, органов дознания, выполняющих общую задачу – сдерживание преступности; 5) учреждение суда с участием присяжных заседателей в России [6, 32]. Важно также помнить, что когда выносится то или иное судебное решение важно не только то, чтобы было правильно по закону, но важно, чтобы окружающая аудитория внутренне согласилась с приговором и сказала бы: правильно суд постановил [5].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Важно помнить, что оправдание обвиняемого имеет такую же социальную ценность, как и установление лица, совершившего противоправное уголовно-наказуемое деяние. Защита личности от необоснованного уголовного преследования и привлечения к уголовной ответственности – важная составляющая справедливого правосудия. Следуя этому правилу, советский законодатель лишь в 1977 г. закрепил в Конституции СССР один из общепризнанных принципов правосудия – презумпцию невиновности, которая гласит, что</w:t>
      </w:r>
      <w:bookmarkStart w:id="114" w:name="vii"/>
      <w:r w:rsidRPr="00DA76A7">
        <w:rPr>
          <w:rFonts w:ascii="Arial" w:hAnsi="Arial" w:cs="Arial"/>
          <w:color w:val="000000" w:themeColor="text1"/>
          <w:sz w:val="22"/>
          <w:szCs w:val="22"/>
        </w:rPr>
        <w:t xml:space="preserve"> никто не может быть признан виновным в совершении преступления, а также подвергнут уголовному наказанию иначе как по приговору суда и в соответствии с законом [1].</w:t>
      </w:r>
      <w:bookmarkEnd w:id="114"/>
      <w:r w:rsidRPr="00DA76A7">
        <w:rPr>
          <w:rFonts w:ascii="Arial" w:hAnsi="Arial" w:cs="Arial"/>
          <w:color w:val="000000" w:themeColor="text1"/>
          <w:sz w:val="22"/>
          <w:szCs w:val="22"/>
        </w:rPr>
        <w:t xml:space="preserve"> При этом данный принцип является основополагающим не только для правосудия, но и уголовно-процессуальной деятельности в целом.</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Подводя итог, отметим, что с течением времени уголовно-процессуальное законодательство бывших советских государств в части постановления приговора и разрешения связанных с ним вопросов оставалось практически неизменным. Так, уголовно-процессуальные кодексы Российской Федерации и Республики Беларусь, переняв нормы советского законодательства, конкретизировали содержание понятия «приговор», закрепили требования, предъявляемые к данному акту правосудия, а также уточнили основания постановления оправдательного приговора с учетом современной лексики и юридической терминологии. Сложившаяся ситуация говорит о достаточно высоком уровне уголовно-процессуальных норм о приговоре суда советского периода, которые в полной мере применимы в настоящих условиях состязательного уголовного правосудия.</w:t>
      </w:r>
    </w:p>
    <w:p w:rsidR="00592BC2" w:rsidRPr="00DA76A7" w:rsidRDefault="00592BC2" w:rsidP="00592BC2">
      <w:pPr>
        <w:pStyle w:val="ConsPlusNormal"/>
        <w:ind w:firstLine="567"/>
        <w:jc w:val="both"/>
        <w:rPr>
          <w:color w:val="000000" w:themeColor="text1"/>
          <w:sz w:val="22"/>
          <w:szCs w:val="22"/>
        </w:rPr>
      </w:pPr>
    </w:p>
    <w:p w:rsidR="00592BC2" w:rsidRPr="00DA76A7" w:rsidRDefault="00592BC2" w:rsidP="00592BC2">
      <w:pPr>
        <w:pStyle w:val="ConsPlusNormal"/>
        <w:ind w:firstLine="567"/>
        <w:jc w:val="center"/>
        <w:rPr>
          <w:b/>
          <w:color w:val="000000" w:themeColor="text1"/>
          <w:sz w:val="22"/>
          <w:szCs w:val="22"/>
        </w:rPr>
      </w:pPr>
      <w:r w:rsidRPr="00DA76A7">
        <w:rPr>
          <w:b/>
          <w:color w:val="000000" w:themeColor="text1"/>
          <w:sz w:val="22"/>
          <w:szCs w:val="22"/>
        </w:rPr>
        <w:t>Список литературы: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Конституция (Основной Закон) Союза Советских Социалистических Республик, 7 октября 1977 г. [Электронный ресурс]. Режим доступа: </w:t>
      </w:r>
      <w:hyperlink r:id="rId283" w:history="1">
        <w:r w:rsidRPr="00DA76A7">
          <w:rPr>
            <w:rStyle w:val="af0"/>
            <w:rFonts w:ascii="Arial" w:hAnsi="Arial" w:cs="Arial"/>
            <w:color w:val="000000" w:themeColor="text1"/>
            <w:sz w:val="22"/>
            <w:szCs w:val="22"/>
            <w:u w:val="none"/>
          </w:rPr>
          <w:t>http://www.hist.msu.ru/ER/Etext/cnst</w:t>
        </w:r>
      </w:hyperlink>
      <w:r w:rsidRPr="00DA76A7">
        <w:rPr>
          <w:rFonts w:ascii="Arial" w:hAnsi="Arial" w:cs="Arial"/>
          <w:color w:val="000000" w:themeColor="text1"/>
          <w:sz w:val="22"/>
          <w:szCs w:val="22"/>
        </w:rPr>
        <w:t xml:space="preserve"> 1977.htm#vii. Дата доступа: 16.04.2017. </w:t>
      </w:r>
    </w:p>
    <w:p w:rsidR="00592BC2" w:rsidRPr="00DA76A7" w:rsidRDefault="00592BC2" w:rsidP="00592BC2">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Уголовно-процессуальный кодекс Российской Федерации, 18декабря 2001 г., № 174-ФЗ [Электронный ресурс]. - Режим доступа: </w:t>
      </w:r>
      <w:hyperlink r:id="rId284" w:history="1">
        <w:r w:rsidRPr="00DA76A7">
          <w:rPr>
            <w:rStyle w:val="af0"/>
            <w:rFonts w:ascii="Arial" w:hAnsi="Arial" w:cs="Arial"/>
            <w:color w:val="000000" w:themeColor="text1"/>
            <w:sz w:val="22"/>
            <w:szCs w:val="22"/>
            <w:u w:val="none"/>
          </w:rPr>
          <w:t>http://www.consultant.ru/document/cons_doc_</w:t>
        </w:r>
      </w:hyperlink>
      <w:r w:rsidRPr="00DA76A7">
        <w:rPr>
          <w:rFonts w:ascii="Arial" w:hAnsi="Arial" w:cs="Arial"/>
          <w:color w:val="000000" w:themeColor="text1"/>
          <w:sz w:val="22"/>
          <w:szCs w:val="22"/>
        </w:rPr>
        <w:t xml:space="preserve"> LAW_ 34481/. Дата доступа: 16.04.2017.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Уголовно-процессуальный кодекс РСФСР, 15 февраля 1923 г. [Электронный ресурс]. Режим доступа: http://pravo.by/ImgPravo/pdf/UPK_RSFSR_1923.pdf. Дата доступа: 15.04.2017.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Уголовно-процессуальный кодекс РСФСР, 1922 г. [Электронный ресурс]. Режим доступа: </w:t>
      </w:r>
      <w:hyperlink r:id="rId285" w:history="1">
        <w:r w:rsidRPr="00DA76A7">
          <w:rPr>
            <w:rStyle w:val="af0"/>
            <w:rFonts w:ascii="Arial" w:hAnsi="Arial" w:cs="Arial"/>
            <w:color w:val="000000" w:themeColor="text1"/>
            <w:sz w:val="22"/>
            <w:szCs w:val="22"/>
            <w:u w:val="none"/>
          </w:rPr>
          <w:t>http://pravo.by/ImgPravo/pdf/sm_</w:t>
        </w:r>
      </w:hyperlink>
      <w:r w:rsidRPr="00DA76A7">
        <w:rPr>
          <w:rFonts w:ascii="Arial" w:hAnsi="Arial" w:cs="Arial"/>
          <w:color w:val="000000" w:themeColor="text1"/>
          <w:sz w:val="22"/>
          <w:szCs w:val="22"/>
        </w:rPr>
        <w:t xml:space="preserve"> ful.aspx_guid=171531479396414.pdf. Дата доступа: 15.04.2017.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Калинин М. И. О социалистической законности / Сост. Б.Рудяк, А. Гусев. - М. : Известия,1959. – 187 с.</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Петрухин И. Л. Оправдательный приговор // Государство и право. – 2009. – № 2. – С. 30-36.</w:t>
      </w:r>
    </w:p>
    <w:p w:rsidR="00592BC2" w:rsidRDefault="00592BC2" w:rsidP="00592BC2">
      <w:pPr>
        <w:ind w:firstLine="567"/>
        <w:jc w:val="both"/>
        <w:rPr>
          <w:rFonts w:ascii="Arial" w:hAnsi="Arial" w:cs="Arial"/>
          <w:color w:val="000000" w:themeColor="text1"/>
          <w:sz w:val="22"/>
          <w:szCs w:val="22"/>
        </w:rPr>
      </w:pPr>
    </w:p>
    <w:p w:rsidR="005C2070" w:rsidRDefault="005C2070" w:rsidP="00592BC2">
      <w:pPr>
        <w:ind w:firstLine="567"/>
        <w:jc w:val="both"/>
        <w:rPr>
          <w:rFonts w:ascii="Arial" w:hAnsi="Arial" w:cs="Arial"/>
          <w:color w:val="000000" w:themeColor="text1"/>
          <w:sz w:val="22"/>
          <w:szCs w:val="22"/>
        </w:rPr>
      </w:pPr>
    </w:p>
    <w:p w:rsidR="005C2070" w:rsidRDefault="005C2070" w:rsidP="00592BC2">
      <w:pPr>
        <w:ind w:firstLine="567"/>
        <w:jc w:val="both"/>
        <w:rPr>
          <w:rFonts w:ascii="Arial" w:hAnsi="Arial" w:cs="Arial"/>
          <w:color w:val="000000" w:themeColor="text1"/>
          <w:sz w:val="22"/>
          <w:szCs w:val="22"/>
        </w:rPr>
      </w:pPr>
    </w:p>
    <w:p w:rsidR="005C2070" w:rsidRDefault="005C2070" w:rsidP="00592BC2">
      <w:pPr>
        <w:ind w:firstLine="567"/>
        <w:jc w:val="both"/>
        <w:rPr>
          <w:rFonts w:ascii="Arial" w:hAnsi="Arial" w:cs="Arial"/>
          <w:color w:val="000000" w:themeColor="text1"/>
          <w:sz w:val="22"/>
          <w:szCs w:val="22"/>
        </w:rPr>
      </w:pPr>
    </w:p>
    <w:p w:rsidR="005C2070" w:rsidRDefault="005C2070" w:rsidP="00592BC2">
      <w:pPr>
        <w:ind w:firstLine="567"/>
        <w:jc w:val="both"/>
        <w:rPr>
          <w:rFonts w:ascii="Arial" w:hAnsi="Arial" w:cs="Arial"/>
          <w:color w:val="000000" w:themeColor="text1"/>
          <w:sz w:val="22"/>
          <w:szCs w:val="22"/>
        </w:rPr>
      </w:pPr>
    </w:p>
    <w:p w:rsidR="005C2070" w:rsidRDefault="005C2070" w:rsidP="00592BC2">
      <w:pPr>
        <w:ind w:firstLine="567"/>
        <w:jc w:val="both"/>
        <w:rPr>
          <w:rFonts w:ascii="Arial" w:hAnsi="Arial" w:cs="Arial"/>
          <w:color w:val="000000" w:themeColor="text1"/>
          <w:sz w:val="22"/>
          <w:szCs w:val="22"/>
        </w:rPr>
      </w:pPr>
    </w:p>
    <w:p w:rsidR="005C2070" w:rsidRPr="00DA76A7" w:rsidRDefault="005C2070"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ПРАВОВЫЕ ОСНОВЫ, РЕГЛАМЕНТИРУЮЩИЕ ПРОИЗВОДСТВО ПО ДЕЛАМ ОБ УГОЛОВНЫХ ПРАВОНАРУШЕНИЯХ НЕСОВЕРШЕННОЛЕТНИХ В РЕСПУБЛИКЕ КАЗАХСТАН</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Жалгасов Канат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специальности «Юриспруденция»</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ВШП «</w:t>
      </w:r>
      <w:r w:rsidRPr="00DA76A7">
        <w:rPr>
          <w:rFonts w:ascii="Arial" w:hAnsi="Arial" w:cs="Arial"/>
          <w:color w:val="000000" w:themeColor="text1"/>
          <w:sz w:val="22"/>
          <w:szCs w:val="22"/>
          <w:lang w:val="kk-KZ"/>
        </w:rPr>
        <w:t>Әділет</w:t>
      </w:r>
      <w:r w:rsidRPr="00DA76A7">
        <w:rPr>
          <w:rFonts w:ascii="Arial" w:hAnsi="Arial" w:cs="Arial"/>
          <w:color w:val="000000" w:themeColor="text1"/>
          <w:sz w:val="22"/>
          <w:szCs w:val="22"/>
        </w:rPr>
        <w:t>» Каспийского университета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Республика Казахстан, г. Алматы, пр. Сейфуллина, д.521</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de-DE"/>
        </w:rPr>
        <w:t xml:space="preserve"> +7 707 791 69 96, e-mail: </w:t>
      </w:r>
      <w:r w:rsidRPr="00DA76A7">
        <w:rPr>
          <w:rFonts w:ascii="Arial" w:hAnsi="Arial" w:cs="Arial"/>
          <w:color w:val="000000" w:themeColor="text1"/>
          <w:sz w:val="22"/>
          <w:szCs w:val="22"/>
          <w:lang w:val="en-US"/>
        </w:rPr>
        <w:t>nazar</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evn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FRAMEWORK FOR REGULATING THE PRODUCTION OF AFFAIRS ON CRIMINAL OFFENSES OF MINORS</w:t>
      </w: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 THE REPUBLIC OF KAZAKHSTAN</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Zhalgazov Kanat</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specialty «Jurisprudence»</w:t>
      </w: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Higher school of law  «Adilet»Caspian University</w:t>
      </w: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Republic of Kazakhstan, Almaty, Seifullin Avenue, 521</w:t>
      </w: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+7 707 791 69 96, e-mail: nazar-evn@mail.ru</w:t>
      </w:r>
    </w:p>
    <w:p w:rsidR="00592BC2" w:rsidRPr="00DA76A7" w:rsidRDefault="00592BC2" w:rsidP="00592BC2">
      <w:pPr>
        <w:ind w:firstLine="567"/>
        <w:jc w:val="center"/>
        <w:rPr>
          <w:rFonts w:ascii="Arial" w:hAnsi="Arial" w:cs="Arial"/>
          <w:b/>
          <w:color w:val="000000" w:themeColor="text1"/>
          <w:sz w:val="22"/>
          <w:szCs w:val="22"/>
          <w:lang w:val="en-US"/>
        </w:rPr>
      </w:pPr>
    </w:p>
    <w:p w:rsidR="00592BC2" w:rsidRPr="00DA76A7" w:rsidRDefault="00592BC2" w:rsidP="00592BC2">
      <w:pPr>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ассоц. профессор Тлеухан Р.К.</w:t>
      </w:r>
    </w:p>
    <w:p w:rsidR="00592BC2" w:rsidRPr="00DA76A7" w:rsidRDefault="00592BC2" w:rsidP="00592BC2">
      <w:pPr>
        <w:ind w:firstLine="567"/>
        <w:jc w:val="right"/>
        <w:rPr>
          <w:rFonts w:ascii="Arial" w:hAnsi="Arial" w:cs="Arial"/>
          <w:color w:val="000000" w:themeColor="text1"/>
          <w:sz w:val="22"/>
          <w:szCs w:val="22"/>
        </w:rPr>
      </w:pPr>
    </w:p>
    <w:p w:rsidR="00592BC2" w:rsidRPr="00DA76A7" w:rsidRDefault="00592BC2" w:rsidP="00592BC2">
      <w:pPr>
        <w:ind w:firstLine="567"/>
        <w:jc w:val="both"/>
        <w:rPr>
          <w:rFonts w:ascii="Arial" w:hAnsi="Arial" w:cs="Arial"/>
          <w:bCs/>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статье раскрываются </w:t>
      </w:r>
      <w:r w:rsidRPr="00DA76A7">
        <w:rPr>
          <w:rFonts w:ascii="Arial" w:hAnsi="Arial" w:cs="Arial"/>
          <w:bCs/>
          <w:i/>
          <w:color w:val="000000" w:themeColor="text1"/>
          <w:sz w:val="22"/>
          <w:szCs w:val="22"/>
        </w:rPr>
        <w:t>вопросы, касающиеся уголовно-процессуальных аспектов производства об уголовных правонарушениях несовершеннолетних. Рассматриваются проблемы, касающиеся правовых основ, регламентирующих данный вид производства по уголовным делам.</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The article reveals the issues concerning the criminal procedural aspects of the proceedings on the criminal offenses of minors. The problems concerning the legal framework regulating this type of criminal proceedings are considered.</w:t>
      </w:r>
    </w:p>
    <w:p w:rsidR="00592BC2" w:rsidRPr="00DA76A7" w:rsidRDefault="00592BC2" w:rsidP="00592BC2">
      <w:pPr>
        <w:ind w:firstLine="567"/>
        <w:jc w:val="both"/>
        <w:rPr>
          <w:rFonts w:ascii="Arial" w:hAnsi="Arial" w:cs="Arial"/>
          <w:bCs/>
          <w:i/>
          <w:color w:val="000000" w:themeColor="text1"/>
          <w:sz w:val="22"/>
          <w:szCs w:val="22"/>
        </w:rPr>
      </w:pPr>
      <w:r w:rsidRPr="00DA76A7">
        <w:rPr>
          <w:rFonts w:ascii="Arial" w:hAnsi="Arial" w:cs="Arial"/>
          <w:b/>
          <w:bCs/>
          <w:i/>
          <w:color w:val="000000" w:themeColor="text1"/>
          <w:sz w:val="22"/>
          <w:szCs w:val="22"/>
        </w:rPr>
        <w:t>Ключевые слова</w:t>
      </w:r>
      <w:r w:rsidRPr="00DA76A7">
        <w:rPr>
          <w:rFonts w:ascii="Arial" w:hAnsi="Arial" w:cs="Arial"/>
          <w:bCs/>
          <w:i/>
          <w:color w:val="000000" w:themeColor="text1"/>
          <w:sz w:val="22"/>
          <w:szCs w:val="22"/>
        </w:rPr>
        <w:t xml:space="preserve">: уголовный процесс, уголовное правонарушение, производство по уголовному делу, несовершеннолетние, стадии уголовного процесса, задачи уголовного процесса, следственные действия, досудебное производство, принципы досудебного производства,  право на защиту, прокурор, прокурорский надзор, судебный контроль, раскрытие преступлений, предупреждение преступлений.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criminal trial, criminal offense, criminal proceedings, minors, criminal trial stages, criminal trial tasks, investigative actions, pre-trial proceedings, principles of pre-trial proceedings, right to defense, prosecutor, prosecutor's supervision, judicial control, crime detection, warning crimes.</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lang w:val="en-US"/>
        </w:rPr>
      </w:pP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lang w:val="ky-KG"/>
        </w:rPr>
      </w:pPr>
      <w:r w:rsidRPr="00DA76A7">
        <w:rPr>
          <w:rFonts w:ascii="Arial" w:hAnsi="Arial" w:cs="Arial"/>
          <w:color w:val="000000" w:themeColor="text1"/>
          <w:sz w:val="22"/>
          <w:szCs w:val="22"/>
        </w:rPr>
        <w:t>На всем протяжении развития Республики Казахстан, как и во многих других странах СНГ, борьба с правонарушениями несовершеннолетних - одна из наиболее важных сторон всего процесса сдерживания преступности. Значительное место в этом процессе занимает уголовно-процессуальная деятельность. Главное ее содержание, по мнению специалистов, заключается в воспитательной работе, устранении причин и условий, способствующих преступности несовершеннолетних. Немаловажное значение имеет также установление истины по каждому уголовному делу. Эта задача может быть успешно решена лишь при условии строжайшего соблюдения уголовно- процессуального законодательства, регламентирующего порядок производства по делам о преступлениях несовершеннолетних.</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Республика Казахстан, утверждая себя демократическим, светским, правовым и социальным государством, провозглашая высшими ценностями жизнь, права и свободы человека, гарантирует обеспечение прав и свобод несовершеннолетних [4]. В соответствии со статьей 27 Конституции брак и семья, материнство, отцовство и детство находятся под защитой государства; забота о детях и их воспитание являются естественным правом и обязанностью родителей.  Тем самым Республика Казахстан разделяет цели и принципы мирового сообщества по защите прав несовершеннолетних. Стремление страны к формированию правового государства предполагает совершенствование нравственного, духовного облика общества. В связи с этим следует отметить, что несовершеннолетние выступают важнейшим фактором, условием и средством социальных перемен и инновационной силой.</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Анализируя проблемы производства по делам о преступлениях несовершеннолетних по нашему мнению необходимо затронуть и положения </w:t>
      </w:r>
      <w:r w:rsidRPr="00DA76A7">
        <w:rPr>
          <w:rFonts w:ascii="Arial" w:hAnsi="Arial" w:cs="Arial"/>
          <w:bCs/>
          <w:color w:val="000000" w:themeColor="text1"/>
          <w:sz w:val="22"/>
          <w:szCs w:val="22"/>
        </w:rPr>
        <w:t>Концепции государственной молодежной политики Республики Казахстан до 2020 года «Казахстан 2020: путь в будущее [14].</w:t>
      </w:r>
      <w:r w:rsidRPr="00DA76A7">
        <w:rPr>
          <w:rFonts w:ascii="Arial" w:hAnsi="Arial" w:cs="Arial"/>
          <w:color w:val="000000" w:themeColor="text1"/>
          <w:sz w:val="22"/>
          <w:szCs w:val="22"/>
        </w:rPr>
        <w:t xml:space="preserve"> В соответствии с которой одним из приоритетных направлений государственной социальной политики является обеспечение соблюдения прав ребенка, что предполагает признание за ним всей полноты социально-экономических, политических, личных прав и свобод, закрепленных в Конституции Республики Казахстан, международных договорах и иных нормативных правовых актах. </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По определению, несовершеннолетний – это человек, не достигший того возраста, с которым закон связывает его полную дееспособность, то есть реализацию в полном объеме провозглашенных человеку и гражданину Конституцией и другими законами страны субъективных прав и юридических обязанностей [16, с.96]. Международной конвенцией о правах ребенка, принятой в Нью-Йорке в 1989 году установлено, что ребенком является каждое человеческое существо, не достигшее 18 – летнего возраста, если по закону, применяемому к данному ребенку, он не достигает совершеннолетия ранее. Положения данного международного нормативного акта призывают государства международного сообщества обеспечивать, уважать и охранять интересы ребенка. Таким образом, можно констатировать о выделении отдельной автономной демографической (возрастной) группы людей – носителей специфических прав и обязанностей, с учетом чего определяются и юридические границы их ответственности и наказания [1].</w:t>
      </w:r>
    </w:p>
    <w:p w:rsidR="00592BC2" w:rsidRPr="00DA76A7" w:rsidRDefault="00592BC2" w:rsidP="00592BC2">
      <w:pPr>
        <w:pStyle w:val="j12"/>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центре внимания Конвенции о правах ребёнка находится «наилучшее обеспечение интересов ребёнка». Данный принцип является отправной точкой для всех мер, предписываемых Конвенцией. Она не оставляет никаких сомнений относительно того, что детям должны предоставляться те же права человека и свободы, что и взрослым. Конвенция решительно подтверждает ряд основных прав - право на жизнь, на свободу, личную безопасность, право на свободу мысли и выражения своего мнения, свободу ассоциации и мирных собраний. Кроме того, Конвенция обеспечивает дополнительную защиту детей от злоупотреблений, эксплуатации и от невыполнения взрослыми своих обязанностей в отношении детей (ст. 32 - 36 Конвенции о правах ребёнка).</w:t>
      </w:r>
    </w:p>
    <w:p w:rsidR="00592BC2" w:rsidRPr="00DA76A7" w:rsidRDefault="00592BC2" w:rsidP="00592BC2">
      <w:pPr>
        <w:pStyle w:val="j12"/>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Конвенции также излагаются причины, по которым дети могут быть правомерно лишены свободы, и условия, при которых это может быть сделано, а также права ребёнка, обвиняемого в нарушении уголовного законодательства (ст. 37 и ст. 40 Конвенции о правах ребёнка). </w:t>
      </w:r>
    </w:p>
    <w:p w:rsidR="00592BC2" w:rsidRPr="00DA76A7" w:rsidRDefault="00592BC2" w:rsidP="00592BC2">
      <w:pPr>
        <w:pStyle w:val="j12"/>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Конвенция о правах ребенка создаёт для </w:t>
      </w:r>
      <w:r w:rsidRPr="00DA76A7">
        <w:rPr>
          <w:rFonts w:ascii="Arial" w:hAnsi="Arial" w:cs="Arial"/>
          <w:color w:val="000000" w:themeColor="text1"/>
          <w:sz w:val="22"/>
          <w:szCs w:val="22"/>
          <w:lang w:val="ky-KG"/>
        </w:rPr>
        <w:t xml:space="preserve">Республики Казахстан </w:t>
      </w:r>
      <w:r w:rsidRPr="00DA76A7">
        <w:rPr>
          <w:rFonts w:ascii="Arial" w:hAnsi="Arial" w:cs="Arial"/>
          <w:color w:val="000000" w:themeColor="text1"/>
          <w:sz w:val="22"/>
          <w:szCs w:val="22"/>
        </w:rPr>
        <w:t>юридические обязательства по выполнению её норм на национальном уровне в полном объёме. Меры, принимаемые с этой целью, могут включать в себя адаптацию существующих законодательных актов о детях или принятие новых законодательных актов в соответствии с положениями, содержащимися в Конвенции, (но не ограничиваться ими).</w:t>
      </w:r>
    </w:p>
    <w:p w:rsidR="00592BC2" w:rsidRPr="00DA76A7" w:rsidRDefault="00592BC2" w:rsidP="00592BC2">
      <w:pPr>
        <w:pStyle w:val="j12"/>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Всеобщая декларация прав человека [2] провозглашает в качестве задачи, к выполнению которой должны стремиться все народы и государства, с тем чтобы каждый человек и каждый орган общества постоянно стремились путем просвещения и образования содействовать уважению этих прав и свобод и обеспечению путем национальных и международных, прогрессивных мероприятий всеобщего и эффективного признания и осуществления их как среди народов государств – членов Организации Объединенных Наций, так и среди народов территорий, находящихся под их юрисдикцией.</w:t>
      </w:r>
    </w:p>
    <w:p w:rsidR="00592BC2" w:rsidRPr="00DA76A7" w:rsidRDefault="00592BC2" w:rsidP="00592BC2">
      <w:pPr>
        <w:pStyle w:val="j12"/>
        <w:spacing w:before="0" w:beforeAutospacing="0" w:after="0" w:afterAutospacing="0"/>
        <w:ind w:firstLine="567"/>
        <w:jc w:val="both"/>
        <w:rPr>
          <w:rFonts w:ascii="Arial" w:hAnsi="Arial" w:cs="Arial"/>
          <w:color w:val="000000" w:themeColor="text1"/>
          <w:sz w:val="22"/>
          <w:szCs w:val="22"/>
          <w:lang w:val="ky-KG"/>
        </w:rPr>
      </w:pPr>
      <w:r w:rsidRPr="00DA76A7">
        <w:rPr>
          <w:rFonts w:ascii="Arial" w:hAnsi="Arial" w:cs="Arial"/>
          <w:color w:val="000000" w:themeColor="text1"/>
          <w:sz w:val="22"/>
          <w:szCs w:val="22"/>
          <w:lang w:val="ky-KG"/>
        </w:rPr>
        <w:t xml:space="preserve">Ст. 27 Всеобщей декларации прав человека провозглашает, что </w:t>
      </w:r>
      <w:r w:rsidRPr="00DA76A7">
        <w:rPr>
          <w:rFonts w:ascii="Arial" w:hAnsi="Arial" w:cs="Arial"/>
          <w:color w:val="000000" w:themeColor="text1"/>
          <w:sz w:val="22"/>
          <w:szCs w:val="22"/>
        </w:rPr>
        <w:t>«</w:t>
      </w:r>
      <w:r w:rsidRPr="00DA76A7">
        <w:rPr>
          <w:rFonts w:ascii="Arial" w:hAnsi="Arial" w:cs="Arial"/>
          <w:color w:val="000000" w:themeColor="text1"/>
          <w:sz w:val="22"/>
          <w:szCs w:val="22"/>
          <w:lang w:val="ky-KG"/>
        </w:rPr>
        <w:t>каждый человек имеет право свободно участвовать в культурной жизни общества, наслаждаться искусством, участвовать в научном прогрессе и пользоваться его благами</w:t>
      </w:r>
      <w:r w:rsidRPr="00DA76A7">
        <w:rPr>
          <w:rFonts w:ascii="Arial" w:hAnsi="Arial" w:cs="Arial"/>
          <w:color w:val="000000" w:themeColor="text1"/>
          <w:sz w:val="22"/>
          <w:szCs w:val="22"/>
        </w:rPr>
        <w:t>»</w:t>
      </w:r>
      <w:r w:rsidRPr="00DA76A7">
        <w:rPr>
          <w:rFonts w:ascii="Arial" w:hAnsi="Arial" w:cs="Arial"/>
          <w:color w:val="000000" w:themeColor="text1"/>
          <w:sz w:val="22"/>
          <w:szCs w:val="22"/>
          <w:lang w:val="ky-KG"/>
        </w:rPr>
        <w:t>. Духовно-нравственное воспитание базируется на формировании у детей потребностей, мотивов, познания себя, достижения гармонии физического и нравственно-духовного развития, обогащения национальными и общечеловеческими ценностями, стремления к взаимопониманию и взаимосогласованию, утверждения добра и человеколюбия путем самосовершенствования и самореализации личных, интеллектуально-эмоциональных убеждений детей и учащейся молодежи.</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Между тем, правовой статус несовершеннолетнего не был одинаков на всех этапах человеческого развития. К такой повышенной правовой охране детей и подростков человечество шло медленно.</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 Так, Минимальные стандартные правила ООН, принятые резолюцией Генеральной Ассамблеи ООН 40/33 от 10.12.1985 г., касающиеся отправления правосудия в отношении несовершеннолетних («Пекинские правила»), направляют государства - участников к стремлению в соответствии со своими общими интересами, способствовать благополучию несовершеннолетнего и его семьи. Правила определяют стремление государств международного сообщества к высокому уровню правовой культуры, достойному воспитанию несовершеннолетних граждан, охране их прав, свобод и законных интересов.</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Современный уровень развития и совершенствования международной нормативной базы по защите прав и охране интересов несовершеннолетних, а также отправления правосудия в отношении них обращает внимание мирового сообщества на такие факторы как:</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обеспечение государством благоприятных условий для нравственного формирования и развития личности несовершеннолетних;</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достойное перевоспитание несовершеннолетних правонарушителей и предупреждение преступности в этой среде;</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осуществление позитивных мер, предполагающих полную мобилизацию всех возможных ресурсов, включая семью, добровольцев и другие группы общества, а также школы и другие общественные институты, с целью содействия благополучию подростка, сокращения вмешательства со стороны закона, и эффективного, справедливого и гуманного обращения с подростком, находящимся в конфликте с законом [3].</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К числу нормативно-правовых актов, регламентирующих порядок производства по делам о преступлениях несовершеннолетних можно отнести следующие законодательные акты Республики Казахстан. Курс поэтапного дифференцирования уголовного судопроизводства Республики Казахстан нашел свое отражение в Концепции развития системы ювенальной юстиции в Республике Казахстан на 2009-2011 годы [13], затем в </w:t>
      </w:r>
      <w:r w:rsidRPr="00DA76A7">
        <w:rPr>
          <w:rFonts w:ascii="Arial" w:hAnsi="Arial" w:cs="Arial"/>
          <w:bCs/>
          <w:color w:val="000000" w:themeColor="text1"/>
          <w:sz w:val="22"/>
          <w:szCs w:val="22"/>
        </w:rPr>
        <w:t xml:space="preserve">Постановлении Правительства Республики Казахстан от 27 февраля 2013 года № 191 «О Концепции государственной молодежной политики Республики Казахстан до 2020 года «Казахстан 2020: путь в будущее» </w:t>
      </w:r>
      <w:r w:rsidRPr="00DA76A7">
        <w:rPr>
          <w:rFonts w:ascii="Arial" w:hAnsi="Arial" w:cs="Arial"/>
          <w:color w:val="000000" w:themeColor="text1"/>
          <w:sz w:val="22"/>
          <w:szCs w:val="22"/>
        </w:rPr>
        <w:t>[14]; Закон Республики Казахстан от 8 августа 2002 года № 345-II  «О правах ребенка в Республике Казахстан» [5];</w:t>
      </w:r>
      <w:r w:rsidRPr="00DA76A7">
        <w:rPr>
          <w:rFonts w:ascii="Arial" w:hAnsi="Arial" w:cs="Arial"/>
          <w:bCs/>
          <w:color w:val="000000" w:themeColor="text1"/>
          <w:sz w:val="22"/>
          <w:szCs w:val="22"/>
        </w:rPr>
        <w:t xml:space="preserve"> Закон Республики Казахстан от 9 июля 2004 года № 591-II «О профилактике правонарушений среди несовершеннолетних и предупреждении детской безнадзорности и беспризорности»</w:t>
      </w:r>
      <w:r w:rsidRPr="00DA76A7">
        <w:rPr>
          <w:rFonts w:ascii="Arial" w:hAnsi="Arial" w:cs="Arial"/>
          <w:color w:val="000000" w:themeColor="text1"/>
          <w:sz w:val="22"/>
          <w:szCs w:val="22"/>
        </w:rPr>
        <w:t xml:space="preserve"> [6]; </w:t>
      </w:r>
      <w:r w:rsidRPr="00DA76A7">
        <w:rPr>
          <w:rFonts w:ascii="Arial" w:hAnsi="Arial" w:cs="Arial"/>
          <w:bCs/>
          <w:color w:val="000000" w:themeColor="text1"/>
          <w:sz w:val="22"/>
          <w:szCs w:val="22"/>
        </w:rPr>
        <w:t xml:space="preserve">Закон Республики Казахстан от 30 марта 1999 года № 353-I «О порядке и условиях содержания лиц в специальных учреждениях, обеспечивающих временную изоляцию от общества» </w:t>
      </w:r>
      <w:r w:rsidRPr="00DA76A7">
        <w:rPr>
          <w:rFonts w:ascii="Arial" w:hAnsi="Arial" w:cs="Arial"/>
          <w:color w:val="000000" w:themeColor="text1"/>
          <w:sz w:val="22"/>
          <w:szCs w:val="22"/>
        </w:rPr>
        <w:t>[7];</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П</w:t>
      </w:r>
      <w:r w:rsidRPr="00DA76A7">
        <w:rPr>
          <w:rFonts w:ascii="Arial" w:hAnsi="Arial" w:cs="Arial"/>
          <w:bCs/>
          <w:color w:val="000000" w:themeColor="text1"/>
          <w:sz w:val="22"/>
          <w:szCs w:val="22"/>
        </w:rPr>
        <w:t xml:space="preserve">остановление Правительства Республики Казахстан от 28 октября 2014 года № 1142 «Об утверждении Правил предоставления специальных социальных услуг несовершеннолетним, находящимся в организации образования с особым режимом содержания» </w:t>
      </w:r>
      <w:r w:rsidRPr="00DA76A7">
        <w:rPr>
          <w:rFonts w:ascii="Arial" w:hAnsi="Arial" w:cs="Arial"/>
          <w:color w:val="000000" w:themeColor="text1"/>
          <w:sz w:val="22"/>
          <w:szCs w:val="22"/>
        </w:rPr>
        <w:t xml:space="preserve">[12]; </w:t>
      </w:r>
      <w:r w:rsidRPr="00DA76A7">
        <w:rPr>
          <w:rFonts w:ascii="Arial" w:hAnsi="Arial" w:cs="Arial"/>
          <w:bCs/>
          <w:color w:val="000000" w:themeColor="text1"/>
          <w:sz w:val="22"/>
          <w:szCs w:val="22"/>
        </w:rPr>
        <w:t xml:space="preserve">Нормативное постановление Верховного суда Республики Казахстан от 9 июля 1999 года № 8 «О судебной практике по применению принудительных мер медицинского характера» </w:t>
      </w:r>
      <w:r w:rsidRPr="00DA76A7">
        <w:rPr>
          <w:rFonts w:ascii="Arial" w:hAnsi="Arial" w:cs="Arial"/>
          <w:color w:val="000000" w:themeColor="text1"/>
          <w:sz w:val="22"/>
          <w:szCs w:val="22"/>
        </w:rPr>
        <w:t xml:space="preserve">[11]. В действующем УПК РК производству по уголовным делам несовершеннолетних посвящена Глава 56 [8]. </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УПК несовершеннолетний наделяется гарантиями защиты его прав, свобод и законных интересов. Таковыми являются – обязательное участие в деле защитника, который в соответствии со ст. 536 УПК РК допускается с момента первого допроса несовершеннолетнего, в качестве подозреваемого или обвиняемого, и участие законного представителя несовершеннолетнего подозреваемого, обвиняемого на предварительном следствии и судебном разбирательстве (ст.ст. 537, 544 УПК РК). Данные гарантии призваны обеспечить разумность, а также правильность и объективность в отправлении правосудия и принятии процессуальных решений в отношении несовершеннолетних.</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Обеспечение соблюдения прав несовершеннолетних непосредственно связано с их правовой защитой. Под правовой защитой вообще понимается совокупность нормативных правовых актов, устанавливающих правовой статус несовершеннолетних как участников общественных отношений (права, обязанности, гарантии соблюдения прав и обязанностей) и закрепляющих основы организации деятельности системы органов по работе с несовершеннолетними. Правовая защита охватывает всю сферу жизнедеятельности несовершеннолетних: воспитание, образование, здравоохранение, труд, социальное обеспечение, досуг. Правовая защита несовершеннолетних включает защиту прав и интересов детей, попавших в сферу отправления правосудия по уголовным делам. Такая защита в мировой практике осуществляется в рамках специализированной системы правосудия для несовершеннолетних (ювенальной юстиции).</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В Республике Казахстан с 2001 года в целях изменения методов работы с несовершеннолетними в системе уголовного правосудия началась работа по инициированию проекта «Ювенальная юстиция в Казахстане», определены его цели, задачи и принципы. 30 марта 2007 года на заседании Совета по правовой политике при Президенте Республики Казахстан рассмотрен вопрос о создании системы ювенальной юстиции в Казахстане, где в целом поддержаны предлагаемые основные подходы к созданию ювенальной юстиции и заинтересованным государственным органам рекомендовано завершить разработку модели специализированных служб ювенальной юстиции. </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Современный уровень развития и совершенствования международной нормативной базы по защите прав и охране интересов несовершеннолетних, а также отправления правосудия в отношении них обращает большое внимание государств мирового сообщества на такие факторы как:</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обеспечение государством благоприятных условий для нравственного формирования и развития личности несовершеннолетних;</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достойное перевоспитание несовершеннолетних правонарушителей и предупреждение преступности в этой среде;</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осуществление позитивных мер, предполагающих полную мобилизацию всех возможных ресурсов, включая семью, добровольцев и другие группы общества, а также школы и другие общественные институты, с целью содействия благополучию подростка, сокращения вмешательства со стороны закона, и эффективного, справедливого и гуманного обращения с подростком, находящимся в конфликте с законом. Президент Республики Казахстан Н.А. Назарбаев, особо выделяя важность достойного воспитания подрастающего поколения, отметил: «Если мы намерены строить цивилизованное общество, где торжествуют идеи права и нравственности, то каждый гражданин со школьных лет должен усвоить их элементарные начала» [15, с.19].</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Действующий УПК РК дифференцирует уголовный процесс в отношении несовершеннолетних. Производство по уголовным делам в отношении несовершеннолетних осуществляется в общем порядке с изъятиями, предусмотренными главой 56 УПК РК.</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В Республике Казахстан, как указывалось выше действует Закон «О правах ребенка» [5]</w:t>
      </w:r>
      <w:r w:rsidRPr="00DA76A7">
        <w:rPr>
          <w:rFonts w:ascii="Arial" w:hAnsi="Arial" w:cs="Arial"/>
          <w:color w:val="000000" w:themeColor="text1"/>
          <w:sz w:val="22"/>
          <w:szCs w:val="22"/>
          <w:lang w:val="ky-KG"/>
        </w:rPr>
        <w:t>, регулирующий отношения, возникающие в связи с реализацией основных прав и интересов ребенка, гарантированных Конституцией Республики Казахстан, исходя из принципов приоритетности подготовки детей к полноценной жизни в обществе, развития у них общественно значимой и творческой активности, воспитания в них высоких нравственных качеств, патриотизма и гражданственности, формирования национального самосознания на основе общечеловеческих ценностей мировой цивилизации.</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lang w:val="ky-KG"/>
        </w:rPr>
      </w:pPr>
      <w:r w:rsidRPr="00DA76A7">
        <w:rPr>
          <w:rFonts w:ascii="Arial" w:hAnsi="Arial" w:cs="Arial"/>
          <w:color w:val="000000" w:themeColor="text1"/>
          <w:sz w:val="22"/>
          <w:szCs w:val="22"/>
          <w:lang w:val="ky-KG"/>
        </w:rPr>
        <w:t>Трудовой кодекс Республики Казахстан запрещает применение труда работников, не достигших восемнадцатилетнего возраста, на тяжелых работах, работах с вредными (особо вредными) и (или) опасными условиями труда, а также на работах, выполнение которых может причинить вред их здоровью и нравственному развитию (игорный бизнес, работа в ночных развлекательных заведениях, производство, перевозка и торговля алкогольной продукцией, табачными изделиями, наркотическими средствами, психотропными веществами и прекурсорами) [9].</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lang w:val="ky-KG"/>
        </w:rPr>
      </w:pPr>
      <w:r w:rsidRPr="00DA76A7">
        <w:rPr>
          <w:rFonts w:ascii="Arial" w:hAnsi="Arial" w:cs="Arial"/>
          <w:color w:val="000000" w:themeColor="text1"/>
          <w:sz w:val="22"/>
          <w:szCs w:val="22"/>
          <w:lang w:val="ky-KG"/>
        </w:rPr>
        <w:t xml:space="preserve">В соответствии с </w:t>
      </w:r>
      <w:r w:rsidRPr="00DA76A7">
        <w:rPr>
          <w:rFonts w:ascii="Arial" w:hAnsi="Arial" w:cs="Arial"/>
          <w:bCs/>
          <w:color w:val="000000" w:themeColor="text1"/>
          <w:sz w:val="22"/>
          <w:szCs w:val="22"/>
        </w:rPr>
        <w:t>Кодексом Республики Казахстан от 26 декабря 2011 года № 518-IV «О браке (супружестве) и семье» [10]</w:t>
      </w:r>
      <w:r w:rsidRPr="00DA76A7">
        <w:rPr>
          <w:rFonts w:ascii="Arial" w:hAnsi="Arial" w:cs="Arial"/>
          <w:color w:val="000000" w:themeColor="text1"/>
          <w:sz w:val="22"/>
          <w:szCs w:val="22"/>
          <w:lang w:val="ky-KG"/>
        </w:rPr>
        <w:t xml:space="preserve"> каждый ребенок имеет право жить и воспитываться в семье, насколько это возможно, право знать своих родителей, право на их заботу, право на совместное с ними проживание, за исключением случаев, когда это противоречит его интересам.</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lang w:val="ky-KG"/>
        </w:rPr>
      </w:pPr>
      <w:r w:rsidRPr="00DA76A7">
        <w:rPr>
          <w:rFonts w:ascii="Arial" w:hAnsi="Arial" w:cs="Arial"/>
          <w:color w:val="000000" w:themeColor="text1"/>
          <w:sz w:val="22"/>
          <w:szCs w:val="22"/>
          <w:lang w:val="ky-KG"/>
        </w:rPr>
        <w:t>Государственная политика в интересах самых маленьких граждан осуществляется на основе стандартов основных показателей качества жизни детей, установленных законодательством и являющихся составной частью государственных минимальных социальных стандартов: гарантированное образование, бесплатное медицинское обслуживание, социальное обслуживание, социальная защита, социальная реабилитация детей, находящихся в трудной жизненной ситуации, обеспечение права на жилище в соотвествии с законом, организация оздоровления и отдыха, оказание квалифицированной юридической помощи и т.д.</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lang w:val="ky-KG"/>
        </w:rPr>
      </w:pPr>
      <w:r w:rsidRPr="00DA76A7">
        <w:rPr>
          <w:rFonts w:ascii="Arial" w:hAnsi="Arial" w:cs="Arial"/>
          <w:color w:val="000000" w:themeColor="text1"/>
          <w:sz w:val="22"/>
          <w:szCs w:val="22"/>
          <w:lang w:val="ky-KG"/>
        </w:rPr>
        <w:t xml:space="preserve">На основании изложенного можно отметить, Казахстан сегодня прилагает большие усилия в достижении мировых стандартов по улучшению качества жизни свеого народа, в том числе в области защиты прав и интересов детей. </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lang w:val="ky-KG"/>
        </w:rPr>
      </w:pPr>
      <w:r w:rsidRPr="00DA76A7">
        <w:rPr>
          <w:rFonts w:ascii="Arial" w:hAnsi="Arial" w:cs="Arial"/>
          <w:color w:val="000000" w:themeColor="text1"/>
          <w:sz w:val="22"/>
          <w:szCs w:val="22"/>
          <w:lang w:val="ky-KG"/>
        </w:rPr>
        <w:t xml:space="preserve">Наряду с этим можно </w:t>
      </w:r>
      <w:r w:rsidRPr="00DA76A7">
        <w:rPr>
          <w:rFonts w:ascii="Arial" w:hAnsi="Arial" w:cs="Arial"/>
          <w:color w:val="000000" w:themeColor="text1"/>
          <w:sz w:val="22"/>
          <w:szCs w:val="22"/>
        </w:rPr>
        <w:t>констатировать, что:</w:t>
      </w:r>
      <w:r w:rsidRPr="00DA76A7">
        <w:rPr>
          <w:rFonts w:ascii="Arial" w:hAnsi="Arial" w:cs="Arial"/>
          <w:color w:val="000000" w:themeColor="text1"/>
          <w:sz w:val="22"/>
          <w:szCs w:val="22"/>
          <w:lang w:val="ky-KG"/>
        </w:rPr>
        <w:t xml:space="preserve"> 1) международно-правовые</w:t>
      </w:r>
      <w:r w:rsidRPr="00DA76A7">
        <w:rPr>
          <w:rFonts w:ascii="Arial" w:hAnsi="Arial" w:cs="Arial"/>
          <w:color w:val="000000" w:themeColor="text1"/>
          <w:sz w:val="22"/>
          <w:szCs w:val="22"/>
        </w:rPr>
        <w:t xml:space="preserve"> акты, ратифицированные </w:t>
      </w:r>
      <w:r w:rsidRPr="00DA76A7">
        <w:rPr>
          <w:rFonts w:ascii="Arial" w:hAnsi="Arial" w:cs="Arial"/>
          <w:color w:val="000000" w:themeColor="text1"/>
          <w:sz w:val="22"/>
          <w:szCs w:val="22"/>
          <w:lang w:val="ky-KG"/>
        </w:rPr>
        <w:t xml:space="preserve">Республикой Казахстан </w:t>
      </w:r>
      <w:r w:rsidRPr="00DA76A7">
        <w:rPr>
          <w:rFonts w:ascii="Arial" w:hAnsi="Arial" w:cs="Arial"/>
          <w:color w:val="000000" w:themeColor="text1"/>
          <w:sz w:val="22"/>
          <w:szCs w:val="22"/>
        </w:rPr>
        <w:t>содержат совокупность норм, регулирующих участие несовершеннолетних подозреваем</w:t>
      </w:r>
      <w:r w:rsidRPr="00DA76A7">
        <w:rPr>
          <w:rFonts w:ascii="Arial" w:hAnsi="Arial" w:cs="Arial"/>
          <w:color w:val="000000" w:themeColor="text1"/>
          <w:sz w:val="22"/>
          <w:szCs w:val="22"/>
          <w:lang w:val="ky-KG"/>
        </w:rPr>
        <w:t>ых</w:t>
      </w:r>
      <w:r w:rsidRPr="00DA76A7">
        <w:rPr>
          <w:rFonts w:ascii="Arial" w:hAnsi="Arial" w:cs="Arial"/>
          <w:color w:val="000000" w:themeColor="text1"/>
          <w:sz w:val="22"/>
          <w:szCs w:val="22"/>
        </w:rPr>
        <w:t xml:space="preserve"> и обвиняем</w:t>
      </w:r>
      <w:r w:rsidRPr="00DA76A7">
        <w:rPr>
          <w:rFonts w:ascii="Arial" w:hAnsi="Arial" w:cs="Arial"/>
          <w:color w:val="000000" w:themeColor="text1"/>
          <w:sz w:val="22"/>
          <w:szCs w:val="22"/>
          <w:lang w:val="ky-KG"/>
        </w:rPr>
        <w:t>ых</w:t>
      </w:r>
      <w:r w:rsidRPr="00DA76A7">
        <w:rPr>
          <w:rFonts w:ascii="Arial" w:hAnsi="Arial" w:cs="Arial"/>
          <w:color w:val="000000" w:themeColor="text1"/>
          <w:sz w:val="22"/>
          <w:szCs w:val="22"/>
        </w:rPr>
        <w:t xml:space="preserve"> в уголовном судопроизводстве; </w:t>
      </w:r>
      <w:r w:rsidRPr="00DA76A7">
        <w:rPr>
          <w:rFonts w:ascii="Arial" w:hAnsi="Arial" w:cs="Arial"/>
          <w:color w:val="000000" w:themeColor="text1"/>
          <w:sz w:val="22"/>
          <w:szCs w:val="22"/>
          <w:lang w:val="ky-KG"/>
        </w:rPr>
        <w:t>2) регламентация</w:t>
      </w:r>
      <w:r w:rsidRPr="00DA76A7">
        <w:rPr>
          <w:rFonts w:ascii="Arial" w:hAnsi="Arial" w:cs="Arial"/>
          <w:color w:val="000000" w:themeColor="text1"/>
          <w:sz w:val="22"/>
          <w:szCs w:val="22"/>
        </w:rPr>
        <w:t xml:space="preserve"> участия несовершеннолетних подозреваем</w:t>
      </w:r>
      <w:r w:rsidRPr="00DA76A7">
        <w:rPr>
          <w:rFonts w:ascii="Arial" w:hAnsi="Arial" w:cs="Arial"/>
          <w:color w:val="000000" w:themeColor="text1"/>
          <w:sz w:val="22"/>
          <w:szCs w:val="22"/>
          <w:lang w:val="ky-KG"/>
        </w:rPr>
        <w:t>ых</w:t>
      </w:r>
      <w:r w:rsidRPr="00DA76A7">
        <w:rPr>
          <w:rFonts w:ascii="Arial" w:hAnsi="Arial" w:cs="Arial"/>
          <w:color w:val="000000" w:themeColor="text1"/>
          <w:sz w:val="22"/>
          <w:szCs w:val="22"/>
        </w:rPr>
        <w:t>, обвиняем</w:t>
      </w:r>
      <w:r w:rsidRPr="00DA76A7">
        <w:rPr>
          <w:rFonts w:ascii="Arial" w:hAnsi="Arial" w:cs="Arial"/>
          <w:color w:val="000000" w:themeColor="text1"/>
          <w:sz w:val="22"/>
          <w:szCs w:val="22"/>
          <w:lang w:val="ky-KG"/>
        </w:rPr>
        <w:t>ых</w:t>
      </w:r>
      <w:r w:rsidRPr="00DA76A7">
        <w:rPr>
          <w:rFonts w:ascii="Arial" w:hAnsi="Arial" w:cs="Arial"/>
          <w:color w:val="000000" w:themeColor="text1"/>
          <w:sz w:val="22"/>
          <w:szCs w:val="22"/>
        </w:rPr>
        <w:t xml:space="preserve"> в уголовном процессе осуществляется в виде установленного объема основных и общепризнанных прав человека и гражданина, находящихся</w:t>
      </w:r>
      <w:r w:rsidRPr="00DA76A7">
        <w:rPr>
          <w:rFonts w:ascii="Arial" w:hAnsi="Arial" w:cs="Arial"/>
          <w:color w:val="000000" w:themeColor="text1"/>
          <w:sz w:val="22"/>
          <w:szCs w:val="22"/>
          <w:lang w:val="ky-KG"/>
        </w:rPr>
        <w:t xml:space="preserve"> </w:t>
      </w:r>
      <w:r w:rsidRPr="00DA76A7">
        <w:rPr>
          <w:rFonts w:ascii="Arial" w:hAnsi="Arial" w:cs="Arial"/>
          <w:color w:val="000000" w:themeColor="text1"/>
          <w:sz w:val="22"/>
          <w:szCs w:val="22"/>
        </w:rPr>
        <w:t>в наиболее беззащитном при уголовном преследовании положении.</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xml:space="preserve">Международные нормативно-правовые акты, ратифицированные </w:t>
      </w:r>
      <w:r w:rsidRPr="00DA76A7">
        <w:rPr>
          <w:rFonts w:ascii="Arial" w:hAnsi="Arial" w:cs="Arial"/>
          <w:color w:val="000000" w:themeColor="text1"/>
          <w:sz w:val="22"/>
          <w:szCs w:val="22"/>
          <w:lang w:val="ky-KG"/>
        </w:rPr>
        <w:t xml:space="preserve">Республикой Казахстан, </w:t>
      </w:r>
      <w:r w:rsidRPr="00DA76A7">
        <w:rPr>
          <w:rFonts w:ascii="Arial" w:hAnsi="Arial" w:cs="Arial"/>
          <w:color w:val="000000" w:themeColor="text1"/>
          <w:sz w:val="22"/>
          <w:szCs w:val="22"/>
        </w:rPr>
        <w:t>разработаны специально с той целью, чтобы:</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защищать права несовершеннолетних;</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защищать благополучие несовершеннолетних, вступивших в конфликт с законом;</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защищать несовершеннолетних от злоупотреблений, эксплуатации и невыполнения взрослыми своих обязанностей по отношению к ним;</w:t>
      </w:r>
    </w:p>
    <w:p w:rsidR="00592BC2" w:rsidRPr="00DA76A7" w:rsidRDefault="00592BC2" w:rsidP="00592BC2">
      <w:pPr>
        <w:pStyle w:val="j12"/>
        <w:shd w:val="clear" w:color="auto" w:fill="FFFFFF"/>
        <w:spacing w:before="0" w:beforeAutospacing="0" w:after="0" w:afterAutospacing="0"/>
        <w:ind w:firstLine="567"/>
        <w:jc w:val="both"/>
        <w:textAlignment w:val="baseline"/>
        <w:rPr>
          <w:rFonts w:ascii="Arial" w:hAnsi="Arial" w:cs="Arial"/>
          <w:color w:val="000000" w:themeColor="text1"/>
          <w:sz w:val="22"/>
          <w:szCs w:val="22"/>
        </w:rPr>
      </w:pPr>
      <w:r w:rsidRPr="00DA76A7">
        <w:rPr>
          <w:rFonts w:ascii="Arial" w:hAnsi="Arial" w:cs="Arial"/>
          <w:color w:val="000000" w:themeColor="text1"/>
          <w:sz w:val="22"/>
          <w:szCs w:val="22"/>
        </w:rPr>
        <w:t>- ввести специальные меры по профилактике преступности среди несовершеннолетних.</w:t>
      </w:r>
    </w:p>
    <w:p w:rsidR="000C563A" w:rsidRPr="00DA76A7" w:rsidRDefault="000C563A"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widowControl/>
        <w:numPr>
          <w:ilvl w:val="0"/>
          <w:numId w:val="122"/>
        </w:numPr>
        <w:tabs>
          <w:tab w:val="left" w:pos="851"/>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Конвенция о правах ребенка (Нью-Йорк, 20 ноября 1989 г.) // Официальные отчеты Генеральной Ассамблеи, сорок четвертая сессия, Дополнение №49 (А/44/49), стр. 230-239. </w:t>
      </w:r>
      <w:r w:rsidRPr="00DA76A7">
        <w:rPr>
          <w:rFonts w:ascii="Arial" w:hAnsi="Arial" w:cs="Arial"/>
          <w:color w:val="000000" w:themeColor="text1"/>
          <w:sz w:val="22"/>
          <w:szCs w:val="22"/>
        </w:rPr>
        <w:t>[Электронный ресурс] // Официальный интернет-портал правовой информации. – Режим доступа:</w:t>
      </w:r>
      <w:r w:rsidRPr="00DA76A7">
        <w:rPr>
          <w:rStyle w:val="s0"/>
          <w:rFonts w:ascii="Arial" w:hAnsi="Arial" w:cs="Arial"/>
          <w:color w:val="000000" w:themeColor="text1"/>
          <w:sz w:val="22"/>
          <w:szCs w:val="22"/>
        </w:rPr>
        <w:t xml:space="preserve"> http://www.un.org/ (дата обращения: 18.02.2018 г.).</w:t>
      </w:r>
    </w:p>
    <w:p w:rsidR="00592BC2" w:rsidRPr="00DA76A7" w:rsidRDefault="00592BC2" w:rsidP="00D45D6B">
      <w:pPr>
        <w:widowControl/>
        <w:numPr>
          <w:ilvl w:val="0"/>
          <w:numId w:val="122"/>
        </w:numPr>
        <w:tabs>
          <w:tab w:val="left" w:pos="851"/>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Всеобщая декларация прав человека. Принята 10 декабря 1948 г. </w:t>
      </w:r>
      <w:r w:rsidRPr="00DA76A7">
        <w:rPr>
          <w:rFonts w:ascii="Arial" w:hAnsi="Arial" w:cs="Arial"/>
          <w:color w:val="000000" w:themeColor="text1"/>
          <w:sz w:val="22"/>
          <w:szCs w:val="22"/>
        </w:rPr>
        <w:t>[Электронный ресурс] //Официальный интернет-портал правовой информации. – Режим доступа: </w:t>
      </w:r>
      <w:r w:rsidRPr="00DA76A7">
        <w:rPr>
          <w:rStyle w:val="s0"/>
          <w:rFonts w:ascii="Arial" w:hAnsi="Arial" w:cs="Arial"/>
          <w:color w:val="000000" w:themeColor="text1"/>
          <w:sz w:val="22"/>
          <w:szCs w:val="22"/>
        </w:rPr>
        <w:t xml:space="preserve">http://online.zakon.kz </w:t>
      </w:r>
      <w:r w:rsidRPr="00DA76A7">
        <w:rPr>
          <w:rFonts w:ascii="Arial" w:hAnsi="Arial" w:cs="Arial"/>
          <w:color w:val="000000" w:themeColor="text1"/>
          <w:sz w:val="22"/>
          <w:szCs w:val="22"/>
        </w:rPr>
        <w:t>(дата обращения на 18.02.2018 г.)</w:t>
      </w:r>
      <w:r w:rsidRPr="00DA76A7">
        <w:rPr>
          <w:rStyle w:val="s0"/>
          <w:rFonts w:ascii="Arial" w:hAnsi="Arial" w:cs="Arial"/>
          <w:color w:val="000000" w:themeColor="text1"/>
          <w:sz w:val="22"/>
          <w:szCs w:val="22"/>
        </w:rPr>
        <w:t>.</w:t>
      </w:r>
    </w:p>
    <w:p w:rsidR="00592BC2" w:rsidRPr="00DA76A7" w:rsidRDefault="00592BC2" w:rsidP="00D45D6B">
      <w:pPr>
        <w:widowControl/>
        <w:numPr>
          <w:ilvl w:val="0"/>
          <w:numId w:val="122"/>
        </w:numPr>
        <w:tabs>
          <w:tab w:val="left" w:pos="851"/>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Минимальные стандартные правила Организации Объединенных Наций, касающиеся отправления правосудия в отношении несовершеннолетних («Пекинские правила») (приняты резолюцией Генеральной Ассамблеи ООН 40/33 от 10 декабря 1985 г.) </w:t>
      </w:r>
      <w:r w:rsidRPr="00DA76A7">
        <w:rPr>
          <w:rFonts w:ascii="Arial" w:hAnsi="Arial" w:cs="Arial"/>
          <w:color w:val="000000" w:themeColor="text1"/>
          <w:sz w:val="22"/>
          <w:szCs w:val="22"/>
        </w:rPr>
        <w:t>[Электронный ресурс] //Официальный интернет-портал правовой информации. – Режим доступа:</w:t>
      </w:r>
      <w:r w:rsidRPr="00DA76A7">
        <w:rPr>
          <w:rStyle w:val="s0"/>
          <w:rFonts w:ascii="Arial" w:hAnsi="Arial" w:cs="Arial"/>
          <w:color w:val="000000" w:themeColor="text1"/>
          <w:sz w:val="22"/>
          <w:szCs w:val="22"/>
        </w:rPr>
        <w:t xml:space="preserve"> http://online.zakon.kz (дата обращения: 16.02.2018 г.).</w:t>
      </w:r>
    </w:p>
    <w:p w:rsidR="00592BC2" w:rsidRPr="00DA76A7" w:rsidRDefault="00592BC2" w:rsidP="00D45D6B">
      <w:pPr>
        <w:widowControl/>
        <w:numPr>
          <w:ilvl w:val="0"/>
          <w:numId w:val="122"/>
        </w:numPr>
        <w:tabs>
          <w:tab w:val="left" w:pos="851"/>
        </w:tabs>
        <w:autoSpaceDE/>
        <w:autoSpaceDN/>
        <w:adjustRightInd/>
        <w:ind w:left="0" w:firstLine="567"/>
        <w:rPr>
          <w:rStyle w:val="s0"/>
          <w:rFonts w:ascii="Arial" w:hAnsi="Arial" w:cs="Arial"/>
          <w:color w:val="000000" w:themeColor="text1"/>
          <w:sz w:val="22"/>
          <w:szCs w:val="22"/>
        </w:rPr>
      </w:pPr>
      <w:r w:rsidRPr="00DA76A7">
        <w:rPr>
          <w:rStyle w:val="s0"/>
          <w:rFonts w:ascii="Arial" w:hAnsi="Arial" w:cs="Arial"/>
          <w:color w:val="000000" w:themeColor="text1"/>
          <w:sz w:val="22"/>
          <w:szCs w:val="22"/>
        </w:rPr>
        <w:t>Конституция Республики Казахстан [принята на республиканском референдуме 30 августа 1995 года: по состоянию на 10 марта 2017 г.] // Ведомости Парламента Республики Казахстан, 1996 г., № 4, ст. 217.</w:t>
      </w:r>
    </w:p>
    <w:p w:rsidR="00592BC2" w:rsidRPr="00DA76A7" w:rsidRDefault="00592BC2" w:rsidP="00D45D6B">
      <w:pPr>
        <w:widowControl/>
        <w:numPr>
          <w:ilvl w:val="0"/>
          <w:numId w:val="122"/>
        </w:numPr>
        <w:tabs>
          <w:tab w:val="left" w:pos="851"/>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Закон Республики Казахстан «О правах ребенка в Республике Казахстан» [</w:t>
      </w:r>
      <w:r w:rsidRPr="00DA76A7">
        <w:rPr>
          <w:rFonts w:ascii="Arial" w:hAnsi="Arial" w:cs="Arial"/>
          <w:color w:val="000000" w:themeColor="text1"/>
          <w:sz w:val="22"/>
          <w:szCs w:val="22"/>
        </w:rPr>
        <w:t xml:space="preserve">принят 8 августа 2002 года № 345-II: </w:t>
      </w:r>
      <w:r w:rsidRPr="00DA76A7">
        <w:rPr>
          <w:rStyle w:val="s0"/>
          <w:rFonts w:ascii="Arial" w:hAnsi="Arial" w:cs="Arial"/>
          <w:color w:val="000000" w:themeColor="text1"/>
          <w:sz w:val="22"/>
          <w:szCs w:val="22"/>
        </w:rPr>
        <w:t>по состоянию на 19.03.2010 г.</w:t>
      </w:r>
      <w:r w:rsidRPr="00DA76A7">
        <w:rPr>
          <w:rFonts w:ascii="Arial" w:hAnsi="Arial" w:cs="Arial"/>
          <w:color w:val="000000" w:themeColor="text1"/>
          <w:sz w:val="22"/>
          <w:szCs w:val="22"/>
        </w:rPr>
        <w:t xml:space="preserve">] </w:t>
      </w:r>
      <w:r w:rsidRPr="00DA76A7">
        <w:rPr>
          <w:rStyle w:val="s0"/>
          <w:rFonts w:ascii="Arial" w:hAnsi="Arial" w:cs="Arial"/>
          <w:color w:val="000000" w:themeColor="text1"/>
          <w:sz w:val="22"/>
          <w:szCs w:val="22"/>
        </w:rPr>
        <w:t>// Ведомости Парламента РК, 2002, № 17, ст. 154.</w:t>
      </w:r>
    </w:p>
    <w:p w:rsidR="00592BC2" w:rsidRPr="00DA76A7" w:rsidRDefault="00592BC2" w:rsidP="00D45D6B">
      <w:pPr>
        <w:widowControl/>
        <w:numPr>
          <w:ilvl w:val="0"/>
          <w:numId w:val="122"/>
        </w:numPr>
        <w:tabs>
          <w:tab w:val="left" w:pos="851"/>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 Закон Республики Казахстан «О профилактике правонарушений среди несовершеннолетних и предупреждении детской безнадзорности и беспризорности» [</w:t>
      </w:r>
      <w:r w:rsidRPr="00DA76A7">
        <w:rPr>
          <w:rFonts w:ascii="Arial" w:hAnsi="Arial" w:cs="Arial"/>
          <w:color w:val="000000" w:themeColor="text1"/>
          <w:sz w:val="22"/>
          <w:szCs w:val="22"/>
        </w:rPr>
        <w:t xml:space="preserve">принят 9 июля 2004 года № 591-II: </w:t>
      </w:r>
      <w:r w:rsidRPr="00DA76A7">
        <w:rPr>
          <w:rStyle w:val="s0"/>
          <w:rFonts w:ascii="Arial" w:hAnsi="Arial" w:cs="Arial"/>
          <w:color w:val="000000" w:themeColor="text1"/>
          <w:sz w:val="22"/>
          <w:szCs w:val="22"/>
        </w:rPr>
        <w:t xml:space="preserve">по состоянию на 01.01.2018 г.] </w:t>
      </w:r>
      <w:r w:rsidRPr="00DA76A7">
        <w:rPr>
          <w:rFonts w:ascii="Arial" w:hAnsi="Arial" w:cs="Arial"/>
          <w:color w:val="000000" w:themeColor="text1"/>
          <w:sz w:val="22"/>
          <w:szCs w:val="22"/>
        </w:rPr>
        <w:t xml:space="preserve">[Электронный ресурс] //Официальный интернет-портал правовой информации. – Режим доступа: </w:t>
      </w:r>
      <w:r w:rsidRPr="00DA76A7">
        <w:rPr>
          <w:rStyle w:val="s0"/>
          <w:rFonts w:ascii="Arial" w:hAnsi="Arial" w:cs="Arial"/>
          <w:color w:val="000000" w:themeColor="text1"/>
          <w:sz w:val="22"/>
          <w:szCs w:val="22"/>
        </w:rPr>
        <w:t xml:space="preserve">Информационная система «ПАРАГРАФ» </w:t>
      </w:r>
      <w:r w:rsidRPr="00DA76A7">
        <w:rPr>
          <w:rFonts w:ascii="Arial" w:hAnsi="Arial" w:cs="Arial"/>
          <w:color w:val="000000" w:themeColor="text1"/>
          <w:sz w:val="22"/>
          <w:szCs w:val="22"/>
        </w:rPr>
        <w:t>(дата обращения:18.02.2018 г.).</w:t>
      </w:r>
    </w:p>
    <w:p w:rsidR="00592BC2" w:rsidRPr="00DA76A7" w:rsidRDefault="00592BC2" w:rsidP="00D45D6B">
      <w:pPr>
        <w:widowControl/>
        <w:numPr>
          <w:ilvl w:val="0"/>
          <w:numId w:val="122"/>
        </w:numPr>
        <w:tabs>
          <w:tab w:val="left" w:pos="851"/>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 Закон Республики Казахстан «О порядке и условиях содержания лиц в специальных учреждениях, обеспечивающих временную изоляцию от общества» [</w:t>
      </w:r>
      <w:r w:rsidRPr="00DA76A7">
        <w:rPr>
          <w:rFonts w:ascii="Arial" w:hAnsi="Arial" w:cs="Arial"/>
          <w:color w:val="000000" w:themeColor="text1"/>
          <w:sz w:val="22"/>
          <w:szCs w:val="22"/>
        </w:rPr>
        <w:t>принят 30 марта 1999 года № 353-I: </w:t>
      </w:r>
      <w:r w:rsidRPr="00DA76A7">
        <w:rPr>
          <w:rStyle w:val="s0"/>
          <w:rFonts w:ascii="Arial" w:hAnsi="Arial" w:cs="Arial"/>
          <w:color w:val="000000" w:themeColor="text1"/>
          <w:sz w:val="22"/>
          <w:szCs w:val="22"/>
        </w:rPr>
        <w:t>по состоянию на 11.07.2017 г.] // Ведомости Парламента Республики Казахстан, 1999,  № 6, ст. 190.</w:t>
      </w:r>
    </w:p>
    <w:p w:rsidR="00592BC2" w:rsidRPr="00DA76A7" w:rsidRDefault="00592BC2" w:rsidP="00D45D6B">
      <w:pPr>
        <w:widowControl/>
        <w:numPr>
          <w:ilvl w:val="0"/>
          <w:numId w:val="122"/>
        </w:numPr>
        <w:tabs>
          <w:tab w:val="left" w:pos="851"/>
        </w:tabs>
        <w:autoSpaceDE/>
        <w:autoSpaceDN/>
        <w:adjustRightInd/>
        <w:ind w:left="0" w:firstLine="567"/>
        <w:rPr>
          <w:rStyle w:val="s0"/>
          <w:rFonts w:ascii="Arial" w:hAnsi="Arial" w:cs="Arial"/>
          <w:color w:val="000000" w:themeColor="text1"/>
          <w:sz w:val="22"/>
          <w:szCs w:val="22"/>
        </w:rPr>
      </w:pPr>
      <w:r w:rsidRPr="00DA76A7">
        <w:rPr>
          <w:rStyle w:val="s0"/>
          <w:rFonts w:ascii="Arial" w:hAnsi="Arial" w:cs="Arial"/>
          <w:color w:val="000000" w:themeColor="text1"/>
          <w:sz w:val="22"/>
          <w:szCs w:val="22"/>
        </w:rPr>
        <w:t>Уголовно-процессуальный кодекс Республики Казахстан [закон принят 4 июля 2014 года № 231-V: по состоянию на 09 января 2018 г.] // Казахстанская правда, 2014 год, 10 июля, № 133 (27754).</w:t>
      </w:r>
    </w:p>
    <w:p w:rsidR="00592BC2" w:rsidRPr="00DA76A7" w:rsidRDefault="00592BC2" w:rsidP="00D45D6B">
      <w:pPr>
        <w:widowControl/>
        <w:numPr>
          <w:ilvl w:val="0"/>
          <w:numId w:val="122"/>
        </w:numPr>
        <w:tabs>
          <w:tab w:val="left" w:pos="567"/>
          <w:tab w:val="left" w:pos="851"/>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Трудовой кодекс Республики Казахстан [принят 23 ноября 2015 года № 414-V: по состоянию на 30.11.2017 г.) // Казахстанская правда» от 25 ноября 2015 г., № 226 (28102).</w:t>
      </w:r>
    </w:p>
    <w:p w:rsidR="00592BC2" w:rsidRPr="00DA76A7" w:rsidRDefault="00592BC2" w:rsidP="00D45D6B">
      <w:pPr>
        <w:widowControl/>
        <w:numPr>
          <w:ilvl w:val="0"/>
          <w:numId w:val="122"/>
        </w:numPr>
        <w:tabs>
          <w:tab w:val="left" w:pos="567"/>
          <w:tab w:val="left" w:pos="993"/>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 Кодекс Республики Казахстан «О браке (супружестве) и семье» [</w:t>
      </w:r>
      <w:r w:rsidRPr="00DA76A7">
        <w:rPr>
          <w:rFonts w:ascii="Arial" w:hAnsi="Arial" w:cs="Arial"/>
          <w:color w:val="000000" w:themeColor="text1"/>
          <w:sz w:val="22"/>
          <w:szCs w:val="22"/>
        </w:rPr>
        <w:t xml:space="preserve">принят 26 декабря 2011 года № 518-IV: </w:t>
      </w:r>
      <w:r w:rsidRPr="00DA76A7">
        <w:rPr>
          <w:rStyle w:val="s0"/>
          <w:rFonts w:ascii="Arial" w:hAnsi="Arial" w:cs="Arial"/>
          <w:color w:val="000000" w:themeColor="text1"/>
          <w:sz w:val="22"/>
          <w:szCs w:val="22"/>
        </w:rPr>
        <w:t>по состоянию на 11.07.2017 г.] // Ведомости Парламента Республики Казахстан, 2011, № 22 (2599), ст. 174.</w:t>
      </w:r>
    </w:p>
    <w:p w:rsidR="00592BC2" w:rsidRPr="00DA76A7" w:rsidRDefault="00592BC2" w:rsidP="00D45D6B">
      <w:pPr>
        <w:widowControl/>
        <w:numPr>
          <w:ilvl w:val="0"/>
          <w:numId w:val="122"/>
        </w:numPr>
        <w:tabs>
          <w:tab w:val="left" w:pos="567"/>
          <w:tab w:val="left" w:pos="993"/>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Нормативное постановление Верховного суда Республики Казахстан «О судебной практике по применению принудительных мер медицинского характера» [</w:t>
      </w:r>
      <w:r w:rsidRPr="00DA76A7">
        <w:rPr>
          <w:rFonts w:ascii="Arial" w:hAnsi="Arial" w:cs="Arial"/>
          <w:color w:val="000000" w:themeColor="text1"/>
          <w:sz w:val="22"/>
          <w:szCs w:val="22"/>
        </w:rPr>
        <w:t xml:space="preserve">принято 9 июля 1999 года № 8: </w:t>
      </w:r>
      <w:r w:rsidRPr="00DA76A7">
        <w:rPr>
          <w:rStyle w:val="s0"/>
          <w:rFonts w:ascii="Arial" w:hAnsi="Arial" w:cs="Arial"/>
          <w:color w:val="000000" w:themeColor="text1"/>
          <w:sz w:val="22"/>
          <w:szCs w:val="22"/>
        </w:rPr>
        <w:t>по состоянию на 24.12.2014 г.) // Юридическая газета, 4 августа 1999, № 31 (298).</w:t>
      </w:r>
    </w:p>
    <w:p w:rsidR="00592BC2" w:rsidRPr="00DA76A7" w:rsidRDefault="00592BC2" w:rsidP="00D45D6B">
      <w:pPr>
        <w:widowControl/>
        <w:numPr>
          <w:ilvl w:val="0"/>
          <w:numId w:val="122"/>
        </w:numPr>
        <w:tabs>
          <w:tab w:val="left" w:pos="567"/>
          <w:tab w:val="left" w:pos="993"/>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Постановление Правительства Республики </w:t>
      </w:r>
      <w:r w:rsidRPr="00DA76A7">
        <w:rPr>
          <w:rFonts w:ascii="Arial" w:hAnsi="Arial" w:cs="Arial"/>
          <w:color w:val="000000" w:themeColor="text1"/>
          <w:sz w:val="22"/>
          <w:szCs w:val="22"/>
        </w:rPr>
        <w:t>Казахстан</w:t>
      </w:r>
      <w:r w:rsidRPr="00DA76A7">
        <w:rPr>
          <w:rStyle w:val="s0"/>
          <w:rFonts w:ascii="Arial" w:hAnsi="Arial" w:cs="Arial"/>
          <w:color w:val="000000" w:themeColor="text1"/>
          <w:sz w:val="22"/>
          <w:szCs w:val="22"/>
        </w:rPr>
        <w:t xml:space="preserve"> «Об утверждении Правил предоставления специальных социальных услуг несовершеннолетним, находящимся в организации образования с особым режимом содержания» [</w:t>
      </w:r>
      <w:r w:rsidRPr="00DA76A7">
        <w:rPr>
          <w:rFonts w:ascii="Arial" w:hAnsi="Arial" w:cs="Arial"/>
          <w:color w:val="000000" w:themeColor="text1"/>
          <w:sz w:val="22"/>
          <w:szCs w:val="22"/>
        </w:rPr>
        <w:t>принято 28 октября 2014 года № 1142: по состоянию на 18.02.2018 г.</w:t>
      </w:r>
      <w:r w:rsidRPr="00DA76A7">
        <w:rPr>
          <w:rStyle w:val="s0"/>
          <w:rFonts w:ascii="Arial" w:hAnsi="Arial" w:cs="Arial"/>
          <w:color w:val="000000" w:themeColor="text1"/>
          <w:sz w:val="22"/>
          <w:szCs w:val="22"/>
        </w:rPr>
        <w:t>] // Казахстанская правда, 13 ноября 2014 г.</w:t>
      </w:r>
    </w:p>
    <w:p w:rsidR="00592BC2" w:rsidRPr="00DA76A7" w:rsidRDefault="00592BC2" w:rsidP="00D45D6B">
      <w:pPr>
        <w:widowControl/>
        <w:numPr>
          <w:ilvl w:val="0"/>
          <w:numId w:val="122"/>
        </w:numPr>
        <w:tabs>
          <w:tab w:val="left" w:pos="567"/>
          <w:tab w:val="left" w:pos="993"/>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Указ Президента Республики Казахстан «О Концепции развития системы ювенальной юстиции в Республике Казахстан на 2009-2011 годы [</w:t>
      </w:r>
      <w:r w:rsidRPr="00DA76A7">
        <w:rPr>
          <w:rFonts w:ascii="Arial" w:hAnsi="Arial" w:cs="Arial"/>
          <w:color w:val="000000" w:themeColor="text1"/>
          <w:sz w:val="22"/>
          <w:szCs w:val="22"/>
        </w:rPr>
        <w:t>принят 19 августа 2008 года N 646: по состоянию на 01.01.2018 г.</w:t>
      </w:r>
      <w:r w:rsidRPr="00DA76A7">
        <w:rPr>
          <w:rStyle w:val="s0"/>
          <w:rFonts w:ascii="Arial" w:hAnsi="Arial" w:cs="Arial"/>
          <w:color w:val="000000" w:themeColor="text1"/>
          <w:sz w:val="22"/>
          <w:szCs w:val="22"/>
        </w:rPr>
        <w:t>]</w:t>
      </w:r>
      <w:r w:rsidRPr="00DA76A7">
        <w:rPr>
          <w:rFonts w:ascii="Arial" w:hAnsi="Arial" w:cs="Arial"/>
          <w:color w:val="000000" w:themeColor="text1"/>
          <w:sz w:val="22"/>
          <w:szCs w:val="22"/>
        </w:rPr>
        <w:t xml:space="preserve"> [Электронный ресурс] //Официальный интернет-портал правовой информации. – Режим доступа: </w:t>
      </w:r>
      <w:r w:rsidRPr="00DA76A7">
        <w:rPr>
          <w:rStyle w:val="s0"/>
          <w:rFonts w:ascii="Arial" w:hAnsi="Arial" w:cs="Arial"/>
          <w:color w:val="000000" w:themeColor="text1"/>
          <w:sz w:val="22"/>
          <w:szCs w:val="22"/>
        </w:rPr>
        <w:t>http.minjust.kz (дата обращения: 18.02.2018 г.).</w:t>
      </w:r>
    </w:p>
    <w:p w:rsidR="00592BC2" w:rsidRPr="00DA76A7" w:rsidRDefault="00592BC2" w:rsidP="00D45D6B">
      <w:pPr>
        <w:widowControl/>
        <w:numPr>
          <w:ilvl w:val="0"/>
          <w:numId w:val="122"/>
        </w:numPr>
        <w:tabs>
          <w:tab w:val="left" w:pos="993"/>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 xml:space="preserve">Концепция правовой политики Республики Казахстан [принята 20 сентября 2002 года N 949] // Казахстанская правда, 2002,  3 октября, № 212.  </w:t>
      </w:r>
    </w:p>
    <w:p w:rsidR="00592BC2" w:rsidRPr="00DA76A7" w:rsidRDefault="00592BC2" w:rsidP="00D45D6B">
      <w:pPr>
        <w:widowControl/>
        <w:numPr>
          <w:ilvl w:val="0"/>
          <w:numId w:val="122"/>
        </w:numPr>
        <w:tabs>
          <w:tab w:val="left" w:pos="567"/>
          <w:tab w:val="left" w:pos="993"/>
        </w:tabs>
        <w:autoSpaceDE/>
        <w:autoSpaceDN/>
        <w:adjustRightInd/>
        <w:ind w:left="0" w:firstLine="567"/>
        <w:jc w:val="both"/>
        <w:rPr>
          <w:rStyle w:val="s0"/>
          <w:rFonts w:ascii="Arial" w:hAnsi="Arial" w:cs="Arial"/>
          <w:color w:val="000000" w:themeColor="text1"/>
          <w:sz w:val="22"/>
          <w:szCs w:val="22"/>
        </w:rPr>
      </w:pPr>
      <w:r w:rsidRPr="00DA76A7">
        <w:rPr>
          <w:rStyle w:val="s0"/>
          <w:rFonts w:ascii="Arial" w:hAnsi="Arial" w:cs="Arial"/>
          <w:color w:val="000000" w:themeColor="text1"/>
          <w:sz w:val="22"/>
          <w:szCs w:val="22"/>
        </w:rPr>
        <w:t>Назарбаев Н.А. Идейная консолидация общества как условие прогресса Казахстана. - Алматы, 1993. – 19 с.</w:t>
      </w:r>
    </w:p>
    <w:p w:rsidR="00592BC2" w:rsidRPr="00DA76A7" w:rsidRDefault="00592BC2" w:rsidP="00D45D6B">
      <w:pPr>
        <w:widowControl/>
        <w:numPr>
          <w:ilvl w:val="0"/>
          <w:numId w:val="122"/>
        </w:numPr>
        <w:shd w:val="clear" w:color="auto" w:fill="FFFFFF"/>
        <w:tabs>
          <w:tab w:val="left" w:pos="567"/>
          <w:tab w:val="left" w:pos="851"/>
          <w:tab w:val="left" w:pos="993"/>
        </w:tabs>
        <w:autoSpaceDE/>
        <w:autoSpaceDN/>
        <w:adjustRightInd/>
        <w:ind w:left="0" w:firstLine="567"/>
        <w:jc w:val="both"/>
        <w:textAlignment w:val="baseline"/>
        <w:rPr>
          <w:rFonts w:ascii="Arial" w:hAnsi="Arial" w:cs="Arial"/>
          <w:color w:val="000000" w:themeColor="text1"/>
          <w:sz w:val="22"/>
          <w:szCs w:val="22"/>
        </w:rPr>
      </w:pPr>
      <w:r w:rsidRPr="00DA76A7">
        <w:rPr>
          <w:rStyle w:val="s0"/>
          <w:rFonts w:ascii="Arial" w:hAnsi="Arial" w:cs="Arial"/>
          <w:color w:val="000000" w:themeColor="text1"/>
          <w:sz w:val="22"/>
          <w:szCs w:val="22"/>
        </w:rPr>
        <w:t>Ювенология: Учебник / Под общ. ред. д.ю.н., проф. Н.О. Дулатбекова. – Алматы, 2008.- 343 с.</w:t>
      </w:r>
    </w:p>
    <w:p w:rsidR="00592BC2" w:rsidRDefault="00592BC2" w:rsidP="00592BC2">
      <w:pPr>
        <w:ind w:firstLine="567"/>
        <w:rPr>
          <w:rFonts w:ascii="Arial" w:hAnsi="Arial" w:cs="Arial"/>
          <w:color w:val="000000" w:themeColor="text1"/>
          <w:sz w:val="22"/>
          <w:szCs w:val="22"/>
        </w:rPr>
      </w:pPr>
    </w:p>
    <w:p w:rsidR="005C2070" w:rsidRPr="00DA76A7" w:rsidRDefault="005C2070" w:rsidP="00592BC2">
      <w:pPr>
        <w:ind w:firstLine="567"/>
        <w:rPr>
          <w:rFonts w:ascii="Arial" w:hAnsi="Arial" w:cs="Arial"/>
          <w:color w:val="000000" w:themeColor="text1"/>
          <w:sz w:val="22"/>
          <w:szCs w:val="22"/>
        </w:rPr>
      </w:pPr>
    </w:p>
    <w:p w:rsidR="008840CA" w:rsidRPr="00DA76A7" w:rsidRDefault="008840CA"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ОСОБЕННОСТИ ПРИМЕНЕНИЯ ИННОВАЦИОННЫХ ТЕХНОЛОГИЙ В РАССЛЕДОВАНИИ ПРЕСТУПЛЕНИЙ</w:t>
      </w:r>
    </w:p>
    <w:p w:rsidR="00592BC2" w:rsidRDefault="00592BC2" w:rsidP="00592BC2">
      <w:pPr>
        <w:jc w:val="center"/>
        <w:rPr>
          <w:rFonts w:ascii="Arial" w:hAnsi="Arial" w:cs="Arial"/>
          <w:b/>
          <w:color w:val="000000" w:themeColor="text1"/>
          <w:sz w:val="22"/>
          <w:szCs w:val="22"/>
        </w:rPr>
      </w:pPr>
    </w:p>
    <w:p w:rsidR="005C2070" w:rsidRPr="00DA76A7" w:rsidRDefault="005C2070"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Задворьева Алёна Юрьевна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 3-го курса очного отделения юридического факультета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Государственный институт экономики, финансов, права и технологий</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188300, Россия, Ленинградская область, г. Гатчина, ул. Рощинская, 5</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тел.: 89110822648 ,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azadvoreva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Default="00592BC2" w:rsidP="00592BC2">
      <w:pPr>
        <w:jc w:val="center"/>
        <w:rPr>
          <w:rFonts w:ascii="Arial" w:hAnsi="Arial" w:cs="Arial"/>
          <w:color w:val="000000" w:themeColor="text1"/>
          <w:sz w:val="22"/>
          <w:szCs w:val="22"/>
        </w:rPr>
      </w:pPr>
    </w:p>
    <w:p w:rsidR="005C2070" w:rsidRDefault="005C2070" w:rsidP="00592BC2">
      <w:pPr>
        <w:jc w:val="center"/>
        <w:rPr>
          <w:rFonts w:ascii="Arial" w:hAnsi="Arial" w:cs="Arial"/>
          <w:color w:val="000000" w:themeColor="text1"/>
          <w:sz w:val="22"/>
          <w:szCs w:val="22"/>
        </w:rPr>
      </w:pPr>
    </w:p>
    <w:p w:rsidR="005C2070" w:rsidRDefault="005C2070" w:rsidP="00592BC2">
      <w:pPr>
        <w:jc w:val="center"/>
        <w:rPr>
          <w:rFonts w:ascii="Arial" w:hAnsi="Arial" w:cs="Arial"/>
          <w:color w:val="000000" w:themeColor="text1"/>
          <w:sz w:val="22"/>
          <w:szCs w:val="22"/>
        </w:rPr>
      </w:pPr>
    </w:p>
    <w:p w:rsidR="005C2070" w:rsidRDefault="005C2070" w:rsidP="00592BC2">
      <w:pPr>
        <w:jc w:val="center"/>
        <w:rPr>
          <w:rFonts w:ascii="Arial" w:hAnsi="Arial" w:cs="Arial"/>
          <w:color w:val="000000" w:themeColor="text1"/>
          <w:sz w:val="22"/>
          <w:szCs w:val="22"/>
        </w:rPr>
      </w:pPr>
    </w:p>
    <w:p w:rsidR="005C2070" w:rsidRDefault="005C2070" w:rsidP="00592BC2">
      <w:pPr>
        <w:jc w:val="center"/>
        <w:rPr>
          <w:rFonts w:ascii="Arial" w:hAnsi="Arial" w:cs="Arial"/>
          <w:color w:val="000000" w:themeColor="text1"/>
          <w:sz w:val="22"/>
          <w:szCs w:val="22"/>
        </w:rPr>
      </w:pPr>
    </w:p>
    <w:p w:rsidR="005C2070" w:rsidRDefault="005C2070" w:rsidP="00592BC2">
      <w:pPr>
        <w:jc w:val="center"/>
        <w:rPr>
          <w:rFonts w:ascii="Arial" w:hAnsi="Arial" w:cs="Arial"/>
          <w:color w:val="000000" w:themeColor="text1"/>
          <w:sz w:val="22"/>
          <w:szCs w:val="22"/>
        </w:rPr>
      </w:pPr>
    </w:p>
    <w:p w:rsidR="005C2070" w:rsidRDefault="005C2070" w:rsidP="00592BC2">
      <w:pPr>
        <w:jc w:val="center"/>
        <w:rPr>
          <w:rFonts w:ascii="Arial" w:hAnsi="Arial" w:cs="Arial"/>
          <w:color w:val="000000" w:themeColor="text1"/>
          <w:sz w:val="22"/>
          <w:szCs w:val="22"/>
        </w:rPr>
      </w:pPr>
    </w:p>
    <w:p w:rsidR="005C2070" w:rsidRDefault="005C2070" w:rsidP="00592BC2">
      <w:pPr>
        <w:jc w:val="center"/>
        <w:rPr>
          <w:rFonts w:ascii="Arial" w:hAnsi="Arial" w:cs="Arial"/>
          <w:color w:val="000000" w:themeColor="text1"/>
          <w:sz w:val="22"/>
          <w:szCs w:val="22"/>
        </w:rPr>
      </w:pPr>
    </w:p>
    <w:p w:rsidR="005C2070" w:rsidRPr="00DA76A7" w:rsidRDefault="005C2070" w:rsidP="00592BC2">
      <w:pPr>
        <w:jc w:val="center"/>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FEATURES OF THE APPLICATION OF INNOVATIVE TECHNOLOGIES IN THE INVESTIGATION OF CRIMES</w:t>
      </w:r>
    </w:p>
    <w:p w:rsidR="00592BC2" w:rsidRPr="00DA76A7" w:rsidRDefault="00592BC2" w:rsidP="00592BC2">
      <w:pPr>
        <w:jc w:val="center"/>
        <w:rPr>
          <w:rFonts w:ascii="Arial" w:hAnsi="Arial" w:cs="Arial"/>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Zadvoreva Alena Yuiryevna</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3rd year of full-time department of the law faculty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State institute of economics, finance, law and technology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188300, Russia, Leningrad region, Gatchina, Roschinskaya, 5</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тел.: 89110822648 ,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azadvoreva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ind w:firstLine="567"/>
        <w:jc w:val="right"/>
        <w:rPr>
          <w:rFonts w:ascii="Arial" w:hAnsi="Arial" w:cs="Arial"/>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дана криминологическая характеристика рецидивной преступности в зарубежных странах. Проведен сравнительный анализ подходов российского уголовного законодательства и уголовного законодательства зарубежных стран к предупреждению рецидива преступлений. Выяснены основы применения наказания к лицам, совершившим преступления повторно и меры усиления уголовной ответственности при рецидиве преступлений в странах запада в сравнении с уголовным законодательством РФ.</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presents the criminological characteristics of recidivism in foreign countries. A comparative analysis of the approaches of the Russian criminal legislation and criminal legislation of foreign countries to the prevention of recidivism. Clarify the basis for applying penalties to persons who commit crimes repeatedly and strengthening of criminal responsibility at recidivism in Western countries in comparison with the criminal legislation of the Russian Federation.</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рецидив преступлений; криминологическая характеристика; отягчающее обстоятельство; уголовное законодательство зарубежных стран.</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the recurrence of crime; criminological characteristics; aggravating circumstance; criminal law of foreign countries.</w:t>
      </w:r>
    </w:p>
    <w:p w:rsidR="00592BC2" w:rsidRPr="00DA76A7" w:rsidRDefault="00592BC2" w:rsidP="00592BC2">
      <w:pPr>
        <w:ind w:firstLine="567"/>
        <w:rPr>
          <w:rFonts w:ascii="Arial" w:hAnsi="Arial" w:cs="Arial"/>
          <w:i/>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Рецидив преступлений – одно из самых вредоносных социальных явлений, свидетельствующее о безрезультативности применения мер правового воздействия в отношении лиц, представляющих повышенную общественную опасность, а значит, порождающее недоверие к правоохранительным органам, подрывающее их авторитет и значимость в обществе [2; с.46].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Рецидивная (повторная) преступность, как и вся преступность в целом известна всем странам мира – ни одному обществу, ни в одну из эпох существования не удавалась победить это негативное социальное явление, впрочем, победить окончательно не стоит и пытаться. А вот снизить уровень преступности в целом, в том числе и рецидивной – задача вполне выполнимая. Высокие показатели рецидивной преступности в России на данный момент свидетельствуют о том, что в российской уголовной политике существуют значительные пробелы и недостатки, устранить которые можно попытаться, руководствуясь, в том числе, и опытом зарубежных стран. В связи с этим, целью настоящей работы является анализ состояния рецидивной преступности в зарубежных странах и мер борьбы с ней для того, чтобы оценить возможность применения полученных положительных результатов в России. Однако предстоит учесть особые характеристики каждого государства, менталитет, уровень жизни, культурные и правовые особенности, исторические традиции и прочее [4; с. 237].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данный момент в различных странах мира существуют разнообразные подходы к противодействию рецидивной преступности.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 УК Японии рецидивом признаются только случаи, когда лицо, приговоренное к лишению свободы с принудительным трудом, в течение пяти лет со дня окончания исполнения наказания или дня освобождения от его исполнения опять совершило преступление, за которое должно быть назначено срочное лишение свободы с принудительным трудом. Так, в УК Японии закреплено понятие рецидива, но, в отличие от УК РФ, при определении рецидива учитываются только серьезные преступления. Немаловажным для признания рецидива по уголовному законодательству Японии имеет вид ранее назначенного наказания, а также наказание, которое грозит за совершение нового преступления. Отличие в наказании заключается в том, что за повторное совершение преступления назначается не выше удвоенного максимального срока, а при совершении лицом трех и более преступлений к нему применяются те же правила назначения наказания, что и при совершении преступления второй раз.</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Главным направлением уголовной политики в Японии является предупреждение преступности — как первичной, так и повторной, т.е. создание условий для того, чтобы человек не вступил на преступный путь. И на первом месте стоит задача по выводу уголовных дел за рамки уголовной юстиции на всех стадиях отправления правосудия. Сюда можно отнести: а) отсрочку уголовного преследования; б) отсрочку исполнения наказания; в) применение штрафов.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в рамках профилактики общего назначения ведется широкая пропаганда законопослушания, проводимая силами полиции, школы, общественных организаций, чему способствует издание самой разнообразной юридической литературы. Принимаются меры для устранения условий, способствующих совершению преступлений.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Профилактику повторной преступности можно разделить на проводимую, на стадиях предварительного расследования совершенных преступлений, судебного процесса, отбытия наказания и после освобождения. Данные превентивные меры направлены на то, чтобы совершивший преступление человек не ощутил себя изгоем, не почувствовал магнетическое влияние преступной жизни. Поэтому весьма актуальны предложения о заимствовании в России японского опыта борьбы с преступностью, особенно по осуществлению правового воспитания, которое в России практически не проводится в тех глобальных размерах, в которых это необходимо в связи с многонациональностью и многосубъектностью нашего государства.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Весьма интересный подход к решению данной проблемы в Норвегии, где в качестве мер противодействия преступности, в том числе и рецидивной, применяется принцип минимизации уголовной репрессии. Так называемая концепция восстановительного правосудия является альтернативой карательной направленности уголовного правосудия, главная цель которой лежит в восстановлении нарушенных отношений в социальной общности, обязанности возмещения потерпевшему причиненного вреда и т.п. Так, известный норвежский криминолог Нильс Кристи указывает: «Преступление – это конфликт, который в большинстве случаем можно разрешить, загладив вину, возместив ущерб, примирив стороны, главным механизмом которого является медиация» [6].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Также в Норвегии не предусмотрена мера наказание «пожизненное лишение свободы» как вида наказания, что, несомненно, оказывает влияние на повторную преступность [9; 393-396 с]. Назначаемый срок тюремного заключения не может превышать 21 года, но, в тоже время этот срок может быть продлен на пять лет, если заключенный не исправился по истечению этого времени. Впрочем, и такой срок тюремного заключения применяется в Норвегии крайне редко.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Условия отбывания наказания в норвежской тюрьме считаются передовыми и образцовыми во всем мире. Основной концепцией уголовно-исполнительной системы в Норвегии является то, что заключенные живут обычной жизнью, не испытывая недостатка ни в чем, кроме свободы. У каждого заключенного отдельная комната, в которой можно найти все: от радиоприёмника до компьютера с выходом в сеть Интернет. Также немаловажным является то, что заключённым разрешается иметь при себе личные вещи и реализовывать привычные им увлечения, будь то игра на гитаре или компьютерные игры. Главная задача уголовно-исправительной системы Норвегии – это не устрашение и жестокое обращение с человеком с целью психологического подавления личности, а возможность вернуть его в общество. При этом уровень рецидива преступлений в Норвегии один из самых низких во всем мире и уже продолжительное время остается в пределах 20%[8].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Испании хорошим примером гуманного отношения к осужденным может служить тюрьма Аранхуэс, особенностью которой является то, что она представляет собой единственную тюрьму в мире, рассчитанной на целые семьи. Обычно, если у заключённой рождается ребёнок, то его отправляют жить с семьёй, находящейся на воле, или же отдают в приёмную семью. Однако в этой испанской тюрьме детям позволяют оставаться с родителями, пока им не исполнится три года. Тюрьма надеется дать семьям более хорошие шансы на нормальную жизнь, после того как они отбудут свой срок.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Латвии в Ильгюциемской женской тюрьме уделяется особое внимание ресоциализации. На основе различных анализов составляются прогнозы угрозы рецидива для каждого индивидуально, и уже на основе этого формируется план работы.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например, если у женщины нет профессии – то это фактор риска, так как после отбытия наказания она не может устроиться на работу, поэтому заключённые могут получить профессию помощника повара, парикмахера, мастера отделочных работ, швеи. Также там практикуется религиозное обучение, направленное на то, чтобы женщины могли пересмотреть свою прошлую жизнь, в том числе избавиться от вредной зависимости.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учетом Концепции развития уголовно-исполнительной системы России до 2020 г, в которую заложены идеи гуманизации отбывания наказания в виде лишения свободы и повышение гарантий соблюдения прав и законных интересов осужденных, опыт зарубежных стран может оказаться весьма полезным. Кроме того, он уже начинает применяться. Так, в Колпино в декабре 2017 года постепенно начал свою работу новый «пятизвездочный» следственный изолятор, который кардинально отличается от всего, что было раньше. Новые «Кресты» должны стать самым большим и комфортным СИЗО в России. Форма здания выполнена таким образом, что все его части связаны между собой удобными переходами, которые позволяют попасть в любую точку, не выходя на улицу. Прекрасная система безопасности, состоящая из пошагового видеонаблюдения, датчиков, реагирующих на подкоп, и забора, на котором установлена система электрошоков, позволяет полностью исключить возможность побега. Однако самое главное – это условия содержания: к услугам заключенных есть медсанчасть, прачечная, производственные мастерские, а также помещения для проведения религиозных обрядов. Камеры изолятора рассчитаны на четырёх человек, но также есть двухместные и одноместные, оснащенные телевизором и холодильником.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России данный вид СИЗО с такими условиями определённо является чем-то новым и, по мнению некоторых, неуместным, ведь у нас есть такие тюрьмы, где нередко заключенные попадают в условия, когда речь идет не столько об условиях содержания, сколько о выживании человека. Однако такие условия в дальнейшем могут положительно сказаться на общем уровне как повторной преступности, так и преступности в целом. Места, в которых заключённые отбывают наказание, играют важную роль и, к сожалению, всем известно, что наша исправительная система никого не исправляет. Скорее наоборот, она влияет на заключенных еще хуже, о чем свидетельствует высокий процент рецидива после освобождения. Поэтому необходимо серьёзно задуматься над этими вопросами и, возможно, перенять опыт зарубежных стран.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других странах (таких как США, Франция, страны СНГ), напротив, бороться с рецидивной преступностью предпочитают посредством усиления уголовной репрессии. Так, УК Франции предусматривает положение, согласно которому, если физическое лицо, ранее судимое за преступление или проступок, наказуемые 10 годами тюремного заключения, вновь совершит преступление, за которое УК устанавливает 20 или 30 лет лишения свободы, оно наказывается пожизненным заключением или заточением. При этом, к лицу, осужденному за рецидив преступных деяний, не может быть применена отсрочка исполнения наказания.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УК Франции продолжают вноситься изменения, направленные на индивидуализацию наказания и предупреждение рецидива, а также отмену минимального назначения наказания. Последняя поправка была внесена 15 августа 2014 года, целью которой является усиление эффекта индивидуального наказания к каждому преступнику, чтобы предотвратить последующие преступления. Суть данной реформы в том, чтобы назначаемое наказание за повторное преступление было адресовано каждому преступнику с учётом всех особенностей совершенного преступления.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во Франции существует закон, согласно которому приговорённые к более чем на 15 лет тюрьмы и после истечения срока наказания не обретут свободы, а их будут переводить в другие «центры». Направляться преступники туда будут по решению специальных комиссий, в которых обязательно должны быть психиатры, которые решат: продолжают ли осужденные представлять угрозу для общества. Суровая мера должна уберечь общество от рецидивов преступлений. Однако, несмотря на ужесточенное наказание, за повторное совершение преступлений уровень рецидивной преступности во Франции весьма велик: 59% бывших заключенных в течение 5 лет после их освобождения вновь приговариваются к тому или иному виду наказания, а 46% от этого числа – непосредственно к лишению свободы[7].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Существующий в России порядок назначения наказания при рецидиве является объектом многочисленных споров и дискуссий. До 2003 года уголовный закон РФ предусматривал более строгое наказание, закрепляя, что срок наказания при рецидиве не может составлять меньше половины максимального срока наиболее строгого вида наказания, предусмотренного за совершенное преступление, при опасном рецидиве – не менее двух третей, а при особо опасном – не менее трех четвертей. В связи с либерализацией уголовной политики Федеральным законом № 162-ФЗ от 8 декабря 2003 года была устранена чрезмерная строгость существовавших правовых норм. Действующая редакция УК РФ в ч. 2 ст. 68 устанавливает, что срок наказания при любом виде рецидива преступлений не может быть менее одной третьей части максимального срока наиболее строгого вида наказания, предусмотренного за совершенное преступление, но в пределах санкции соответствующей статьи Особенной части Уголовного Кодекса. Проведенная реформа в области назначения наказания при рецидиве явно несостоятельна, так как уравнивание порядка назначения наказания при различных видах рецидива противоречит принципу справедливости и зачастую вообще не усиливает наказания (см., напр. ч. 1,2 ст. 105 УК РФ).</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реформирование института наказания в сторону усиления уголовной репрессии вряд ли сможет решить проблемы рецидивной преступности, так как основным ее фактором в последнее время ученые-правоведы признают проблему ресоциализации осужденных. В России осужденным, освобождаемым из мест лишения свободы, государство оплачивает дорогу до дома, и это составляет весь его «стартовый капитал» в новую жизнь. Освобождаясь из исправительного учреждения, бывший заключённый оказывается в затруднительной ситуации, так как за время его заключения многое изменилось, и перед ним встаёт множество проблем.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данным исследования Н.А. Крайновой [5], проблемы бывших осужденных в России сводятся к удовлетворению элементарных человеческих потребностей: в еде, жилье, медицинском обеспечении, социальной адаптации и др.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России после освобождения человеку очень трудно даже устроиться на работу: работодатели чаще всего отказывают бывшему осужденному, предпочитая не сообщать истинного мотива отказа.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результате, 50-80% освобождающихся заключённых вскоре возвращаются назад, потому что не имеют средств к существованию[1]. Именно поэтому хищения являются самыми рецидивоопасными преступлениями, и именно поэтому большинство повторных преступлений приходится на первый год освобождения.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Вопрос о ресоциализации в России является наиболее актуальным. Разумеется он требует больших финансовых затрат, однако нельзя забывать о цене самой преступности, которая представляет собой реальный вред, причиняемый преступностью интересам общества [3; 25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Именно поэтому может быть интересен опыт «соседей», где в Норвегии, например, к процессу ресоциализации подходят иначе. За полгода до освобождения заключённых помещают в реабилитационный центр, где их готовят к выходу на свободу, а также за ними закрепляют куратора, который занимается проблемами его проживания, трудоустройством, лечением и другими немаловажными вопросами. Таким образом, из тюрьмы выходит нормальный человек, уважающий других, уважающий труд, имеющий интересы, нормальное здоровье, дальнейшие планы, готовый вернуться в общество в качестве полноправного его члена.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сожалению, полного «копирования» пенитенциарной системы Норвегии не получится, так как и количество заключенных в России в разы больше, и уровень жизни значительно хуже. Но проанализировав норвежский опыт, необходимо выстроить новую модель – где главным будет обучение заключённых востребованным специальностям и привлечение предпринимателей для предоставления рабочих мест, что непременно обеспечит возможностью «легально» получать деньги. Поэтому вопрос о помощи бывшим осуждённым стоит очень остро и, согласно опросу, сами заключённые признают это.(См. Рис.1).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Рис.1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noProof/>
          <w:color w:val="000000" w:themeColor="text1"/>
          <w:sz w:val="22"/>
          <w:szCs w:val="22"/>
        </w:rPr>
        <w:drawing>
          <wp:inline distT="0" distB="0" distL="0" distR="0">
            <wp:extent cx="4714875" cy="3028950"/>
            <wp:effectExtent l="0" t="0" r="9525" b="0"/>
            <wp:docPr id="1" name="Рисунок 1" descr="C:\Users\Алена\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Алена\Desktop\Безымянный.png"/>
                    <pic:cNvPicPr>
                      <a:picLocks noChangeAspect="1" noChangeArrowheads="1"/>
                    </pic:cNvPicPr>
                  </pic:nvPicPr>
                  <pic:blipFill>
                    <a:blip r:embed="rId2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14875" cy="3028950"/>
                    </a:xfrm>
                    <a:prstGeom prst="rect">
                      <a:avLst/>
                    </a:prstGeom>
                    <a:noFill/>
                    <a:ln>
                      <a:noFill/>
                    </a:ln>
                  </pic:spPr>
                </pic:pic>
              </a:graphicData>
            </a:graphic>
          </wp:inline>
        </w:drawing>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руководствуясь опытом зарубежных стран, для эффективного противодействия рецидиву необходимо применить следующие меры: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Реформирование института назначения наказания посредством ужесточения легального определения рецидива преступлений, формирования дифференцированных подходов к назначению наказания при различных видах рецидива, а также ликвидация пробелов в области расчета нижних пределов санкций при рецидиве;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Совершенствование системы постпенитенциарной работы с бывшими осужденными, развитие институтов пробации, контроля, надзора, ресоциализации осужденных;</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Улучшение условий отбывания наказания посредством обеспечения осужденным максимально допустимой связи с внешним миром, поддержание, а не угнетение личности преступника в условиях изоляции от общества.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Развитие правового воспитания в России, осуществление пропаганды правопослушного поведения, информирование населения (особенно несовершеннолетних) о возможных последствиях нарушения закона.</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b/>
          <w:color w:val="000000" w:themeColor="text1"/>
        </w:rPr>
      </w:pPr>
      <w:r w:rsidRPr="00DA76A7">
        <w:rPr>
          <w:rFonts w:ascii="Arial" w:hAnsi="Arial" w:cs="Arial"/>
          <w:color w:val="000000" w:themeColor="text1"/>
        </w:rPr>
        <w:t xml:space="preserve">Астахов П.А. [Электронный ресурс]. – Режим доступа: </w:t>
      </w:r>
      <w:hyperlink r:id="rId287" w:history="1">
        <w:r w:rsidR="008840CA" w:rsidRPr="00DA76A7">
          <w:rPr>
            <w:rStyle w:val="af0"/>
            <w:rFonts w:ascii="Arial" w:hAnsi="Arial" w:cs="Arial"/>
            <w:color w:val="000000" w:themeColor="text1"/>
            <w:u w:val="none"/>
          </w:rPr>
          <w:t>https://russian.rt.com/ russia/articl/382394-</w:t>
        </w:r>
      </w:hyperlink>
      <w:r w:rsidRPr="00DA76A7">
        <w:rPr>
          <w:rFonts w:ascii="Arial" w:hAnsi="Arial" w:cs="Arial"/>
          <w:color w:val="000000" w:themeColor="text1"/>
        </w:rPr>
        <w:t>zaklyuchennye-</w:t>
      </w:r>
      <w:r w:rsidR="008840CA" w:rsidRPr="00DA76A7">
        <w:rPr>
          <w:rFonts w:ascii="Arial" w:hAnsi="Arial" w:cs="Arial"/>
          <w:color w:val="000000" w:themeColor="text1"/>
        </w:rPr>
        <w:t xml:space="preserve">osvobozhdenie-dengi-rossiya/ </w:t>
      </w:r>
      <w:r w:rsidRPr="00DA76A7">
        <w:rPr>
          <w:rFonts w:ascii="Arial" w:hAnsi="Arial" w:cs="Arial"/>
          <w:color w:val="000000" w:themeColor="text1"/>
        </w:rPr>
        <w:t>(дата обращения: 12.02.2018).</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Бозиев Т.О., Сипягина М.Н. Уголовно-правовая классификация рецидива и её влияние на назначение уголовного наказания. // Журнал правовых и экономических исследований. – 2015. – №2. – С. 45-52.</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Бозиев Т.О., Сипягина М.Н. Криминология. – Гатчина: ГИЭФПТ, 2017 . — 166 с.</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Голубева Л.А. Информационная функция права // Социальная безопасность в евразийском пространстве / под ред. И. А. Грошевой. – Тюмень, 2017. – С. 236-239.</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Крайнова Н.А. Криминологические и уголовно-правовые проблемы ресоциализации осужденных в Российской Федерации и за рубежом. — СПб: Изд-во Санкт-Петербургского гос. экономического ун-та, 2015. — 102 с.</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Константинов А.Д. «Медиатор». [Электронный ресурс]. – Режим доступа: http://expert.ru/russian_reporter/2011/18/mediator/ (дата обращения: 12.02.2018).</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«Рецидив во Французском законодательстве» [Электронный ресурс]. – Режим доступа: https://fr.wikipedia.org/wiki/Récidive_en_droit_français (дата обращения: 12.02.2018).</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Танеев С. В. «Тюрьма мечты»: Норвегия и другие страны с самыми гуманными исправительными учреждениями. [Электронный ресурс]. – Режим доступа: http://провэд.рф/article/45687-tyupyma-mechty-nopvegiya-i-dpugie-stpany-s-samymi-gumannymi-isppavitelynymi-uchpezhdeniyami.html (дата обращения: 12.02.2018). </w:t>
      </w:r>
    </w:p>
    <w:p w:rsidR="00592BC2" w:rsidRPr="00DA76A7" w:rsidRDefault="00592BC2" w:rsidP="00D45D6B">
      <w:pPr>
        <w:pStyle w:val="a6"/>
        <w:numPr>
          <w:ilvl w:val="0"/>
          <w:numId w:val="12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Щербаков А. В., Налдеев А. Б. Положительный опыт функционирования пенитенциарных учреждений Норвегии и возможности его использования в российских условиях // Молодой ученый. — 2015. – №2. — С. 393-396.</w:t>
      </w:r>
    </w:p>
    <w:p w:rsidR="00592BC2" w:rsidRPr="00DA76A7" w:rsidRDefault="00592BC2" w:rsidP="00592BC2">
      <w:pPr>
        <w:tabs>
          <w:tab w:val="left" w:pos="851"/>
        </w:tabs>
        <w:ind w:firstLine="567"/>
        <w:jc w:val="both"/>
        <w:rPr>
          <w:rFonts w:ascii="Arial" w:hAnsi="Arial" w:cs="Arial"/>
          <w:b/>
          <w:color w:val="000000" w:themeColor="text1"/>
          <w:sz w:val="22"/>
          <w:szCs w:val="22"/>
        </w:rPr>
      </w:pPr>
    </w:p>
    <w:p w:rsidR="00592BC2" w:rsidRPr="00DA76A7" w:rsidRDefault="00592BC2" w:rsidP="00592BC2">
      <w:pPr>
        <w:ind w:firstLine="567"/>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ГОСУДАРСТВЕННО-ПРАВОВОЙ СТАТУС ОСУЖДЕННЫХ К ЛИШЕНИЮ СВОБОДЫ</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Каримов Абдусаттор Махмаджонович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DA76A7" w:rsidRDefault="00592BC2" w:rsidP="00592BC2">
      <w:pPr>
        <w:jc w:val="center"/>
        <w:rPr>
          <w:rStyle w:val="af0"/>
          <w:rFonts w:ascii="Arial" w:hAnsi="Arial" w:cs="Arial"/>
          <w:color w:val="000000" w:themeColor="text1"/>
          <w:sz w:val="22"/>
          <w:szCs w:val="22"/>
          <w:u w:val="none"/>
        </w:rPr>
      </w:pPr>
      <w:r w:rsidRPr="00DA76A7">
        <w:rPr>
          <w:rFonts w:ascii="Arial" w:hAnsi="Arial" w:cs="Arial"/>
          <w:color w:val="000000" w:themeColor="text1"/>
          <w:sz w:val="22"/>
          <w:szCs w:val="22"/>
        </w:rPr>
        <w:t xml:space="preserve">тел.: 992-900-82-85-85,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88" w:history="1">
        <w:r w:rsidRPr="00DA76A7">
          <w:rPr>
            <w:rStyle w:val="af0"/>
            <w:rFonts w:ascii="Arial" w:hAnsi="Arial" w:cs="Arial"/>
            <w:color w:val="000000" w:themeColor="text1"/>
            <w:sz w:val="22"/>
            <w:szCs w:val="22"/>
            <w:u w:val="none"/>
            <w:lang w:val="en-US"/>
          </w:rPr>
          <w:t>minfin</w:t>
        </w:r>
        <w:r w:rsidRPr="00DA76A7">
          <w:rPr>
            <w:rStyle w:val="af0"/>
            <w:rFonts w:ascii="Arial" w:hAnsi="Arial" w:cs="Arial"/>
            <w:color w:val="000000" w:themeColor="text1"/>
            <w:sz w:val="22"/>
            <w:szCs w:val="22"/>
            <w:u w:val="none"/>
          </w:rPr>
          <w:t>_</w:t>
        </w:r>
        <w:r w:rsidRPr="00DA76A7">
          <w:rPr>
            <w:rStyle w:val="af0"/>
            <w:rFonts w:ascii="Arial" w:hAnsi="Arial" w:cs="Arial"/>
            <w:color w:val="000000" w:themeColor="text1"/>
            <w:sz w:val="22"/>
            <w:szCs w:val="22"/>
            <w:u w:val="none"/>
            <w:lang w:val="en-US"/>
          </w:rPr>
          <w:t>karimov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92BC2" w:rsidRPr="00DA76A7" w:rsidRDefault="00592BC2" w:rsidP="00592BC2">
      <w:pPr>
        <w:jc w:val="center"/>
        <w:rPr>
          <w:rStyle w:val="af0"/>
          <w:rFonts w:ascii="Arial" w:hAnsi="Arial" w:cs="Arial"/>
          <w:color w:val="000000" w:themeColor="text1"/>
          <w:sz w:val="22"/>
          <w:szCs w:val="22"/>
          <w:u w:val="none"/>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STATE-LEGAL STATUS OF CONFESSED TO THE DEPRIVATION OF FREEDOM</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Karimov Abdusattor Mahmadjonovich</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the 2 nd year of the full-time department of the faculty of law</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734025, Republic of Tajikistan, Dushanbe, M. Tursunzade str., 30 </w:t>
      </w:r>
    </w:p>
    <w:p w:rsidR="00592BC2" w:rsidRPr="00DA76A7" w:rsidRDefault="00592BC2" w:rsidP="00592BC2">
      <w:pPr>
        <w:jc w:val="center"/>
        <w:rPr>
          <w:rStyle w:val="af0"/>
          <w:rFonts w:ascii="Arial" w:hAnsi="Arial" w:cs="Arial"/>
          <w:color w:val="000000" w:themeColor="text1"/>
          <w:sz w:val="22"/>
          <w:szCs w:val="22"/>
          <w:u w:val="none"/>
          <w:lang w:val="en-US"/>
        </w:rPr>
      </w:pPr>
      <w:r w:rsidRPr="00DA76A7">
        <w:rPr>
          <w:rFonts w:ascii="Arial" w:hAnsi="Arial" w:cs="Arial"/>
          <w:color w:val="000000" w:themeColor="text1"/>
          <w:sz w:val="22"/>
          <w:szCs w:val="22"/>
          <w:lang w:val="en-US"/>
        </w:rPr>
        <w:t xml:space="preserve">tel.: 992-900-82-85-85, e-mail: </w:t>
      </w:r>
      <w:hyperlink r:id="rId289" w:history="1">
        <w:r w:rsidRPr="00DA76A7">
          <w:rPr>
            <w:rStyle w:val="af0"/>
            <w:rFonts w:ascii="Arial" w:hAnsi="Arial" w:cs="Arial"/>
            <w:color w:val="000000" w:themeColor="text1"/>
            <w:sz w:val="22"/>
            <w:szCs w:val="22"/>
            <w:u w:val="none"/>
            <w:lang w:val="en-US"/>
          </w:rPr>
          <w:t>minfin_karimov@mail.ru</w:t>
        </w:r>
      </w:hyperlink>
    </w:p>
    <w:p w:rsidR="00592BC2" w:rsidRPr="00DA76A7" w:rsidRDefault="00592BC2" w:rsidP="00592BC2">
      <w:pPr>
        <w:jc w:val="center"/>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Абдулаева Р. А.</w:t>
      </w:r>
    </w:p>
    <w:p w:rsidR="00592BC2" w:rsidRPr="00DA76A7" w:rsidRDefault="00592BC2" w:rsidP="00592BC2">
      <w:pPr>
        <w:ind w:firstLine="567"/>
        <w:jc w:val="right"/>
        <w:rPr>
          <w:rFonts w:ascii="Arial" w:hAnsi="Arial" w:cs="Arial"/>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рассматриваются вопросы связанные с правовыми положениями осужденных к лишению свободы, в частности: содержания правового статуса осужденных к лишению свободы, изучение содержания правового статуса осужденных и выявление проблем реализации правового статуса осужденных не зависимо  от вида наказания.</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deals with issues related to the legal provisions of prisoners sentenced to deprivation of liberty, in particular: the content of the legal status of prisoners sentenced to deprivation of liberty, the study of the content of the legal status of convicts and the identification of problems of the realization of the legal status of convicts.</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 xml:space="preserve">лишение свободы, права осужденных, правовой статус осужденных, государство, уголовное право.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detention, rights of prisoners, the legal status of convicts, the state criminal law.</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Республика Таджикистан уважает и охраняет права, свободы и законные интересы осужденных, обеспечивает законность применения средств их исправления, правовую защиту и личную безопасность осужденных при исполнении наказаний. Это означает, что права и свободы граждан могут быть ограничены лишь приговором суда и только в той мере, в какой предусмотрено уголовным и уголовно-исполнительным законодательством. Другие права и свободы осужденных лиц подлежат охране и защите наравне со всеми гражданами Республики Таджикистан.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Государство дает гарантию на охрану и защиту законных интересов осужденных. Речь идет о законных интересах не только осужденных, а так же и их родственников, близких, акционеров и других лиц, с которыми осужденный связан теми или иными правоотношениями. Применения наказания в отношении виновного в конкретном преступлении, государство не может ущемлять интересы этих субъектов, никоим образом не связанных с совершенным деянием. Такое правило должно быть соблюдено и в практической деятельности учреждений и органов, исполняющих наказания.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Уголовное наказание – это мера государственного принуждения, существенно изменяющего правовое положение (статус) гражданина. Но каким бы суровым оно не было, за осужденными всегда сохраняется определенная сфера дозволенного поведения, состоящая из субъективных прав и законных интересов, которыми он пользовался до осуждения. Из указанных субъективных прав и законных интересов, а также юридических обязанностей (нередко и запретов) складывается правовое положение лиц, отбывающих наказания.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Независимо от вида уголовного наказания правовой статус осужденных испытывает влияние и иных факторов. В числе таких факторов важное место занимают международные акты, гарантирующие соблюдение прав человека, и цивилизованные нормы обращения с лицами, отбывающими наказание или подвергнутыми заключению в той или иной форме.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 сложность современного этапа социально-экономического развития в Таджикистане не позволяет реализовать некоторые положения международных актов в законодательстве и практике органов, исполняющих наказания.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Лица, отбывающие наказание, как граждане государства обладают правами и свободами человека и гражданина, которые согласно ст. 5 Конституции РТ являются высшей ценностью.</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Правовое положение лиц, отбывающих наказание, в самом общем виде можно определить как основанное на общем статусе граждан РТ и определяемое с помощью правовых норм положение осужденных во время отбывания уголовного наказания.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Правовой статус осужденных по своему содержанию представляет собой совокупность юридических средств, с помощью которых закрепляется положение осужденного во время отбывания наказания, он складывается из прав, законных интересов и обязанностей осужденных.</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учетом изложенного правовой статус лиц, отбывающих наказание, можно определить как «закрепленное нормами различных отраслей права и выраженное через совокупность прав, законных интересов и обязанностей положение осужденных во время отбывания уголовного наказания того или иного вида”.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Осужденные к лишению свободы прямо ограничены в праве на свободу передвижения. Так, осужденные к лишению свободы обязаны весь срок наказания находиться в исправительном учреждении. Им запрещено нарушать линию охраны объектов исправительных учреждении. Побег из мест лишения свободы согласно ст. 365 УК РТ является преступлением [3].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период отбывания наказания в зависимости от поведения осужденных степень их изоляции может изменяться как в сторону смягчения, вплоть до условно-досрочного освобождения, так и в сторону ужесточения, вплоть до перевода в исправительное учреждение с более строгим режимом содержания.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Осужденные имеют возможность выступать на собраниях, в многотиражных и стенных газетах учреждения, но все собрания и печать организуются и находятся под контролем администрации.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Согласно статье 27 Конституции Республики Таджикистан право на участие в управлении делами государства. Осужденные к лишению свободы ограничены в правах на участие в управлении делами государства. </w:t>
      </w:r>
      <w:r w:rsidRPr="00DA76A7">
        <w:rPr>
          <w:rFonts w:ascii="Arial" w:hAnsi="Arial" w:cs="Arial"/>
          <w:color w:val="000000" w:themeColor="text1"/>
          <w:sz w:val="22"/>
          <w:szCs w:val="22"/>
          <w:shd w:val="clear" w:color="auto" w:fill="FFFFFF"/>
        </w:rPr>
        <w:t>Граждане, признанные судом недееспособными, либо содержащиеся в местах лишения свободы по приговору суда, не имеют права участвовать в выборах и референдумах</w:t>
      </w:r>
      <w:r w:rsidRPr="00DA76A7">
        <w:rPr>
          <w:rFonts w:ascii="Arial" w:hAnsi="Arial" w:cs="Arial"/>
          <w:color w:val="000000" w:themeColor="text1"/>
          <w:sz w:val="22"/>
          <w:szCs w:val="22"/>
        </w:rPr>
        <w:t>.</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числу социально-экономических прав и свобод личности относятся: право на частную собственность и наследование, землю, свободный труд, отдых, защиту материнства, детства и семьи, социальное обеспечение, жилище, охрану здоровья, благоприятную окружающую среду, образование, свободу творчества [1, 85].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Применительно к личности осужденных эти права и свободы направлены на создание условий, обеспечивающих им достойную жизнь в условиях изоляции от общества и какое-то время после освобождения.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исправительных учреждениях для осужденных устанавливаются нормы жилой площади из расчета на одного осужденного. Так, согласно ч. 1, 2 ст. 99 КИУН РТ норма жилой площади в расчете на одного осужденного к лишению свободы в исправительных колониях не может быть менее двух квадратных метров, в тюрьмах - двух с половиной квадратных метров, в колониях для отбывания наказания осужденных женщин - трех квадратных метров, в воспитательных колониях - трех с половиной квадратных метров, в лечебных исправительных учреждениях - трех квадратных метров, в лечебно-профилактических учреждениях уголовно-исполнительной системы - пяти квадратных метров. Осужденным предоставляются индивидуальные спальные места и постельные принадлежности [2, 56].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eastAsia="MS Mincho" w:hAnsi="Arial" w:cs="Arial"/>
          <w:color w:val="000000" w:themeColor="text1"/>
          <w:sz w:val="22"/>
          <w:szCs w:val="22"/>
        </w:rPr>
        <w:t xml:space="preserve">Кодекс Исполнения Уголовных Наказаний </w:t>
      </w:r>
      <w:r w:rsidRPr="00DA76A7">
        <w:rPr>
          <w:rFonts w:ascii="Arial" w:hAnsi="Arial" w:cs="Arial"/>
          <w:color w:val="000000" w:themeColor="text1"/>
          <w:sz w:val="22"/>
          <w:szCs w:val="22"/>
        </w:rPr>
        <w:t xml:space="preserve">РТ закрепляет право осужденных на охрану здоровья, включая получение первичной медико-санитарной и специализированной медицинской помощи в амбулаторно-поликлинических и стационарных условиях в зависимости от медицинского заключения.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 на образование. Образование осужденных - это особая ветвь образовательной системы современного Таджикистана, которая входит в контекст общих проблем, характеризующих состояние и тенденции развития всей пенитенциарной системы РТ.</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Свобода творчества. Поддержание творческой инициативы осужденных призвано содействовать организации их досуга. Им гарантируется свобода литературного, художественного, научного, технического и других видов творчества.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 настоящее время на законодательном уровне созданы основы правового положения статуса личности осужденных, соответствующие международным стандартам. Осужденные, несмотря на совершенные ими преступления, находятся под правовой и социальной защитой государства. Кроме того, Таджикистан  берет на себя обязанность уважать и охранять права, свободы и законные интересы осужденных наравне с другими гражданами и лицами, находящихся под юрисдикцией государства.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Хотелось бы отметить, что в настоящее время создана прочная законодательная база, регламентирующая основы правового положения осужденных к уголовным наказаниям, но до совершенства она далека. От эффективности обеспечения правового положения осужденных к любой мере уголовно-правового характера и беспрекословного исполнения всех предписаний приговора суда будет зависеть эффективность достижения целей уголовной ответственности.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Рассмотренные в работе вопросы лишь частично освещают сложную проблему правового положения лиц, осужденных к уголовному наказанию.</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Правовое положение лиц, осужденных к разным видам уголовных наказаний, неодинаковое, то есть существует неравенство в правах этих лиц. Иначе говоря, правовое положение осужденных обусловлено характером, степенью общественной опасности, тяжестью совершенного им преступления и назначенным за это преступление наказанием.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Практический работник, исполняющий наказание, должен проявлять уважение к правам осужденного, обеспечивать их охрану и законную реализацию. Столь же необходимо добиваться выполнения всех обязанностей со стороны осужденного. В этом и состоит практическая реализация принципа законности в деятельности органов, исполняющих наказание.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Закон предоставляет всем осужденным к лишению свободы более широкую возможность использования телефонной связи для общения с близкими, устанавливает минимальные стандарты обеспечения осужденных индивидуальными средствами гигиены [2, 76].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настоящее время осужденные должны обучатся хотя бы на договорной основе в высших учебных заведениях. На сегодняшний день осужденные лишены возможности получать дистанционно высшее образование.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Решить проблему можно путем внесения дополнений в законодательство, позволяющее открывать учебно-консультационные пункты во всех ИУ для желающих получить высшее образование. Необходимо также урегулировать вопрос относительно оборудования пункта и создания условий для получения осужденными высшего образования [4, 95].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Одной из задач уголовно-исполнительного законодательства (ст. 1 КИУН РТ) является оказание осужденным помощи в социальной адаптации. Сегодня, в соответствии с КИУН РТ, существующих на этот счет норм явно недостаточно. Бесплатный проезд к месту жительства после освобождения из колонии, обеспечение продуктами питания или деньгами на время проезда, а иногда и одеждой - это практически все, что закрепляет по этому поводу ст. 211 КИУН РТ. Две следующие статьи в самой общей форме говорят о праве осужденных на трудовое и бытовое устройство и получение социальной помощи, а также о контроле за лицами, освобожденными от отбывания наказания, в соответствии с законодательством и нормативными правовыми актами. Поэтому вопрос о пост пенитенциарном надзоре требует глубокой проработки и, видимо, не только с позиций уголовного и уголовно-исполнительного, но и административного права.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Хотелось бы надеяться, что в будущем принципы демократизации, гуманизации уголовно-исполнительного права, рационального применения мер принуждения, установленных законом, учитывались бы в процессе внесения многочисленных изменений в уголовное, уголовно-исполнительное законодательство и соответствующие нормативные акты Республики Таджикистан.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Думается, однако, что самое важное в работе по исправлению осужденных не в изменении, отмене или дополнении законов (хотя это, безусловно, необходимо), а в изменении психологии работников учреждений, исполняющих наказания. Здесь сделано немало, но еще больше предстоит сделать, для чего нужно долго и упорно работать.</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 литературы</w:t>
      </w:r>
      <w:r w:rsidRPr="00DA76A7">
        <w:rPr>
          <w:rFonts w:ascii="Arial" w:hAnsi="Arial" w:cs="Arial"/>
          <w:b/>
          <w:color w:val="000000" w:themeColor="text1"/>
          <w:sz w:val="22"/>
          <w:szCs w:val="22"/>
          <w:lang w:val="en-US"/>
        </w:rPr>
        <w:t>:</w:t>
      </w:r>
    </w:p>
    <w:p w:rsidR="00592BC2" w:rsidRPr="00DA76A7" w:rsidRDefault="00592BC2" w:rsidP="00D45D6B">
      <w:pPr>
        <w:pStyle w:val="a6"/>
        <w:numPr>
          <w:ilvl w:val="0"/>
          <w:numId w:val="12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Республики Таджикистан от </w:t>
      </w:r>
      <w:r w:rsidRPr="00DA76A7">
        <w:rPr>
          <w:rFonts w:ascii="Arial" w:hAnsi="Arial" w:cs="Arial"/>
          <w:color w:val="000000" w:themeColor="text1"/>
          <w:shd w:val="clear" w:color="auto" w:fill="FFFFFF"/>
        </w:rPr>
        <w:t xml:space="preserve">6 ноября 1994г. </w:t>
      </w:r>
      <w:r w:rsidRPr="00DA76A7">
        <w:rPr>
          <w:rFonts w:ascii="Arial" w:eastAsia="MS Mincho" w:hAnsi="Arial" w:cs="Arial"/>
          <w:color w:val="000000" w:themeColor="text1"/>
        </w:rPr>
        <w:t xml:space="preserve">[Электронный ресурс]. - Режим доступа: </w:t>
      </w:r>
      <w:hyperlink r:id="rId290" w:history="1">
        <w:r w:rsidRPr="00DA76A7">
          <w:rPr>
            <w:rStyle w:val="af0"/>
            <w:rFonts w:ascii="Arial" w:eastAsia="MS Mincho" w:hAnsi="Arial" w:cs="Arial"/>
            <w:color w:val="000000" w:themeColor="text1"/>
            <w:u w:val="none"/>
          </w:rPr>
          <w:t>http://www.mmk.tj</w:t>
        </w:r>
      </w:hyperlink>
      <w:r w:rsidRPr="00DA76A7">
        <w:rPr>
          <w:rFonts w:ascii="Arial" w:eastAsia="MS Mincho" w:hAnsi="Arial" w:cs="Arial"/>
          <w:color w:val="000000" w:themeColor="text1"/>
        </w:rPr>
        <w:t xml:space="preserve"> (дата обращения: 20.04.2018).  </w:t>
      </w:r>
    </w:p>
    <w:p w:rsidR="00592BC2" w:rsidRPr="00DA76A7" w:rsidRDefault="00592BC2" w:rsidP="00D45D6B">
      <w:pPr>
        <w:pStyle w:val="a6"/>
        <w:numPr>
          <w:ilvl w:val="0"/>
          <w:numId w:val="124"/>
        </w:numPr>
        <w:tabs>
          <w:tab w:val="left" w:pos="851"/>
        </w:tabs>
        <w:spacing w:after="0" w:line="240" w:lineRule="auto"/>
        <w:ind w:left="0" w:firstLine="567"/>
        <w:jc w:val="both"/>
        <w:rPr>
          <w:rFonts w:ascii="Arial" w:hAnsi="Arial" w:cs="Arial"/>
          <w:color w:val="000000" w:themeColor="text1"/>
        </w:rPr>
      </w:pPr>
      <w:r w:rsidRPr="00DA76A7">
        <w:rPr>
          <w:rFonts w:ascii="Arial" w:eastAsia="MS Mincho" w:hAnsi="Arial" w:cs="Arial"/>
          <w:color w:val="000000" w:themeColor="text1"/>
        </w:rPr>
        <w:t xml:space="preserve">Кодекс Исполнения Уголовных Наказаний Республики Таджикистан от 05.06.2017г. [Электронный ресурс]. - Режим доступа: </w:t>
      </w:r>
      <w:hyperlink r:id="rId291" w:history="1">
        <w:r w:rsidRPr="00DA76A7">
          <w:rPr>
            <w:rStyle w:val="af0"/>
            <w:rFonts w:ascii="Arial" w:eastAsia="MS Mincho" w:hAnsi="Arial" w:cs="Arial"/>
            <w:color w:val="000000" w:themeColor="text1"/>
            <w:u w:val="none"/>
          </w:rPr>
          <w:t>http://www.mmk.tj</w:t>
        </w:r>
      </w:hyperlink>
      <w:r w:rsidRPr="00DA76A7">
        <w:rPr>
          <w:rFonts w:ascii="Arial" w:eastAsia="MS Mincho" w:hAnsi="Arial" w:cs="Arial"/>
          <w:color w:val="000000" w:themeColor="text1"/>
        </w:rPr>
        <w:t xml:space="preserve"> (дата обращения: 10.04.2018).  </w:t>
      </w:r>
    </w:p>
    <w:p w:rsidR="00592BC2" w:rsidRPr="00DA76A7" w:rsidRDefault="00592BC2" w:rsidP="00D45D6B">
      <w:pPr>
        <w:pStyle w:val="a6"/>
        <w:numPr>
          <w:ilvl w:val="0"/>
          <w:numId w:val="124"/>
        </w:numPr>
        <w:tabs>
          <w:tab w:val="left" w:pos="851"/>
        </w:tabs>
        <w:spacing w:after="0" w:line="240" w:lineRule="auto"/>
        <w:ind w:left="0" w:firstLine="567"/>
        <w:jc w:val="both"/>
        <w:rPr>
          <w:rFonts w:ascii="Arial" w:hAnsi="Arial" w:cs="Arial"/>
          <w:color w:val="000000" w:themeColor="text1"/>
        </w:rPr>
      </w:pPr>
      <w:r w:rsidRPr="00DA76A7">
        <w:rPr>
          <w:rFonts w:ascii="Arial" w:eastAsia="MS Mincho" w:hAnsi="Arial" w:cs="Arial"/>
          <w:color w:val="000000" w:themeColor="text1"/>
        </w:rPr>
        <w:t>Уголовный Кодекс Республики Таджикистан</w:t>
      </w:r>
      <w:r w:rsidRPr="00DA76A7">
        <w:rPr>
          <w:rFonts w:ascii="Arial" w:hAnsi="Arial" w:cs="Arial"/>
          <w:color w:val="000000" w:themeColor="text1"/>
          <w:shd w:val="clear" w:color="auto" w:fill="FFFFFF"/>
        </w:rPr>
        <w:t xml:space="preserve"> </w:t>
      </w:r>
      <w:r w:rsidRPr="00DA76A7">
        <w:rPr>
          <w:rFonts w:ascii="Arial" w:eastAsia="MS Mincho" w:hAnsi="Arial" w:cs="Arial"/>
          <w:color w:val="000000" w:themeColor="text1"/>
        </w:rPr>
        <w:t xml:space="preserve">от 05.06.2017г. [Электронный ресурс]. - Режим доступа: </w:t>
      </w:r>
      <w:hyperlink r:id="rId292" w:history="1">
        <w:r w:rsidRPr="00DA76A7">
          <w:rPr>
            <w:rStyle w:val="af0"/>
            <w:rFonts w:ascii="Arial" w:eastAsia="MS Mincho" w:hAnsi="Arial" w:cs="Arial"/>
            <w:color w:val="000000" w:themeColor="text1"/>
            <w:u w:val="none"/>
          </w:rPr>
          <w:t>http://www.mmk.tj</w:t>
        </w:r>
      </w:hyperlink>
      <w:r w:rsidRPr="00DA76A7">
        <w:rPr>
          <w:rFonts w:ascii="Arial" w:eastAsia="MS Mincho" w:hAnsi="Arial" w:cs="Arial"/>
          <w:color w:val="000000" w:themeColor="text1"/>
        </w:rPr>
        <w:t xml:space="preserve"> (дата обращения: 02.04.2018).  </w:t>
      </w:r>
    </w:p>
    <w:p w:rsidR="00592BC2" w:rsidRPr="00DA76A7" w:rsidRDefault="00592BC2" w:rsidP="00D45D6B">
      <w:pPr>
        <w:pStyle w:val="a6"/>
        <w:numPr>
          <w:ilvl w:val="0"/>
          <w:numId w:val="12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Желваков Э. О состоянии законности в учреждениях уголовно-исполнительной системы. – М.: – 2005. - № 2. – 163 с. </w:t>
      </w:r>
    </w:p>
    <w:p w:rsidR="00592BC2" w:rsidRPr="00DA76A7" w:rsidRDefault="00592BC2" w:rsidP="00592BC2">
      <w:pPr>
        <w:ind w:firstLine="567"/>
        <w:rPr>
          <w:rFonts w:ascii="Arial" w:hAnsi="Arial" w:cs="Arial"/>
          <w:b/>
          <w:color w:val="000000" w:themeColor="text1"/>
          <w:sz w:val="22"/>
          <w:szCs w:val="22"/>
        </w:rPr>
      </w:pPr>
    </w:p>
    <w:p w:rsidR="00592BC2" w:rsidRPr="00DA76A7" w:rsidRDefault="00BD1EBF" w:rsidP="00592BC2">
      <w:pPr>
        <w:jc w:val="center"/>
        <w:rPr>
          <w:rFonts w:ascii="Arial" w:hAnsi="Arial" w:cs="Arial"/>
          <w:b/>
          <w:color w:val="000000" w:themeColor="text1"/>
          <w:sz w:val="22"/>
          <w:szCs w:val="22"/>
        </w:rPr>
      </w:pPr>
      <w:r>
        <w:rPr>
          <w:rFonts w:ascii="Arial" w:hAnsi="Arial" w:cs="Arial"/>
          <w:b/>
          <w:color w:val="000000" w:themeColor="text1"/>
          <w:sz w:val="22"/>
          <w:szCs w:val="22"/>
        </w:rPr>
        <w:t>УГОЛОВНО-</w:t>
      </w:r>
      <w:r w:rsidR="00592BC2" w:rsidRPr="00DA76A7">
        <w:rPr>
          <w:rFonts w:ascii="Arial" w:hAnsi="Arial" w:cs="Arial"/>
          <w:b/>
          <w:color w:val="000000" w:themeColor="text1"/>
          <w:sz w:val="22"/>
          <w:szCs w:val="22"/>
        </w:rPr>
        <w:t>ПРОЦЕССУАЛЬНОЕ ЗАКОНОДАТЕЛЬСТВО РЕСПУБЛИКИ ТАДЖИКИСТАН: ОСНОВНЫЕ ЦЕЛИ И ДОСТИЖЕНИЯ</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Кодиров Рахимбек Давлатбекович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 4-го курса 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777-00-62-00,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93" w:history="1">
        <w:r w:rsidRPr="00DA76A7">
          <w:rPr>
            <w:rStyle w:val="af0"/>
            <w:rFonts w:ascii="Arial" w:hAnsi="Arial" w:cs="Arial"/>
            <w:color w:val="000000" w:themeColor="text1"/>
            <w:sz w:val="22"/>
            <w:szCs w:val="22"/>
            <w:u w:val="none"/>
            <w:lang w:val="en-US"/>
          </w:rPr>
          <w:t>rahim</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kadirov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inbox</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r w:rsidRPr="00DA76A7">
        <w:rPr>
          <w:rFonts w:ascii="Arial" w:hAnsi="Arial" w:cs="Arial"/>
          <w:color w:val="000000" w:themeColor="text1"/>
          <w:sz w:val="22"/>
          <w:szCs w:val="22"/>
        </w:rPr>
        <w:t xml:space="preserve"> </w:t>
      </w:r>
    </w:p>
    <w:p w:rsidR="00592BC2" w:rsidRPr="00DA76A7" w:rsidRDefault="00592BC2" w:rsidP="00592BC2">
      <w:pPr>
        <w:jc w:val="center"/>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CRIMINAL PROCEDURAL LEGISLATION OF THE REPUBLIC OF TAJIKISTAN: MAIN GOALS AND ACHIEVEMENTS</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Kodirov Rahimbek Davlatbekovich</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4th year of the full-time department of the law faculty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M. Tursunzade str., 30</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777-00-62-00, e-mail: </w:t>
      </w:r>
      <w:hyperlink r:id="rId294" w:history="1">
        <w:r w:rsidRPr="00DA76A7">
          <w:rPr>
            <w:rStyle w:val="af0"/>
            <w:rFonts w:ascii="Arial" w:hAnsi="Arial" w:cs="Arial"/>
            <w:color w:val="000000" w:themeColor="text1"/>
            <w:sz w:val="22"/>
            <w:szCs w:val="22"/>
            <w:u w:val="none"/>
            <w:lang w:val="en-US"/>
          </w:rPr>
          <w:t>rahim.kadirov@inbox.ru</w:t>
        </w:r>
      </w:hyperlink>
    </w:p>
    <w:p w:rsidR="00592BC2" w:rsidRPr="00DA76A7" w:rsidRDefault="00592BC2" w:rsidP="00592BC2">
      <w:pPr>
        <w:jc w:val="center"/>
        <w:rPr>
          <w:rFonts w:ascii="Arial" w:hAnsi="Arial" w:cs="Arial"/>
          <w:b/>
          <w:i/>
          <w:color w:val="000000" w:themeColor="text1"/>
          <w:sz w:val="22"/>
          <w:szCs w:val="22"/>
          <w:lang w:val="en-US"/>
        </w:rPr>
      </w:pPr>
    </w:p>
    <w:p w:rsidR="00592BC2" w:rsidRPr="00DA76A7" w:rsidRDefault="00592BC2" w:rsidP="00592BC2">
      <w:pPr>
        <w:jc w:val="right"/>
        <w:rPr>
          <w:rFonts w:ascii="Arial" w:hAnsi="Arial" w:cs="Arial"/>
          <w:color w:val="000000" w:themeColor="text1"/>
          <w:sz w:val="22"/>
          <w:szCs w:val="22"/>
        </w:rPr>
      </w:pPr>
      <w:r w:rsidRPr="00BD1EBF">
        <w:rPr>
          <w:rFonts w:ascii="Arial" w:hAnsi="Arial" w:cs="Arial"/>
          <w:color w:val="000000" w:themeColor="text1"/>
          <w:sz w:val="22"/>
          <w:szCs w:val="22"/>
        </w:rPr>
        <w:t xml:space="preserve">Научный руководитель: преподаватель </w:t>
      </w:r>
      <w:r w:rsidR="00BD1EBF" w:rsidRPr="00BD1EBF">
        <w:rPr>
          <w:rFonts w:ascii="Arial" w:hAnsi="Arial" w:cs="Arial"/>
          <w:color w:val="000000" w:themeColor="text1"/>
          <w:sz w:val="22"/>
          <w:szCs w:val="22"/>
        </w:rPr>
        <w:t>Холзода А.</w:t>
      </w:r>
    </w:p>
    <w:p w:rsidR="00592BC2" w:rsidRPr="00DA76A7" w:rsidRDefault="00592BC2" w:rsidP="00592BC2">
      <w:pPr>
        <w:jc w:val="right"/>
        <w:rPr>
          <w:rFonts w:ascii="Arial" w:hAnsi="Arial" w:cs="Arial"/>
          <w:b/>
          <w:i/>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данном статье рассматривается основные цели и достижения нового Уголовно-процессуального законодательство Республики Таджикистан. Реализация  судебно-правовой реформы и ее меры по дальнейшему укреплению судебной власти, повышения её роли в защите прав и свобод человека и гражданина, интересов общества и государства, обеспечение законности и справедливости в обществе.</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examines the main goals and achievements of the new criminal procedural legislation</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 xml:space="preserve">of the Republic of Tajikistan. The implementation of judicial and its measures to further strengthen the judiciary, enhance its role in protecting the rights and  freedoms of the individual and citizen, the interest of society and the state, ensuring the rule of law and justice in society.        </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уголовная политика, судья, прокурор, надзор, судебная власть.</w:t>
      </w:r>
    </w:p>
    <w:p w:rsidR="00592BC2" w:rsidRPr="00DA76A7" w:rsidRDefault="00592BC2" w:rsidP="00592BC2">
      <w:pPr>
        <w:ind w:firstLine="567"/>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criminal</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 xml:space="preserve">policy, judge, procurator, supervision, judicial branch. </w:t>
      </w:r>
    </w:p>
    <w:p w:rsidR="00592BC2" w:rsidRPr="00DA76A7" w:rsidRDefault="00592BC2" w:rsidP="00592BC2">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Оставшееся в наследство от советского пошлого, уголовное законодательство Таджикистана, во имя защиты государственных интересов, ограничивало права и свободы граждан, свободу экономики и предпринимательской деятельности.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Развитие страны по пути демократии и свободной рыночной экономики обусловили разработку и реализации новой концепции уголовно-правовой политики. Принятый в рамках этой политики УК РТ который был принят 1998 году как документ направленный на защиту ценностей демократического общества, установил гарантии соблюдения политических, социальных и экономических прав и свобод граждан[1].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Уголовно-правовая реформа не могла бы быть полноценной без уголовно-процессуального обеспечения и укрепления роли судебной власти в Таджикистане. Поэтому, Указом Президента Республики Таджикистан от 23 июня 2007 года утверждена Программа судебно-правовой реформы в Республике Таджикистан, которая предусматривает конкретные меры по дальнейшему укреплению судебной власти, повышения её роли в защите прав и свобод человека и гражданина, интересов общества и государства, обеспечение законности и справедливости в обществе[2].</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Важнейшим компонентом этой реформы считается принятие Уголовно- процессуального кодекса Республики Таджикистан.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Основными целями принятия УПК РТ являются: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реализация судебно-правовой реформы Республике Таджикистан;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дальнейшая демократизация уголовного судопроизводства и приведение уголовно- процессуального законодательства страны в соответствие с международными стандартами;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усиление защиты прав и свобод человека и гражданина;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укрепление статуса и роли судебной власти в Таджикистане;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упрощение уголовного судопроизводства;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обеспечение равноправия участников процесса на всех стадиях уголовного процесса и т.д.</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Изучение показывает, что как коллектив авторов проекта УПК, так и законодательный орган, проделали огромную работу, обеспечили достижения поставленных перед этим документом целей.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Новый кодекс, существенно распределяя полномочия между судом и прокуратурой, расширяет границы участия суда в уголовном процессе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Одним из главных достижений Кодекса является обеспечение условий для реальной состязательности и равноправия сторон.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этих целях, Кодекс, устанавливая, что суд не является органом уголовного преследования, освобождает его от доказывания обвинения. Суд, судя в новом процессе, сохраняя объективность и беспристрастность, обеспечивают сторонам равные и необходимые условия для реализации их прав на полное исследование обстоятельств дела. Приговор суда может быть основан лишь на тех доказательствах, которые были исследовании на судебном заседании (ст.272 ч.3 УПК РТ) [3].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рамках обеспечения беспристрастности судебных органов председатели вышестоящих судов, за исключением Председателя Верховного Суда Республики Таджикистан лишены права принести надзорные протесты на вступившие в законную силу решения судов. Пленум Верховного Суда Республики Таджикистан полностью отстранен от участия в рассмотрение конкретных уголовных дел.</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целях обеспечения равенство участников процесса, УПК применяет к ним название «сторон», которое заимствован из гражданского -процессуального законодательство. Стороны коими являются обвинения и защита, уравнены в правах во всех стадиях уголовного процесса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частности, раньше прокурор мог не присутствовать в судебном заседании, перекладывая тем самым обязанность выяснения уличающих обвиняемого и отягчающих его ответственность обстоятельств на суд. По новому УПК, прокурор обязан присутствовать в суде и лично нести бремя доказывания вины.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старому УПК должностные лица органов прокуратуры могли принести обязательные для непосредственного коллегиального рассмотрения надзорные протесты на вступившие в законную силу приговоры и определения судов, а адвокаты могли лишь обратиться к вышестоящему прокурору или председателю вышестоящего суда для принесения надзорного протеста, что ставило стороны в неравное положение. Новый кодекс, абсолютно приравнивая положения сторон по этому вопросу, устанавливает единый прядок рассмотрения надзорного протеста прокурора и надзорной жалобы адвоката.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Существенно расширены возможности стороны защиты в сборе и представления доказательств, в частности представления в качестве таковых аудио и видеозаписей, конкретизирована время допуска защитника к делу ( с момента вынесения постановление о возбуждение уголовного дела, а также с момента фактического задержания подозреваемого).</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Устанавливая более действенные механизмы обжалования процессуальных действий и решений, УПК предоставляет участникам процесса право обжаловать действия и (бездействия) органа дознания, дознавателя и следователя надзирающему прокурору.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Кодекс устанавливает судебный контроль за законностью решений органов уголовного преследования. Статья 124 УПК предоставляет права физическим и юридическим лицам право обжаловать в суд отказ в приеме заявления о преступлении или нарушения закона при возбуждении и прекращении уголовного дела, если жалоба по этому вопросу не была удовлетворена прокурором, вышестоящим прокурором или не разрешена в установленный срок.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Прагматизм нового УПК заключается во ведения института упрощенного порядка судебного следствия. Согласно ст. 310 УПК в случае признания подсудимым своей вины и, когда сделанное   признания не оспаривается какой-либо из сторон и не вызывает у суда, судьи сомнений, суд, судья с согласия сторон, после выяснения у подсудимого   не является ли его признание вынужденным, вправе ограничиться исследованием лишь тех доказательств, на которые укажут стороны, либо объявить судебное следствие законченным и перейти к судебным прениям. Если судом, судьей определяется по делу, что признанная вина подсудимого обоснована, подтверждена собранными уликами, выносятся обвинительный приговор, и подсудимому назначается наказание. При этом назначенное судом наказание не может быть высшее две трети части срока или размера предусмотренного высшего наказания для данного преступления.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Это правило позволяет сэкономить не только время участников процесса, но и государственные средства на судопроизводство.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Главным новшеством Кодекса является перераспределение полномочий по санкционированию ареста, обыска, прослушивание телефонных переговоров, ареста почтовой корреспонденции и других следственных действий, ограничивающих права граждан.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УПК РТ который действовал с 1961 года, допускал применение этих ограничений с санкцией прокурора. В целях более эффективной защиты прав и свобод человека и гражданина новый Кодекс устанавливает необходимость судебного порядка санкционирования 11 видов следственных действий, связанных с ограничением прав и свобод человека и гражданина. Эти гарантии, будучи включенными   в число важнейших полномочий судебной власти, позволяют ей занимать ключевое место в национальной системе уголовного судопроизводства.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целом принятие нового УПК РТ, являясь важнейшим событием в жизни страны, ускоряет  темпы её развития по пути создания демократического правового государства. </w:t>
      </w:r>
    </w:p>
    <w:p w:rsidR="00592BC2" w:rsidRDefault="00592BC2" w:rsidP="00592BC2">
      <w:pPr>
        <w:ind w:firstLine="567"/>
        <w:jc w:val="both"/>
        <w:rPr>
          <w:rFonts w:ascii="Arial" w:hAnsi="Arial" w:cs="Arial"/>
          <w:color w:val="000000" w:themeColor="text1"/>
          <w:sz w:val="22"/>
          <w:szCs w:val="22"/>
        </w:rPr>
      </w:pPr>
    </w:p>
    <w:p w:rsidR="005C2070" w:rsidRPr="00DA76A7" w:rsidRDefault="005C2070"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25"/>
        </w:numPr>
        <w:tabs>
          <w:tab w:val="left" w:pos="851"/>
          <w:tab w:val="left" w:pos="993"/>
        </w:tabs>
        <w:autoSpaceDE w:val="0"/>
        <w:autoSpaceDN w:val="0"/>
        <w:adjustRightInd w:val="0"/>
        <w:spacing w:after="0" w:line="240" w:lineRule="auto"/>
        <w:ind w:left="0" w:firstLine="567"/>
        <w:jc w:val="both"/>
        <w:rPr>
          <w:rFonts w:ascii="Arial" w:hAnsi="Arial" w:cs="Arial"/>
          <w:bCs/>
          <w:color w:val="000000" w:themeColor="text1"/>
          <w:spacing w:val="-3"/>
        </w:rPr>
      </w:pPr>
      <w:r w:rsidRPr="00DA76A7">
        <w:rPr>
          <w:rFonts w:ascii="Arial" w:hAnsi="Arial" w:cs="Arial"/>
          <w:bCs/>
          <w:color w:val="000000" w:themeColor="text1"/>
          <w:spacing w:val="-3"/>
        </w:rPr>
        <w:t xml:space="preserve">Концепция уголовно-правовой политики Республики Таджикистан: утверждена Постановлением Правительства РТ  от 02.11.2013 г.,№492 </w:t>
      </w:r>
    </w:p>
    <w:p w:rsidR="00592BC2" w:rsidRPr="00DA76A7" w:rsidRDefault="00592BC2" w:rsidP="00D45D6B">
      <w:pPr>
        <w:pStyle w:val="a6"/>
        <w:numPr>
          <w:ilvl w:val="0"/>
          <w:numId w:val="125"/>
        </w:numPr>
        <w:tabs>
          <w:tab w:val="left" w:pos="851"/>
          <w:tab w:val="left" w:pos="993"/>
        </w:tabs>
        <w:autoSpaceDE w:val="0"/>
        <w:autoSpaceDN w:val="0"/>
        <w:adjustRightInd w:val="0"/>
        <w:spacing w:after="0" w:line="240" w:lineRule="auto"/>
        <w:ind w:left="0" w:firstLine="567"/>
        <w:jc w:val="both"/>
        <w:rPr>
          <w:rFonts w:ascii="Arial" w:hAnsi="Arial" w:cs="Arial"/>
          <w:bCs/>
          <w:color w:val="000000" w:themeColor="text1"/>
          <w:spacing w:val="-3"/>
        </w:rPr>
      </w:pPr>
      <w:r w:rsidRPr="00DA76A7">
        <w:rPr>
          <w:rFonts w:ascii="Arial" w:hAnsi="Arial" w:cs="Arial"/>
          <w:bCs/>
          <w:color w:val="000000" w:themeColor="text1"/>
          <w:spacing w:val="-3"/>
        </w:rPr>
        <w:t>Программа судебно-правовой реформы в Республики Таджикистан: утверждена Приказом Президента РТ от 23.06.2007г., №271</w:t>
      </w:r>
    </w:p>
    <w:p w:rsidR="00592BC2" w:rsidRPr="00DA76A7" w:rsidRDefault="00592BC2" w:rsidP="00D45D6B">
      <w:pPr>
        <w:pStyle w:val="a6"/>
        <w:numPr>
          <w:ilvl w:val="0"/>
          <w:numId w:val="125"/>
        </w:numPr>
        <w:tabs>
          <w:tab w:val="left" w:pos="851"/>
          <w:tab w:val="left" w:pos="993"/>
        </w:tabs>
        <w:autoSpaceDE w:val="0"/>
        <w:autoSpaceDN w:val="0"/>
        <w:adjustRightInd w:val="0"/>
        <w:spacing w:after="0" w:line="240" w:lineRule="auto"/>
        <w:ind w:left="0" w:firstLine="567"/>
        <w:jc w:val="both"/>
        <w:rPr>
          <w:rFonts w:ascii="Arial" w:hAnsi="Arial" w:cs="Arial"/>
          <w:b/>
          <w:color w:val="000000" w:themeColor="text1"/>
        </w:rPr>
      </w:pPr>
      <w:r w:rsidRPr="00DA76A7">
        <w:rPr>
          <w:rFonts w:ascii="Arial" w:hAnsi="Arial" w:cs="Arial"/>
          <w:bCs/>
          <w:color w:val="000000" w:themeColor="text1"/>
          <w:spacing w:val="-1"/>
        </w:rPr>
        <w:t>Уголовно-процессуальный кодекс Республики Таджикистан</w:t>
      </w:r>
      <w:r w:rsidRPr="00DA76A7">
        <w:rPr>
          <w:rFonts w:ascii="Arial" w:hAnsi="Arial" w:cs="Arial"/>
          <w:bCs/>
          <w:color w:val="000000" w:themeColor="text1"/>
          <w:spacing w:val="-2"/>
        </w:rPr>
        <w:t xml:space="preserve"> от </w:t>
      </w:r>
      <w:r w:rsidRPr="00DA76A7">
        <w:rPr>
          <w:rFonts w:ascii="Arial" w:eastAsia="Calibri" w:hAnsi="Arial" w:cs="Arial"/>
          <w:color w:val="000000" w:themeColor="text1"/>
        </w:rPr>
        <w:t xml:space="preserve">3 декабря 2009 года N 564 </w:t>
      </w:r>
      <w:r w:rsidRPr="00DA76A7">
        <w:rPr>
          <w:rFonts w:ascii="Arial" w:hAnsi="Arial" w:cs="Arial"/>
          <w:bCs/>
          <w:color w:val="000000" w:themeColor="text1"/>
          <w:spacing w:val="-3"/>
        </w:rPr>
        <w:t>с измен, и доп. на 23 ноября 2015</w:t>
      </w:r>
      <w:r w:rsidRPr="00DA76A7">
        <w:rPr>
          <w:rFonts w:ascii="Arial" w:hAnsi="Arial" w:cs="Arial"/>
          <w:bCs/>
          <w:color w:val="000000" w:themeColor="text1"/>
          <w:spacing w:val="-1"/>
        </w:rPr>
        <w:t xml:space="preserve"> [Электронный ресурс]</w:t>
      </w:r>
      <w:r w:rsidRPr="00DA76A7">
        <w:rPr>
          <w:rFonts w:ascii="Arial" w:hAnsi="Arial" w:cs="Arial"/>
          <w:bCs/>
          <w:color w:val="000000" w:themeColor="text1"/>
          <w:spacing w:val="-3"/>
        </w:rPr>
        <w:t xml:space="preserve">. - Режим доступа </w:t>
      </w:r>
      <w:hyperlink r:id="rId295" w:history="1">
        <w:r w:rsidRPr="00DA76A7">
          <w:rPr>
            <w:rStyle w:val="af0"/>
            <w:rFonts w:ascii="Arial" w:hAnsi="Arial" w:cs="Arial"/>
            <w:color w:val="000000" w:themeColor="text1"/>
            <w:spacing w:val="-3"/>
            <w:u w:val="none"/>
          </w:rPr>
          <w:t>http://mmk.tj/ru/legislation/legislation-base/codecs/</w:t>
        </w:r>
      </w:hyperlink>
      <w:r w:rsidRPr="00DA76A7">
        <w:rPr>
          <w:rFonts w:ascii="Arial" w:hAnsi="Arial" w:cs="Arial"/>
          <w:bCs/>
          <w:color w:val="000000" w:themeColor="text1"/>
          <w:spacing w:val="-3"/>
        </w:rPr>
        <w:t xml:space="preserve">  (дата обращения: 22.02.18).</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pStyle w:val="a7"/>
        <w:spacing w:before="0" w:beforeAutospacing="0" w:after="0" w:afterAutospacing="0"/>
        <w:ind w:firstLine="567"/>
        <w:jc w:val="center"/>
        <w:textAlignment w:val="top"/>
        <w:rPr>
          <w:rFonts w:ascii="Arial" w:hAnsi="Arial" w:cs="Arial"/>
          <w:b/>
          <w:color w:val="000000" w:themeColor="text1"/>
          <w:sz w:val="22"/>
          <w:szCs w:val="22"/>
        </w:rPr>
      </w:pPr>
    </w:p>
    <w:p w:rsidR="00592BC2" w:rsidRPr="00DA76A7" w:rsidRDefault="00592BC2" w:rsidP="00592BC2">
      <w:pPr>
        <w:pStyle w:val="a7"/>
        <w:spacing w:before="0" w:beforeAutospacing="0" w:after="0" w:afterAutospacing="0"/>
        <w:ind w:firstLine="567"/>
        <w:jc w:val="center"/>
        <w:textAlignment w:val="top"/>
        <w:rPr>
          <w:rFonts w:ascii="Arial" w:hAnsi="Arial" w:cs="Arial"/>
          <w:b/>
          <w:color w:val="000000" w:themeColor="text1"/>
          <w:sz w:val="22"/>
          <w:szCs w:val="22"/>
        </w:rPr>
      </w:pPr>
      <w:r w:rsidRPr="00DA76A7">
        <w:rPr>
          <w:rFonts w:ascii="Arial" w:hAnsi="Arial" w:cs="Arial"/>
          <w:b/>
          <w:color w:val="000000" w:themeColor="text1"/>
          <w:sz w:val="22"/>
          <w:szCs w:val="22"/>
        </w:rPr>
        <w:t>АКТУАЛЬНЫЕ ПРОБЛЕМЫ НАЗНАЧЕНИЯ И ПРОИЗВОДСТВА СУДЕБНОЙ ЭКСПЕРТИЗЫ</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Красноперов Виктор Викторович</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1-го года обучения заочного отделения юридического факультета</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992 908-00-68-64,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howareyou</w:t>
      </w:r>
      <w:r w:rsidRPr="00DA76A7">
        <w:rPr>
          <w:rFonts w:ascii="Arial" w:hAnsi="Arial" w:cs="Arial"/>
          <w:color w:val="000000" w:themeColor="text1"/>
          <w:sz w:val="22"/>
          <w:szCs w:val="22"/>
        </w:rPr>
        <w:t>729@</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com</w:t>
      </w:r>
    </w:p>
    <w:p w:rsidR="00592BC2" w:rsidRPr="00DA76A7" w:rsidRDefault="00592BC2" w:rsidP="00592BC2">
      <w:pPr>
        <w:pStyle w:val="a7"/>
        <w:spacing w:before="0" w:beforeAutospacing="0" w:after="0" w:afterAutospacing="0"/>
        <w:ind w:firstLine="567"/>
        <w:jc w:val="center"/>
        <w:textAlignment w:val="top"/>
        <w:rPr>
          <w:rFonts w:ascii="Arial" w:hAnsi="Arial" w:cs="Arial"/>
          <w:b/>
          <w:color w:val="000000" w:themeColor="text1"/>
          <w:sz w:val="22"/>
          <w:szCs w:val="22"/>
          <w:shd w:val="clear" w:color="auto" w:fill="FFFFFF"/>
        </w:rPr>
      </w:pPr>
    </w:p>
    <w:p w:rsidR="00592BC2" w:rsidRPr="00DA76A7" w:rsidRDefault="00592BC2" w:rsidP="00592BC2">
      <w:pPr>
        <w:pStyle w:val="a7"/>
        <w:spacing w:before="0" w:beforeAutospacing="0" w:after="0" w:afterAutospacing="0"/>
        <w:ind w:firstLine="567"/>
        <w:jc w:val="center"/>
        <w:textAlignment w:val="top"/>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ACTUAL PROBLEMS OF APPOINTMENT AND PRODUCTION OF FORENSIC EXAMINATION</w:t>
      </w:r>
      <w:r w:rsidRPr="00DA76A7">
        <w:rPr>
          <w:rFonts w:ascii="Arial" w:hAnsi="Arial" w:cs="Arial"/>
          <w:color w:val="000000" w:themeColor="text1"/>
          <w:sz w:val="22"/>
          <w:szCs w:val="22"/>
          <w:shd w:val="clear" w:color="auto" w:fill="FFFFFF"/>
          <w:lang w:val="en-US"/>
        </w:rPr>
        <w:t xml:space="preserve"> </w:t>
      </w:r>
    </w:p>
    <w:p w:rsidR="00592BC2" w:rsidRPr="00DA76A7" w:rsidRDefault="00592BC2" w:rsidP="00592BC2">
      <w:pPr>
        <w:pStyle w:val="HTML"/>
        <w:shd w:val="clear" w:color="auto" w:fill="FFFFFF"/>
        <w:ind w:firstLine="567"/>
        <w:jc w:val="center"/>
        <w:rPr>
          <w:rFonts w:ascii="Arial" w:hAnsi="Arial" w:cs="Arial"/>
          <w:b/>
          <w:color w:val="000000" w:themeColor="text1"/>
          <w:sz w:val="22"/>
          <w:szCs w:val="22"/>
          <w:shd w:val="clear" w:color="auto" w:fill="FFFFFF"/>
          <w:lang w:val="en-US"/>
        </w:rPr>
      </w:pPr>
    </w:p>
    <w:p w:rsidR="00592BC2" w:rsidRPr="00DA76A7" w:rsidRDefault="00592BC2" w:rsidP="00592BC2">
      <w:pPr>
        <w:pStyle w:val="HTML"/>
        <w:shd w:val="clear" w:color="auto" w:fill="FFFFFF"/>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shd w:val="clear" w:color="auto" w:fill="FFFFFF"/>
          <w:lang w:val="en-US"/>
        </w:rPr>
        <w:t>Krasnoperov</w:t>
      </w:r>
      <w:r w:rsidRPr="00DA76A7">
        <w:rPr>
          <w:rFonts w:ascii="Arial" w:hAnsi="Arial" w:cs="Arial"/>
          <w:b/>
          <w:color w:val="000000" w:themeColor="text1"/>
          <w:sz w:val="22"/>
          <w:szCs w:val="22"/>
          <w:lang w:val="en-US"/>
        </w:rPr>
        <w:t xml:space="preserve"> Viktor Viktorovich</w:t>
      </w:r>
    </w:p>
    <w:p w:rsidR="00592BC2" w:rsidRPr="00DA76A7" w:rsidRDefault="00592BC2" w:rsidP="00592BC2">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rPr>
        <w:t>м</w:t>
      </w:r>
      <w:r w:rsidRPr="00DA76A7">
        <w:rPr>
          <w:rFonts w:ascii="Arial" w:hAnsi="Arial" w:cs="Arial"/>
          <w:color w:val="000000" w:themeColor="text1"/>
          <w:sz w:val="22"/>
          <w:szCs w:val="22"/>
          <w:shd w:val="clear" w:color="auto" w:fill="FFFFFF"/>
          <w:lang w:val="en-US"/>
        </w:rPr>
        <w:t>aster of the 1 st year of studying the correspondence department of the faculty of law</w:t>
      </w:r>
    </w:p>
    <w:p w:rsidR="00592BC2" w:rsidRPr="00DA76A7" w:rsidRDefault="00592BC2" w:rsidP="00592BC2">
      <w:pPr>
        <w:ind w:firstLine="567"/>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 xml:space="preserve">734025, Republic of Tajikistan, Dushanbe, M. Tursunzade </w:t>
      </w:r>
      <w:r w:rsidRPr="00DA76A7">
        <w:rPr>
          <w:rFonts w:ascii="Arial" w:hAnsi="Arial" w:cs="Arial"/>
          <w:color w:val="000000" w:themeColor="text1"/>
          <w:sz w:val="22"/>
          <w:szCs w:val="22"/>
          <w:lang w:val="en-US"/>
        </w:rPr>
        <w:t xml:space="preserve">str., 30 </w:t>
      </w:r>
    </w:p>
    <w:p w:rsidR="00592BC2" w:rsidRPr="00DA76A7" w:rsidRDefault="00592BC2" w:rsidP="00592BC2">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l.: 992 908-00-68-64,   e-mail: howareyou729@mail.com</w:t>
      </w:r>
    </w:p>
    <w:p w:rsidR="00592BC2" w:rsidRPr="00DA76A7" w:rsidRDefault="00592BC2" w:rsidP="00592BC2">
      <w:pPr>
        <w:ind w:firstLine="567"/>
        <w:jc w:val="right"/>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Мирзоев С.П.</w:t>
      </w:r>
    </w:p>
    <w:p w:rsidR="00592BC2" w:rsidRPr="00DA76A7" w:rsidRDefault="00592BC2" w:rsidP="00592BC2">
      <w:pPr>
        <w:pStyle w:val="a7"/>
        <w:spacing w:before="0" w:beforeAutospacing="0" w:after="0" w:afterAutospacing="0"/>
        <w:ind w:firstLine="567"/>
        <w:jc w:val="both"/>
        <w:textAlignment w:val="top"/>
        <w:rPr>
          <w:rFonts w:ascii="Arial" w:hAnsi="Arial" w:cs="Arial"/>
          <w:b/>
          <w:i/>
          <w:color w:val="000000" w:themeColor="text1"/>
          <w:sz w:val="22"/>
          <w:szCs w:val="22"/>
          <w:shd w:val="clear" w:color="auto" w:fill="FFFFFF"/>
        </w:rPr>
      </w:pPr>
    </w:p>
    <w:p w:rsidR="00592BC2" w:rsidRPr="00DA76A7" w:rsidRDefault="00592BC2" w:rsidP="00592BC2">
      <w:pPr>
        <w:pStyle w:val="a7"/>
        <w:spacing w:before="0" w:beforeAutospacing="0" w:after="0" w:afterAutospacing="0"/>
        <w:ind w:firstLine="567"/>
        <w:jc w:val="both"/>
        <w:textAlignment w:val="top"/>
        <w:rPr>
          <w:rFonts w:ascii="Arial" w:hAnsi="Arial" w:cs="Arial"/>
          <w:i/>
          <w:color w:val="000000" w:themeColor="text1"/>
          <w:sz w:val="22"/>
          <w:szCs w:val="22"/>
        </w:rPr>
      </w:pPr>
      <w:r w:rsidRPr="00DA76A7">
        <w:rPr>
          <w:rFonts w:ascii="Arial" w:hAnsi="Arial" w:cs="Arial"/>
          <w:b/>
          <w:i/>
          <w:color w:val="000000" w:themeColor="text1"/>
          <w:sz w:val="22"/>
          <w:szCs w:val="22"/>
          <w:shd w:val="clear" w:color="auto" w:fill="FFFFFF"/>
        </w:rPr>
        <w:t>Аннотация. </w:t>
      </w:r>
      <w:r w:rsidRPr="00DA76A7">
        <w:rPr>
          <w:rFonts w:ascii="Arial" w:hAnsi="Arial" w:cs="Arial"/>
          <w:i/>
          <w:color w:val="000000" w:themeColor="text1"/>
          <w:sz w:val="22"/>
          <w:szCs w:val="22"/>
        </w:rPr>
        <w:t>В статье рассматриваются тактико-организационные вопросы назначения и проведения судебной экспертизы, выбора эксперта и экспертного учреждения. Обосновываются предложения по внесению отдельных изменений и дополнений в действующий Уголовно-процессуальный кодекс Российской Федерации и в Проект Федерального закона «О судебно-экспертной деятельности в Российской Федерации».</w:t>
      </w:r>
    </w:p>
    <w:p w:rsidR="00592BC2" w:rsidRPr="00DA76A7" w:rsidRDefault="00592BC2" w:rsidP="00592BC2">
      <w:pPr>
        <w:pStyle w:val="a7"/>
        <w:spacing w:before="0" w:beforeAutospacing="0" w:after="0" w:afterAutospacing="0"/>
        <w:ind w:firstLine="567"/>
        <w:jc w:val="both"/>
        <w:textAlignment w:val="top"/>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deals with tactical and organizational issues of appointment and conduct of forensic examination, selection of an expert and an expert institution. Proposals for introducing certain amendments and additions to the current Code of Criminal Procedure of the Russian Federation and to the Draft Federal Law «On Forensic Expert Activities in the Russian Federation» are justified. </w:t>
      </w:r>
    </w:p>
    <w:p w:rsidR="00592BC2" w:rsidRPr="00DA76A7" w:rsidRDefault="00592BC2" w:rsidP="00592BC2">
      <w:pPr>
        <w:pStyle w:val="a7"/>
        <w:spacing w:before="0" w:beforeAutospacing="0" w:after="0" w:afterAutospacing="0"/>
        <w:ind w:firstLine="567"/>
        <w:jc w:val="both"/>
        <w:textAlignment w:val="top"/>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законодательство, следователь, судебная экспертиза, эксперт, защитник.</w:t>
      </w:r>
    </w:p>
    <w:p w:rsidR="00592BC2" w:rsidRPr="00DA76A7" w:rsidRDefault="00592BC2" w:rsidP="00592BC2">
      <w:pPr>
        <w:pStyle w:val="a7"/>
        <w:spacing w:before="0" w:beforeAutospacing="0" w:after="0" w:afterAutospacing="0"/>
        <w:ind w:firstLine="567"/>
        <w:jc w:val="both"/>
        <w:textAlignment w:val="top"/>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legislation, investigator, forensic examination, expert, defender.</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lang w:val="en-US"/>
        </w:rPr>
      </w:pP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последние годы сохраняется тенденция к увеличению, как назначений, так и производства различных судебных экспертиз и экспертных исследований. При этом возрастает количество проводимых сложных, многообъектных, комплексных судебных экспертиз [1, 15].</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Проведенные нами исследования свидетельствуют, что правильная организация экспертного сопровождения в значительной степени обеспечивает полноту, качество и эффективность предварительного расследования и судебного разбирательства уголовных дел.</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Судебная экспертиза, назначаемая в рамках уголовного судопроизводства, является процессуальным действием, состоящим из проведения по заданию следователя и суда исследований и дачи заключения экспертом по вопросам, разрешение которых требует специальных знаний в целях установления обстоятельств, подлежащих доказыванию по конкретному делу.</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Следователи иногда, исходя из тактических соображений, целенаправленно не предоставляют защитнику информацию, имеющую важное значение для обеспечения подозреваемому и обвиняемому права на защиту, например, сознательно не знакомят с уже назначенными и даже проведенными экспертизами. В такой ситуации защитник может получать на основании п. 6 ч. 1 ст. 53 УПК РФ информацию о результатах следственных действий, в том числе результатах судебных экспертиз из материалов, направляемых в суд при решении вопроса об избрании или продлении меры пресечения в виде заключения под стражу (в порядке ч. 3 ст. 108 УПК РФ). Между тем, как показывает проведенное нами исследование следственной и экспертной практики, в некоторых случаях обнаруженные и изъятые следователем в ходе осмотра места происшествия (а равно и иных следственных действий) следы и другие вещественные доказательства на экспертизу не направляются либо направляются через весьма продолжительное время, в результате чего они признаются не пригодными для экспертного исследования. Важно заметить, что сторона зашиты при этом не имеет возможности своевременно контролировать полноту и подлинность направляемых на экспертизу объектов исследования. Так, по делу об убийстве К., в ходе осмотра места происшествия была обнаружена и изъята пуля. С учетом этого у следователя появилась возможность назначить судебно-баллистическую экспертизу, что сделано не было, а защитник узнал об изъятой с места происшествия пули только при ознакомлении с материалами уголовного дела.</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С учетом вышесказанного, с нашей точки зрения, представляется возможным внести в ст. 177 УПК РФ «Порядок производства осмотра» указание на необходимость обязательного ознакомления с протоколом осмотра места происшествия подозреваемого, обвиняемого, его защитника, потерпевшего и его представителя на основании их ходатайства. Это позволит данным лицам ходатайствовать о назначении более широкого круга судебных экспертиз и обеспечивать представление на экспертизу всех изъятых при осмотре вещественных доказательств, а не только тех, исследование которых считает необходимым следователь. Данное предложение, на наш взгляд, целесообразно в свете реализации принципа декларируемого ст. 48 Конституции Российской Федерации и ст.ст. 15, 16 УПК РФ [2, 18].</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В некоторых случаях следователи безосновательно отказывают в ходатайствах стороны защиты о назначении судебных экспертиз, особенно повторных, что увеличивает сроки предварительного расследования. Приведем следующий пример: в ходе расследования уголовного дела об убийстве гр. Ф. защитник ходатайствовал о назначении повторной судебно-медицинской экспертизы, о назначении психологической экспертизы подозреваемого, о назначении дополнительной дактилоскопической экспертизы, однако все ходатайства следователем были необоснованно отклонены без подробных объяснений. Указанные экспертизы были назначены только через несколько месяцев, после неоднократно заявленных стороной защиты жалоб в прокуратуру и руководителю следственного органа. Впоследствии уголовное дело было передано другому следователю, который вначале действия обвиняемого С. переквалифицировал с умышленного причинения тяжкого вреда здоровью на умышленное причинение вреда средней тяжести, а потом дело было прекращено [3, 86].</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Как показывает анализ следственно-экспертной практики, одной из ее проблем остается правильный выбор экспертного учреждения или отдельного эксперта, что является важной гарантией своевременности получения заключения. В этой связи при выборе экспертного учреждения следователю необходимо оценить уровень профессиональной подготовки экспертов, их компетенцию, уровень материально-технического обеспечения, а также место расположения данного учреждения [4].</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Нами установлено, что в судебно-экспертных учреждениях различных министерств и ведомств иногда используются несовпадающие методы и терминология проводимых исследований. В этой связи в направлении повышения качества судебных экспертиз актуальной становится задача систематизации, унификации и каталогизации стандартизированных методик по отдельным родам (видам) экспертных исследований в виде общероссийского электронного банка данных. Большое практическое значение имеет разработка национального Государственного стандарта, регулирующего научные методологические (понятийные), методические вопросы производства судебных экспертиз и оформления заключений судебных экспертов разных ведомств, а также обеспечение единства измерений, технической и информационной совместимости, сопоставимости результатов судебно-экспертных исследований; создания систем обеспечения качества экспертного производства.</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Исходя из вышеизложенного, мы полагаем, что комплексное решение выше обозначенных проблем позволит повысить эффективность экспертного сопровождения уголовного судопроизводства в соответствии с его современными задачами.</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1. Основные итоги деятельности федеральных бюджетных судебно-экспертных учреждений Минюста России за 2016г. - М.: Юристъ, 2017. – 36 с.</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 xml:space="preserve">2. Постановление Европейского Суда по правам человека от 27 марта 2014 г. </w:t>
      </w:r>
      <w:r w:rsidRPr="00DA76A7">
        <w:rPr>
          <w:rFonts w:ascii="Arial" w:hAnsi="Arial" w:cs="Arial"/>
          <w:color w:val="000000" w:themeColor="text1"/>
          <w:sz w:val="22"/>
          <w:szCs w:val="22"/>
          <w:lang w:val="en-US"/>
        </w:rPr>
        <w:t>g</w:t>
      </w:r>
      <w:r w:rsidRPr="00DA76A7">
        <w:rPr>
          <w:rFonts w:ascii="Arial" w:hAnsi="Arial" w:cs="Arial"/>
          <w:color w:val="000000" w:themeColor="text1"/>
          <w:sz w:val="22"/>
          <w:szCs w:val="22"/>
        </w:rPr>
        <w:t>рецеденты Европейского Суда по правам человека. - 2014. - № 4. – С. 85-91.</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3. Приказ МВД России от 30.05.2003 г. № 366 «О вопросах организации деятельности экспертно-криминалистических центров органов внутренних дел». URL: https://mvd.ru/mvd/documents/201203281 64545 (дата обращения: 26.01.2018).</w:t>
      </w:r>
    </w:p>
    <w:p w:rsidR="00592BC2" w:rsidRPr="00DA76A7" w:rsidRDefault="00592BC2" w:rsidP="00592BC2">
      <w:pPr>
        <w:pStyle w:val="a7"/>
        <w:spacing w:before="0" w:beforeAutospacing="0" w:after="0" w:afterAutospacing="0"/>
        <w:ind w:firstLine="567"/>
        <w:jc w:val="both"/>
        <w:textAlignment w:val="top"/>
        <w:rPr>
          <w:rFonts w:ascii="Arial" w:hAnsi="Arial" w:cs="Arial"/>
          <w:color w:val="000000" w:themeColor="text1"/>
          <w:sz w:val="22"/>
          <w:szCs w:val="22"/>
        </w:rPr>
      </w:pPr>
      <w:r w:rsidRPr="00DA76A7">
        <w:rPr>
          <w:rFonts w:ascii="Arial" w:hAnsi="Arial" w:cs="Arial"/>
          <w:color w:val="000000" w:themeColor="text1"/>
          <w:sz w:val="22"/>
          <w:szCs w:val="22"/>
        </w:rPr>
        <w:t>4.</w:t>
      </w:r>
      <w:r w:rsidRPr="00DA76A7">
        <w:rPr>
          <w:rFonts w:ascii="Arial" w:hAnsi="Arial" w:cs="Arial"/>
          <w:color w:val="000000" w:themeColor="text1"/>
          <w:sz w:val="22"/>
          <w:szCs w:val="22"/>
          <w:lang w:val="en-US"/>
        </w:rPr>
        <w:t> </w:t>
      </w:r>
      <w:r w:rsidRPr="00DA76A7">
        <w:rPr>
          <w:rFonts w:ascii="Arial" w:hAnsi="Arial" w:cs="Arial"/>
          <w:color w:val="000000" w:themeColor="text1"/>
          <w:sz w:val="22"/>
          <w:szCs w:val="22"/>
        </w:rPr>
        <w:t>Самутичева Е.Ю. Заключение эксперта и его оценка в уголовном процессе (сравнительно-правовое исследование): автореф. дис. ... канд. юрид. наук. - М.: 2016. – 32 с.</w:t>
      </w:r>
    </w:p>
    <w:p w:rsidR="00592BC2" w:rsidRPr="00DA76A7" w:rsidRDefault="00592BC2" w:rsidP="00592BC2">
      <w:pPr>
        <w:pStyle w:val="a7"/>
        <w:spacing w:before="0" w:beforeAutospacing="0" w:after="0" w:afterAutospacing="0"/>
        <w:ind w:firstLine="567"/>
        <w:textAlignment w:val="top"/>
        <w:rPr>
          <w:rFonts w:ascii="Arial" w:hAnsi="Arial" w:cs="Arial"/>
          <w:color w:val="000000" w:themeColor="text1"/>
          <w:sz w:val="22"/>
          <w:szCs w:val="22"/>
        </w:rPr>
      </w:pPr>
    </w:p>
    <w:p w:rsidR="00592BC2" w:rsidRPr="00DA76A7" w:rsidRDefault="00592BC2" w:rsidP="00592BC2">
      <w:pPr>
        <w:ind w:firstLine="567"/>
        <w:jc w:val="both"/>
        <w:rPr>
          <w:rFonts w:ascii="Arial" w:hAnsi="Arial" w:cs="Arial"/>
          <w:color w:val="000000" w:themeColor="text1"/>
          <w:sz w:val="22"/>
          <w:szCs w:val="22"/>
          <w:shd w:val="clear" w:color="auto" w:fill="FFFFFF"/>
        </w:rPr>
      </w:pPr>
    </w:p>
    <w:p w:rsidR="00592BC2" w:rsidRPr="00DA76A7" w:rsidRDefault="00592BC2" w:rsidP="00592BC2">
      <w:pPr>
        <w:jc w:val="center"/>
        <w:rPr>
          <w:rFonts w:ascii="Arial" w:hAnsi="Arial" w:cs="Arial"/>
          <w:b/>
          <w:bCs/>
          <w:color w:val="000000" w:themeColor="text1"/>
          <w:sz w:val="22"/>
          <w:szCs w:val="22"/>
          <w:shd w:val="clear" w:color="auto" w:fill="FFFFFF"/>
        </w:rPr>
      </w:pPr>
      <w:r w:rsidRPr="00DA76A7">
        <w:rPr>
          <w:rFonts w:ascii="Arial" w:hAnsi="Arial" w:cs="Arial"/>
          <w:b/>
          <w:bCs/>
          <w:color w:val="000000" w:themeColor="text1"/>
          <w:sz w:val="22"/>
          <w:szCs w:val="22"/>
          <w:shd w:val="clear" w:color="auto" w:fill="FFFFFF"/>
        </w:rPr>
        <w:t>ФУНКЦИИ ЗАЩИТНИКА В УГОЛОВНОМ ПРОЦЕССЕ Р</w:t>
      </w:r>
      <w:r w:rsidR="008840CA" w:rsidRPr="00DA76A7">
        <w:rPr>
          <w:rFonts w:ascii="Arial" w:hAnsi="Arial" w:cs="Arial"/>
          <w:b/>
          <w:bCs/>
          <w:color w:val="000000" w:themeColor="text1"/>
          <w:sz w:val="22"/>
          <w:szCs w:val="22"/>
          <w:shd w:val="clear" w:color="auto" w:fill="FFFFFF"/>
        </w:rPr>
        <w:t xml:space="preserve">ОССИЙСКОЙ </w:t>
      </w:r>
      <w:r w:rsidRPr="00DA76A7">
        <w:rPr>
          <w:rFonts w:ascii="Arial" w:hAnsi="Arial" w:cs="Arial"/>
          <w:b/>
          <w:bCs/>
          <w:color w:val="000000" w:themeColor="text1"/>
          <w:sz w:val="22"/>
          <w:szCs w:val="22"/>
          <w:shd w:val="clear" w:color="auto" w:fill="FFFFFF"/>
        </w:rPr>
        <w:t>Ф</w:t>
      </w:r>
      <w:r w:rsidR="008840CA" w:rsidRPr="00DA76A7">
        <w:rPr>
          <w:rFonts w:ascii="Arial" w:hAnsi="Arial" w:cs="Arial"/>
          <w:b/>
          <w:bCs/>
          <w:color w:val="000000" w:themeColor="text1"/>
          <w:sz w:val="22"/>
          <w:szCs w:val="22"/>
          <w:shd w:val="clear" w:color="auto" w:fill="FFFFFF"/>
        </w:rPr>
        <w:t>ЕДЕРАЦИИ</w:t>
      </w:r>
    </w:p>
    <w:p w:rsidR="00592BC2" w:rsidRPr="00DA76A7" w:rsidRDefault="00592BC2" w:rsidP="00592BC2">
      <w:pPr>
        <w:jc w:val="center"/>
        <w:rPr>
          <w:rFonts w:ascii="Arial" w:hAnsi="Arial" w:cs="Arial"/>
          <w:b/>
          <w:bCs/>
          <w:color w:val="000000" w:themeColor="text1"/>
          <w:sz w:val="22"/>
          <w:szCs w:val="22"/>
          <w:shd w:val="clear" w:color="auto" w:fill="FFFFFF"/>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Лавреньтев Михаил Юрьевич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 2-го курса 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Южный институт менеджмента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350040, Российская Федерация, г. Краснодар, ул. Ставропольская, 216.</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(861) 233-39-38,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mixail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lavrentev</w:t>
      </w:r>
      <w:r w:rsidRPr="00DA76A7">
        <w:rPr>
          <w:rFonts w:ascii="Arial" w:hAnsi="Arial" w:cs="Arial"/>
          <w:color w:val="000000" w:themeColor="text1"/>
          <w:sz w:val="22"/>
          <w:szCs w:val="22"/>
        </w:rPr>
        <w:t>.97@</w:t>
      </w:r>
      <w:r w:rsidRPr="00DA76A7">
        <w:rPr>
          <w:rFonts w:ascii="Arial" w:hAnsi="Arial" w:cs="Arial"/>
          <w:color w:val="000000" w:themeColor="text1"/>
          <w:sz w:val="22"/>
          <w:szCs w:val="22"/>
          <w:lang w:val="en-US"/>
        </w:rPr>
        <w:t>inbox</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FUNCTIONS OF THE DEFENDER IN THE CRIMINAL PROCESS OF THE RUSSIAN FEDERATION</w:t>
      </w:r>
    </w:p>
    <w:p w:rsidR="00592BC2" w:rsidRPr="00DA76A7" w:rsidRDefault="00592BC2" w:rsidP="00592BC2">
      <w:pPr>
        <w:jc w:val="center"/>
        <w:rPr>
          <w:rFonts w:ascii="Arial" w:hAnsi="Arial" w:cs="Arial"/>
          <w:b/>
          <w:color w:val="000000" w:themeColor="text1"/>
          <w:sz w:val="22"/>
          <w:szCs w:val="22"/>
          <w:shd w:val="clear" w:color="auto" w:fill="FFFFFF"/>
          <w:lang w:val="en-US"/>
        </w:rPr>
      </w:pPr>
      <w:r w:rsidRPr="00DA76A7">
        <w:rPr>
          <w:rFonts w:ascii="Arial" w:hAnsi="Arial" w:cs="Arial"/>
          <w:color w:val="000000" w:themeColor="text1"/>
          <w:sz w:val="22"/>
          <w:szCs w:val="22"/>
          <w:lang w:val="en-US"/>
        </w:rPr>
        <w:br/>
      </w:r>
      <w:r w:rsidRPr="00DA76A7">
        <w:rPr>
          <w:rFonts w:ascii="Arial" w:hAnsi="Arial" w:cs="Arial"/>
          <w:b/>
          <w:color w:val="000000" w:themeColor="text1"/>
          <w:sz w:val="22"/>
          <w:szCs w:val="22"/>
          <w:shd w:val="clear" w:color="auto" w:fill="FFFFFF"/>
          <w:lang w:val="en-US"/>
        </w:rPr>
        <w:t xml:space="preserve">Lavrentev Mikhail Yurievich </w:t>
      </w: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2nd year student of full-time department of law faculty</w:t>
      </w:r>
    </w:p>
    <w:p w:rsidR="00592BC2" w:rsidRPr="00DA76A7" w:rsidRDefault="00592BC2" w:rsidP="00592BC2">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Southern institute of management </w:t>
      </w:r>
    </w:p>
    <w:p w:rsidR="00592BC2" w:rsidRPr="00DA76A7" w:rsidRDefault="00592BC2" w:rsidP="00592BC2">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350040, Russian Federation, Krasnodar, st. Stavropol, 216. </w:t>
      </w: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shd w:val="clear" w:color="auto" w:fill="FFFFFF"/>
          <w:lang w:val="en-US"/>
        </w:rPr>
        <w:t>tel.: (861) 233-39-38, e-mail: mixail.lavrentev.97@inbox.ru</w:t>
      </w:r>
    </w:p>
    <w:p w:rsidR="00592BC2" w:rsidRPr="00DA76A7" w:rsidRDefault="00592BC2" w:rsidP="00592BC2">
      <w:pPr>
        <w:jc w:val="both"/>
        <w:rPr>
          <w:rFonts w:ascii="Arial" w:hAnsi="Arial" w:cs="Arial"/>
          <w:b/>
          <w:color w:val="000000" w:themeColor="text1"/>
          <w:sz w:val="22"/>
          <w:szCs w:val="22"/>
          <w:lang w:val="en-US"/>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данной статье рассматриваются понятие, цели, функции а также деятельность защитника (адвоката) в уголовном процессе.</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уголовный процесс, защитник, адвокат, судопроизводство, следователь, дознаватель.</w:t>
      </w:r>
    </w:p>
    <w:p w:rsidR="00592BC2" w:rsidRPr="00DA76A7" w:rsidRDefault="00592BC2" w:rsidP="00592BC2">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rPr>
        <w:t xml:space="preserve"> </w:t>
      </w:r>
      <w:r w:rsidRPr="00DA76A7">
        <w:rPr>
          <w:rFonts w:ascii="Arial" w:hAnsi="Arial" w:cs="Arial"/>
          <w:b/>
          <w:i/>
          <w:color w:val="000000" w:themeColor="text1"/>
          <w:sz w:val="22"/>
          <w:szCs w:val="22"/>
          <w:shd w:val="clear" w:color="auto" w:fill="FFFFFF"/>
          <w:lang w:val="en-US"/>
        </w:rPr>
        <w:t>Annotation.</w:t>
      </w:r>
      <w:r w:rsidRPr="00DA76A7">
        <w:rPr>
          <w:rFonts w:ascii="Arial" w:hAnsi="Arial" w:cs="Arial"/>
          <w:i/>
          <w:color w:val="000000" w:themeColor="text1"/>
          <w:sz w:val="22"/>
          <w:szCs w:val="22"/>
          <w:shd w:val="clear" w:color="auto" w:fill="FFFFFF"/>
          <w:lang w:val="en-US"/>
        </w:rPr>
        <w:t xml:space="preserve"> In this article, the concept, goals, functions and activities of the defender (lawyer) in the criminal process are examined.</w:t>
      </w:r>
    </w:p>
    <w:p w:rsidR="00592BC2" w:rsidRPr="00DA76A7" w:rsidRDefault="00592BC2" w:rsidP="00592BC2">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shd w:val="clear" w:color="auto" w:fill="FFFFFF"/>
          <w:lang w:val="en-US"/>
        </w:rPr>
        <w:t>Key words:</w:t>
      </w:r>
      <w:r w:rsidRPr="00DA76A7">
        <w:rPr>
          <w:rFonts w:ascii="Arial" w:hAnsi="Arial" w:cs="Arial"/>
          <w:i/>
          <w:color w:val="000000" w:themeColor="text1"/>
          <w:sz w:val="22"/>
          <w:szCs w:val="22"/>
          <w:shd w:val="clear" w:color="auto" w:fill="FFFFFF"/>
          <w:lang w:val="en-US"/>
        </w:rPr>
        <w:t xml:space="preserve"> criminal process, defender, lawyer, legal proceeding, investigator, investigator.</w:t>
      </w:r>
    </w:p>
    <w:p w:rsidR="00592BC2" w:rsidRPr="00DA76A7" w:rsidRDefault="00592BC2" w:rsidP="00592BC2">
      <w:pPr>
        <w:ind w:firstLine="567"/>
        <w:jc w:val="both"/>
        <w:rPr>
          <w:rFonts w:ascii="Arial" w:hAnsi="Arial" w:cs="Arial"/>
          <w:color w:val="000000" w:themeColor="text1"/>
          <w:sz w:val="22"/>
          <w:szCs w:val="22"/>
          <w:shd w:val="clear" w:color="auto" w:fill="FFFFFF"/>
          <w:lang w:val="en-US"/>
        </w:rPr>
      </w:pP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со ст. 48 Конституции РФ каждому гражданину гарантируется право на получение квалифицированной юридической помощи [1]. Для подозреваемого и обвиняемого данное право реализуется при помощи возможности иметь защитника. В соответствии со ст. 49 Уголовно-процессуального кодекса РФ - защитником является лицо, осуществляющее в установленном законом порядке защиту прав и интересов подозреваемых и обвиняемых и оказывающее им юридическую помощь при производстве по уголовному делу. Защитник по поручению, с согласия обвиняемого (подозреваемого) участвует в деле, защищая его права и законные интересы, стремясь опровергнуть необоснованное обвинение или подозрение либо смягчить ответственность, и оказывает юридическую помощь подзащитному. Участие в процессе защитника является важной гарантией прав подозреваемых и обвиняемых.[5, 18]</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качестве защитников по уголовному делу допускаются адвокаты. В соответствии со ст. 2 Федерального закона РФ «Об адвокатуре и адвокатской деятельности» от 31 мая 2002 года № 63-ФЗ - адвокатом является лицо, получившее в установленном законом порядке статус адвоката и право осуществлять адвокатскую деятельность на территории Российской Федерации. При этом адвокат, по сути, является независимым советником обвиняемого по правовым вопросам, и он не вправе заниматься другой оплачиваемой деятельностью, за исключением научной, преподавательской и иной творческой деятельности.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определению или соответствующему постановлению суда защитниками могут быть наряду с адвокатом, один из близких родственников обвиняемого или любое лицо, о допуске которого ходатайствует обвиняемый (подозреваемый).</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Важно отметить, что защитник участвует в уголовном деле:</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 момента вынесения постановления о привлечении конкретного лица в качестве обвиняемого (подозреваемого) по уголовному делу;</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 момента объявления лицу, подозреваемому в совершении преступления, постановления о назначении судебно-психиатрической экспертизы</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 момента фактического задержания лица, подозреваемого в совершении преступления, в случаях предусмотренных ст. 91, 92 Уголовно- процессуального кодекса РФ; применения к нему по ст. 100 Уголовно- процессуального кодекса РФ меры пресечения в виде заключения под стражу;</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 момента возбуждения дела в отношении определенного лица;</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 момента начала осуществления иных мер процессуального принуждения или иных процессуальных действий, затрагивающих права и свободы лица, подозреваемого (обвиняемого) в совершении уголовного преступления.</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Адвокат может быть допущен к участию в уголовном деле в качестве защитника по предъявлени. удостоверения адвоката установленного образца и ордера. В тех случаях , если защитник (адвокат) участвует в производстве по уголовному делу, в материалах которого содержатся сведения, составляющие государственную тайну, и он не имеет соответствующего допуска к указанным сведениям, то он обязан дать подписку о неразглашении. Также одно и то же лицо не может быть защитником двух подозреваемых или обвиняемых, в случае если интересы одного подозреваемого противоречат интересам другого подозреваемого. Адвокат не вправе отказаться от уже принятой на себя защиты подозреваемого, обвиняемого.</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Деятельность защитника (адвоката) помогает в достижении основной цели уголовного процесса - доказанности виновности, но весьма странными методами и способами. Так, в качестве самостоятельного участника уголовного процесса, защитник лично осуществляет выбор средств, методики и тактики защиты своего подзащитного (обвиняемого, подозреваемого). Также очень важно отметить что защитник сочетает в себе полномочия представителя обвиняемого, с мнением которого связан при совершении наиболее ответственных процессуальных действий и определении позиции по делу, исключающей возможность коллизии по основному вопросу - о доказанности его виновности.[2]</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Цель деятельности защитника (адвоката) в уголовном процессе состоит, прежде всего, в выявлении обстоятельств, которые могут оправдывавать обвиняемого (подозреваемого) или смягчать его ответственность, и он может в связи с этим быть безразличным к установлению истины. В качестве примера этого может выступать то что, защитник не имеет права выявлять сами обстоятельства, изображающие обвиняемого виновным, поддерживать обвинение, а также соглашаться с обвинением в том случае если есть факт непризнания вины самим обвиняемым. Важно отметить то что в случае, отстаивания права и интересов обвиняемого, защитник тем самым содействует вынесению справедливого обоснованного, а самое главное справедливого приговора.</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Защитник (адвокат) для правосудия, выступает в качестве одной из гарантий от судебных ошибок - именно в этом и выражается его публичное, а главное обще социальное значение. Очень важно, иметь в виду, что ненадлежащее, по мнению следственных органов или суда, исполнение адвокатом своих обязанностей связанных с защитой интересов обвиняемого (подсудимого) не является основанием для вынесения частных определений в адрес последнего.</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лицо исполняющее обязанности защитника призвано защищать и отстаивать не любые интересы своего подзащитного (обвиняемого, подозреваемого), а только законные и только законными средствами и способами. Наряду с этим, указание в законе на использование лицом исполняющее обязанности защитника, любых других средств и способов защиты, не противоречащих закону, акцентирует его на активную деятельность по защите законных прав и интересов подзащитных. Исполнение полномочий защитника начинается с момента допуска его к участию в уголовном деле. Данный момент определяется принятием следователем, судом, судьей, прокурором ордера или иного документа, подтверждающего полномочия данного защитника. Следователь, исследовав полномочия адвоката, принимает решение (как правило, устное) о его допуске к участию в деле.</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Важно отметить что обвиняемый (подозреваемый) по уголовному делу может сам лично пригласить защитника, заключив с ним соглашение, либо это могут сделать по его поручению или с его согласия родственники, законный представитель, а также иные лица. По просьбе обвиняемого участие защитника (адвоката) обеспечивается следователем и судом через юридическую консультацию. Но здесь важно отметить, что иметь защитника при производстве по уголовному делу это право обвиняемого и подозреваемого, а не обязанность. Исходя и вышеизложенного, они могут отказаться от услуг защитника и осуществлять защиту самостоятельно, причем отказ от защитника допускается только по инициативе самого обвиняемого и только добровольно.    Этот отказ не должен быть, вызван трудностями организационного характера или неплатежеспособностью подозреваемого, обвиняемого. В последнем случае услуги адвоката оплачивает государство.</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приглашенный защитник не явился в течении 5 суток со дня заявления ходатайства о приглашении защитника, дознаватель, следователь, прокурор или суд вправе предложить подозреваемому, обвиняемому пригласить другого защитника, а в случае его отказа принять меры по назначению защитника. Если участвующий в уголовном деле защитник в течение 5 суток не может принять участие в производстве определенного процессуального действия, а подозреваемый, обвиняемый не приглашает иного защитника и не ходатайствует о его назначении, то дознаватель, следователь вправе произвести данное процессуальное действие без участия защитника, за исключением случаев, предусмотренных законом.</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в течение 24 часов с момента задержания подозреваемого или заключения подозреваемого, обвиняемого под стражу явка защитника, приглашенного им, невозможна, то дознаватель, следователь или прокурор принимает меры по назначению защитника. При отказе подозреваемого, обвиняемого от назначенного защитника следственные действия с участием подозреваемого, обвиняемого могут быть произведены вообще без участия защитника. В тех случаях, если адвокат участвует в производстве предварительного расследования или судебном разбирательстве по назначению дознавателя, следователя, прокурора или суда, расходы на оплату труда защитника компенсируются только за счет средств федерального бюджета. [4]</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уголовно-процессуальном праве Российской Федерации существует несколько уголовных дел, по которым закон предписывает обязательное участие защитника. Это является дополнительной гарантией защиты лиц, которые в силу своих физических или психических недостатков либо возрастных особенностей, а также по иным причинам не могут сами осуществлять свое право на защиту, либо она для них существенно затруднена. Российская Федерация как государство заинтересовано в повышенной охране интересов таких лиц, в результате чего оно избавляет себя от возможных ошибок на следствии и в суде. Так, исходя из ст. 51 Уголовно-процессуального кодекса РФ эти случаи, когда: [3]</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Подозреваемый, обвиняемый не отказался от защитника.</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Подозреваемый, обвиняемый является несовершеннолетним. Предъявление обвинения несовершеннолетнему без участия защитника признано большим нарушением уголовно-процессуального закона и является основанием для возвращения дела на дополнительное расследование, начиная со стадии назначения судебного заседания. Приняв решение, что участие защитника обязательно, следователь, прокурор, суд должны выяснить, приглашен ли  защитник обвиняемым. В негативном аспекте данного случая необходимо обеспечить участие защитника в деле через коллегию адвокатов. Следователь должен принять решение об обязательном участии защитника, если есть документальное подтверждение несовершеннолетия обвиняемого на день совершения преступления. Защитник должен участвовать по делам несовершеннолетних обязательно не только в случаях, когда лицо совершило преступление до восемнадцати лет, но и тогда, когда к моменту соответствующего процессуального деяния уже достигло этого возраста, а также когда лицо обвиняется в преступлениях, часть из которых совершена им в возрасте до восемнадцати лет, а другая часть - после достижения совершеннолетия. Во всех связанных с этим ситуациях, связанных к примеру с возрастом или к моменту производства тех или иных процессуальных действий лицу исполнилось восемнадцать лет, а также когда обвиняемый привлечен по групповому делу или делу, сложному по фабуле или по доказательственному материалу, решение об обязательном участии защитника (в случае отказа обвиняемого от него) принимает сам следователь. Такое решение процессуально должно быть оформлено в виде мотивированного постановления. Подобное же решение, если подсудимому к моменту судебного разбирательства исполнилось восемнадцать лет, может принять и судья.</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Подозреваемый, обвиняемый исходя из физических или психических недостатков не может сам самостоятельно осуществлять свое право на защиту. Основанием к возникновению сомнений исходя из психического состояния обвиняемого может служить не только непосредственное наблюдение следователем или состава суда (судьи), но и характер совершенного преступления, заявление свидетелей, а также документы о перенесенных этим лицом психических заболеваниях и травмах. В таком случае основанием для обязательного участия защитника служат документы, подтверждающие, что обвиняемый состоял на учете в психоневрологическом диспансере, обучался в школе для умственно отсталых детей либо признавался хроническим алкоголиком. Обычно, бесспорным основанием является заключение эксперта - психиатра о наличии у обвиняемого каких- либо психических недостатков, исходя из которых последний не может самостоятельно осуществить свое право на защиту. Основаниями для этого являются также ясно выраженные физические недостатки к примеру: ослаблено зрение или слух, дефективность речи, создающие помехи в установлении контактов с окружающими и изложении своих мыслей и т.д., и т.п. 4) Подозреваемый, обвиняемый не владеет языком, на котором ведется производство по уголовному делу. Лицами не владеющими языком судопроизводства признаются такие лица, которые не понимают полностью либо плохо понимают обычную разговорную речь на языке судопроизводства, а также не владеющие навыком свободного изъяснения на данном языке, испытывающие трудности в связи со слабым знанием языка в понимании той или иной терминологии или обстоятельств.</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Лицо обвиняется в совершении преступления, за которое может быть назначено наказание в виде лишения свободы на срок свыше пятнадцати лет, пожизненное лишение свободы, смертная казнь в таких случаях участие защитника должно обеспечиваться с момента предъявления обвинения, и оно обязательно.</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Если уголовное дело должно рассматриваться судом с обязательным участием присяжных заседателей.</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Обвиняемый заявил ходатайство о рассмотрении уголовного дела в порядке, установленном гл. 40 Уголовно-процессуального кодекса РФ.</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Если в указанных случаях защитник (адвокат) не был приглашен самим подозреваемым, обвиняемым, его законным представителем, а также иными лицами по поручению или с личного согласия подозреваемого, обвиняемого, то в таких случаях дознаватель, следователь, прокурор или суд обеспечивает участие защитника (адвоката) в уголовном судопроизводстве (процессе). </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вышеизложенной информации, подозреваемый, обвиняемый вправе в любой момент производства по уголовному делу, на любой стадии отказаться от помощи защитника. Но в такой отказ допускается только по личной инициативе подозреваемого или обвиняемого. Важно отметить что, при этом отказ от защитника заявляется только в письменном виде. В тех случаях, когда отказ от защитника заявляется во время производства следственных действий, то в таких случаях делается отметка в протоколе данного следственного действия. В тех случаях, когда отказ от защитника (адвоката) не обязателен для дознавателя, следователя, прокурора и суда. Важно отметить, что отказ от защитника не лишает подозреваемого, обвиняемого права в дальнейшем ходатайствовать о допуске защитника к участию в производстве по данному уголовному делу. При этом повторный допуск защитника не влечет за собой повторения обязательных процессуальных действий, которые к этому моменту уже были произведены ранее.</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ст. 53 Уголовно-процессуального кодекса РФ и ст. 6 Федерального закона РФ «Об адвокатуре и адвокатской деятельности» с момента допуска к участию в уголовном деле защитник вправе:</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иметь со своим подзащитным (подозреваемым, обвиняемым) свидания; беспрепятственно встречаться с ним наедине, и в условиях, обеспечивающих конфиденциальность (в том числе в период его содержания под стражей), без ограничения числа таких свиданий и их продолжительности;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собирать и представлять доказательства, необходимые для оказания юридической помощи; в том числе запрашивать справки, характеристики и иные документы от органов государственной власти, органов местного самоуправления, общественных объединений, а также иных организаций, причем указанные органы и организации обязаны в порядке, установленном законом, выдавать адвокату запрошенные им документы или их заверенные копии;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привлекать на договорной основе различного рода специалистов для разъяснения вопросов, связанных с оказанием юридической помощи;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присутствовать при предъявлении своему подзащитному обвинения;</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участвовать в допросе подозреваемого, обвиняемого, а также в иных следственных действиях, производимых с участием подозреваемого, обвиняемого либо по его ходатайству или по ходатайству самого защитника;</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опрашивать лиц, предположительно владеющих информацией, относящейся к делу, по которому защитник оказывает юридическую помощь;</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знакомиться с протоколом задержания, постановлением о применении меры пресечения, протоколами следственных действий, произведенных с участием подозреваемого, обвиняемого, документами, которые предъявлялись либо должны были предъявляться подозреваемому, обвиняемому;</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знакомиться по окончании предварительного расследования со всеми материалами уголовного дела, выписывать из данного уголовного дела любые сведения в любом объеме, снимать за свой счет копии с материалов уголовного дела, в том числе с помощью технических средств; соблюдая при этом государственную и иную охраняемую законом тайну;</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имеет право заявлять различного рода ходатайства и отводы;</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непосредственно участвовать в судебном разбирательстве уголовного дела в судах первой инстанции, второй инстанции и надзорной инстанций, а также в рассмотрении вопросов, связанных с исполнением приговора;</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приносить жалобы на действия (бездействие) и решения дознавателя, следователя, прокурора, суда и участвовать в их рассмотрении судом;</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использовать иные, не запрещенные Уголовно-процессуальным кодексом РФ средства и способы защиты, а также совершать иные действия, не противоречащие положениям законодательства Российской Федерации.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Защитник, участвующий в производстве следственных действий, в рамках оказания юридического содействия своему подзащитному в присутствии следователя проводить краткое юридическое консультирование, задавать с разрешения следователя вопросы допрашиваемому лицу, делать письменные замечания по поводу правильности и полноты записей в протоколе данного следственного действия и т.п. [5] Следователь в свою очередь может отвести вопросы защитника, но при этом он обязан занести отведенные вопросы в протокол. Защитник (адвокат) не вправе разглашать данные предварительного расследования, ставшие ему известными в связи с осуществлением защиты, если он был об этом заранее предупрежден. За разглашение таких данных предварительного расследования защитник несет уже уголовную ответственность. При этом защитник не вправе:</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1) принимать от лица, обратившегося к нему за оказанием юридической помощи, поручение, если оно имеет заведомо незаконный характер;</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2) принимать от лица, обратившегося к нему за оказанием юридической помощи, поручение в случаях, если он: имеет самостоятельный интерес по предмету соглашения с доверителем, отличный от интереса данного лица; участвовал в деле в качестве судьи, третейского судьи или арбитра, посредника, прокурора, следователя, дознавателя, эксперта, специалиста, переводчика, является по данному делу потерпевшим или свидетелем, а также если он являлся должностным лицом, в компетенции которого находилось принятие решения в интересах данного лица; состоит в родственных или семейных отношениях с должностным лицом, которое принимало или принимает участие в расследовании или рассмотрении дела данного лица; оказывает помощь доверителю, интересы которого противоречат интересам данного лица;</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занимать по делу позицию вопреки воле доверителя, за исключением случаев, когда адвокат убежден в наличии самооговора доверителя;</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делать публичные заявления о доказанности вины своего доверителя (обвиняемого, подозреваемого), если тот эту вину отрицает;</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разглашать сведения, сообщенные ему доверителем в связи с оказанием последнему юридической помощи, без согласия доверителя;</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отказываться от принятой на себя защиты.</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Важно отметить, что негласное сотрудничество адвоката с органами, осуществляющими оперативно-розыскную деятельность, тоже запрещается.</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Прямыми обязанностями защитника  являются:</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честно, разумно и добросовестно отстаивать права и законные интересы доверителя всеми не запрещенными законодательством РФ средствами;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исполнять требования закона об обязательном участии адвоката в качестве защитника в уголовном судопроизводстве по назначению органов дознания, органов предварительного следствия, прокурора или суда, а также оказывать юридическую помощь гражданам России бесплатно в иных случаях, предусмотренных законодательством Российской Федерации;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совершенствовать свои знания и повышать свою квалификацию;</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соблюдать кодекс профессиональной этики адвоката и исполнять решения органов адвокатской палаты субъекта Российской Федерации и Федеральной палаты адвокатов Российской Федерации.</w:t>
      </w:r>
    </w:p>
    <w:p w:rsidR="00592BC2" w:rsidRPr="00DA76A7" w:rsidRDefault="00592BC2" w:rsidP="00592BC2">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случаях неисполнения либо ненадлежащего исполнения профессиональных обязанностей защитника, он несет ответственность, предусмотренную законом.</w:t>
      </w:r>
    </w:p>
    <w:p w:rsidR="00592BC2" w:rsidRPr="00DA76A7" w:rsidRDefault="00592BC2" w:rsidP="00592BC2">
      <w:pPr>
        <w:shd w:val="clear" w:color="auto" w:fill="FFFFFF"/>
        <w:ind w:firstLine="567"/>
        <w:jc w:val="both"/>
        <w:rPr>
          <w:rFonts w:ascii="Arial" w:hAnsi="Arial" w:cs="Arial"/>
          <w:b/>
          <w:color w:val="000000" w:themeColor="text1"/>
          <w:sz w:val="22"/>
          <w:szCs w:val="22"/>
        </w:rPr>
      </w:pPr>
      <w:r w:rsidRPr="00DA76A7">
        <w:rPr>
          <w:rFonts w:ascii="Arial" w:hAnsi="Arial" w:cs="Arial"/>
          <w:b/>
          <w:color w:val="000000" w:themeColor="text1"/>
          <w:sz w:val="22"/>
          <w:szCs w:val="22"/>
        </w:rPr>
        <w:t> </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shd w:val="clear" w:color="auto" w:fill="FFFFFF"/>
        </w:rPr>
        <w:t>Список литературы:</w:t>
      </w:r>
    </w:p>
    <w:p w:rsidR="00592BC2" w:rsidRPr="00DA76A7" w:rsidRDefault="00592BC2" w:rsidP="00D45D6B">
      <w:pPr>
        <w:pStyle w:val="a6"/>
        <w:numPr>
          <w:ilvl w:val="0"/>
          <w:numId w:val="147"/>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Конституция Российской Федерации: Принята всенародным голосованием 12 декабря 1993 года. // [электронный ресурс] СПС Консультант +(дата обращения 04.04.2018г.)</w:t>
      </w:r>
    </w:p>
    <w:p w:rsidR="00592BC2" w:rsidRPr="00DA76A7" w:rsidRDefault="00592BC2" w:rsidP="00D45D6B">
      <w:pPr>
        <w:pStyle w:val="a6"/>
        <w:numPr>
          <w:ilvl w:val="0"/>
          <w:numId w:val="147"/>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Уголовный кодекс Российской Федерации № 63-ФЗ от 13 июня 1996 года. - М.: НОРМА-ИНФРА-М, 2017. - 146 с.</w:t>
      </w:r>
    </w:p>
    <w:p w:rsidR="00592BC2" w:rsidRPr="00DA76A7" w:rsidRDefault="00592BC2" w:rsidP="00D45D6B">
      <w:pPr>
        <w:pStyle w:val="a6"/>
        <w:numPr>
          <w:ilvl w:val="0"/>
          <w:numId w:val="147"/>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Уголовно-процессуальный кодекс Российской Федерации № 174-ФЗ от 18 декабря 2001 года. - М.: НОРМА-ИНФРА-М, 2013. - 325 с.</w:t>
      </w:r>
    </w:p>
    <w:p w:rsidR="00592BC2" w:rsidRPr="00DA76A7" w:rsidRDefault="00592BC2" w:rsidP="00D45D6B">
      <w:pPr>
        <w:pStyle w:val="a6"/>
        <w:numPr>
          <w:ilvl w:val="0"/>
          <w:numId w:val="147"/>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Об адвокатской деятельности и адвокатуре в Российской Федерации: Федеральный закон Российской Федерации от 31 мая 2002 года № 63-ФЗ [Электронный ресурс]. - СПС Консультант +(дата обращения 04.04.2018г.)</w:t>
      </w:r>
    </w:p>
    <w:p w:rsidR="00592BC2" w:rsidRPr="00DA76A7" w:rsidRDefault="00592BC2" w:rsidP="00D45D6B">
      <w:pPr>
        <w:pStyle w:val="a6"/>
        <w:numPr>
          <w:ilvl w:val="0"/>
          <w:numId w:val="147"/>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Громов, Н.А. Уголовный процесс России: учебное пособие. - М., 2007. – 215 с.</w:t>
      </w:r>
    </w:p>
    <w:p w:rsidR="00592BC2" w:rsidRPr="00DA76A7" w:rsidRDefault="00592BC2" w:rsidP="00D45D6B">
      <w:pPr>
        <w:pStyle w:val="a6"/>
        <w:numPr>
          <w:ilvl w:val="0"/>
          <w:numId w:val="147"/>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Комментарий к Уголовно-процессуальному кодексу РФ / под ред. В.И. Радченко. - М., 2009. - 312 с.</w:t>
      </w:r>
    </w:p>
    <w:p w:rsidR="00592BC2" w:rsidRPr="00DA76A7" w:rsidRDefault="00592BC2" w:rsidP="00D45D6B">
      <w:pPr>
        <w:pStyle w:val="a6"/>
        <w:numPr>
          <w:ilvl w:val="0"/>
          <w:numId w:val="147"/>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Комментарий к уголовно-процессуальному кодексу российской федерации по состоянию на 30 июля 2010 года. - М.: Эксмо, 2010.- 322 с.</w:t>
      </w:r>
    </w:p>
    <w:p w:rsidR="00592BC2" w:rsidRPr="00DA76A7" w:rsidRDefault="00592BC2" w:rsidP="00D45D6B">
      <w:pPr>
        <w:pStyle w:val="a6"/>
        <w:numPr>
          <w:ilvl w:val="0"/>
          <w:numId w:val="14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Рыжаков, А.П. Уголовный процесс: учебник для юридических вузов. - М., 2006. – 378 с.</w:t>
      </w:r>
    </w:p>
    <w:p w:rsidR="00592BC2" w:rsidRPr="00DA76A7" w:rsidRDefault="00592BC2" w:rsidP="00D45D6B">
      <w:pPr>
        <w:pStyle w:val="a6"/>
        <w:numPr>
          <w:ilvl w:val="0"/>
          <w:numId w:val="14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Уголовный процесс России: учебное пособие/ под ред. З.Ф. Ковриги и Н.П. Кузнецова. - М., 2007.- 346 с.</w:t>
      </w:r>
    </w:p>
    <w:p w:rsidR="00592BC2" w:rsidRPr="00DA76A7" w:rsidRDefault="00592BC2" w:rsidP="00D45D6B">
      <w:pPr>
        <w:pStyle w:val="a6"/>
        <w:numPr>
          <w:ilvl w:val="0"/>
          <w:numId w:val="14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Уголовно-процессуальное право РФ: учебник / отв. ред. П.А. Лупинская. - М., 2007.-224 с.</w:t>
      </w:r>
    </w:p>
    <w:p w:rsidR="00592BC2" w:rsidRPr="00DA76A7" w:rsidRDefault="00592BC2" w:rsidP="00592BC2">
      <w:pPr>
        <w:ind w:firstLine="567"/>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ПРОБЛЕМЫ КРИМИНАЛИСТИЧЕСКОГО ИССЛЕДОВАНИЯ ПИСЬМА И ИСПОЛЬЗОВАНИЯ ЕГО РЕЗУЛЬТАТОВ В РАСКРЫТИИ И РАССЛЕДОВАНИИ </w:t>
      </w:r>
      <w:r w:rsidR="008840CA" w:rsidRPr="00DA76A7">
        <w:rPr>
          <w:rFonts w:ascii="Arial" w:hAnsi="Arial" w:cs="Arial"/>
          <w:b/>
          <w:color w:val="000000" w:themeColor="text1"/>
          <w:sz w:val="22"/>
          <w:szCs w:val="22"/>
        </w:rPr>
        <w:t>ПРЕСТУПЛЕНИЙ</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Мамадгариева Альбина Рустамовна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4-го курса 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+992501254926,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albina</w:t>
      </w:r>
      <w:r w:rsidRPr="00DA76A7">
        <w:rPr>
          <w:rFonts w:ascii="Arial" w:hAnsi="Arial" w:cs="Arial"/>
          <w:color w:val="000000" w:themeColor="text1"/>
          <w:sz w:val="22"/>
          <w:szCs w:val="22"/>
        </w:rPr>
        <w:t>_</w:t>
      </w:r>
      <w:r w:rsidRPr="00DA76A7">
        <w:rPr>
          <w:rFonts w:ascii="Arial" w:hAnsi="Arial" w:cs="Arial"/>
          <w:color w:val="000000" w:themeColor="text1"/>
          <w:sz w:val="22"/>
          <w:szCs w:val="22"/>
          <w:lang w:val="en-US"/>
        </w:rPr>
        <w:t>angel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bk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jc w:val="center"/>
        <w:rPr>
          <w:rFonts w:ascii="Arial" w:hAnsi="Arial" w:cs="Arial"/>
          <w:b/>
          <w:color w:val="000000" w:themeColor="text1"/>
          <w:sz w:val="22"/>
          <w:szCs w:val="22"/>
        </w:rPr>
      </w:pPr>
    </w:p>
    <w:p w:rsidR="00592BC2" w:rsidRPr="005D1C4B"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PROBLEMS OF FORENSIC INVESTIGATION OF THE LETTER AND THE USE OF ITS RESULTS IN THE DISCLOSURE </w:t>
      </w:r>
      <w:r w:rsidR="008840CA" w:rsidRPr="00DA76A7">
        <w:rPr>
          <w:rFonts w:ascii="Arial" w:hAnsi="Arial" w:cs="Arial"/>
          <w:b/>
          <w:color w:val="000000" w:themeColor="text1"/>
          <w:sz w:val="22"/>
          <w:szCs w:val="22"/>
          <w:lang w:val="en-US"/>
        </w:rPr>
        <w:t>AND INVESTIGATION OF CRIMES</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Mamadgarieva Albina Rustamovna</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of the 4th year full-time department of the law faculty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Tel.: +992501254926, e-mail: albina_angel@bk.ru</w:t>
      </w:r>
    </w:p>
    <w:p w:rsidR="00592BC2" w:rsidRPr="00DA76A7" w:rsidRDefault="00592BC2" w:rsidP="00592BC2">
      <w:pPr>
        <w:ind w:firstLine="567"/>
        <w:jc w:val="center"/>
        <w:rPr>
          <w:rFonts w:ascii="Arial" w:hAnsi="Arial" w:cs="Arial"/>
          <w:b/>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ст. преподаватель Парфёнов А. А.</w:t>
      </w:r>
    </w:p>
    <w:p w:rsidR="00592BC2" w:rsidRPr="00DA76A7" w:rsidRDefault="00592BC2" w:rsidP="00592BC2">
      <w:pPr>
        <w:ind w:firstLine="567"/>
        <w:jc w:val="both"/>
        <w:rPr>
          <w:rFonts w:ascii="Arial" w:hAnsi="Arial" w:cs="Arial"/>
          <w:b/>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настоящей статье рассматриваются проблемы криминалистического исследования письма и использования его результатов в раскрытии и расследовании преступлений, в частности возможности судебно-почерковедческой и автороведческой экспертизы.</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examines the problems of forensic investigation of the letter and the use of its results in the disclosure and investigation of crimes, in particular, the possibilities of forensic handwriting and expert examination.</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криминалистического исследования письма, почерк, судебное почерковедение, автороведение.</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forensic investigation of letters, handwriting, judicial handwriting, authorship.</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значительное количество преступлений, связано с подложными документами. Нередко преступники используют технически сложные приемы для придания документам вида настоящих с целью сокрытия их подделки, например, выполняют рукописные записи с подражанием почерку другого лица. Современная криминалистика содержит множество отраслей, позволяющих ей содействовать государственным органам в предотвращении, расследовании и раскрытии преступлений. При этом, большое значение имеет такая отрасль криминалистической техники, как криминалистическое исследование письма. Однако, в настоящее время существуют как теоретические, так и практические проблемы, связанные с данной отраслью.</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Криминалистическое исследование письма в недавнем прошлом охватывало обе стороны целостной системы письма - смысловую и графическую. В свое время С.М. Потапов отмечал: «Будучи связан со смысловым и целевым назначением документа, почерк не может быть изучен для идентификации в отрыве от содержания письма и условий его воспроизведения» [17, 80].</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наши дни исследование письменной речи стало отдельным видом судебно-автороведческой экспертизы, что следует признать правильным. Устанавливая исполнителя, эксперты-почерковеды в большинстве случаев используют методы графического использования почерка. Осторожность в применении в данном случае метода исследования письменной речи во многом объясняется, помимо прочего, и сомнением в целесообразности изучения его смысловой стороны из-за неуверенности в тождестве автора и исполнителя документа. Мы считаем, что в этом есть доля истины. Действительно, исполнителем и автором иногда бывают разные лица, поскольку исследуемые тексты могут быть переписаны или выполнены под диктовку другим лицом. Но, как показывает экспертная практика, такие случаи очень редки. Вместе с тем, поскольку они все-таки встречаются, первоочередной вопрос, который должен стоять перед экспертом при исследовании рукописного текста - являются ли автор исполнитель текста одним лицом. И только после этого можно формулировать вывод как об авторе исследуемого документа, так и его исполнителе. В связи с этим и сегодня не потеряло значения утверждение А.И. Винберга о том, что «ни один из признаков письма не является «лучшим», по сравнению с которым другие «худшие». Действительно, мы заранее не можем предопределить преимущественное значение ни одного из признаков исследования, ибо их значимость будет зависеть от конкретного дела. В одном деле решающее значение приобретают стиль и орфография (например, в анонимном письме), в другом - признаки почерка (например, при сравнительном исследовании подписей), в третьем - и те, и другие признаки» [5, 348].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Исследование почерка в современной криминалистике является одной из важнейших и актуальных задач, т.к. в настоящее время все чаще преступники отказываются от таких грубых средств аргументации как нож, пистолет или окровавленный топор и переходят к более цивилизованным методам, позволяющим с меньшими затратами энергии и минимальным риском получать гораздо больший эффект от своих действий. Для того, чтобы выразить общую мысль, стоит воспользоваться весьма выразительной и точной по формулировке цитатой: «Зачем взламывать сейф, когда можно получить его содержимое одним грамотным росчерком пера» [10, 231].</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Научные и экспериментальные исследования, обобщение практики, многолетний опыт проведения судебно-почерковедческих экспертиз позволили отечественным криминалистам не только сформулировать теоретические основы, но и разработать научно обоснованные и эффективно действующие методики экспертизы почерка.</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Уровень современного отечественного почерковедения таков, что методики экспертизы обеспечивают надежное решение ее идентификационных задач, связанных с исследованием текстов большого и среднего объемов. Общая методика судебно-почерковедческой экспертизы располагает довольно жироким арсеналом разнообразных частных методик традиционных (качественно-описательных) и модельных (количественных, основанных на математическом, вероятностном моделировании). К последним относятся так называемые модельные методы оценки совпадений признаков почерка с учетом групповой принадлежности по строению в текстах и «смешанных» (буквенных и цифровых) записях; оценки различий признаков при исследовании сходных почерков; дифференциация высоковыработанных почерков по степени совершенства системы движений и т.д. </w:t>
      </w:r>
      <w:r w:rsidRPr="00DA76A7">
        <w:rPr>
          <w:rFonts w:ascii="Arial" w:hAnsi="Arial" w:cs="Arial"/>
          <w:color w:val="000000" w:themeColor="text1"/>
          <w:sz w:val="22"/>
          <w:szCs w:val="22"/>
        </w:rPr>
        <w:t>[18, 11]</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Для исследования текстов, выполненных намеренно измененным почерком (скорописным способом), определения пола и возраста пишущего, производится судебно-почерковедческая экспертиза с применением математических методов и электронно-вычислительной техники.</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К сожалению, в Республике Таджикистан пока ограничены возможности методики судебно-почерковедческой экспертизы в отношении малообъемных почерковых объектов (подписей, кратких записей). В экспертной практике встречаются случаи, когда перед экспертом ставятся заведомо неразрешимые задачи, например, кем из нескольких подозреваемых выполнены цифры «1», «4»; кем изменена цифра «3» на цифру «8» и т.д. Применительно к подобным случаям объекты исследования настолько кратки и просты, что выявить в них индивидуальную совокупность признаков почерка исполнителя невозможно.</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Современной криминалистической наукой разработаны количественные методы определения априорной информативности подписи (для установления объема почерковой информации, которая содержится в объекте, до проведения сравнительного исследования образцов), исследования нажима, ширины штриха кратких и простых подписей. Указанные методы используются для повышения надежности и обоснованности выводов.</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В последнее время разработаны методики исследования буквенных, цифровых записей ограниченного объема, установления факта выполнения рукописи лицом пожилого и старческого возраста. Создана методика криминалистического исследования подписей, выполненных от имени лиц пожилого и старческого возраста </w:t>
      </w:r>
      <w:r w:rsidRPr="00DA76A7">
        <w:rPr>
          <w:rFonts w:ascii="Arial" w:hAnsi="Arial" w:cs="Arial"/>
          <w:color w:val="000000" w:themeColor="text1"/>
          <w:sz w:val="22"/>
          <w:szCs w:val="22"/>
        </w:rPr>
        <w:t>[2, 12]</w:t>
      </w:r>
      <w:r w:rsidRPr="00DA76A7">
        <w:rPr>
          <w:rFonts w:ascii="Arial" w:hAnsi="Arial" w:cs="Arial"/>
          <w:bCs/>
          <w:color w:val="000000" w:themeColor="text1"/>
          <w:sz w:val="22"/>
          <w:szCs w:val="22"/>
        </w:rPr>
        <w:t>.</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Завершается работа по созданию комплексной методики, расширяющей возможности и повышающей надежность экспертизы подписей </w:t>
      </w:r>
      <w:r w:rsidRPr="00DA76A7">
        <w:rPr>
          <w:rFonts w:ascii="Arial" w:hAnsi="Arial" w:cs="Arial"/>
          <w:color w:val="000000" w:themeColor="text1"/>
          <w:sz w:val="22"/>
          <w:szCs w:val="22"/>
        </w:rPr>
        <w:t>[20, 10-14]</w:t>
      </w:r>
      <w:r w:rsidRPr="00DA76A7">
        <w:rPr>
          <w:rFonts w:ascii="Arial" w:hAnsi="Arial" w:cs="Arial"/>
          <w:bCs/>
          <w:color w:val="000000" w:themeColor="text1"/>
          <w:sz w:val="22"/>
          <w:szCs w:val="22"/>
        </w:rPr>
        <w:t>.</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Продолжаются разработки проблемы установления зависимости между признаками почерка и свойствами личности </w:t>
      </w:r>
      <w:r w:rsidRPr="00DA76A7">
        <w:rPr>
          <w:rFonts w:ascii="Arial" w:hAnsi="Arial" w:cs="Arial"/>
          <w:color w:val="000000" w:themeColor="text1"/>
          <w:sz w:val="22"/>
          <w:szCs w:val="22"/>
        </w:rPr>
        <w:t>[23, 125-130]</w:t>
      </w:r>
      <w:r w:rsidRPr="00DA76A7">
        <w:rPr>
          <w:rFonts w:ascii="Arial" w:hAnsi="Arial" w:cs="Arial"/>
          <w:bCs/>
          <w:color w:val="000000" w:themeColor="text1"/>
          <w:sz w:val="22"/>
          <w:szCs w:val="22"/>
        </w:rPr>
        <w:t>.</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Научную основу судебно-автороведческой экспертизы составляет система знаний об условиях и закономерностях речевого поведения человека, определяющих индивидуальность, динамическую устойчивость его письменной речи, и об </w:t>
      </w:r>
      <w:r w:rsidRPr="00DA76A7">
        <w:rPr>
          <w:rFonts w:ascii="Arial" w:hAnsi="Arial" w:cs="Arial"/>
          <w:color w:val="000000" w:themeColor="text1"/>
          <w:sz w:val="22"/>
          <w:szCs w:val="22"/>
        </w:rPr>
        <w:t>установлении фактических данных о личности автора при исследовании текста документа и иных материалов уголовного дела [16, 471]</w:t>
      </w:r>
      <w:r w:rsidRPr="00DA76A7">
        <w:rPr>
          <w:rFonts w:ascii="Arial" w:hAnsi="Arial" w:cs="Arial"/>
          <w:bCs/>
          <w:color w:val="000000" w:themeColor="text1"/>
          <w:sz w:val="22"/>
          <w:szCs w:val="22"/>
        </w:rPr>
        <w:t>.</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Как отмечает О.К. Дамбраускайте, судебное автороведение как система знаний формируется и развивается на основе трансформации данных отраслевых наук - преимущественно лингвистики, психолингвистики, психологии, социолингвистики, а также путем собственно автороведческих экспериментально-теоретических исследований </w:t>
      </w:r>
      <w:r w:rsidRPr="00DA76A7">
        <w:rPr>
          <w:rFonts w:ascii="Arial" w:hAnsi="Arial" w:cs="Arial"/>
          <w:color w:val="000000" w:themeColor="text1"/>
          <w:sz w:val="22"/>
          <w:szCs w:val="22"/>
        </w:rPr>
        <w:t>[8, 59].</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В настоящее время разработаны теоретические и методические основы идентификационной судебно-автороведческой экспертизы письменной речи. В последние годы получены теоретические решения классификационно-диагностических задач, связанных с установлением ряда социально-биографических характеристик автора документа </w:t>
      </w:r>
      <w:r w:rsidRPr="00DA76A7">
        <w:rPr>
          <w:rFonts w:ascii="Arial" w:hAnsi="Arial" w:cs="Arial"/>
          <w:color w:val="000000" w:themeColor="text1"/>
          <w:sz w:val="22"/>
          <w:szCs w:val="22"/>
        </w:rPr>
        <w:t>[12, 74-78]</w:t>
      </w:r>
      <w:r w:rsidRPr="00DA76A7">
        <w:rPr>
          <w:rFonts w:ascii="Arial" w:hAnsi="Arial" w:cs="Arial"/>
          <w:bCs/>
          <w:color w:val="000000" w:themeColor="text1"/>
          <w:sz w:val="22"/>
          <w:szCs w:val="22"/>
        </w:rPr>
        <w:t xml:space="preserve">. Диагностические методики решения вопросов о родном языке автора документа, выполненного на русском языке, прошли апробацию и успешно внедряются в экспертную практику. Завершена разработка методик установления образовательного уровня автора документа, а также методики решения вопросов о месте формирования языковых навыков автора документа </w:t>
      </w:r>
      <w:r w:rsidRPr="00DA76A7">
        <w:rPr>
          <w:rFonts w:ascii="Arial" w:hAnsi="Arial" w:cs="Arial"/>
          <w:color w:val="000000" w:themeColor="text1"/>
          <w:sz w:val="22"/>
          <w:szCs w:val="22"/>
        </w:rPr>
        <w:t>[3, 9]</w:t>
      </w:r>
      <w:r w:rsidRPr="00DA76A7">
        <w:rPr>
          <w:rFonts w:ascii="Arial" w:hAnsi="Arial" w:cs="Arial"/>
          <w:bCs/>
          <w:color w:val="000000" w:themeColor="text1"/>
          <w:sz w:val="22"/>
          <w:szCs w:val="22"/>
        </w:rPr>
        <w:t>.</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Нам представляется, что возможности методики судебно-автороведческой экспертизы определяются, с одной стороны, объемом и характером материалов, представляемых на исследование, а с другой - научно-исследовательским потенциалом, разрешающей способностью методики.</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При этом, возможности методики судебно-автороведческой экспертизы значительно расширяются в связи с внедрением в экспертную практику количественных методов исследования. Так, использование методики статистического анализа общих признаков языковых навыков письменной речи позволяет в ряде случаев на основе количественных критериев в категорической форме отрицать тождество автора сравниваемых текстов или устанавливать факт намеренного искажения письменной речи.</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Особенно перспективными в настоящее время, на наш взгляд являются исследования по разработке специальных методик идентификации автора документа с использованием современных компьютерных технологий, статистических и математических методов анализа.</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При этом, как отмечает Р.Н. Боровских, ведутся исследования по выявлению особенностей методики идентификации автора, обусловленных спецификой национального языка, на котором выполнен текст документа </w:t>
      </w:r>
      <w:r w:rsidRPr="00DA76A7">
        <w:rPr>
          <w:rFonts w:ascii="Arial" w:hAnsi="Arial" w:cs="Arial"/>
          <w:color w:val="000000" w:themeColor="text1"/>
          <w:sz w:val="22"/>
          <w:szCs w:val="22"/>
        </w:rPr>
        <w:t>[4, 12-16]</w:t>
      </w:r>
      <w:r w:rsidRPr="00DA76A7">
        <w:rPr>
          <w:rFonts w:ascii="Arial" w:hAnsi="Arial" w:cs="Arial"/>
          <w:bCs/>
          <w:color w:val="000000" w:themeColor="text1"/>
          <w:sz w:val="22"/>
          <w:szCs w:val="22"/>
        </w:rPr>
        <w:t xml:space="preserve">. Разрабатываются частные диагностические методики решения вопросов о родном языке автора документа, выполненного на русском и таджикском языке; о месте формирования языковых навыков автора документа, выполненного на национальном языке </w:t>
      </w:r>
      <w:r w:rsidRPr="00DA76A7">
        <w:rPr>
          <w:rFonts w:ascii="Arial" w:hAnsi="Arial" w:cs="Arial"/>
          <w:color w:val="000000" w:themeColor="text1"/>
          <w:sz w:val="22"/>
          <w:szCs w:val="22"/>
        </w:rPr>
        <w:t>[25, 245-255]</w:t>
      </w:r>
      <w:r w:rsidRPr="00DA76A7">
        <w:rPr>
          <w:rFonts w:ascii="Arial" w:hAnsi="Arial" w:cs="Arial"/>
          <w:bCs/>
          <w:color w:val="000000" w:themeColor="text1"/>
          <w:sz w:val="22"/>
          <w:szCs w:val="22"/>
        </w:rPr>
        <w:t xml:space="preserve">. Продолжается разработка методик решения вопросов об иных социальных и биографических характеристиках автора (его половой принадлежности, возрасте, профессии), а также вопросов, связанных с установлением ситуативных факторов письменного общения </w:t>
      </w:r>
      <w:r w:rsidRPr="00DA76A7">
        <w:rPr>
          <w:rFonts w:ascii="Arial" w:hAnsi="Arial" w:cs="Arial"/>
          <w:color w:val="000000" w:themeColor="text1"/>
          <w:sz w:val="22"/>
          <w:szCs w:val="22"/>
        </w:rPr>
        <w:t>[7, 113]</w:t>
      </w:r>
      <w:r w:rsidRPr="00DA76A7">
        <w:rPr>
          <w:rFonts w:ascii="Arial" w:hAnsi="Arial" w:cs="Arial"/>
          <w:bCs/>
          <w:color w:val="000000" w:themeColor="text1"/>
          <w:sz w:val="22"/>
          <w:szCs w:val="22"/>
        </w:rPr>
        <w:t>.</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Вышеназванные исследования, несмотря на различие или схожесть подходов, представляют интерес, прежде всего в плане используемых методов. Все эти исследования позволяют глубже понять суть судебного почерковедения или криминалистического исследовании письма, которое состоит в сравнительном исследовании признаков письма, отобразившихся в документе, исполнитель которого неизвестен или вызывает сомнения, и признаков письма, имеющихся в образцах, написанных лицами, подозреваемыми в исполнении этого документа </w:t>
      </w:r>
      <w:r w:rsidRPr="00DA76A7">
        <w:rPr>
          <w:rFonts w:ascii="Arial" w:hAnsi="Arial" w:cs="Arial"/>
          <w:color w:val="000000" w:themeColor="text1"/>
          <w:sz w:val="22"/>
          <w:szCs w:val="22"/>
        </w:rPr>
        <w:t>[21, 35].</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При этом, особое внимание необходимо обратить на то обстоятельство, что при написании документа, автоматизм письма ярко выражен лишь до тех пор, пока он выполняется в привычных (стереотипных) условиях. В случае резкого изменения условий письма (его целевой установки, физических и психологических нагрузок, преднамеренное искажение письменной речи и почерка) приводят к прекращению или ослаблению автоматизированности письма, так как оно выполняется под усиленным контролем сознания. Но ввиду непродолжительности этих факторов, устоявшаяся манера письма не исчезает и лишь временно «притупляется». Когда привычные условия восстанавливаются автоматизация навыка вновь «просыпается» </w:t>
      </w:r>
      <w:r w:rsidRPr="00DA76A7">
        <w:rPr>
          <w:rFonts w:ascii="Arial" w:hAnsi="Arial" w:cs="Arial"/>
          <w:color w:val="000000" w:themeColor="text1"/>
          <w:sz w:val="22"/>
          <w:szCs w:val="22"/>
        </w:rPr>
        <w:t>[15, 87]</w:t>
      </w:r>
      <w:r w:rsidRPr="00DA76A7">
        <w:rPr>
          <w:rFonts w:ascii="Arial" w:hAnsi="Arial" w:cs="Arial"/>
          <w:bCs/>
          <w:color w:val="000000" w:themeColor="text1"/>
          <w:sz w:val="22"/>
          <w:szCs w:val="22"/>
        </w:rPr>
        <w:t>. При этом, многочисленные исследования показывают, что этот феномен наблюдается даже при попытках сознательного изменения почерка и письменной речи, а собственные навыки, закрепленные выработавшимся стереотипом, остаются и оказывают влияние на процесс создания документа.</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В исследуемой проблематике, центральным вопросом становится понимание понятия «почерк», под которым мы понимаем индивидуальную и динамически устойчивую программу графической техники письма, в основе которой лежит зрительно-двигательный образ выполнения рукописи, реализуемой с помощью системы движений. Следует также отметить, что такие существенные свойства почерка, как индивидуальность и устойчивость, являются предметом изучения только криминалистической области знаний.</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Из этого, однако, нельзя сделать вывод о том, что почерк того или иного человека является абсолютно постоянным. Естественные изменения почерка вызываются физическим и психическим состоянием конкретного лица, характером трудовой деятельности и иными причинами, а также конкретными условиями выполнения документа (целевым назначением документа, состоянием, положением пишущего, материалами и принадлежности письма и т.д.). Но все эти отклонения, как бы велики они ни были, остаются относительными. Поэтому, как отмечает С.М. Вул, каждый почерк при любых изменениях остается индивидуальным, сохраняет присущую данному лицу в его период его жизни совокупность признаков, достаточных для графической идентификации </w:t>
      </w:r>
      <w:r w:rsidRPr="00DA76A7">
        <w:rPr>
          <w:rFonts w:ascii="Arial" w:hAnsi="Arial" w:cs="Arial"/>
          <w:color w:val="000000" w:themeColor="text1"/>
          <w:sz w:val="22"/>
          <w:szCs w:val="22"/>
        </w:rPr>
        <w:t>[6, 84]</w:t>
      </w:r>
      <w:r w:rsidRPr="00DA76A7">
        <w:rPr>
          <w:rFonts w:ascii="Arial" w:hAnsi="Arial" w:cs="Arial"/>
          <w:bCs/>
          <w:color w:val="000000" w:themeColor="text1"/>
          <w:sz w:val="22"/>
          <w:szCs w:val="22"/>
        </w:rPr>
        <w:t>.</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Наряду с рукописями, выполненными пишущим в привычных для него условиях, экспертам приходится исследовать документы, исполненные лицом при наличии обстоятельств, вызывающих нарушение привычного процесса письма: необычная поза пишущего и материал письма, необычное состояние пишущего. Непривычные условия выполнения рукописи вызывают изменения признаков письма. Эти изменения могут приобрести характер вариантов признаков, если письмо в определенных необычных условиях повторяется и пишущий к ним приспосабливается </w:t>
      </w:r>
      <w:r w:rsidRPr="00DA76A7">
        <w:rPr>
          <w:rFonts w:ascii="Arial" w:hAnsi="Arial" w:cs="Arial"/>
          <w:color w:val="000000" w:themeColor="text1"/>
          <w:sz w:val="22"/>
          <w:szCs w:val="22"/>
        </w:rPr>
        <w:t>[9, 48-51]</w:t>
      </w:r>
      <w:r w:rsidRPr="00DA76A7">
        <w:rPr>
          <w:rFonts w:ascii="Arial" w:hAnsi="Arial" w:cs="Arial"/>
          <w:bCs/>
          <w:color w:val="000000" w:themeColor="text1"/>
          <w:sz w:val="22"/>
          <w:szCs w:val="22"/>
        </w:rPr>
        <w:t>.</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Таким образом, степень влияния различных факторов на механизм письма может быть неодинаковой, и в соответствии с этим объем изменений признаков в рукописи оказывается большим или меньшим. Поэтому правильно решить вопросы, поставленные перед судебой экспертизой, можно только в том случае, если эксперту известны, во-первых, методика исследования рукописей с целью установления условий их выполнения, во-вторых, изменения и характерные признаки, появившиеся в рукописи и свидетельствующие об отклонении от нормы.</w:t>
      </w:r>
    </w:p>
    <w:p w:rsidR="00592BC2" w:rsidRPr="00DA76A7" w:rsidRDefault="00592BC2" w:rsidP="00592BC2">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Так, для того чтобы успешно ответить на вопрос, не был ли выполнен исследуемый текст в каком-либо измененном состоянии или условии (состояние возбуждения, в какой-то непривычной позе и др.), эксперт должен знать характер и объем изменяющихся признаков в зависимости от определенных условий, а также на основании их знания в некоторых случаях исключить условия, сходные по характеризующим их признакам с проверяемым условием.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Знание признаков помогает эксперту обнаружить в рукописи типичные для конкретного случая изменения и установить, что они вызваны необычным условием ее выполнения. Отсутствие изменений признаков, которые обязательно должны были быть, если бы рукопись выполнялась под влиянием определенных условий, позволит отрицать факт исполнения документа в каких-то необычных условиях.</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Степень изменения признаков письма под влиянием различных непривычных условий у разных людей также неодинакова. Различный характер воздействия «сбивающих» обстоятельств, неодинаковая степень их влияния и изменения признаков у различных лиц нередко вызывают затруднение при производстве экспертиз [22, 212-218].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Оценка результатов сравнительного исследования является наиболее сложной стадией, так как здесь требуется принять окончательное решение на основе полученных результатов сравнительного исследования. На этой стадии оцениваются уже ее не отдельно взятые признаки, а их совокупности. Оцениваются как совпадения, так и различия и определяется, какие из них более существенны. Если существенна совокупность совпадающих признаков, эксперт должен оценить, является ли она индивидуальной т.е. присущей только одному лицу. Число совпадающих признаков, необходимых для признания совокупности индивидуальной, может быть разным в разных случаях идентификации, так как это зависит от частоты встречаемости признаков [19, 14].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Оценка индивидуальности выявленной совокупности признаков, экспертом производится чаще всего на основе аудитивного подхода, т.е. профессиональных знаний и опыта. Но дать такую оценку значительно сложнее, чем, например, оценку частоты встречаемости отдельного признака. Поэтому, как отмечает С.Б. Шашкин и П.В. Бондаренко, особенно важны качество и объем профессиональных знаний, опыта и другие личностные данные эксперта [24, 37]. Если оценка частоты встречаемости производилась с помощью количественных коэффициентов, то и оценка индивидуальной совокупности признаков почерка может быть определена количественно. С помощью вероятностно-статистическго метода устанавливается величина степени вероятности выполнения текста именно данным лицом [14, 45].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литературе по судебному почерковедению содержатся таблицы с коэффициентами значимостей частоты встречаемости частных признаков, а также таблицы для заглавных и строчных букв. При этом, методики определения значимостей признаков и суммарной значимости выявленной совокупности, очень просты и могут быть использованы юристом при оценке обоснованности выводов. Приведем пример, идентификационная значимость выявленных совпадающих заглавных букв определяется следующим образом: отыскиваются в таблице выделенные экспертом информативные признаки, при этом порядок описания в заключении признаков должен быть выполнен в строгой последовательности: строение букв в целом, форма, направление, протяженность, вид соединения, количество, последовательность движений и относительное размещение букв и их частей. В зависимости от того, какой пол исполнителя или он неизвестен вообще, представлены три таблицы идентификационных значимостей признаков. Категорический положительный вывод будет обоснован в том случае, если суммарная идентификационная значимость равна 10 единицам и более. Положительной стороной данной методики является также то, что в ней определен так называемый доверительный уровень, т.е. та вероятностная величина, которая в представительной выборке, значимой при расследовании уголовных дел, граничит с достоверностью. Это позволяет использовать вероятностные выводы в уголовно-процессуальном доказывании, которое все еще остается на качественном уровне [13, 245].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случае намеренного изменения почерка искажению подвергаются главным образом общие и тесно связанные с ними частные признаки. Тем не менее полностью изменить свой почерк пишущему не удается, в нем в достаточной для идентификации степени отображаются частные признаки почерка. Виды намеренного изменения почерка различают по способу маскировки и его разновидностям: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Изменение наклона - в большинстве случаев наклон письменных знаков меняется с правого на левый или на вертикальное положена реже - с вертикального положения или левого наклона на правый. Это снижает уровень координации движений, изменяет разгон, связность и частные признаки почерка.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Изменение общих признаков и сочетаний, т.е. размера букв и их элементов. При увеличении размера букв уменьшается разгон; при уменьшении размера - почерк становится более размашистым.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Изменение строения и частных признаков т.е. конструктивной сложности почерка и других сопутствующих этому общих и частных признаков.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Перемена пишущей руки (непривычное леворучное письмо). Леворучный почерк при отсутствии навыков представляет собой своеобразно искаженный (в большей или меньшей степени) обычный почерк: изломы овальных и вертикальных штрихов, неравномерность расположения букв относительно горизонтальной строки. В этом случае на экспертизу представляются образцы, выполненные как правой, так и левой рукой.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5. Подражание буквам печатной формы, или стилизованное письмо (письмо специальными шрифтами). В этом случае наблюдается замедленный темп, отсутствуют признаки скорописи.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Подражание маловыработонному почерку, сопровождается снижением степени автоматизма движений, частичным нарушением привычной координации и замедлением темпа, значительным упрощением строения письменных знаков. Внешне рукопись кажется выполненной малограмотным.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Подражание школьным прописям. Наблюдается замедленный темп исполнения, нарушение координации движений и др.</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Подражание почерку другого лица, путем срисовывания или по памяти. При срисовывании замедляется темп письма, возникают немотивированные остановки, искривление штрихов, различие точек начала и окончания движений при выполнении отдельных элементов и др. Подражание почерку другого лица по памяти влечет за собой совпадение лишь отдельных общих признаков и различие в частных [14, 118].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основании вышеизложенного, мы приходим к выводу о том, что выявление специфических особенностей намеренного изменения почерка является тем основанием, на котором строятся все остальные аспекты почерковедческой экспертизы. При этом, любое заключение эксперта-почерковеда и автороведа независимо от характера его выводов должно быть оценено как следователем, так и судом. Основное содержание оценки этого заключения состоит в определении научной обоснованности и достоверности выводов эксперта, а также их доказательственного значения для конкретного дела. Такая оценка, в соответствии с ч. 1 ст. 88 Уголовно-процессуального кодекса Республики Таджикистан [1] (далее по тексту – УПК РТ), проводится следователем, дознавателем, прокурором и судом, по внутреннему убеждению, основанному на всестороннем, полном и объективном рассмотрении всех обстоятельств дела в их совокупности, руководствуясь законом и правосознанием.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Основываясь на проведенном нами исследовании, мы считаем необходимым сделать ряд частных выводов: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Мы считаем, что оценка заключения эксперта-почерковеда и автороведа должна делиться на две взаимосвязанные части: первая заключается в тщательной, всесторонней и объективной проверке следователем, дознавателем, прокурором и судом научной обоснованности, мотивированности заключения эксперта, достоверности его выводов, а вторая - в определении ценности, значимости фактов, содержащихся в заключении эксперта, установлении их доказательственной силы, отношения, связи с другими собранными по делу доказательствами. При этом, фактические данные, содержащиеся в заключении эксперта-почерковеда, как и любые другие доказательства, не имеют заранее установленной силы. Их доказательственное значение зависит от конкретных обстоятельств дела, отношения к фактам, подлежащим доказыванию этими данными, степени категоричности выводов, наличия других доказательств, подтверждающих или опровергающих выводы эксперта.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Мы также убеждены в том, что следователь, дознаватель, прокурор и суд должны оценивать заключение эксперта-почерковеда, не только на основании вышеизложенного, но и исходя из общих предпосылок судебного почерковедения и научных основ судебно-почерковедческой экспертизы, что позволит им правильно определить возможности экспертизы на современном уровне ее развития, проверить научную обоснованность и мотивированность заключения, опираясь на существующую методику и технику, а также технико-криминалистические средства экспертного исследования.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По нашему мнению, оценка заключения эксперта-почерковеда следователем, дознавателем, прокурором и судом должна проводиться методами логического анализа и синтеза, сопоставления отдельных частей заключения между собой и с выводами эксперта, а также сравнения заключения с другими источниками доказательств, относящихся к тем же обстоятельствам дела, что и заключение эксперта-почерковеда. Наряду с этим необходимо отметить и то обстоятельство, что, изучая и оценивая фактическую, логическую, методическую, грамматическую и иллюстрационную стороны заключения, следователь, дознаватель, прокурор и суд могут тщательно, всесторонне и объективно проверить, и оценить заключение эксперта-почерковеда.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Вместе с тем, исходя из вышеизложенного, следует подчеркнуть, что криминалистическое исследование письменной речи далеко не ограничивается установлением исполнителя документа. Более того, перечисленные в данной статье методы тоже не исчерпывают возможностей науки.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Существует множество иных методик изучения письменных документов, и на наш взгляд, из неописанных здесь возможностей криминалистического почерковедения наибольший интерес представляет вероятно-статистический метод исследования письма, который предлагает эксперту-криминалисту мощный инструмент для исследования измененного почерка. Но то обстоятельство, что данная проблема является предметом самостоятельного исследования, выходящего за рамки нашей статьи, мы ограничились кратким обзором. Однако необходимо учитывать, что данная отрасль криминалистики имеет в себе огромный потенциал для разработки новых методик исследования рукописных документов, поскольку письмо не менее индивидуально, чем рисунок папиллярных линий.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Мы согласны с высказыванием В.А. Образцова, что «…значение для уголовного судопроизводства документов данной группы трудно переоценить. В криминальном мире, как, впрочем, и в законопослушной жизнедеятельности, документы фигурируют в различных качествах и выполняют самые различные функции» [11, 59]. Исходя из изложенного можно сделать закономерный вывод, что сфера применения специфических приемов и методов почерковедения далеко не ограничивается сферой уголовного судопроизводства, и это действительно так. Так как на современном этапе развития, почерковедение выйдя за рамки уголовного судопроизводства нашло применение в гражданском, административном и в экономическом судопроизводстве.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данную тему нельзя считать закрытой, у криминалистического исследования письма открываются прекрасные перспективы для дальнейшего развития.</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Уголовно-процессуальный кодекс Республики Таджикистан от 3 декабря 2009 г. № 564 (ред. от 24.02.2017 № 1381) [Электронный ресурс] // Официальный интернет-портал правовой информации. – Режим доступа: http://www.</w:t>
      </w:r>
      <w:r w:rsidRPr="00DA76A7">
        <w:rPr>
          <w:rFonts w:ascii="Arial" w:hAnsi="Arial" w:cs="Arial"/>
          <w:color w:val="000000" w:themeColor="text1"/>
          <w:sz w:val="22"/>
          <w:szCs w:val="22"/>
          <w:lang w:val="en-US"/>
        </w:rPr>
        <w:t>mmk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tj</w:t>
      </w:r>
      <w:r w:rsidRPr="00DA76A7">
        <w:rPr>
          <w:rFonts w:ascii="Arial" w:hAnsi="Arial" w:cs="Arial"/>
          <w:color w:val="000000" w:themeColor="text1"/>
          <w:sz w:val="22"/>
          <w:szCs w:val="22"/>
        </w:rPr>
        <w:t xml:space="preserve"> (дата обращения: 02.03.2018).</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iCs/>
          <w:color w:val="000000" w:themeColor="text1"/>
        </w:rPr>
        <w:t xml:space="preserve">Аверьянова Т.В. </w:t>
      </w:r>
      <w:r w:rsidRPr="00DA76A7">
        <w:rPr>
          <w:rFonts w:ascii="Arial" w:hAnsi="Arial" w:cs="Arial"/>
          <w:color w:val="000000" w:themeColor="text1"/>
        </w:rPr>
        <w:t>Некоторые проблемы теории и практики судебной экспертизы и пути их решения // Вестник МВД России. - М., 2006. - Вып. 3. - С. 10-19.</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iCs/>
          <w:color w:val="000000" w:themeColor="text1"/>
        </w:rPr>
        <w:t xml:space="preserve">Андреев С.В. </w:t>
      </w:r>
      <w:r w:rsidRPr="00DA76A7">
        <w:rPr>
          <w:rFonts w:ascii="Arial" w:hAnsi="Arial" w:cs="Arial"/>
          <w:color w:val="000000" w:themeColor="text1"/>
        </w:rPr>
        <w:t>Проблемы теории и практики криминалистического документоведения: Автореф. дис. канд. юрид. наук. - М., 2002. – С. 24.</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Боровских Р.Н. О направлениях усиления прикладных характеристик криминалистических исследований // Юридическая наука и правоохранительная практика. – 2014. – № 2 (28). – С. 12-16.</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Винберг А.И. Криминалистическая экспертиза письма. - М., 1940. - 420 с.</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Вул С.М. Криминалистические и методические вопросы криминалистического исследования письменной речи. - М. 1977. – 144 с.</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Вул С.М. Судебно-автороведческая экспертиза: современное состояние и перспективы: Использование современных достижений науки и техники в деятельности следственных органов и судов по борьбе с преступностью - Вильнюс, 1981. – 212 с.</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Дамбраускайте О.К. Криминалистическое исследование уровня грамотности автора. - Вильнюс, 1983. - 138 с.</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Елагина Е.В. «О понятии документа в криминалистике» // Вестник Академии Генеральной прокуратуры Российской Федерации. – 2008. – № 2 (4). – С. 48-51.</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Корешков К.Б. Записки криминалиста. – Саратов: Изд-во СВШ МВД РФ, 1991. – 264 с.</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Криминалистика / Под ред. В.А. Образцова. - М.: Юристъ, 1997. – 482 с.</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Литвинова Т.А. Лингвистические основы неидентификационной судебно-автороведческой экспертизы // Вестник Челябинского государственного университета. – 2012. – № 20 (274). – С. 74-78.</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Манцветова А.И., Орлова В.Ф., Славуцкая И.А. Теоретические (естественнонаучные) основы судебного почерковедения. – М.: Наука, 2006. – 346 с.</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Морозов Б.Н. Особенности криминалистического исследования признаков письменной речи. - Ташкент, 1985. – 338 с.</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Орлова П.Ф. Теория судебно-почерковедческой идентификации // Труды ВНИИСЭ. - М., 1973. - Вып. 6. - С. 82-89</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Парфёнов А.А. Криминалистика: общие положения криминалистики и криминалистическая техника: учебное пособие для студента – Душанбе, 2015. – 642 с.</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Потапов С.М. Научное почерковедение // Советское государство и право. - 1940. - № 12. - С. 80-89.</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Судебно-почерковедческое и технико-криминалистическое исследование документов: практическое пособие / отв. ред. М.В. Бобовкин, П.Л. Гришин, А.А. Проткин. – М.: Юрайт, 2017. – 226 с.</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iCs/>
          <w:color w:val="000000" w:themeColor="text1"/>
        </w:rPr>
        <w:t xml:space="preserve">Сысоева Л.А. </w:t>
      </w:r>
      <w:r w:rsidRPr="00DA76A7">
        <w:rPr>
          <w:rFonts w:ascii="Arial" w:hAnsi="Arial" w:cs="Arial"/>
          <w:color w:val="000000" w:themeColor="text1"/>
        </w:rPr>
        <w:t xml:space="preserve">Актуальные вопросы теории и практики почерковедческой экспертизы // Криминалистика. ХХI век: материалы научно-практической конференции. В 2-х т. Т. 1. - М., 2001. - С. 12-18. </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Сысоева Л.А. Современное состояние почерковедческого исследования подписи // Фотография. Изображение. Документ. – 2013. – № 4. – С. 10-14.</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Федосеева В.Б., Золотова Т.Н. Основные правила подготовки материалов для производства судебно-почерковедческой экспертизы. - М., 1980. – 84 с.</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Шведова Н.Н. Криминалистическое исследование документов: ретроспективный анализ и современное состояние // Вестник Саратовской государственной юридической академии. – 2015. – № 1 (102). – С. 212-218.</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Шведова Н.Н. Отдельные теоретические вопросы криминалистического исследования документов как раздела криминалистической техники // Актуальные проблемы российского права. – 2015. – № 4. – С. 125-130.</w:t>
      </w:r>
    </w:p>
    <w:p w:rsidR="00592BC2" w:rsidRPr="00DA76A7" w:rsidRDefault="00592BC2" w:rsidP="00D45D6B">
      <w:pPr>
        <w:pStyle w:val="a6"/>
        <w:numPr>
          <w:ilvl w:val="0"/>
          <w:numId w:val="126"/>
        </w:numPr>
        <w:tabs>
          <w:tab w:val="left" w:pos="851"/>
          <w:tab w:val="left" w:pos="993"/>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iCs/>
          <w:color w:val="000000" w:themeColor="text1"/>
        </w:rPr>
        <w:t xml:space="preserve">Шашкин С.Б., Бондаренко П.В. </w:t>
      </w:r>
      <w:r w:rsidRPr="00DA76A7">
        <w:rPr>
          <w:rFonts w:ascii="Arial" w:hAnsi="Arial" w:cs="Arial"/>
          <w:color w:val="000000" w:themeColor="text1"/>
        </w:rPr>
        <w:t>Вопросы применения специальных знаний при расследовании преступлений, совершаемых с использованием подложных документов // Судебная экспертиза. - 2003. - Вып.2. – С. 35-48.</w:t>
      </w:r>
    </w:p>
    <w:p w:rsidR="00592BC2" w:rsidRPr="00DA76A7" w:rsidRDefault="00592BC2" w:rsidP="00D45D6B">
      <w:pPr>
        <w:pStyle w:val="af2"/>
        <w:numPr>
          <w:ilvl w:val="0"/>
          <w:numId w:val="126"/>
        </w:numPr>
        <w:tabs>
          <w:tab w:val="left" w:pos="851"/>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Ямакова З.Д. Социально-лингвистические факторы для криминалистического исследования письма // Актуальные вопросы реформы процессуального законодательства и правоохранительной деятельности: материалы Международной научно-теоретической конференции (Душанбе, 25 ноября 2016 г.) / Под ред. И.Т.Махмудова. – Душанбе: Визави, 2016. – С. 245-255.</w:t>
      </w:r>
    </w:p>
    <w:p w:rsidR="00592BC2" w:rsidRPr="00DA76A7" w:rsidRDefault="00592BC2" w:rsidP="00592BC2">
      <w:pPr>
        <w:ind w:firstLine="567"/>
        <w:rPr>
          <w:rFonts w:ascii="Arial" w:hAnsi="Arial" w:cs="Arial"/>
          <w:color w:val="000000" w:themeColor="text1"/>
          <w:sz w:val="22"/>
          <w:szCs w:val="22"/>
        </w:rPr>
      </w:pPr>
    </w:p>
    <w:p w:rsidR="00592BC2" w:rsidRDefault="00592BC2" w:rsidP="00592BC2">
      <w:pPr>
        <w:ind w:firstLine="567"/>
        <w:jc w:val="center"/>
        <w:rPr>
          <w:rFonts w:ascii="Arial" w:hAnsi="Arial" w:cs="Arial"/>
          <w:b/>
          <w:color w:val="000000" w:themeColor="text1"/>
          <w:sz w:val="22"/>
          <w:szCs w:val="22"/>
        </w:rPr>
      </w:pPr>
    </w:p>
    <w:p w:rsidR="005C2070" w:rsidRDefault="005C2070" w:rsidP="00592BC2">
      <w:pPr>
        <w:ind w:firstLine="567"/>
        <w:jc w:val="center"/>
        <w:rPr>
          <w:rFonts w:ascii="Arial" w:hAnsi="Arial" w:cs="Arial"/>
          <w:b/>
          <w:color w:val="000000" w:themeColor="text1"/>
          <w:sz w:val="22"/>
          <w:szCs w:val="22"/>
        </w:rPr>
      </w:pPr>
    </w:p>
    <w:p w:rsidR="005C2070" w:rsidRDefault="005C2070" w:rsidP="00592BC2">
      <w:pPr>
        <w:ind w:firstLine="567"/>
        <w:jc w:val="center"/>
        <w:rPr>
          <w:rFonts w:ascii="Arial" w:hAnsi="Arial" w:cs="Arial"/>
          <w:b/>
          <w:color w:val="000000" w:themeColor="text1"/>
          <w:sz w:val="22"/>
          <w:szCs w:val="22"/>
        </w:rPr>
      </w:pPr>
    </w:p>
    <w:p w:rsidR="005C2070" w:rsidRDefault="005C2070" w:rsidP="00592BC2">
      <w:pPr>
        <w:ind w:firstLine="567"/>
        <w:jc w:val="center"/>
        <w:rPr>
          <w:rFonts w:ascii="Arial" w:hAnsi="Arial" w:cs="Arial"/>
          <w:b/>
          <w:color w:val="000000" w:themeColor="text1"/>
          <w:sz w:val="22"/>
          <w:szCs w:val="22"/>
        </w:rPr>
      </w:pPr>
    </w:p>
    <w:p w:rsidR="005C2070" w:rsidRDefault="005C2070" w:rsidP="00592BC2">
      <w:pPr>
        <w:ind w:firstLine="567"/>
        <w:jc w:val="center"/>
        <w:rPr>
          <w:rFonts w:ascii="Arial" w:hAnsi="Arial" w:cs="Arial"/>
          <w:b/>
          <w:color w:val="000000" w:themeColor="text1"/>
          <w:sz w:val="22"/>
          <w:szCs w:val="22"/>
        </w:rPr>
      </w:pPr>
    </w:p>
    <w:p w:rsidR="005C2070" w:rsidRDefault="005C2070" w:rsidP="00592BC2">
      <w:pPr>
        <w:ind w:firstLine="567"/>
        <w:jc w:val="center"/>
        <w:rPr>
          <w:rFonts w:ascii="Arial" w:hAnsi="Arial" w:cs="Arial"/>
          <w:b/>
          <w:color w:val="000000" w:themeColor="text1"/>
          <w:sz w:val="22"/>
          <w:szCs w:val="22"/>
        </w:rPr>
      </w:pPr>
    </w:p>
    <w:p w:rsidR="005C2070" w:rsidRDefault="005C2070" w:rsidP="00592BC2">
      <w:pPr>
        <w:ind w:firstLine="567"/>
        <w:jc w:val="center"/>
        <w:rPr>
          <w:rFonts w:ascii="Arial" w:hAnsi="Arial" w:cs="Arial"/>
          <w:b/>
          <w:color w:val="000000" w:themeColor="text1"/>
          <w:sz w:val="22"/>
          <w:szCs w:val="22"/>
        </w:rPr>
      </w:pPr>
    </w:p>
    <w:p w:rsidR="005C2070" w:rsidRPr="00DA76A7" w:rsidRDefault="005C2070" w:rsidP="00592BC2">
      <w:pPr>
        <w:ind w:firstLine="567"/>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ВОЗБУЖДЕНИЕ УГОЛОВНОГО ДЕЛА: ОСНОВАНИЯ И ПОРЯДОК ВОЗБУЖДЕНИЯ УГОЛОВНОГО ДЕЛА</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Мирзобеков Аскарали Алишерович</w:t>
      </w: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rPr>
        <w:t>студент 4-го курса очного отделения юридического факультета</w:t>
      </w: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rPr>
        <w:t>Тел.: +992</w:t>
      </w:r>
      <w:r w:rsidRPr="00DA76A7">
        <w:rPr>
          <w:rFonts w:ascii="Arial" w:hAnsi="Arial" w:cs="Arial"/>
          <w:color w:val="000000" w:themeColor="text1"/>
          <w:sz w:val="22"/>
          <w:szCs w:val="22"/>
          <w:lang w:val="en-US"/>
        </w:rPr>
        <w:t> </w:t>
      </w:r>
      <w:r w:rsidRPr="00DA76A7">
        <w:rPr>
          <w:rFonts w:ascii="Arial" w:hAnsi="Arial" w:cs="Arial"/>
          <w:color w:val="000000" w:themeColor="text1"/>
          <w:sz w:val="22"/>
          <w:szCs w:val="22"/>
        </w:rPr>
        <w:t xml:space="preserve">907-24-84-24,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96" w:history="1">
        <w:r w:rsidRPr="00DA76A7">
          <w:rPr>
            <w:rStyle w:val="af0"/>
            <w:rFonts w:ascii="Arial" w:hAnsi="Arial" w:cs="Arial"/>
            <w:color w:val="000000" w:themeColor="text1"/>
            <w:sz w:val="22"/>
            <w:szCs w:val="22"/>
            <w:u w:val="none"/>
            <w:lang w:val="en-US"/>
          </w:rPr>
          <w:t>Askarali</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92BC2" w:rsidRPr="00DA76A7" w:rsidRDefault="00592BC2" w:rsidP="00592BC2">
      <w:pPr>
        <w:shd w:val="clear" w:color="auto" w:fill="FFFFFF"/>
        <w:jc w:val="center"/>
        <w:rPr>
          <w:rFonts w:ascii="Arial" w:hAnsi="Arial" w:cs="Arial"/>
          <w:b/>
          <w:color w:val="000000" w:themeColor="text1"/>
          <w:sz w:val="22"/>
          <w:szCs w:val="22"/>
        </w:rPr>
      </w:pPr>
    </w:p>
    <w:p w:rsidR="00592BC2" w:rsidRPr="00DA76A7" w:rsidRDefault="00592BC2" w:rsidP="00592BC2">
      <w:pPr>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INITIATION OF CRIMINAL PROCEEDINGS: GROUNDS AND PROCEDURE FOR INITIATING CRIMINAL PROCEEDINGS</w:t>
      </w:r>
    </w:p>
    <w:p w:rsidR="00592BC2" w:rsidRPr="00DA76A7" w:rsidRDefault="00592BC2" w:rsidP="00592BC2">
      <w:pPr>
        <w:shd w:val="clear" w:color="auto" w:fill="FFFFFF"/>
        <w:jc w:val="center"/>
        <w:rPr>
          <w:rFonts w:ascii="Arial" w:hAnsi="Arial" w:cs="Arial"/>
          <w:b/>
          <w:color w:val="000000" w:themeColor="text1"/>
          <w:sz w:val="22"/>
          <w:szCs w:val="22"/>
          <w:lang w:val="en-US"/>
        </w:rPr>
      </w:pPr>
    </w:p>
    <w:p w:rsidR="00592BC2" w:rsidRPr="00DA76A7" w:rsidRDefault="00592BC2" w:rsidP="00592BC2">
      <w:pPr>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Mirzobekov Askarali Alisherovich</w:t>
      </w:r>
    </w:p>
    <w:p w:rsidR="00592BC2" w:rsidRPr="00DA76A7" w:rsidRDefault="00592BC2" w:rsidP="00592BC2">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4 years of full-time department of the Faculty of Law</w:t>
      </w:r>
    </w:p>
    <w:p w:rsidR="00592BC2" w:rsidRPr="00DA76A7" w:rsidRDefault="00592BC2" w:rsidP="00592BC2">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592BC2" w:rsidRPr="00DA76A7" w:rsidRDefault="00592BC2" w:rsidP="00592BC2">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Tajikistan, Dushanbe, street M. Tursunzade, 30</w:t>
      </w:r>
    </w:p>
    <w:p w:rsidR="00592BC2" w:rsidRPr="00DA76A7" w:rsidRDefault="00592BC2" w:rsidP="00592BC2">
      <w:pPr>
        <w:shd w:val="clear" w:color="auto" w:fill="FFFFFF"/>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 xml:space="preserve">tel.: +992 907-24-84-24, e-mail: </w:t>
      </w:r>
      <w:hyperlink r:id="rId297" w:history="1">
        <w:r w:rsidRPr="00DA76A7">
          <w:rPr>
            <w:rStyle w:val="af0"/>
            <w:rFonts w:ascii="Arial" w:hAnsi="Arial" w:cs="Arial"/>
            <w:color w:val="000000" w:themeColor="text1"/>
            <w:sz w:val="22"/>
            <w:szCs w:val="22"/>
            <w:u w:val="none"/>
            <w:lang w:val="en-US"/>
          </w:rPr>
          <w:t>Askarali@mail.ru</w:t>
        </w:r>
      </w:hyperlink>
      <w:r w:rsidRPr="00DA76A7">
        <w:rPr>
          <w:rFonts w:ascii="Arial" w:hAnsi="Arial" w:cs="Arial"/>
          <w:b/>
          <w:color w:val="000000" w:themeColor="text1"/>
          <w:sz w:val="22"/>
          <w:szCs w:val="22"/>
          <w:lang w:val="en-US"/>
        </w:rPr>
        <w:t xml:space="preserve"> </w:t>
      </w:r>
    </w:p>
    <w:p w:rsidR="00592BC2" w:rsidRPr="00DA76A7" w:rsidRDefault="00592BC2" w:rsidP="00592BC2">
      <w:pPr>
        <w:shd w:val="clear" w:color="auto" w:fill="FFFFFF"/>
        <w:jc w:val="center"/>
        <w:rPr>
          <w:rFonts w:ascii="Arial" w:hAnsi="Arial" w:cs="Arial"/>
          <w:b/>
          <w:color w:val="000000" w:themeColor="text1"/>
          <w:sz w:val="22"/>
          <w:szCs w:val="22"/>
          <w:lang w:val="en-US"/>
        </w:rPr>
      </w:pPr>
    </w:p>
    <w:p w:rsidR="00592BC2" w:rsidRPr="006F40E7" w:rsidRDefault="00592BC2" w:rsidP="00592BC2">
      <w:pPr>
        <w:shd w:val="clear" w:color="auto" w:fill="FFFFFF"/>
        <w:jc w:val="right"/>
        <w:rPr>
          <w:rFonts w:ascii="Arial" w:hAnsi="Arial" w:cs="Arial"/>
          <w:b/>
          <w:color w:val="000000" w:themeColor="text1"/>
          <w:sz w:val="22"/>
          <w:szCs w:val="22"/>
        </w:rPr>
      </w:pPr>
      <w:r w:rsidRPr="006F40E7">
        <w:rPr>
          <w:rFonts w:ascii="Arial" w:hAnsi="Arial" w:cs="Arial"/>
          <w:color w:val="000000" w:themeColor="text1"/>
          <w:sz w:val="22"/>
          <w:szCs w:val="22"/>
        </w:rPr>
        <w:t xml:space="preserve">Научный руководитель: </w:t>
      </w:r>
      <w:r w:rsidR="006F40E7">
        <w:rPr>
          <w:rFonts w:ascii="Arial" w:hAnsi="Arial" w:cs="Arial"/>
          <w:color w:val="000000" w:themeColor="text1"/>
          <w:sz w:val="22"/>
          <w:szCs w:val="22"/>
        </w:rPr>
        <w:t>преподаватель Абдуллае</w:t>
      </w:r>
      <w:r w:rsidR="006F40E7" w:rsidRPr="006F40E7">
        <w:rPr>
          <w:rFonts w:ascii="Arial" w:hAnsi="Arial" w:cs="Arial"/>
          <w:color w:val="000000" w:themeColor="text1"/>
          <w:sz w:val="22"/>
          <w:szCs w:val="22"/>
        </w:rPr>
        <w:t>в Н.С.</w:t>
      </w:r>
    </w:p>
    <w:p w:rsidR="00592BC2" w:rsidRPr="006F40E7" w:rsidRDefault="00592BC2" w:rsidP="00592BC2">
      <w:pPr>
        <w:shd w:val="clear" w:color="auto" w:fill="FFFFFF"/>
        <w:ind w:firstLine="567"/>
        <w:jc w:val="both"/>
        <w:rPr>
          <w:rFonts w:ascii="Arial" w:hAnsi="Arial" w:cs="Arial"/>
          <w:b/>
          <w:color w:val="000000" w:themeColor="text1"/>
          <w:sz w:val="22"/>
          <w:szCs w:val="22"/>
        </w:rPr>
      </w:pPr>
    </w:p>
    <w:p w:rsidR="00592BC2" w:rsidRPr="00DA76A7" w:rsidRDefault="00592BC2" w:rsidP="00592BC2">
      <w:pPr>
        <w:shd w:val="clear" w:color="auto" w:fill="FFFFFF"/>
        <w:ind w:firstLine="567"/>
        <w:jc w:val="both"/>
        <w:rPr>
          <w:rFonts w:ascii="Arial" w:hAnsi="Arial" w:cs="Arial"/>
          <w:i/>
          <w:color w:val="000000" w:themeColor="text1"/>
          <w:sz w:val="22"/>
          <w:szCs w:val="22"/>
        </w:rPr>
      </w:pPr>
      <w:r w:rsidRPr="006F40E7">
        <w:rPr>
          <w:rFonts w:ascii="Arial" w:hAnsi="Arial" w:cs="Arial"/>
          <w:b/>
          <w:i/>
          <w:color w:val="000000" w:themeColor="text1"/>
          <w:sz w:val="22"/>
          <w:szCs w:val="22"/>
        </w:rPr>
        <w:t>Аннотация.</w:t>
      </w:r>
      <w:r w:rsidRPr="006F40E7">
        <w:rPr>
          <w:rFonts w:ascii="Arial" w:hAnsi="Arial" w:cs="Arial"/>
          <w:i/>
          <w:color w:val="000000" w:themeColor="text1"/>
          <w:sz w:val="22"/>
          <w:szCs w:val="22"/>
        </w:rPr>
        <w:t xml:space="preserve">  В данной статье более углублённо раскрываются основания и порядок возбуждения уголовного дело, Возбуждение уголовного дела это стадия уголовного процесса на которой соответствующим</w:t>
      </w:r>
      <w:r w:rsidRPr="00DA76A7">
        <w:rPr>
          <w:rFonts w:ascii="Arial" w:hAnsi="Arial" w:cs="Arial"/>
          <w:i/>
          <w:color w:val="000000" w:themeColor="text1"/>
          <w:sz w:val="22"/>
          <w:szCs w:val="22"/>
        </w:rPr>
        <w:t xml:space="preserve"> органам и должностным лицам надлежит решить вопрос о начале предварительного расследования, основываясь на анализе предусмотренных уголовно процессуальным кодексом поводов и оснований для этого. Она начинается с момента получения и регистрации компетентными лицами информации о преступлении и завершается принятием решения о возбуждении уголовного дела или отказе в возбуждении дела. </w:t>
      </w:r>
    </w:p>
    <w:p w:rsidR="00592BC2" w:rsidRPr="00DA76A7" w:rsidRDefault="00592BC2" w:rsidP="00592BC2">
      <w:pPr>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this article, the grounds and procedure for instituting criminal proceedings are more deeply disclosed. The initiation of a criminal case is a stage in the criminal process at which the authorities and officials in charge must decide on the initiation of a preliminary investigation based on an analysis of the grounds and grounds of the criminal procedure code provided for in the criminal procedure code. It begins with the receipt and registration by the competent persons of the information on the crime and ends with the decision to initiate criminal proceedings or refuse to initiate the case.</w:t>
      </w:r>
    </w:p>
    <w:p w:rsidR="00592BC2" w:rsidRPr="00DA76A7" w:rsidRDefault="00592BC2" w:rsidP="00592BC2">
      <w:pPr>
        <w:shd w:val="clear" w:color="auto" w:fill="FFFFFF"/>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 xml:space="preserve">Основания, порядок, повод, возбуждения уголовного дело, закон. </w:t>
      </w:r>
    </w:p>
    <w:p w:rsidR="00592BC2" w:rsidRPr="00DA76A7" w:rsidRDefault="00592BC2" w:rsidP="00592BC2">
      <w:pPr>
        <w:shd w:val="clear" w:color="auto" w:fill="FFFFFF"/>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grounds, crime, order, occasion, institution of criminal proceedings.</w:t>
      </w:r>
    </w:p>
    <w:p w:rsidR="00592BC2" w:rsidRPr="00DA76A7" w:rsidRDefault="00592BC2" w:rsidP="00592BC2">
      <w:pPr>
        <w:ind w:firstLine="567"/>
        <w:jc w:val="both"/>
        <w:rPr>
          <w:rFonts w:ascii="Arial" w:hAnsi="Arial" w:cs="Arial"/>
          <w:b/>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b/>
          <w:color w:val="000000" w:themeColor="text1"/>
          <w:sz w:val="22"/>
          <w:szCs w:val="22"/>
        </w:rPr>
        <w:t>Возбуждение уголовного дела</w:t>
      </w:r>
      <w:r w:rsidRPr="00DA76A7">
        <w:rPr>
          <w:rFonts w:ascii="Arial" w:hAnsi="Arial" w:cs="Arial"/>
          <w:color w:val="000000" w:themeColor="text1"/>
          <w:sz w:val="22"/>
          <w:szCs w:val="22"/>
        </w:rPr>
        <w:t xml:space="preserve"> - обязательная стадия уголовного процесса. В этой стадии подлежат выяснению как обстоятельства, влекущие за собой возбуждение уголовного дела, так и исключающие производство по делу, то есть отказ в нем. Принимаются так же меры к предупреждению или пресечению преступления, а равно к закреплению следов преступления. Закон требует, что бы по каждому заявлению или сообщению было принято решение либо о возбуждении, либо об отказе в возбуждении уголовного дела. Поэтому возбуждение уголовного дела, есть предусмотренный законом способ реагирования суда, прокурора, следователя, органов дознания на ставшее им известным событие, как на преступление, которое необходимо установить, а лицо его совершившее подвергнуть наказанию.</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Уголовно Процессуальному Кодексу Российской Федерации  в соответствии с частью 2 статьи 140 основанием возбуждения уголовного дела является наличие достаточных данных указывающих на признаки преступления. Исходя из анализа законодательного определения основания для возбуждения уголовного дела, многие ученые процессуалисты и теоретики  таких как Башкатов Л.Н, Лупинской П.А, приходят к правильному выводу о том, что оно содержит два неразрывно связанных элемента: 1) наличие признаков преступления в событии, ставшем известным компетентным органам и должностным лицам; 2) достаточность данных, указывающих на признаки преступления. Основание так же необходимо для возбуждения уголовного дела, как и повод. Рарога А.И считает что  важное значение для установления наличия или отсутствия основания для возбуждения уголовного дела имеет признак общественной опасности. Он означает, что совершенное деяние опасно для общества и способно причинить существенный вред охраняемым уголовным законом общественным отношениям. Если деяние не обладает этим признаком, то в возбуждении уголовного дела должно быть отказано.[1]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Понятие «достаточные данные» является оценочным, содержание которого выявляется с учётом конкретной ситуации. К моменту принятия решения о возбуждении уголовного дела нельзя требовать исчерпывающих сведений о составе преступления, для возбуждения уголовного дела достаточно данных, указывающих на наличие самого события преступления, то есть признаков, характеризующих объективную сторону и объект преступного посягательства.  Для констатации наличии оснований для возбуждение уголовного дело не требется достаточного знание о том что событие преступление имело место совершение  преступления. Закон не говорит о факте преступления   о досточных данных указывающий на его признак.[2]</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Применительно к другим составам преступления объем данных не является постоянной величиной и должен определяться следователем в зависимости от характера совершенного преступления, его индивидуальных особенностей и конкретных обстоятельств. В одних случаях этот объем может определяться данными, указывающими лишь на признаки объективной стороны, в других необходимы признаки, указывающие и на субъективную сторону. В отдельных случаях объем увеличивается за счет данных, указывающих на субъекты (несколько субъектов) преступления. Объем данных зависит не только от конкретного состава преступления, но и от каждого конкретного случая.[3]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к моменту возбуждения уголовного дела не всегда бывает известно лицо, подлежащее привлечению к уголовной ответственности.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Из этого следует то, что основанием к возбуждению уголовного дела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являются данные о том, что деяние, о котором поступило заявление или сообщение вообще имело место в действительности и это деяние действительно содержит признаки преступления. Неизвестность лица, совершившего преступление, неясность тех или иных обстоятельств совершения преступления ни в коей мере не должны препятствовать возбуждению уголовного дела; все эти обстоятельства будут установлены в стадии предварительного расследования. Но как бы то ни было, материалы, по которым решается вопрос о возбуждении уголовного дела, должны содержать серьезные данные для предположения о том, что в действительности было совершено преступление.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Уголовное дело не может быть возбуждено на основании лишь одних догадок и предположений.[4]В связи выше сказанного полагаем, что основанием для возбуждения уголовного дела в отношении лица служат помимо данных, указанных в ч.2 ст. 140 УПК РФ, достаточные данные, указывающие на совершение преступного деяния конкретным лицом. Следует заметить, что уголовное дело должно всегда возбуждаться в отношении лица по признакам таких преступлений, которые могут быть совершены точно определенным лицом, например, при получение и дача взятки, заведомо ложный донос ; отказ свидетеля или потерпевшего от дачи показаний и некоторые другие).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можно рассматривать закон Республики Таджикистан об « оперативно розыскных деятельности» согласно ч.2 ст.11 закон об ОРД гласит так результаты оперативно-розыскной деятельности могут служить поводом и основанием для возбуждения уголовного дела, представляться в орган дознания, следователю или в суд, в производстве которого находится уголовное дело, а также использоваться в доказывании по уголовным делам в соответствии с положениями уголовно-процессуального законодательства Республики Таджикистан, регламентирующими собирание, проверку и оценку доказательств.[5] Органы, осуществляющие оперативно-розыскную деятельность, должны не только обнаруживать признаки  состава преступлений, но и создавать при этом необходимые условия для полного и быстрого раскрытия преступлений способами уголовного судопроизводство. Необходимо принимать меры, при которых использование результатов оперативно-розыскной деятельности при производстве по уголовному делу не разглашало бы тактику и организацию проведения оперативно розыскного мероприятий, а также сведения о лицах, сотрудничающих или сотрудничавших с органами, осуществляющими оперативно-розыскную деятельность.</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Уголовно процессуальному Кодексу Российской Федераций в соответствии со ст.146 аналогичный порядок возбуждения уголовных дел в зависимости от видов уголовного преследования, от должностного положения лиц, в отношении которых возбуждается уголовное дело. Имеются различия в полномочиях лиц, наделённых правом возбуждения уголовного дела. Если имеются повод и основания к возбуждению уголовного дела следователи или орган дознания, дознаватель с согласия прокурора, а так же прокурор в пределах своей компетенции, которая ограничивается полномочием должностного лица, характером преступления и пределами территориальной подследственности. Поводом к возбуждению уголовного дела являются те источники, из которых органы который возбуждающие уголовное дело, получают сведения о готовящемся преступлении или о совершенном преступление.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 140 поводом и основанием для возбуждения уголовного дело Уголовно-процессуальный кодекс Российской Федераций предусматривает следующие виды повода к возбуждению уголовного дела: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Заявление о преступлении;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Явка с повинной;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Сообщение о совершённом или готовящемся преступлении, полученное из других источников.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Решение о возбуждении уголовного дела должно быть облечено в определенную уголовно - процессуальную форму, которой является постановление о возбуждении уголовного дела.[6] Постановление, как и большинство процессуальных документов, состоит из вводной,  описательной и резолютивной частей. В вводной части  указывается место и дата составления  постановления, а также должность, специальное звание, фамилия должностного лица принявшего решение.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Описательная часть -  излагаются  повод и основания к возбуждению уголовного дела, и обосновывается решение, записанное в резолютивной части. Резолютивная часть - указывается по признакам,  какой  статьи  уголовного  закона возбуждается дело и его дальнейшее направление. В постановлении о возбуждении уголовного дела так же указывается дата, время, место его вынесения и кем оно вынесено. Под местом вынесения постановления следует понимать населённый пункт, где составлено постановление. При отсутствии населённого пункта указывается территориальная дислокация, географическая точка и т.д., где вынесено постановление.[7]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Постановление о возбуждении уголовного дела, вынесенное следователем или дознавателем незамедлительно направляется прокурору. К постановлению прилагаются материалы проверки сообщения о преступлении, а в случае производства отдельных следственных действий по закреплению следов преступления и установлению лица, его совершившего (осмотр места происшествия, освидетельствование, назначение судебной экспертизы), - соответствующие протоколы и постановления. Прокурор, получив постановление, незамедлительно дает согласие на возбуждение уголовного дела либо выносит постановление об отказе в даче согласия на возбуждение уголовного дела или о возвращении материалов для дополнительной проверки, которая должна быть проведена в срок не более 5 суток. О решении прокурора следователь, дознаватель в тот же день уведомляет заявителя, а также лицо, в отношении которого возбуждено уголовное дело.[8]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Уголовное дело возбуждается как по факту совершения преступления, так и в отношении конкретного лица совершаемоего преступления. Уголовное дело возбуждается против конкретного лица в случаях, когда фактические данные преступления указывают на совершение деяния этим лицом (неуплата алиментов, сведения о взятке, о злоупотреблении служебными полномочиями и т.д.)</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Уголовные дела частно-публичного обвинения, возбуждаются не иначе как по заявлению потерпевшего. Производство по таким уголовным делам ведется в общем порядке. Прокурор вправе возбудить такое уголовное дело и при отсутствии заявления потерпевшего в случаях, если последний в силу беспомощного состояния или по иным причинам не может защищать свои права и законные интересы.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Порядок направления уголовного дела после его возбуждения регламентируется ст. 149 УПК согласно, которой после вынесения постановления о возбуждении уголовного дела: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1. Прокурор направляет дело для производства предварительного расследования;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2. Следователь приступает к производству предварительного следствия;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3. Орган дознания производит неотложные следственные действия и направляет уголовное  дело прокурору, а по делам, по которым производится дознание, производит дознание.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уголовное дело возбуждено органом дознания, и оно относится к категории дел, по которым производство предварительного следствия обязательно, орган дознания производит неотложные следственные действия, о чем должен быть немедленно уведомлен прокурор, после выполнения указанных действий дело передается следователю. Если уголовное дело возбуждено органом дознания, и оно относится к  категории дел, по которым производство предварительного следствия не обязательно, орган дознания самостоятельно принимает предусмотренные уголовно - процессуальным законом меры для установления обстоятельств подлежащих доказыванию по уголовному делу, в дальнейшем все материалы дознания являются основанием для рассмотрения дела в суде.</w:t>
      </w:r>
    </w:p>
    <w:p w:rsidR="00592BC2" w:rsidRPr="00DA76A7" w:rsidRDefault="00592BC2" w:rsidP="00592BC2">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2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Закон Республики Таджикистан об оперативно-розыскной деятельности от 23.05.1998 г. (с измен. и доп. От25.03.2011 №687)</w:t>
      </w:r>
    </w:p>
    <w:p w:rsidR="00592BC2" w:rsidRPr="00DA76A7" w:rsidRDefault="00592BC2" w:rsidP="00D45D6B">
      <w:pPr>
        <w:pStyle w:val="a6"/>
        <w:numPr>
          <w:ilvl w:val="0"/>
          <w:numId w:val="12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Башкатов Л.Н. Уголовно процессуальное право: учебник. – М., 2006. - 323 с.</w:t>
      </w:r>
    </w:p>
    <w:p w:rsidR="00592BC2" w:rsidRPr="00DA76A7" w:rsidRDefault="00592BC2" w:rsidP="00D45D6B">
      <w:pPr>
        <w:pStyle w:val="a6"/>
        <w:numPr>
          <w:ilvl w:val="0"/>
          <w:numId w:val="12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Безлепкин Б.Т. Уголовный процесс. - М., 2007. – 102 с </w:t>
      </w:r>
    </w:p>
    <w:p w:rsidR="00592BC2" w:rsidRPr="00DA76A7" w:rsidRDefault="00592BC2" w:rsidP="00D45D6B">
      <w:pPr>
        <w:pStyle w:val="a6"/>
        <w:numPr>
          <w:ilvl w:val="0"/>
          <w:numId w:val="12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Башкатов Л.Н. Уголовно процессуальное право: учебник. – М., 2006. - 323 с.</w:t>
      </w:r>
    </w:p>
    <w:p w:rsidR="00592BC2" w:rsidRPr="00DA76A7" w:rsidRDefault="00592BC2" w:rsidP="00D45D6B">
      <w:pPr>
        <w:pStyle w:val="a6"/>
        <w:numPr>
          <w:ilvl w:val="0"/>
          <w:numId w:val="12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Кудрявцева В.А. Учебник уголовного права: общая часть. – М., 2000. - 38 с.</w:t>
      </w:r>
    </w:p>
    <w:p w:rsidR="00592BC2" w:rsidRPr="00DA76A7" w:rsidRDefault="00592BC2" w:rsidP="00D45D6B">
      <w:pPr>
        <w:pStyle w:val="a6"/>
        <w:numPr>
          <w:ilvl w:val="0"/>
          <w:numId w:val="12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Лупинской П.А Уголовно-процессуальное право РФ. – М., 2003. – 359 с.</w:t>
      </w:r>
    </w:p>
    <w:p w:rsidR="00592BC2" w:rsidRPr="00DA76A7" w:rsidRDefault="00592BC2" w:rsidP="00D45D6B">
      <w:pPr>
        <w:pStyle w:val="a6"/>
        <w:numPr>
          <w:ilvl w:val="0"/>
          <w:numId w:val="12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Петрухин И.Л. Уголовно процессуальное право Российской Федераций: учеб. - М., 2006. - 319 с.</w:t>
      </w:r>
    </w:p>
    <w:p w:rsidR="00592BC2" w:rsidRPr="00DA76A7" w:rsidRDefault="00592BC2" w:rsidP="00D45D6B">
      <w:pPr>
        <w:pStyle w:val="a6"/>
        <w:numPr>
          <w:ilvl w:val="0"/>
          <w:numId w:val="127"/>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Рарога А.И. Уголовное право России: учебник: общая и особенная части. - М: Юристъ, 2008. -  433с.</w:t>
      </w:r>
    </w:p>
    <w:p w:rsidR="00592BC2" w:rsidRPr="00DA76A7" w:rsidRDefault="00592BC2" w:rsidP="00D45D6B">
      <w:pPr>
        <w:pStyle w:val="a6"/>
        <w:numPr>
          <w:ilvl w:val="0"/>
          <w:numId w:val="127"/>
        </w:numPr>
        <w:tabs>
          <w:tab w:val="left" w:pos="851"/>
        </w:tabs>
        <w:autoSpaceDE w:val="0"/>
        <w:autoSpaceDN w:val="0"/>
        <w:adjustRightInd w:val="0"/>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Смирнов А.В.Следственные действия в Российском уголовном процессе: учебное пособие. - Санкт-Петербург, 2004. – 56 с.</w:t>
      </w:r>
    </w:p>
    <w:p w:rsidR="00592BC2" w:rsidRPr="00DA76A7" w:rsidRDefault="00592BC2" w:rsidP="005C2070">
      <w:pPr>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ПРАВОВОЙ КОНТЕКСТ ПРОБЛЕМ ИНТЕРНЕТ-ЦЕНЗУРЫ В ОБЕСПЕЧЕНИИ МЕР БОРЬБЫ С «ГРУППАМИ СМЕРТИ»</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Муродов Манучехр Исроилович</w:t>
      </w: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color w:val="000000" w:themeColor="text1"/>
          <w:sz w:val="22"/>
          <w:szCs w:val="22"/>
        </w:rPr>
        <w:t>студент 4-го курса очного отделения юридического факультета</w:t>
      </w: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color w:val="000000" w:themeColor="text1"/>
          <w:sz w:val="22"/>
          <w:szCs w:val="22"/>
        </w:rPr>
        <w:t>Таджикский Национальный Университет</w:t>
      </w: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color w:val="000000" w:themeColor="text1"/>
          <w:sz w:val="22"/>
          <w:szCs w:val="22"/>
        </w:rPr>
        <w:t>734000, Республика Таджикистан, г. Душанбе, ул. М. Назаршоева, 49</w:t>
      </w: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color w:val="000000" w:themeColor="text1"/>
          <w:sz w:val="22"/>
          <w:szCs w:val="22"/>
        </w:rPr>
        <w:t xml:space="preserve">тел.: 985251497, 901770737,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298" w:history="1">
        <w:r w:rsidRPr="00DA76A7">
          <w:rPr>
            <w:rStyle w:val="af0"/>
            <w:rFonts w:ascii="Arial" w:hAnsi="Arial" w:cs="Arial"/>
            <w:color w:val="000000" w:themeColor="text1"/>
            <w:sz w:val="22"/>
            <w:szCs w:val="22"/>
            <w:u w:val="none"/>
            <w:lang w:val="en-US"/>
          </w:rPr>
          <w:t>manuchester</w:t>
        </w:r>
        <w:r w:rsidRPr="00DA76A7">
          <w:rPr>
            <w:rStyle w:val="af0"/>
            <w:rFonts w:ascii="Arial" w:hAnsi="Arial" w:cs="Arial"/>
            <w:color w:val="000000" w:themeColor="text1"/>
            <w:sz w:val="22"/>
            <w:szCs w:val="22"/>
            <w:u w:val="none"/>
          </w:rPr>
          <w:t>97@</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CONTEXT OF PROBLEMS OF INTERNET-CENSORSHIP IN PROVIDING MEASURES WITH THE «GROUPS OF DEATH»</w:t>
      </w:r>
    </w:p>
    <w:p w:rsidR="00592BC2" w:rsidRPr="00DA76A7" w:rsidRDefault="00592BC2" w:rsidP="00592BC2">
      <w:pPr>
        <w:ind w:firstLine="567"/>
        <w:jc w:val="center"/>
        <w:rPr>
          <w:rFonts w:ascii="Arial" w:hAnsi="Arial" w:cs="Arial"/>
          <w:b/>
          <w:color w:val="000000" w:themeColor="text1"/>
          <w:sz w:val="22"/>
          <w:szCs w:val="22"/>
          <w:lang w:val="en-US"/>
        </w:rPr>
      </w:pPr>
    </w:p>
    <w:p w:rsidR="00592BC2" w:rsidRPr="00DA76A7" w:rsidRDefault="00592BC2" w:rsidP="00592BC2">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Murodov Manuchehr Isroilovich</w:t>
      </w:r>
    </w:p>
    <w:p w:rsidR="00592BC2" w:rsidRPr="00DA76A7" w:rsidRDefault="00592BC2" w:rsidP="00592BC2">
      <w:pPr>
        <w:ind w:firstLine="567"/>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student 4th year of full-time department of the law faculty</w:t>
      </w:r>
    </w:p>
    <w:p w:rsidR="00592BC2" w:rsidRPr="00DA76A7" w:rsidRDefault="00592BC2" w:rsidP="00592BC2">
      <w:pPr>
        <w:ind w:firstLine="567"/>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Tajik national university</w:t>
      </w:r>
    </w:p>
    <w:p w:rsidR="00592BC2" w:rsidRPr="00DA76A7" w:rsidRDefault="00592BC2" w:rsidP="00592BC2">
      <w:pPr>
        <w:ind w:firstLine="567"/>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734000, Tajikistan, Dushanbe, st. M. Nazarshoev, 49</w:t>
      </w:r>
    </w:p>
    <w:p w:rsidR="00592BC2" w:rsidRDefault="00592BC2" w:rsidP="00592BC2">
      <w:pPr>
        <w:ind w:firstLine="567"/>
        <w:jc w:val="center"/>
        <w:rPr>
          <w:rStyle w:val="af0"/>
          <w:rFonts w:ascii="Arial" w:hAnsi="Arial" w:cs="Arial"/>
          <w:color w:val="000000" w:themeColor="text1"/>
          <w:sz w:val="22"/>
          <w:szCs w:val="22"/>
          <w:u w:val="none"/>
          <w:lang w:val="en-US"/>
        </w:rPr>
      </w:pPr>
      <w:r w:rsidRPr="00DA76A7">
        <w:rPr>
          <w:rFonts w:ascii="Arial" w:hAnsi="Arial" w:cs="Arial"/>
          <w:color w:val="000000" w:themeColor="text1"/>
          <w:sz w:val="22"/>
          <w:szCs w:val="22"/>
          <w:lang w:val="en-US"/>
        </w:rPr>
        <w:t xml:space="preserve">tel.: 985251497, 901770737, e-mail: </w:t>
      </w:r>
      <w:hyperlink r:id="rId299" w:history="1">
        <w:r w:rsidRPr="00DA76A7">
          <w:rPr>
            <w:rStyle w:val="af0"/>
            <w:rFonts w:ascii="Arial" w:hAnsi="Arial" w:cs="Arial"/>
            <w:color w:val="000000" w:themeColor="text1"/>
            <w:sz w:val="22"/>
            <w:szCs w:val="22"/>
            <w:u w:val="none"/>
            <w:lang w:val="en-US"/>
          </w:rPr>
          <w:t>manuchester97@mail.ru</w:t>
        </w:r>
      </w:hyperlink>
    </w:p>
    <w:p w:rsidR="005C2070" w:rsidRPr="00DA76A7" w:rsidRDefault="005C2070" w:rsidP="00592BC2">
      <w:pPr>
        <w:ind w:firstLine="567"/>
        <w:jc w:val="center"/>
        <w:rPr>
          <w:rFonts w:ascii="Arial" w:hAnsi="Arial" w:cs="Arial"/>
          <w:b/>
          <w:color w:val="000000" w:themeColor="text1"/>
          <w:sz w:val="22"/>
          <w:szCs w:val="22"/>
          <w:lang w:val="en-US"/>
        </w:rPr>
      </w:pPr>
    </w:p>
    <w:p w:rsidR="00592BC2" w:rsidRPr="00240D8D" w:rsidRDefault="00592BC2" w:rsidP="00592BC2">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данной </w:t>
      </w:r>
      <w:r w:rsidRPr="00240D8D">
        <w:rPr>
          <w:rFonts w:ascii="Arial" w:hAnsi="Arial" w:cs="Arial"/>
          <w:i/>
          <w:color w:val="000000" w:themeColor="text1"/>
          <w:sz w:val="22"/>
          <w:szCs w:val="22"/>
        </w:rPr>
        <w:t>статье подробно рассматривается проблема регулирования интернет ресурсов со стороны государств, а именно проблема ответственности за деятельность в интернет-пространстве, на примере опыта Российской Федерации в борьбе с группами в интернете, призывающие к совершению неправомерных или общественно-опасных действий. Проанализировав и изучив законодательство РФ и РТ по уголовному праву, в данной статье указал решения данных проблем и восполнения пробелов по данному вопросу. В этом докладе рассматриваются вопросы уголовной ответственности преступников в вышеперечисленной сфере, вопросы интернет-цензуры и можно ли цензурировать её, решение аспектов по данным вопросам на уровне СНГ, а также роль родителей и государства в формировании устойчивого, образованного и здорового поколения.</w:t>
      </w:r>
    </w:p>
    <w:p w:rsidR="00592BC2" w:rsidRPr="00DA76A7" w:rsidRDefault="00592BC2" w:rsidP="00592BC2">
      <w:pPr>
        <w:ind w:firstLine="567"/>
        <w:jc w:val="both"/>
        <w:rPr>
          <w:rFonts w:ascii="Arial" w:hAnsi="Arial" w:cs="Arial"/>
          <w:b/>
          <w:i/>
          <w:color w:val="000000" w:themeColor="text1"/>
          <w:sz w:val="22"/>
          <w:szCs w:val="22"/>
          <w:lang w:val="en-US"/>
        </w:rPr>
      </w:pPr>
      <w:r w:rsidRPr="00240D8D">
        <w:rPr>
          <w:rFonts w:ascii="Arial" w:hAnsi="Arial" w:cs="Arial"/>
          <w:b/>
          <w:i/>
          <w:color w:val="000000" w:themeColor="text1"/>
          <w:sz w:val="22"/>
          <w:szCs w:val="22"/>
          <w:lang w:val="en-US"/>
        </w:rPr>
        <w:t xml:space="preserve">Annotation. </w:t>
      </w:r>
      <w:r w:rsidRPr="00240D8D">
        <w:rPr>
          <w:rFonts w:ascii="Arial" w:hAnsi="Arial" w:cs="Arial"/>
          <w:i/>
          <w:color w:val="000000" w:themeColor="text1"/>
          <w:sz w:val="22"/>
          <w:szCs w:val="22"/>
          <w:lang w:val="en-US"/>
        </w:rPr>
        <w:t>This article details the problem of regulating</w:t>
      </w:r>
      <w:r w:rsidRPr="00DA76A7">
        <w:rPr>
          <w:rFonts w:ascii="Arial" w:hAnsi="Arial" w:cs="Arial"/>
          <w:i/>
          <w:color w:val="000000" w:themeColor="text1"/>
          <w:sz w:val="22"/>
          <w:szCs w:val="22"/>
          <w:lang w:val="en-US"/>
        </w:rPr>
        <w:t xml:space="preserve"> Internet resources from the state, namely, the problem of responsibility for activities in the Internet space, using the example of the experience of the Russian Federation in combating groups on the Internet, calling for the commission of illegal or socially dangerous actions. Having analyzed and studied the legislation of the RF and RT on criminal law, this article indicated solutions to these problems and filling gaps on this issue. Questions of criminal responsibility of criminals in the above-mentioned sphere, questions of Internet censorship and whether it is possible to censor it, solution of aspects on these issues at the CIS level, as well as the role of parents and the state in the formation of a stable, educated and healthy generation are considered.</w:t>
      </w:r>
    </w:p>
    <w:p w:rsidR="00592BC2" w:rsidRPr="00DA76A7" w:rsidRDefault="00592BC2" w:rsidP="00592BC2">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Интернет-цунзура; группы-смерти; свобода слова; информация; контент; право на свободу мысли; уоловная ответственность; санкция; доведение до самоубийства.</w:t>
      </w:r>
    </w:p>
    <w:p w:rsidR="00592BC2" w:rsidRPr="00DA76A7" w:rsidRDefault="00592BC2" w:rsidP="00592BC2">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Internet-censorship; death-groups; freedom of speech; information; content; right to freedom of thought; criminal responsibility; sanction; bringing to suicide.</w:t>
      </w:r>
    </w:p>
    <w:p w:rsidR="00592BC2" w:rsidRPr="00DA76A7" w:rsidRDefault="00592BC2" w:rsidP="00592BC2">
      <w:pPr>
        <w:tabs>
          <w:tab w:val="left" w:pos="2296"/>
        </w:tabs>
        <w:ind w:firstLine="567"/>
        <w:jc w:val="both"/>
        <w:rPr>
          <w:rFonts w:ascii="Arial" w:hAnsi="Arial" w:cs="Arial"/>
          <w:b/>
          <w:i/>
          <w:color w:val="000000" w:themeColor="text1"/>
          <w:sz w:val="22"/>
          <w:szCs w:val="22"/>
          <w:lang w:val="en-US"/>
        </w:rPr>
      </w:pPr>
      <w:r w:rsidRPr="00DA76A7">
        <w:rPr>
          <w:rFonts w:ascii="Arial" w:hAnsi="Arial" w:cs="Arial"/>
          <w:i/>
          <w:color w:val="000000" w:themeColor="text1"/>
          <w:sz w:val="22"/>
          <w:szCs w:val="22"/>
          <w:lang w:val="en-US"/>
        </w:rPr>
        <w:tab/>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21 век – век информационных технологий. Некогда являющиеся плоды человеческой фантазии или фантастические сцены в фильмах, на сегодняшний день стремительно становятся реальностью.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Ещё в далёком 1961 году, человечество открыло космос. Тот самый великий полёт Юрия Алексеевича Гагарина, 12 Апреля, до сих пор помнит весь мир. Следом, новым открытием стал интернет. Люди с разных уголков мира свободно общаются друг с другом, обмениваются фотографиями и видеозаписями, и даже рабочими документами. Одним словом, интернет – это безграничное пространство, как и космос.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На 2015 год статистика показывала, что 40% населения нашей планеты имеет доступ к интернету.[14, 67]. Это почти три миллиарда человек. В Республике Таджикистан услугами интернета пользуется 15% населения.[8, 5].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Вместе с развитием данной платформы, возникли многочисленные и немаловажные, и даже насущные проблемы. Ведь глобальная паутина объединяет всё и вся. Различные люди пользуются интернетом и среди них есть те, кто делают это в преступных намерениях. Ещё в недавнем времени, на просторах интернета, из-за киберпреступлений люди теряли свои экономические блага и прочее, но на сегодняшний день проблема киберпреступности вышла на новый уровень, появилось новое негативное явление – доведение до самоубийства путём создания контента «групп-смерти» в социальных сетях глобальной паутины. Наглядными примерами могут служить нашумевшие интернет-паблики «синий кит», «тихий дон», «f-57», «красная сова» и т.д.[9, 1], Если раньше можно было предотвратить хакерские атаки банковских счетов и личных данных интернет пользователя, посредством хакерских установок, таких как файрволлы и прочее, то сегодня невозможно обходиться одними файрволлами, ведь ценой ошибки и игнорирование данной проблемы становится человеческая жизнь.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Впервые данный феномен был освещён в СМИ 16 Мая 2016 года, после опубликования материала журналиста «Новой Газеты» Г. Мурсалиевой, в котором указано число погибших - 130 человек, в период с 2015 по 2016 год. [10, 1]. Стоит отметить немаловажный факт, что жертвами «групп-смерти» оказывались подростки. [10, 1].  Также, необходимо подчеркнуть, что в Республике Таджикистан по данным органов внутренних дел, такие случаи в стране не наблюдаются. По данным обстоятельствам нет никаких уголовных дел.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Подростки в социальной среде уязвимы и их мировоззрение и мышление до конца не сформированы.[11, 1]. Пользуясь этой особенностью несовершеннолетних, администраторы «групп-смерти» подталкивали их всяческими средствами к совершению суицида.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Если посмотреть на данную проблему с точки зрения общественного мнения или общественности в целом, казалось бы, заурядное негативное явление, где преступники должны быть, во-первых-найдены, во вторых, должны быть наказаны по уже существующим и действующим нормам уголовного законодательства. Но взглянув на данную проблему через призму законодательства, как национального, так и международного, можно заметить большие пробелы в нормативно-правовых актах. Речь идёт о регулировании сферы глобальной паутины, а именно цензуры в ней.</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Интернет-цензура – это одна из разновидностей цензуры в СМИ, которая происходит с англ. слова «Internet censorship» и означает контроль, недопущение публикации и блокирование доступа к информации в сети Интернет.[12, 1]. </w:t>
      </w:r>
      <w:r w:rsidRPr="00DA76A7">
        <w:rPr>
          <w:rFonts w:ascii="Arial" w:hAnsi="Arial" w:cs="Arial"/>
          <w:color w:val="000000" w:themeColor="text1"/>
          <w:sz w:val="22"/>
          <w:szCs w:val="22"/>
          <w:shd w:val="clear" w:color="auto" w:fill="FFFFFF"/>
        </w:rPr>
        <w:t>Своим появлением интернет-цензура обязана отсутствию каких-либо национальных границ в сети Интернет.</w:t>
      </w:r>
      <w:r w:rsidRPr="00DA76A7">
        <w:rPr>
          <w:rFonts w:ascii="Arial" w:hAnsi="Arial" w:cs="Arial"/>
          <w:color w:val="000000" w:themeColor="text1"/>
          <w:sz w:val="22"/>
          <w:szCs w:val="22"/>
        </w:rPr>
        <w:t xml:space="preserve"> Главной проблемой цензуры, как и в сети глобальной паутины, так и в средствах массовой информации являются сторонники и приверженцы защиты и гарантии правового института свободы слова. Свобода слова – это право человека свободно выражать свои мысли. В настоящее время включает свободу выражения, как в устной, так и в письменной форме (свобода печати и средств массовой информации); в меньшей степени относится к политической и социальной рекламе (агитации).[13, 1], [14, 36].</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В Конституции Республики Таджикистан, в статье 30 закреплена данная норма, которая утверждает, что свобода слова гарантируется каждому.[2, 30]. В Российской Федерации это право тоже закреплено законодательно в основном законе, но немного отличается своим правовым разнообразием. Так, статья 29 Конституции Российской Федерации устанавливает, что «каждому гарантируется свобода мысли и слова».[3, 29]. Ключевым выражением, которая делает уникальным данную норму является «свобода мысли». Всеми известное изречение подтверждает, что свобода человека заканчивается там, где начинается свобода другого человека. И если свободу слова можно ограничить на основании нормативно-правовых предписаний, то свободу мысли ограничить нельзя никак. Это объясняется тем, что человеческое мышление безгранично. Под выражением «свобода мысли» нужно понимать, также, чувства и эмоции. Но разве их можно ограничить? Ни в коем случае. Человек в мыслях задумывает всё что угодно и иногда это приводит к трагическим актам, как в случае с группами-смерти. Установив в статье 29-ой свободу слова и мысли, таким образом, эта норма будет нести обозначение того, что в Российской Федерации свобода слова и мысли не должны ограничиваться ни при каких обстоятельствах, ибо данные права являются одной целой и приведены в основном законе как единое целое. Пункт пятый вышеуказанной статьи устанавливает, что цензура в любом виде запрещается. Следовательно, в обеспечении мер борьбы с «группами смерти», норма статьи 29 Конституции Российской Федерации является большой преградой.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В международно-правовых актах свобода слова приводится как «свобода выражения». Так, в статье 10 Конвенции о защите прав человека и основных свобод (Европейская Конвенция по правам человека) приведено, что «каждый имеет право свободно выражать свое мнение.[1, 12]. Это право включает свободу придерживаться своего мнения и свободу получать и распространять информацию и идеи без какого-либо вмешательства со стороны публичных властей и независимо от государственных границ. Настоящая статья не препятствует Государствам осуществлять лицензирование радиовещательных, телевизионных или кинематографических предприятий. Но в пункте 2 вышеуказанной статьи имеется ряд условий ограничения данного права, в целях обеспечения национальной безопасности государством. Исходя из этого, необходимо подчеркнуть, что в связи со случаем с группами-смерти, государство  вполне будет иметь возможность цензурировать интернет-пространство в целях национальной безопасности, блокировать доступ и в дальнейшем удалить данные контенты с интернет пространства, а также привлечь к уголовной ответственности администрацию и учредителей контента групп-смерти, но в случае с Российской Федерацией лишь после того, как законодательно разделят право на свободу слова и право на свободу мысли.[1, 12].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Другой аспект в борьбе с группами-смерти состоит в их привлечении к уголовной ответственности.[11, 1]. Администрация данных социальных групп в интернете предлагает своей условной жертве сыграть в игру, которая состоит из различных действий, приводящих жертву «постепенно” в тяжёлое психологическое состояние, из-за которого жертва в последнем задании идёт на совершение суицида.[11, 1]. Следовательно, администрация сайта назначает дату и место акта самоубийства. Но по многим данным из расследований правоохранительных органов Российской Федерации, имеет место замечанию тот факт, что многие потенциальные жертвы создателей групп-смерти не решаются идти на суицид. Но по данным очевидцев, им в этом помогают некие другие люди, толкая жертву с высоты.[11, 1].  С точки зрения уголовного законодательства, что Российской Федерации, что и Республики Таджикистан данный акт квалифицируется как совершение убийства, умышленное причинение смерти другому лицу, а не как доведение до самоубийства. Доведение до самоубийства,  в уголовном кодексе Республики Таджикистан, приведено в статье 109, квалифицируется как «доведение до самоубийства или покушения на него путём угроз, жестокого обращения или систематического унижения человеческого достоинства потерпевшего.[4, 109]. В пункте 2 отмечается, что по отношению к несовершеннолетним данная норма устанавливается точно так же, как и было указано выше.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В этой связи, учитывая данный пробел в уголовном законодательстве Республики Таджикистан, было бы необходимым для предотвращения трагических последствий от данной проблемы, заимствовать опыт Российской Федерации в отношении к норме о «доведении до самоубийства», и модифицировать данную норму на примере статьи 110 Уголовного Кодекса РФ, в котором летом 2017 года были внесены изменения и дополнения, где в пункте «Д» указывается санкция о доведении до самоубийства посредством средств массовой информации или информационно-телекоммуникационных сетей, включая сеть «Интернет».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Другой важной проблемой интернет-цензуры является его применение в пространстве или, проще говоря, на территории определённого государства. Интернет-цензура, в моём понимании обозначает блокировка или ограничение доступа к различным ресурсам в интернете со стороны соответственных государственных органов в сфере регулирования связи (Роскомнадзор – в России, Таджиктелеком – в Таджикистане) и проблемой является именно блокировка. Так как,  например, если группа-смерти в социальной сети или веб-сайт создан на территории государсва «А” и находится под доменом этой страны, то заблокировав данную группу на территории этой страны, администрация этих сайтов и групп могут создать прототип такого рода контента в стране «Б” или в любой другой стране, где законодательно не регулируется рассматриваемая нами проблема. И тем самым спокойно продолжать осуществлять незаконную деятельность и продолжать привлекать людей из страны «А”, а может даже, и привлечь граждан страны «Б”. Ведь та же самая деятельность может не быть уголовно-наказуемой в другой стране. Поэтому, исходя из этих положений, я предлагаю вывести данную проблему сначала на региональный уровень, в нашем случае на уровне Содружества Независимых Государств, так как всем известно, что на территории Средней Азии, русский язык превалирует над всеми остальными иностранными языками. В этой связи, я предлагаю, на основе Концепции формирования информационного пространства Содружества Независимых государств, принятая 18 октября 1996 года, решением Глав Правительств СНГ, создать единый реестр сайтов или иных подозрительных групп в социальных сетях на территории СНГ в соответственных его органах.[6, 1]. Это будет способствовать осуществлению развития сотрудничества в сфере информации, а также информирование всех стран-участников содружества в этой области, для устранения проблем такого рода как группы-смерти. После принятия вышеперечисленных мер, проблема контентов групп-смерти может быть устранена на всей территории СНГ. </w:t>
      </w:r>
    </w:p>
    <w:p w:rsidR="00592BC2" w:rsidRPr="00DA76A7" w:rsidRDefault="00592BC2" w:rsidP="00592BC2">
      <w:pPr>
        <w:ind w:firstLine="567"/>
        <w:jc w:val="both"/>
        <w:rPr>
          <w:rFonts w:ascii="Arial" w:hAnsi="Arial" w:cs="Arial"/>
          <w:b/>
          <w:color w:val="000000" w:themeColor="text1"/>
          <w:sz w:val="22"/>
          <w:szCs w:val="22"/>
          <w:shd w:val="clear" w:color="auto" w:fill="FFFFFF"/>
        </w:rPr>
      </w:pPr>
      <w:r w:rsidRPr="00DA76A7">
        <w:rPr>
          <w:rFonts w:ascii="Arial" w:hAnsi="Arial" w:cs="Arial"/>
          <w:color w:val="000000" w:themeColor="text1"/>
          <w:sz w:val="22"/>
          <w:szCs w:val="22"/>
        </w:rPr>
        <w:t>Выше было указано о «привлечении” подростков к таким ресурсам. Это говорит о том, что несовершеннолетнее лицо пользуется информацией в данных группах по собственному желанию. Именно этот факт является следующей проблемой. Так как данный аспект является частью права на свободу выражения. Как уже известно, это право включает свободу получать информацию и идеи беспрепятственно.[10, 1]. Однако, рассмотрев на этот факт с точки зрения психологии, О. Градовская, юрист по образованию отмечает, что «</w:t>
      </w:r>
      <w:r w:rsidRPr="00DA76A7">
        <w:rPr>
          <w:rFonts w:ascii="Arial" w:hAnsi="Arial" w:cs="Arial"/>
          <w:color w:val="000000" w:themeColor="text1"/>
          <w:sz w:val="22"/>
          <w:szCs w:val="22"/>
          <w:shd w:val="clear" w:color="auto" w:fill="FFFFFF"/>
        </w:rPr>
        <w:t xml:space="preserve">подростки всегда сверхвозбудимы, эмоциональны. [11, 1].Подвергшиеся такому психологическому насилию, они уходят из жизни, до конца не понимая суть происходящего». Можно согласиться с этим мнением, так как подросток находится под психологическим давлением. Возраст некоторых детей, в соответствии с материалами «Новой газеты» составлял 15-16 лет, в соответствии с уголовным законодательством РФ и РТ, начиная с 14 лет, несовершеннолетний способен нести уголовную ответственность за некоторые умышленные преступления против жизни и здоровья, совершаемые против другого лица.[10, 1]. Следовательно, законодатель полагает, что уже с 14 лет подросток способен адекватно оценивать и общественную опасность, и социальную значимость лишения жизни человека. Но если он способен это сделать в отношении другого человека, значит, может оценить последствия разрушительных действий и в отношении себя самого. Другое дело, что и в этом случае психика подростка окончательно не сформирована, ему свойственны импульсивность, желание подражать другим, интерес к необычному и таинственному и т.д. Но в принципиальном плане последствия совершения действий, направленных на причинение смерти, ему понятны. Также, согласно многочисленным данным, ребёнок, отказывающийся выполнить так называемое последнее задание (совершение суицида), получает угрозы от администраторов групп, которые содержат угрозы расправы с родителями или с родственниками ребёнка, если он не выполнит последнее задание.[10, 1]. Это и есть психологическое давление по отношению к подростку. </w:t>
      </w:r>
    </w:p>
    <w:p w:rsidR="00592BC2" w:rsidRPr="00DA76A7" w:rsidRDefault="00592BC2" w:rsidP="00592BC2">
      <w:pPr>
        <w:ind w:firstLine="567"/>
        <w:jc w:val="both"/>
        <w:rPr>
          <w:rFonts w:ascii="Arial" w:hAnsi="Arial" w:cs="Arial"/>
          <w:b/>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Важным замечанием в этом деле является то, что подростки, да и все люди имеют полноценный доступ к таким ресурсам в Интернете. И действия ребёнка порой во многом не контролируются ни государством, ни родителями. А должно быть. Родители – вот кто должен контролировать и быть в курсе о том, чем занимается их ребёнок. На сегодняшний день, в эпоху развитых инновационных систем, развитого интернет пространства и в эпоху развития общедоступной информации, ребенок может беспрепятственно владеть, пользоваться и распоряжаться любой информацией, не понимая их последствия, не анализируя их пользу или вред для него. </w:t>
      </w:r>
    </w:p>
    <w:p w:rsidR="00592BC2" w:rsidRPr="00DA76A7" w:rsidRDefault="00592BC2" w:rsidP="00592BC2">
      <w:pPr>
        <w:ind w:firstLine="567"/>
        <w:jc w:val="both"/>
        <w:rPr>
          <w:rFonts w:ascii="Arial" w:hAnsi="Arial" w:cs="Arial"/>
          <w:b/>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В этой связи, в целях полного обеспечения контроля над действиями ребёнка и для его дальнейшего развития в демократическом обществе, Республика Таджикистан, 15 Марта 2016 года приняла закон «об ответственности родителей за воспитание и обучение детей», целью которого является  усиление ответственности родителей за обучение и воспитание детей в духе гуманизма, патриотизма, уважения к национальным, общечеловеческим и культурным ценностям, а также защита прав и интересов детей.[7, 1]. Я уверен, что приняв данный опыт Республики Таджикистан, государства укрепят и улучшат социальное положение, а также здоровое развитие детей в семье, обществе и в воспитании добропорядочных, образованных, высококвалифицированных и профессиональных детей. </w:t>
      </w:r>
    </w:p>
    <w:p w:rsidR="00592BC2" w:rsidRPr="00DA76A7" w:rsidRDefault="00592BC2" w:rsidP="00592BC2">
      <w:pPr>
        <w:ind w:firstLine="567"/>
        <w:jc w:val="both"/>
        <w:rPr>
          <w:rFonts w:ascii="Arial" w:hAnsi="Arial" w:cs="Arial"/>
          <w:b/>
          <w:color w:val="000000" w:themeColor="text1"/>
          <w:sz w:val="22"/>
          <w:szCs w:val="22"/>
          <w:shd w:val="clear" w:color="auto" w:fill="FFFFFF"/>
        </w:rPr>
      </w:pPr>
    </w:p>
    <w:p w:rsidR="00592BC2" w:rsidRPr="00DA76A7" w:rsidRDefault="00592BC2" w:rsidP="00592BC2">
      <w:pPr>
        <w:ind w:firstLine="567"/>
        <w:jc w:val="center"/>
        <w:rPr>
          <w:rFonts w:ascii="Arial" w:hAnsi="Arial" w:cs="Arial"/>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Список литературы:</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Европейская Конвенция по правам человека от 4 Ноября 1953 г. Статья 10 [Электронный ресурс] // Источник </w:t>
      </w:r>
      <w:r w:rsidRPr="00DA76A7">
        <w:rPr>
          <w:rFonts w:ascii="Arial" w:hAnsi="Arial" w:cs="Arial"/>
          <w:color w:val="000000" w:themeColor="text1"/>
          <w:shd w:val="clear" w:color="auto" w:fill="FFFFFF"/>
          <w:lang w:val="en-US"/>
        </w:rPr>
        <w:t>PDF</w:t>
      </w:r>
      <w:r w:rsidRPr="00DA76A7">
        <w:rPr>
          <w:rFonts w:ascii="Arial" w:hAnsi="Arial" w:cs="Arial"/>
          <w:color w:val="000000" w:themeColor="text1"/>
          <w:shd w:val="clear" w:color="auto" w:fill="FFFFFF"/>
        </w:rPr>
        <w:t xml:space="preserve">-формата Европейский Суд по правам человека </w:t>
      </w:r>
      <w:r w:rsidRPr="00DA76A7">
        <w:rPr>
          <w:rFonts w:ascii="Arial" w:hAnsi="Arial" w:cs="Arial"/>
          <w:color w:val="000000" w:themeColor="text1"/>
        </w:rPr>
        <w:t xml:space="preserve">измененная и дополненная Протоколами № 11 и № 14 от 1 Июня 2010 г. </w:t>
      </w:r>
      <w:r w:rsidRPr="00DA76A7">
        <w:rPr>
          <w:rFonts w:ascii="Arial" w:hAnsi="Arial" w:cs="Arial"/>
          <w:color w:val="000000" w:themeColor="text1"/>
          <w:shd w:val="clear" w:color="auto" w:fill="FFFFFF"/>
        </w:rPr>
        <w:t xml:space="preserve">– Режим доступа: </w:t>
      </w:r>
      <w:hyperlink r:id="rId300" w:history="1">
        <w:r w:rsidRPr="00DA76A7">
          <w:rPr>
            <w:rStyle w:val="af0"/>
            <w:rFonts w:ascii="Arial" w:hAnsi="Arial" w:cs="Arial"/>
            <w:color w:val="000000" w:themeColor="text1"/>
            <w:u w:val="none"/>
            <w:shd w:val="clear" w:color="auto" w:fill="FFFFFF"/>
          </w:rPr>
          <w:t>https://www.echr.coe.int/Documents/Convention_RUS.pdf</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Конституция Республики Таджикистан от 6 Ноября 1996 г. Статья 30. [Электронный ресурс] // Официальный интернет-портал правовой информации. – Режим доступа: </w:t>
      </w:r>
      <w:hyperlink r:id="rId301" w:history="1">
        <w:r w:rsidRPr="00DA76A7">
          <w:rPr>
            <w:rStyle w:val="af0"/>
            <w:rFonts w:ascii="Arial" w:hAnsi="Arial" w:cs="Arial"/>
            <w:color w:val="000000" w:themeColor="text1"/>
            <w:u w:val="none"/>
            <w:shd w:val="clear" w:color="auto" w:fill="FFFFFF"/>
          </w:rPr>
          <w:t>http://base.mmk.tj/view_sanadhoview.php?showdetail=&amp;sanadID=1</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Конституция Российской Федерации от 12 Декабря 1993 г. Статья 29. [Электронный ресурс] // Официальный интернет-портал правовой информации. – Режим доступа: </w:t>
      </w:r>
      <w:hyperlink r:id="rId302" w:history="1">
        <w:r w:rsidRPr="00DA76A7">
          <w:rPr>
            <w:rStyle w:val="af0"/>
            <w:rFonts w:ascii="Arial" w:hAnsi="Arial" w:cs="Arial"/>
            <w:color w:val="000000" w:themeColor="text1"/>
            <w:u w:val="none"/>
            <w:shd w:val="clear" w:color="auto" w:fill="FFFFFF"/>
          </w:rPr>
          <w:t>http://www.constitution.ru/</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Уголовный Кодекс Республики Таджикистан от 21 Мая 1998 г. Статья 109. [Электронный ресурс] // Официальный интернет-портал правовой информации. – Режим доступа: </w:t>
      </w:r>
      <w:hyperlink r:id="rId303" w:history="1">
        <w:r w:rsidRPr="00DA76A7">
          <w:rPr>
            <w:rStyle w:val="af0"/>
            <w:rFonts w:ascii="Arial" w:hAnsi="Arial" w:cs="Arial"/>
            <w:color w:val="000000" w:themeColor="text1"/>
            <w:u w:val="none"/>
            <w:shd w:val="clear" w:color="auto" w:fill="FFFFFF"/>
          </w:rPr>
          <w:t>http://base.mmk.tj/view_sanadhoview.php?showdetail=&amp;sanadID=23</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Уголовный Кодекс Российской Федерации от 13 Июня 1996 г. Статья 110. [Электронный ресурс] // Официальный интернет-портал правовой информации. – Режим доступа: </w:t>
      </w:r>
      <w:hyperlink r:id="rId304" w:history="1">
        <w:r w:rsidRPr="00DA76A7">
          <w:rPr>
            <w:rStyle w:val="af0"/>
            <w:rFonts w:ascii="Arial" w:hAnsi="Arial" w:cs="Arial"/>
            <w:color w:val="000000" w:themeColor="text1"/>
            <w:u w:val="none"/>
            <w:shd w:val="clear" w:color="auto" w:fill="FFFFFF"/>
          </w:rPr>
          <w:t>http://www.uk-rf.com/</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rPr>
        <w:t xml:space="preserve">Концепция формирования информационного пространства Содружества Независимых государств от 18 октября 1996 г. </w:t>
      </w:r>
      <w:r w:rsidRPr="00DA76A7">
        <w:rPr>
          <w:rFonts w:ascii="Arial" w:hAnsi="Arial" w:cs="Arial"/>
          <w:color w:val="000000" w:themeColor="text1"/>
          <w:shd w:val="clear" w:color="auto" w:fill="FFFFFF"/>
        </w:rPr>
        <w:t xml:space="preserve">[Электронный ресурс] // Официальный интернет-портал СНГ. – Режим доступа: </w:t>
      </w:r>
      <w:hyperlink r:id="rId305" w:history="1">
        <w:r w:rsidRPr="00DA76A7">
          <w:rPr>
            <w:rStyle w:val="af0"/>
            <w:rFonts w:ascii="Arial" w:hAnsi="Arial" w:cs="Arial"/>
            <w:color w:val="000000" w:themeColor="text1"/>
            <w:u w:val="none"/>
            <w:shd w:val="clear" w:color="auto" w:fill="FFFFFF"/>
          </w:rPr>
          <w:t>http://www.cis.minsk.by/page.php?id=7548</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Закон Республики Таджикистан «об ответственности родителей за воспитание и обучение детей» от 15 Марта 2016 г. Статья 1-4. [Электронный ресурс] // Официальный интернет-портал Министерства Юстиции РТ – Режим доступа: </w:t>
      </w:r>
      <w:hyperlink r:id="rId306" w:history="1">
        <w:r w:rsidRPr="00DA76A7">
          <w:rPr>
            <w:rStyle w:val="af0"/>
            <w:rFonts w:ascii="Arial" w:hAnsi="Arial" w:cs="Arial"/>
            <w:color w:val="000000" w:themeColor="text1"/>
            <w:u w:val="none"/>
            <w:shd w:val="clear" w:color="auto" w:fill="FFFFFF"/>
          </w:rPr>
          <w:t>http://www.adlia.tj/show_doc.fwx?Rgn=114979</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Рекомендательная методичка Министерства Внутренних дел Республики Таджикистан об обеспечении информационной безопасности в РТ. Душанбе-2017.-5с. </w:t>
      </w:r>
    </w:p>
    <w:p w:rsidR="00592BC2" w:rsidRPr="00DA76A7" w:rsidRDefault="00592BC2" w:rsidP="00D45D6B">
      <w:pPr>
        <w:pStyle w:val="a6"/>
        <w:numPr>
          <w:ilvl w:val="0"/>
          <w:numId w:val="128"/>
        </w:numPr>
        <w:tabs>
          <w:tab w:val="left" w:pos="851"/>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Группы-смерти. Материал из википедии [Электронный ресурс] // Официальный интернет-портал правовой информации. – Режим доступа: </w:t>
      </w:r>
      <w:hyperlink r:id="rId307" w:history="1">
        <w:r w:rsidRPr="00DA76A7">
          <w:rPr>
            <w:rStyle w:val="af0"/>
            <w:rFonts w:ascii="Arial" w:hAnsi="Arial" w:cs="Arial"/>
            <w:color w:val="000000" w:themeColor="text1"/>
            <w:u w:val="none"/>
            <w:shd w:val="clear" w:color="auto" w:fill="FFFFFF"/>
          </w:rPr>
          <w:t>https://ru.wikipedia.org/wiki/%D0%93%D1%80%D1%83%D0%BF%D0%BF%D1%8B_%D1%81%D0%BC%D0%B5%D1%80%D1%82%D0%B8</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993"/>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Статья Г. Мурсалиевой в официальном портале «Новая Газета» по названию «Группы-смерти 18+» [Электронный ресурс] // Официальный интернет-портал газеты «Новая Газета». – Режим доступа: </w:t>
      </w:r>
      <w:hyperlink r:id="rId308" w:history="1">
        <w:r w:rsidRPr="00DA76A7">
          <w:rPr>
            <w:rStyle w:val="af0"/>
            <w:rFonts w:ascii="Arial" w:hAnsi="Arial" w:cs="Arial"/>
            <w:color w:val="000000" w:themeColor="text1"/>
            <w:u w:val="none"/>
            <w:shd w:val="clear" w:color="auto" w:fill="FFFFFF"/>
          </w:rPr>
          <w:t>https://www.novayagazeta.ru/articles/2016/05/16/68604-gruppy-smerti-18</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993"/>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 «Группы смерти» и подростковый суицид: уголовно-правовые аспекты (Крылова Н.Е.). [Электронный ресурс] // – Режим доступа: </w:t>
      </w:r>
      <w:hyperlink r:id="rId309" w:history="1">
        <w:r w:rsidRPr="00DA76A7">
          <w:rPr>
            <w:rStyle w:val="af0"/>
            <w:rFonts w:ascii="Arial" w:hAnsi="Arial" w:cs="Arial"/>
            <w:color w:val="000000" w:themeColor="text1"/>
            <w:u w:val="none"/>
            <w:shd w:val="clear" w:color="auto" w:fill="FFFFFF"/>
          </w:rPr>
          <w:t>http://xn----7sbbaj7auwnffhk.xn--p1ai/article/22232</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993"/>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Интернет-цензура. Материал из википедии. [Электронный ресурс] // Официальный интернет-портал свободной энциклопедии. – Режим доступа: </w:t>
      </w:r>
      <w:hyperlink r:id="rId310" w:history="1">
        <w:r w:rsidRPr="00DA76A7">
          <w:rPr>
            <w:rStyle w:val="af0"/>
            <w:rFonts w:ascii="Arial" w:hAnsi="Arial" w:cs="Arial"/>
            <w:color w:val="000000" w:themeColor="text1"/>
            <w:u w:val="none"/>
            <w:shd w:val="clear" w:color="auto" w:fill="FFFFFF"/>
          </w:rPr>
          <w:t>https://ru.wikipedia.org/wiki/%D0%98%D0%BD%D1%82%D0%B5%D1%80%D0%BD%D0%B5%D1%82-%D1%86%D0%B5%D0%BD%D0%B7%D1%83%D1%80%D0%B0</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993"/>
        </w:tabs>
        <w:autoSpaceDE w:val="0"/>
        <w:autoSpaceDN w:val="0"/>
        <w:adjustRightInd w:val="0"/>
        <w:spacing w:after="0" w:line="240" w:lineRule="auto"/>
        <w:ind w:left="0" w:firstLine="567"/>
        <w:jc w:val="both"/>
        <w:rPr>
          <w:rFonts w:ascii="Arial" w:hAnsi="Arial" w:cs="Arial"/>
          <w:b/>
          <w:color w:val="000000" w:themeColor="text1"/>
          <w:shd w:val="clear" w:color="auto" w:fill="FFFFFF"/>
        </w:rPr>
      </w:pPr>
      <w:r w:rsidRPr="00DA76A7">
        <w:rPr>
          <w:rFonts w:ascii="Arial" w:hAnsi="Arial" w:cs="Arial"/>
          <w:color w:val="000000" w:themeColor="text1"/>
          <w:shd w:val="clear" w:color="auto" w:fill="FFFFFF"/>
        </w:rPr>
        <w:t xml:space="preserve">Свобода слова. Материал из свободной энцтклопедии википедиа. [Электронный ресурс] // Официальный интернет-портал свободной энциклопедии. – Режим доступа: </w:t>
      </w:r>
      <w:hyperlink r:id="rId311" w:history="1">
        <w:r w:rsidRPr="00DA76A7">
          <w:rPr>
            <w:rStyle w:val="af0"/>
            <w:rFonts w:ascii="Arial" w:hAnsi="Arial" w:cs="Arial"/>
            <w:color w:val="000000" w:themeColor="text1"/>
            <w:u w:val="none"/>
            <w:shd w:val="clear" w:color="auto" w:fill="FFFFFF"/>
          </w:rPr>
          <w:t>https://ru.wikipedia.org/wiki/%D0%A1%D0%B2%D0%BE%D0%B1%D0%BE%D0%B4%D0%B0_%D1%81%D0%BB%D0%BE%D0%B2%D0%B0</w:t>
        </w:r>
      </w:hyperlink>
      <w:r w:rsidRPr="00DA76A7">
        <w:rPr>
          <w:rFonts w:ascii="Arial" w:hAnsi="Arial" w:cs="Arial"/>
          <w:color w:val="000000" w:themeColor="text1"/>
          <w:shd w:val="clear" w:color="auto" w:fill="FFFFFF"/>
        </w:rPr>
        <w:t xml:space="preserve"> (дата обращения 21.03.2018). </w:t>
      </w:r>
    </w:p>
    <w:p w:rsidR="00592BC2" w:rsidRPr="00DA76A7" w:rsidRDefault="00592BC2" w:rsidP="00D45D6B">
      <w:pPr>
        <w:pStyle w:val="a6"/>
        <w:numPr>
          <w:ilvl w:val="0"/>
          <w:numId w:val="128"/>
        </w:numPr>
        <w:tabs>
          <w:tab w:val="left" w:pos="993"/>
        </w:tabs>
        <w:autoSpaceDE w:val="0"/>
        <w:autoSpaceDN w:val="0"/>
        <w:adjustRightInd w:val="0"/>
        <w:spacing w:after="0" w:line="240" w:lineRule="auto"/>
        <w:ind w:left="0" w:firstLine="567"/>
        <w:jc w:val="both"/>
        <w:rPr>
          <w:rFonts w:ascii="Arial" w:hAnsi="Arial" w:cs="Arial"/>
          <w:b/>
          <w:color w:val="000000" w:themeColor="text1"/>
          <w:shd w:val="clear" w:color="auto" w:fill="FFFFFF"/>
          <w:lang w:val="en-US"/>
        </w:rPr>
      </w:pPr>
      <w:r w:rsidRPr="00DA76A7">
        <w:rPr>
          <w:rFonts w:ascii="Arial" w:hAnsi="Arial" w:cs="Arial"/>
          <w:color w:val="000000" w:themeColor="text1"/>
          <w:shd w:val="clear" w:color="auto" w:fill="FFFFFF"/>
          <w:lang w:val="en-US"/>
        </w:rPr>
        <w:t xml:space="preserve">Macovei M. Freedom of expression. A guide to the implementation of the Article 10 of the European Convention on Human Rights </w:t>
      </w:r>
      <w:r w:rsidRPr="00DA76A7">
        <w:rPr>
          <w:rFonts w:ascii="Arial" w:hAnsi="Arial" w:cs="Arial"/>
          <w:color w:val="000000" w:themeColor="text1"/>
          <w:shd w:val="clear" w:color="auto" w:fill="FFFFFF"/>
        </w:rPr>
        <w:t>Германия</w:t>
      </w:r>
      <w:r w:rsidRPr="00DA76A7">
        <w:rPr>
          <w:rFonts w:ascii="Arial" w:hAnsi="Arial" w:cs="Arial"/>
          <w:color w:val="000000" w:themeColor="text1"/>
          <w:shd w:val="clear" w:color="auto" w:fill="FFFFFF"/>
          <w:lang w:val="en-US"/>
        </w:rPr>
        <w:t xml:space="preserve">-2004, </w:t>
      </w:r>
      <w:r w:rsidRPr="00DA76A7">
        <w:rPr>
          <w:rFonts w:ascii="Arial" w:hAnsi="Arial" w:cs="Arial"/>
          <w:color w:val="000000" w:themeColor="text1"/>
          <w:shd w:val="clear" w:color="auto" w:fill="FFFFFF"/>
        </w:rPr>
        <w:t>с</w:t>
      </w:r>
      <w:r w:rsidRPr="00DA76A7">
        <w:rPr>
          <w:rFonts w:ascii="Arial" w:hAnsi="Arial" w:cs="Arial"/>
          <w:color w:val="000000" w:themeColor="text1"/>
          <w:shd w:val="clear" w:color="auto" w:fill="FFFFFF"/>
          <w:lang w:val="en-US"/>
        </w:rPr>
        <w:t>. 36.</w:t>
      </w:r>
    </w:p>
    <w:p w:rsidR="00592BC2" w:rsidRPr="00DA76A7" w:rsidRDefault="00592BC2" w:rsidP="00D45D6B">
      <w:pPr>
        <w:pStyle w:val="a6"/>
        <w:numPr>
          <w:ilvl w:val="0"/>
          <w:numId w:val="128"/>
        </w:numPr>
        <w:tabs>
          <w:tab w:val="left" w:pos="993"/>
        </w:tabs>
        <w:autoSpaceDE w:val="0"/>
        <w:autoSpaceDN w:val="0"/>
        <w:adjustRightInd w:val="0"/>
        <w:spacing w:after="0" w:line="240" w:lineRule="auto"/>
        <w:ind w:left="0" w:firstLine="567"/>
        <w:jc w:val="both"/>
        <w:rPr>
          <w:rFonts w:ascii="Arial" w:hAnsi="Arial" w:cs="Arial"/>
          <w:b/>
          <w:color w:val="000000" w:themeColor="text1"/>
          <w:shd w:val="clear" w:color="auto" w:fill="FFFFFF"/>
          <w:lang w:val="en-US"/>
        </w:rPr>
      </w:pPr>
      <w:r w:rsidRPr="00DA76A7">
        <w:rPr>
          <w:rFonts w:ascii="Arial" w:hAnsi="Arial" w:cs="Arial"/>
          <w:color w:val="000000" w:themeColor="text1"/>
          <w:shd w:val="clear" w:color="auto" w:fill="FFFFFF"/>
          <w:lang w:val="en-US"/>
        </w:rPr>
        <w:t xml:space="preserve">Broadband Progress Report and Notice of inquiry on immediate action to accelerate deployment </w:t>
      </w:r>
      <w:r w:rsidRPr="00DA76A7">
        <w:rPr>
          <w:rFonts w:ascii="Arial" w:hAnsi="Arial" w:cs="Arial"/>
          <w:color w:val="000000" w:themeColor="text1"/>
          <w:shd w:val="clear" w:color="auto" w:fill="FFFFFF"/>
        </w:rPr>
        <w:t>от</w:t>
      </w:r>
      <w:r w:rsidRPr="00DA76A7">
        <w:rPr>
          <w:rFonts w:ascii="Arial" w:hAnsi="Arial" w:cs="Arial"/>
          <w:color w:val="000000" w:themeColor="text1"/>
          <w:shd w:val="clear" w:color="auto" w:fill="FFFFFF"/>
          <w:lang w:val="en-US"/>
        </w:rPr>
        <w:t xml:space="preserve"> 4 </w:t>
      </w:r>
      <w:r w:rsidRPr="00DA76A7">
        <w:rPr>
          <w:rFonts w:ascii="Arial" w:hAnsi="Arial" w:cs="Arial"/>
          <w:color w:val="000000" w:themeColor="text1"/>
          <w:shd w:val="clear" w:color="auto" w:fill="FFFFFF"/>
        </w:rPr>
        <w:t>февраля</w:t>
      </w:r>
      <w:r w:rsidRPr="00DA76A7">
        <w:rPr>
          <w:rFonts w:ascii="Arial" w:hAnsi="Arial" w:cs="Arial"/>
          <w:color w:val="000000" w:themeColor="text1"/>
          <w:shd w:val="clear" w:color="auto" w:fill="FFFFFF"/>
          <w:lang w:val="en-US"/>
        </w:rPr>
        <w:t xml:space="preserve"> 2015 </w:t>
      </w:r>
      <w:r w:rsidRPr="00DA76A7">
        <w:rPr>
          <w:rFonts w:ascii="Arial" w:hAnsi="Arial" w:cs="Arial"/>
          <w:color w:val="000000" w:themeColor="text1"/>
          <w:shd w:val="clear" w:color="auto" w:fill="FFFFFF"/>
        </w:rPr>
        <w:t>г</w:t>
      </w:r>
      <w:r w:rsidRPr="00DA76A7">
        <w:rPr>
          <w:rFonts w:ascii="Arial" w:hAnsi="Arial" w:cs="Arial"/>
          <w:color w:val="000000" w:themeColor="text1"/>
          <w:shd w:val="clear" w:color="auto" w:fill="FFFFFF"/>
          <w:lang w:val="en-US"/>
        </w:rPr>
        <w:t xml:space="preserve">. №15-10 </w:t>
      </w:r>
      <w:r w:rsidRPr="00DA76A7">
        <w:rPr>
          <w:rFonts w:ascii="Arial" w:hAnsi="Arial" w:cs="Arial"/>
          <w:color w:val="000000" w:themeColor="text1"/>
          <w:shd w:val="clear" w:color="auto" w:fill="FFFFFF"/>
        </w:rPr>
        <w:t>с</w:t>
      </w:r>
      <w:r w:rsidRPr="00DA76A7">
        <w:rPr>
          <w:rFonts w:ascii="Arial" w:hAnsi="Arial" w:cs="Arial"/>
          <w:color w:val="000000" w:themeColor="text1"/>
          <w:shd w:val="clear" w:color="auto" w:fill="FFFFFF"/>
          <w:lang w:val="en-US"/>
        </w:rPr>
        <w:t>.67.</w:t>
      </w:r>
    </w:p>
    <w:p w:rsidR="00592BC2" w:rsidRPr="00DA76A7" w:rsidRDefault="00592BC2" w:rsidP="00592BC2">
      <w:pPr>
        <w:ind w:firstLine="567"/>
        <w:jc w:val="center"/>
        <w:rPr>
          <w:rFonts w:ascii="Arial" w:hAnsi="Arial" w:cs="Arial"/>
          <w:b/>
          <w:color w:val="000000" w:themeColor="text1"/>
          <w:sz w:val="22"/>
          <w:szCs w:val="22"/>
          <w:lang w:val="en-US"/>
        </w:rPr>
      </w:pPr>
    </w:p>
    <w:p w:rsidR="00592BC2" w:rsidRPr="00DA76A7" w:rsidRDefault="00592BC2" w:rsidP="00592BC2">
      <w:pPr>
        <w:ind w:firstLine="567"/>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НЕКОТОРЫЕ ОСОБЕННОСТИ ПРОЯВЛЕНИЯ ТЕРРОРИЗМА В СОВРЕМЕННОЕ ВРЕМЯ </w:t>
      </w:r>
    </w:p>
    <w:p w:rsidR="00592BC2" w:rsidRPr="00DA76A7" w:rsidRDefault="00592BC2" w:rsidP="00592BC2">
      <w:pPr>
        <w:pStyle w:val="a6"/>
        <w:spacing w:after="0" w:line="240" w:lineRule="auto"/>
        <w:ind w:left="0"/>
        <w:jc w:val="center"/>
        <w:rPr>
          <w:rFonts w:ascii="Arial" w:hAnsi="Arial" w:cs="Arial"/>
          <w:b/>
          <w:color w:val="000000" w:themeColor="text1"/>
        </w:rPr>
      </w:pPr>
    </w:p>
    <w:p w:rsidR="00592BC2" w:rsidRPr="00DA76A7" w:rsidRDefault="00592BC2" w:rsidP="00592BC2">
      <w:pPr>
        <w:pStyle w:val="a6"/>
        <w:spacing w:after="0" w:line="240" w:lineRule="auto"/>
        <w:ind w:left="0"/>
        <w:jc w:val="center"/>
        <w:rPr>
          <w:rFonts w:ascii="Arial" w:hAnsi="Arial" w:cs="Arial"/>
          <w:b/>
          <w:color w:val="000000" w:themeColor="text1"/>
        </w:rPr>
      </w:pPr>
      <w:r w:rsidRPr="00DA76A7">
        <w:rPr>
          <w:rFonts w:ascii="Arial" w:hAnsi="Arial" w:cs="Arial"/>
          <w:b/>
          <w:color w:val="000000" w:themeColor="text1"/>
        </w:rPr>
        <w:t>Муртазозода Шухрат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w:t>
      </w:r>
      <w:r w:rsidRPr="00DA76A7">
        <w:rPr>
          <w:rFonts w:ascii="Arial" w:hAnsi="Arial" w:cs="Arial"/>
          <w:color w:val="000000" w:themeColor="text1"/>
          <w:sz w:val="22"/>
          <w:szCs w:val="22"/>
          <w:lang w:val="tg-Cyrl-TJ"/>
        </w:rPr>
        <w:t>927580565</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mall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shukhrat</w:t>
      </w:r>
      <w:r w:rsidRPr="00DA76A7">
        <w:rPr>
          <w:rFonts w:ascii="Arial" w:hAnsi="Arial" w:cs="Arial"/>
          <w:color w:val="000000" w:themeColor="text1"/>
          <w:sz w:val="22"/>
          <w:szCs w:val="22"/>
        </w:rPr>
        <w:t>8580@</w:t>
      </w:r>
      <w:r w:rsidRPr="00DA76A7">
        <w:rPr>
          <w:rFonts w:ascii="Arial" w:hAnsi="Arial" w:cs="Arial"/>
          <w:color w:val="000000" w:themeColor="text1"/>
          <w:sz w:val="22"/>
          <w:szCs w:val="22"/>
          <w:lang w:val="en-US"/>
        </w:rPr>
        <w:t>gmail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com</w:t>
      </w:r>
    </w:p>
    <w:p w:rsidR="00592BC2" w:rsidRDefault="00592BC2" w:rsidP="00592BC2">
      <w:pPr>
        <w:jc w:val="center"/>
        <w:rPr>
          <w:rFonts w:ascii="Arial" w:hAnsi="Arial" w:cs="Arial"/>
          <w:b/>
          <w:color w:val="000000" w:themeColor="text1"/>
          <w:sz w:val="22"/>
          <w:szCs w:val="22"/>
        </w:rPr>
      </w:pPr>
    </w:p>
    <w:p w:rsidR="005C2070" w:rsidRDefault="005C2070" w:rsidP="00592BC2">
      <w:pPr>
        <w:jc w:val="center"/>
        <w:rPr>
          <w:rFonts w:ascii="Arial" w:hAnsi="Arial" w:cs="Arial"/>
          <w:b/>
          <w:color w:val="000000" w:themeColor="text1"/>
          <w:sz w:val="22"/>
          <w:szCs w:val="22"/>
        </w:rPr>
      </w:pPr>
    </w:p>
    <w:p w:rsidR="005C2070" w:rsidRDefault="005C2070" w:rsidP="00592BC2">
      <w:pPr>
        <w:jc w:val="center"/>
        <w:rPr>
          <w:rFonts w:ascii="Arial" w:hAnsi="Arial" w:cs="Arial"/>
          <w:b/>
          <w:color w:val="000000" w:themeColor="text1"/>
          <w:sz w:val="22"/>
          <w:szCs w:val="22"/>
        </w:rPr>
      </w:pPr>
    </w:p>
    <w:p w:rsidR="005C2070" w:rsidRDefault="005C2070" w:rsidP="00592BC2">
      <w:pPr>
        <w:jc w:val="center"/>
        <w:rPr>
          <w:rFonts w:ascii="Arial" w:hAnsi="Arial" w:cs="Arial"/>
          <w:b/>
          <w:color w:val="000000" w:themeColor="text1"/>
          <w:sz w:val="22"/>
          <w:szCs w:val="22"/>
        </w:rPr>
      </w:pPr>
    </w:p>
    <w:p w:rsidR="005C2070" w:rsidRDefault="005C2070" w:rsidP="00592BC2">
      <w:pPr>
        <w:jc w:val="center"/>
        <w:rPr>
          <w:rFonts w:ascii="Arial" w:hAnsi="Arial" w:cs="Arial"/>
          <w:b/>
          <w:color w:val="000000" w:themeColor="text1"/>
          <w:sz w:val="22"/>
          <w:szCs w:val="22"/>
        </w:rPr>
      </w:pPr>
    </w:p>
    <w:p w:rsidR="005C2070" w:rsidRPr="00DA76A7" w:rsidRDefault="005C2070"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SOME FEATURES OF TERRORISM IN MODERN LIFE</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Murtazozoda Shuhrat</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master of the 2 nd year of the full-time department of the faculty of law</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734025, Republic of Tajikistan, Dushanbe, M. Tursunzade str., 30 </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tel.: 927580565, e-mail: shukhrat8580@gmail.com</w:t>
      </w:r>
    </w:p>
    <w:p w:rsidR="00592BC2" w:rsidRPr="00DA76A7" w:rsidRDefault="00592BC2" w:rsidP="00592BC2">
      <w:pPr>
        <w:ind w:firstLine="567"/>
        <w:jc w:val="right"/>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доцент Абдухамитов В.А.</w:t>
      </w:r>
    </w:p>
    <w:p w:rsidR="00592BC2" w:rsidRPr="00DA76A7" w:rsidRDefault="00592BC2" w:rsidP="00592BC2">
      <w:pPr>
        <w:ind w:firstLine="567"/>
        <w:jc w:val="right"/>
        <w:rPr>
          <w:rFonts w:ascii="Arial" w:hAnsi="Arial" w:cs="Arial"/>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 </w:t>
      </w:r>
      <w:r w:rsidRPr="00DA76A7">
        <w:rPr>
          <w:rFonts w:ascii="Arial" w:hAnsi="Arial" w:cs="Arial"/>
          <w:i/>
          <w:color w:val="000000" w:themeColor="text1"/>
          <w:sz w:val="22"/>
          <w:szCs w:val="22"/>
        </w:rPr>
        <w:t>В статье говорится о том, что последнее годы терроризм охватывает практически все сферы жизнедеятельности в Республике Таджикистан и оно превратилась в серьезный фактор, который наносит колоссальный ущерб достижению комплекса задач в современном мире.</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 </w:t>
      </w:r>
      <w:r w:rsidRPr="00DA76A7">
        <w:rPr>
          <w:rFonts w:ascii="Arial" w:hAnsi="Arial" w:cs="Arial"/>
          <w:i/>
          <w:color w:val="000000" w:themeColor="text1"/>
          <w:sz w:val="22"/>
          <w:szCs w:val="22"/>
          <w:lang w:val="en-US"/>
        </w:rPr>
        <w:t>The article deals with the information that last yearsterrorism  embraces practically all spheres of vital life in the Republic of Tajikistan and it grew into a serious factor that inflicts a huge damage to the achievement of complex of tasks in modern life.</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терроризм, экстремизм угроза,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terrorism, extremism, a threat</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Проблема терроризма в современное время не только существует, но ежегодно обостряется, превращается в общегосударственную, связанную с обеспечением национальной безопасности страны.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Статья 3.Закон республики Таджикистан  о борьбе с терроризмом гласит: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«Терроризм, то  есть насилие или угроза его применения в отношении физических лиц, принуждение или угроза его применения в отношении юридических лиц, а также уничтожение (повреждение) или угроза уничтожения (повреждения) имущества или иных материальных объектов физических  или юридических лиц,  создающие опасность гибели людей,  причинение значительного имущественного ущерба либо наступление иных общественно-опасных последствий, осуществляемые в целях нарушения общественной безопасности, устрашения населения или оказания воздействия  на  принятие органами власти решений, выгодных террористам,  или удовлетворение их неправомерных имущественных и (или) иных интересов» [1, 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Терроризм – это метод, посредством которого организованная группа или партия стремится достичь провозглашенных ею целей – преимущественно через систематическое использование насилия. Понятие «терроризм» и «террорист» появляются в конце XVIII в. [3, 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Терроризм, как никакое другое преступление, наиболее тесно связано с глобальными социальными, политическими и экономическими противоречиями развития общества. По своим масштабам, направленности и тяжести последствий он наиболее опасен для государства и отдельных граждан. Спецслужбы и правоохранительные органы в своей практике противодействия терроризму сталкиваются со многими проблемами, разрешение которых не в их компетенции. Устранение таких проблем – единственный путь профилактики терроризма. Поэтому главным субъектом борьбы с терроризмом должно быть само государство, законодательная, исполнительная и судебная власти.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основе борьбы с терроризмом должна быть единая, целостная, комплексная государственная концепция, учитывающая международно-правовые акты и реалии государственного и общественного устройства страны.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современное время терроризм превратился в одну из опасных по своим масштабам, непредсказуемости и последствиям общественно-политических и моральных проблем, с которыми человечество входит в XXI столетие. Терроризм и экстремизм в любых их проявлениях все больше угрожают безопасности многих стран и их граждан, влекут за собой огромные политические, экономические и моральные потери, оказывают сильное психологическое давление на большие массы людей, уносят жизни ни в чем не повинных людей.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 терроризм  понимается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последнее время бандитская традиция пустила свои корни во многих районах и уголках постсоветского пространства. Сегодня миру уже грозя ядерным терроризмом, терроризмом с применением отравляющих веществ. Характер эпидемии приобрели похищения людей в целях шантажа или получения выкупа [2, 18].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 свою историю терроризм трансформировался и обрел новые изощренные формы. Современными формами терроризма   являются : ядерный, химический, экологический и кибертерроризм.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Маджидзода Д.З  актуальной остается проблема так называемого экологического терроризма. Само название подсказывает, что этот вид терроризма проявляется в сфере экологии, охраны окружающей среды и некой фауны. Поэтому человеческая деятельность, наносящая ряд окружающей среде, стала объектом посягательство террористов [2, 24].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Следовательно, мировое сообщество сталкивается с таким явлением как терроризм и экстремизмом на протяжении последних лет. Наша задача состоит объективно оценивать эти явления происходящее в нашем обществе и воспитать в себя чувство гражданского долга толерантности в отношении представителей других народов.  </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2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Закон Республики Таджикистан «О борьбе с терроризмом» от 16 ноября 1999г.</w:t>
      </w:r>
      <w:r w:rsidRPr="00DA76A7">
        <w:rPr>
          <w:rFonts w:ascii="Arial" w:eastAsia="MS Mincho" w:hAnsi="Arial" w:cs="Arial"/>
          <w:color w:val="000000" w:themeColor="text1"/>
        </w:rPr>
        <w:t xml:space="preserve"> [Электронный ресурс]. - Режим доступа: </w:t>
      </w:r>
      <w:hyperlink r:id="rId312" w:history="1">
        <w:r w:rsidRPr="00DA76A7">
          <w:rPr>
            <w:rStyle w:val="af0"/>
            <w:rFonts w:ascii="Arial" w:eastAsia="MS Mincho" w:hAnsi="Arial" w:cs="Arial"/>
            <w:color w:val="000000" w:themeColor="text1"/>
            <w:u w:val="none"/>
          </w:rPr>
          <w:t>http://www.mmk.tj</w:t>
        </w:r>
      </w:hyperlink>
      <w:r w:rsidRPr="00DA76A7">
        <w:rPr>
          <w:rFonts w:ascii="Arial" w:eastAsia="MS Mincho" w:hAnsi="Arial" w:cs="Arial"/>
          <w:color w:val="000000" w:themeColor="text1"/>
        </w:rPr>
        <w:t xml:space="preserve"> (дата обращения: 20.04.2018).</w:t>
      </w:r>
    </w:p>
    <w:p w:rsidR="00592BC2" w:rsidRPr="00DA76A7" w:rsidRDefault="00592BC2" w:rsidP="00D45D6B">
      <w:pPr>
        <w:pStyle w:val="a6"/>
        <w:numPr>
          <w:ilvl w:val="0"/>
          <w:numId w:val="12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Маджидзода Д.З. Противодействие терроризму и экстремизму. – Душанбе:  Ирфон, 2016. – 370 с.</w:t>
      </w:r>
    </w:p>
    <w:p w:rsidR="00592BC2" w:rsidRPr="00DA76A7" w:rsidRDefault="00592BC2" w:rsidP="00D45D6B">
      <w:pPr>
        <w:pStyle w:val="a6"/>
        <w:numPr>
          <w:ilvl w:val="0"/>
          <w:numId w:val="12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Мальцев В.В Ответственность за терроризм. - М.: Мир, 1994. – 214 с.</w:t>
      </w:r>
    </w:p>
    <w:p w:rsidR="00592BC2" w:rsidRPr="00DA76A7" w:rsidRDefault="00592BC2" w:rsidP="00592BC2">
      <w:pPr>
        <w:pStyle w:val="a6"/>
        <w:spacing w:after="0" w:line="240" w:lineRule="auto"/>
        <w:ind w:left="0" w:firstLine="567"/>
        <w:jc w:val="both"/>
        <w:rPr>
          <w:rFonts w:ascii="Arial" w:hAnsi="Arial" w:cs="Arial"/>
          <w:b/>
          <w:color w:val="000000" w:themeColor="text1"/>
          <w:shd w:val="clear" w:color="auto" w:fill="FFFFFF"/>
        </w:rPr>
      </w:pPr>
    </w:p>
    <w:p w:rsidR="00592BC2" w:rsidRPr="00DA76A7" w:rsidRDefault="00592BC2" w:rsidP="00592BC2">
      <w:pPr>
        <w:ind w:firstLine="567"/>
        <w:jc w:val="center"/>
        <w:rPr>
          <w:rFonts w:ascii="Arial" w:eastAsia="Calibri" w:hAnsi="Arial" w:cs="Arial"/>
          <w:b/>
          <w:color w:val="000000" w:themeColor="text1"/>
          <w:sz w:val="22"/>
          <w:szCs w:val="22"/>
        </w:rPr>
      </w:pPr>
    </w:p>
    <w:p w:rsidR="00592BC2" w:rsidRPr="00DA76A7" w:rsidRDefault="00592BC2" w:rsidP="00592BC2">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ПОЖИЗНЕННОЕ ЛИШЕНИЕ СВОБОДЫ КАК АЛЬТЕРНАТИВА СМЕРТНОЙ КАЗНИ</w:t>
      </w:r>
    </w:p>
    <w:p w:rsidR="00592BC2" w:rsidRPr="00DA76A7" w:rsidRDefault="00592BC2" w:rsidP="00592BC2">
      <w:pPr>
        <w:jc w:val="center"/>
        <w:rPr>
          <w:rFonts w:ascii="Arial" w:eastAsia="Calibri" w:hAnsi="Arial" w:cs="Arial"/>
          <w:b/>
          <w:color w:val="000000" w:themeColor="text1"/>
          <w:sz w:val="22"/>
          <w:szCs w:val="22"/>
        </w:rPr>
      </w:pPr>
    </w:p>
    <w:p w:rsidR="00592BC2" w:rsidRPr="00DA76A7" w:rsidRDefault="00592BC2" w:rsidP="00592BC2">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Назарзода Рамзагули Гани</w:t>
      </w:r>
    </w:p>
    <w:p w:rsidR="00592BC2" w:rsidRPr="00DA76A7" w:rsidRDefault="00592BC2" w:rsidP="00592BC2">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аспирант 3-го курса Института философии, политологии и права им. ак.                        Баховаддинова А. Академии наук Республики Таджикистан 734025, </w:t>
      </w:r>
    </w:p>
    <w:p w:rsidR="00592BC2" w:rsidRPr="00DA76A7" w:rsidRDefault="00592BC2" w:rsidP="00592BC2">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Республика Таджикистан,  г. Душанбе, ул. Рудаки 33                 </w:t>
      </w:r>
    </w:p>
    <w:p w:rsidR="00592BC2" w:rsidRPr="00DA76A7" w:rsidRDefault="00592BC2" w:rsidP="00592BC2">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тел.: 988-88-45-44, </w:t>
      </w:r>
      <w:r w:rsidRPr="00DA76A7">
        <w:rPr>
          <w:rFonts w:ascii="Arial" w:eastAsia="Calibri" w:hAnsi="Arial" w:cs="Arial"/>
          <w:color w:val="000000" w:themeColor="text1"/>
          <w:sz w:val="22"/>
          <w:szCs w:val="22"/>
          <w:lang w:val="en-US"/>
        </w:rPr>
        <w:t>e</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 xml:space="preserve">: </w:t>
      </w:r>
      <w:r w:rsidRPr="00DA76A7">
        <w:rPr>
          <w:rFonts w:ascii="Arial" w:eastAsia="Calibri" w:hAnsi="Arial" w:cs="Arial"/>
          <w:color w:val="000000" w:themeColor="text1"/>
          <w:sz w:val="22"/>
          <w:szCs w:val="22"/>
          <w:lang w:val="en-US"/>
        </w:rPr>
        <w:t>ramziya</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nazarzoda</w:t>
      </w:r>
      <w:r w:rsidRPr="00DA76A7">
        <w:rPr>
          <w:rFonts w:ascii="Arial" w:eastAsia="Calibri" w:hAnsi="Arial" w:cs="Arial"/>
          <w:color w:val="000000" w:themeColor="text1"/>
          <w:sz w:val="22"/>
          <w:szCs w:val="22"/>
        </w:rPr>
        <w:t>.93 @</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ru</w:t>
      </w:r>
      <w:r w:rsidRPr="00DA76A7">
        <w:rPr>
          <w:rFonts w:ascii="Arial" w:eastAsia="Calibri" w:hAnsi="Arial" w:cs="Arial"/>
          <w:color w:val="000000" w:themeColor="text1"/>
          <w:sz w:val="22"/>
          <w:szCs w:val="22"/>
        </w:rPr>
        <w:t>.</w:t>
      </w:r>
    </w:p>
    <w:p w:rsidR="00592BC2" w:rsidRPr="00DA76A7" w:rsidRDefault="00592BC2" w:rsidP="00592BC2">
      <w:pPr>
        <w:jc w:val="center"/>
        <w:rPr>
          <w:rFonts w:ascii="Arial" w:eastAsia="Calibri" w:hAnsi="Arial" w:cs="Arial"/>
          <w:color w:val="000000" w:themeColor="text1"/>
          <w:sz w:val="22"/>
          <w:szCs w:val="22"/>
        </w:rPr>
      </w:pPr>
    </w:p>
    <w:p w:rsidR="00592BC2" w:rsidRPr="00DA76A7" w:rsidRDefault="00592BC2" w:rsidP="00592BC2">
      <w:pPr>
        <w:jc w:val="center"/>
        <w:rPr>
          <w:rFonts w:ascii="Arial" w:eastAsia="Calibri" w:hAnsi="Arial" w:cs="Arial"/>
          <w:b/>
          <w:color w:val="000000" w:themeColor="text1"/>
          <w:sz w:val="22"/>
          <w:szCs w:val="22"/>
          <w:lang w:val="en-US"/>
        </w:rPr>
      </w:pPr>
      <w:r w:rsidRPr="00DA76A7">
        <w:rPr>
          <w:rFonts w:ascii="Arial" w:eastAsia="Calibri" w:hAnsi="Arial" w:cs="Arial"/>
          <w:b/>
          <w:color w:val="000000" w:themeColor="text1"/>
          <w:sz w:val="22"/>
          <w:szCs w:val="22"/>
          <w:lang w:val="en-US"/>
        </w:rPr>
        <w:t>LIFELONG IMPRISONMENT AS ALTERNATIVE OF THE DEATH PENALTY</w:t>
      </w:r>
    </w:p>
    <w:p w:rsidR="00592BC2" w:rsidRPr="00DA76A7" w:rsidRDefault="00592BC2" w:rsidP="00592BC2">
      <w:pPr>
        <w:jc w:val="center"/>
        <w:rPr>
          <w:rFonts w:ascii="Arial" w:eastAsia="Calibri"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Nazarzoda Ramzaguli Gani</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Institute of philosophy, political science and                                                               right of name of the academician Bakhovaddinov A. of Academy of Sciences                                                   of the Tajikistan Republic 734025, Dushanbe city, Rudakiʼs street 33</w:t>
      </w:r>
    </w:p>
    <w:p w:rsidR="00592BC2" w:rsidRPr="00DA76A7" w:rsidRDefault="00592BC2" w:rsidP="00592BC2">
      <w:pPr>
        <w:jc w:val="center"/>
        <w:rPr>
          <w:rFonts w:ascii="Arial" w:eastAsia="Calibri" w:hAnsi="Arial" w:cs="Arial"/>
          <w:color w:val="000000" w:themeColor="text1"/>
          <w:sz w:val="22"/>
          <w:szCs w:val="22"/>
          <w:lang w:val="en-US"/>
        </w:rPr>
      </w:pPr>
      <w:r w:rsidRPr="00DA76A7">
        <w:rPr>
          <w:rFonts w:ascii="Arial" w:hAnsi="Arial" w:cs="Arial"/>
          <w:color w:val="000000" w:themeColor="text1"/>
          <w:sz w:val="22"/>
          <w:szCs w:val="22"/>
          <w:lang w:val="en-US"/>
        </w:rPr>
        <w:t xml:space="preserve">tel.: (+992) 988-88-45-44; </w:t>
      </w:r>
      <w:r w:rsidRPr="00DA76A7">
        <w:rPr>
          <w:rFonts w:ascii="Arial" w:eastAsia="Calibri" w:hAnsi="Arial" w:cs="Arial"/>
          <w:color w:val="000000" w:themeColor="text1"/>
          <w:sz w:val="22"/>
          <w:szCs w:val="22"/>
          <w:lang w:val="en-US"/>
        </w:rPr>
        <w:t>e-mail: ramziya.nazarzoda.93 @mail.ru.</w:t>
      </w:r>
    </w:p>
    <w:p w:rsidR="00592BC2" w:rsidRPr="00DA76A7" w:rsidRDefault="00592BC2" w:rsidP="00592BC2">
      <w:pPr>
        <w:ind w:firstLine="567"/>
        <w:jc w:val="center"/>
        <w:rPr>
          <w:rFonts w:ascii="Arial" w:eastAsia="Calibri" w:hAnsi="Arial" w:cs="Arial"/>
          <w:b/>
          <w:color w:val="000000" w:themeColor="text1"/>
          <w:sz w:val="22"/>
          <w:szCs w:val="22"/>
          <w:lang w:val="en-US"/>
        </w:rPr>
      </w:pPr>
    </w:p>
    <w:p w:rsidR="00592BC2" w:rsidRPr="00DA76A7" w:rsidRDefault="00592BC2" w:rsidP="00592BC2">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 xml:space="preserve">Аннотация. </w:t>
      </w:r>
      <w:r w:rsidRPr="00DA76A7">
        <w:rPr>
          <w:rFonts w:ascii="Arial" w:eastAsia="Calibri" w:hAnsi="Arial" w:cs="Arial"/>
          <w:i/>
          <w:color w:val="000000" w:themeColor="text1"/>
          <w:sz w:val="22"/>
          <w:szCs w:val="22"/>
        </w:rPr>
        <w:t>В данной статье рассматриваются такие вопросы как: роль пожизненного заключения свободы в системе наказания, актуальность назначения пожизненного лишения свободы, актуальность применения термина «пожизненное лишение свободы» в современном уголовном законодательстве.</w:t>
      </w:r>
      <w:r w:rsidRPr="00DA76A7">
        <w:rPr>
          <w:rFonts w:ascii="Arial" w:eastAsia="Calibri" w:hAnsi="Arial" w:cs="Arial"/>
          <w:i/>
          <w:color w:val="000000" w:themeColor="text1"/>
          <w:sz w:val="22"/>
          <w:szCs w:val="22"/>
        </w:rPr>
        <w:tab/>
      </w:r>
      <w:r w:rsidRPr="00DA76A7">
        <w:rPr>
          <w:rFonts w:ascii="Arial" w:eastAsia="Calibri" w:hAnsi="Arial" w:cs="Arial"/>
          <w:i/>
          <w:color w:val="000000" w:themeColor="text1"/>
          <w:sz w:val="22"/>
          <w:szCs w:val="22"/>
        </w:rPr>
        <w:tab/>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eastAsia="Calibri" w:hAnsi="Arial" w:cs="Arial"/>
          <w:b/>
          <w:i/>
          <w:color w:val="000000" w:themeColor="text1"/>
          <w:sz w:val="22"/>
          <w:szCs w:val="22"/>
          <w:lang w:val="en-US"/>
        </w:rPr>
        <w:t>Annotation</w:t>
      </w:r>
      <w:r w:rsidRPr="00DA76A7">
        <w:rPr>
          <w:rFonts w:ascii="Arial" w:hAnsi="Arial" w:cs="Arial"/>
          <w:b/>
          <w:i/>
          <w:color w:val="000000" w:themeColor="text1"/>
          <w:sz w:val="22"/>
          <w:szCs w:val="22"/>
          <w:lang w:val="en-US"/>
        </w:rPr>
        <w:t>,</w:t>
      </w:r>
      <w:r w:rsidRPr="00DA76A7">
        <w:rPr>
          <w:rFonts w:ascii="Arial" w:hAnsi="Arial" w:cs="Arial"/>
          <w:i/>
          <w:color w:val="000000" w:themeColor="text1"/>
          <w:sz w:val="22"/>
          <w:szCs w:val="22"/>
          <w:lang w:val="en-US"/>
        </w:rPr>
        <w:t xml:space="preserve"> In this article such questions as are considered: a role of life imprisonment of freedom in the system of punishment, and application of lifelong imprisonment, relevance of application of the term «lifelong imprisonment» in the modern criminal legislation.</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eastAsia="Calibri" w:hAnsi="Arial" w:cs="Arial"/>
          <w:b/>
          <w:i/>
          <w:color w:val="000000" w:themeColor="text1"/>
          <w:sz w:val="22"/>
          <w:szCs w:val="22"/>
        </w:rPr>
        <w:t xml:space="preserve">Ключевые слова: </w:t>
      </w:r>
      <w:r w:rsidRPr="00DA76A7">
        <w:rPr>
          <w:rFonts w:ascii="Arial" w:eastAsia="Calibri" w:hAnsi="Arial" w:cs="Arial"/>
          <w:i/>
          <w:color w:val="000000" w:themeColor="text1"/>
          <w:sz w:val="22"/>
          <w:szCs w:val="22"/>
        </w:rPr>
        <w:t>пожизненное лишение свободы, система уголовных наказаний, проблемы назначения пожизненного лишения свободы, смертная казнь.</w:t>
      </w:r>
      <w:r w:rsidRPr="00DA76A7">
        <w:rPr>
          <w:rFonts w:ascii="Arial" w:eastAsia="Calibri" w:hAnsi="Arial" w:cs="Arial"/>
          <w:i/>
          <w:color w:val="000000" w:themeColor="text1"/>
          <w:sz w:val="22"/>
          <w:szCs w:val="22"/>
        </w:rPr>
        <w:tab/>
      </w:r>
      <w:r w:rsidRPr="00DA76A7">
        <w:rPr>
          <w:rFonts w:ascii="Arial" w:eastAsia="Calibri" w:hAnsi="Arial" w:cs="Arial"/>
          <w:i/>
          <w:color w:val="000000" w:themeColor="text1"/>
          <w:sz w:val="22"/>
          <w:szCs w:val="22"/>
        </w:rPr>
        <w:tab/>
      </w:r>
      <w:r w:rsidRPr="00DA76A7">
        <w:rPr>
          <w:rFonts w:ascii="Arial" w:eastAsia="Calibri" w:hAnsi="Arial" w:cs="Arial"/>
          <w:i/>
          <w:color w:val="000000" w:themeColor="text1"/>
          <w:sz w:val="22"/>
          <w:szCs w:val="22"/>
        </w:rPr>
        <w:tab/>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lifelong imprisonment, a system of criminal penalties, the problems of purpose of lifelong imprisonment, death penalty.</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Сохранение высокого уровня преступности, многочисленные факты невероятных по своей жестокости и изощренности убийств и террористических актов, унесших жизни сотней людей, заставляют задуматься об адекватных мерах противодействия такого рода общественно опасным деяниям. Реализация профилактических мероприятий и совершенствование социально-экономической обстановки в стране, безусловно, имеют огромное значение в борьбе с преступностью, впрочем невозможно недооценивать и роли уголовных наказаний.  За наиболее опасные деяния во многих странах введена смертная казнь как высшая мера наказания, однако в современное время данная мера наказания теряет позиции и на её место приходит (бессрочное) пожизненное лишение свободы.</w:t>
      </w:r>
      <w:r w:rsidRPr="00DA76A7">
        <w:rPr>
          <w:rFonts w:ascii="Arial" w:hAnsi="Arial" w:cs="Arial"/>
          <w:color w:val="000000" w:themeColor="text1"/>
          <w:sz w:val="22"/>
          <w:szCs w:val="22"/>
        </w:rPr>
        <w:tab/>
        <w:t>Уголовному законодательству советского периода наказание в виде пожизненного лишения свободы не было известно. Господствовало мнение, что лишение свободы, в отличие от капиталистических стран, в Советском Союзе не может быть пожизненным или бессрочным.  М.Д. Шаргородский полагал, что в силу своих исправительных целей лишение свободы по советскому уголовному праву в принципе не может быть пожизненным. В целом, уголовно-правовая доктрина относилась к пожизненному лишению свободы резко отрицательно, считая его «низменным» или даже «изуверским». Только в конце 80-х годов этой проблеме начали уделять внимание, преимущественно в контексте дискуссии об отмене высшей меры [13. 160].</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t>В уголовном законодательстве Республики Таджикистан пожизненное лишение свободы было введено Законом Республики Таджикистан «О внесении изменений в Уголовный кодекс Республики Таджикистан» от 1 марта 2005 г. №86. В соответствии с этим, пожизненное лишение свободы впервые было предусмотрено в качестве самостоятельного вида наказания в системе наказаний (п. «л» ст. 47)  Уголовного кодекса Республики Таджикистан, а также данное наказание можно применять и при замене смертной казни в порядке помилования, (ч.3 ст. 59) Уголовного кодекса Республики Таджикистан [3, 159].</w:t>
      </w:r>
      <w:r w:rsidRPr="00DA76A7">
        <w:rPr>
          <w:rFonts w:ascii="Arial" w:hAnsi="Arial" w:cs="Arial"/>
          <w:color w:val="000000" w:themeColor="text1"/>
          <w:sz w:val="22"/>
          <w:szCs w:val="22"/>
        </w:rPr>
        <w:tab/>
        <w:t>Пожизненное лишение свободы установлено Уголовным кодексом Республики Таджикистан в качестве основного вида наказания, имеющего своими целями карательное воздействие на осужденного и предупреждение совершения новых преступ</w:t>
      </w:r>
      <w:r w:rsidRPr="00DA76A7">
        <w:rPr>
          <w:rFonts w:ascii="Arial" w:hAnsi="Arial" w:cs="Arial"/>
          <w:color w:val="000000" w:themeColor="text1"/>
          <w:sz w:val="22"/>
          <w:szCs w:val="22"/>
        </w:rPr>
        <w:softHyphen/>
        <w:t>лений как осужденными, так и иными лицами, а также исправление осужденного.  Однако, по нашему мнению,  с учетом специфики данного наказания, она труднодостижима. По своей юридической природе и по строгости данный вид наказания весьма близок к высшей мере наказания - смертной казни, и юридически и фактически, являясь альтернативой этого наказания.</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t>Введение пожизненного лишения свободы, очевидно, рассчитано на сокращение практики применения смертной казни, альтернативой которой это наказание является.</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t>В соответствии со статьей 58 Уголовного кодекса Республики Таджикистан, пожизненное лишение свободы назначается лишь только как альтернатива смертной казни за совершение особо тяжких преступлений, предусмотренных Уголовным кодексом.</w:t>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 Уголовным кодексом Республики Таджикистан, пожизненное лишение свободы предусматривается за совершение особо тяжких, таких как:  преступление против личности, убийство при отягчающих обстоятельствах (ч. 2 ст. 104), преступление против половой свободы или половой неприкосновенности, (ч. 3 ст. 138  УК РТ – изнасилование несовершеннолетней, заведомо не достигшей четырнадцатилетнего возраста), преступления против общественной безопасности, террористический акт при отягчающих обстоятельствах( ч. 3 ст. 179 УК  РТ),  преступления против мира и безопасности человечества (ст. 398 – геноцид, и ст. 399 – биоцид). Также в новой редакции Уголовного кодекса Республики Таджикистан от 24.02.2017г. № 1339 были внесены изменения по отношению к мере наказания по таким статьям как: 305 ч. 2 (измена государству) и 306 ч. 2  (насильственный захват власти или насильственное удержание власти). За данные преступления также ввели пожизненное лишение свободы как основную меру наказания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Учитывая особо суровый характер пожизненного лишения свободы как вида наказания, законодатель существенно ограничил возможность его применения в отношении некоторых категорий лиц.</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Прежде всего это касается несовершеннолетних и молодых лиц, согласно ч. 2 ст.  58 УК РТ  п. а ст. 37 Конвенции ООН о правах ребенка, пожизненное тюремное заключение, не предусматривающее возможности освобождения, не назначается за преступления, совершенные лицами моложе 18 лет.</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17-й   Международный конгресс уголовного права (Пекин, 2004 г.) призвал исключить возможность назначения несовершеннолетним пожизненного заключения в любой форме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женщинам;</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-мужчинам, достигшим к моменту вынесения судом приговора шестидесятитрехлетнего возраста (в редакции Закона РТ от   01.03.2005г. №86)  [10,77-78].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Антонова О.А., пожизненное лишение свободы - это основной вид наказания, назначаемое лицу, виновному в совершении особо тяжкого преступления, предусмотренного уголовным законодательством Российской Федерации, и заключается в принудительной изоляции осужденного от прежней социальной среды и содержании его в специально предназначенном для этих целей учреждении под надзором и охраной в течение пожизненного срока  [1,  34].</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2A5E41"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О.В. Захарихиной, пожизненное лишение свободы является «самостоятельным, исключительным видом наказания, назначаемым бессрочно лицам мужского пола, признанным судом виновными  в совершении особо тяжких преступлений против жизни, и выражающемся в установлении осужденным определенных правоограничений, предусмотренных действующими уголовным и уголовно-исполнительным законодательствами, в целях восстановления социальной справедливости, исправления осужденных и предупреждения совершения преступлений как к осужденным, так и иным лицам» [5,  38].</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более поздних исследованиях пожизненное лишение свободы было введено Законом Республики Таджикистан «О внесении изменения в Уголовный кодекс Республики Таджикистан» от 1 марта 2005 г. №86, изменениям, подтвердившим самостоятельный характер этого наказания, были предложены новые определения. </w:t>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Н.В. Желоков предлагает в ч.1 ст.57 УК РФ предусмотреть следующие определения: «Пожизненное лишение свободы – исключительный вид наказания, назначаемый судом  за совершение особо тяжких преступлений, связанных с гибелью людей, в случаях, предусмотренных санкциями статей УК РФ, исполняемый в условиях  строгой изоляции осужденного от общества в полном соответствии с нормами уголовно – исполнительного законодательства до конца жизни с правом на условное освобождение, с учетом тяжести совершенного преступления и повышенной общественной опасности лица его совершившего»  [4,  8-9].</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2A5E41"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Придерживаясь мнения И.Х. Бабаджанова, данное определения представляется громоздким и не вполне корректным. По нашему мнению, в ст. 58 прим УК РТ было бы достаточно определить только содержание этого наказания. Пожизненное лишение свободы является наиболее строгим видом лишения свободы, имеющим, однако, свое содержание. По своей юридической природе пожизненное лишение свободы состоит в лишение осужденного права на личную свободу пожизненно. В отличие на лишения свободы на определенный срок, данное наказание не имеет срочного характера.  В соответствии с пунктом «д» ч.1 ст. 58 Уголовного кодекса  Республики Таджикистан, по своему содержанию пожизненное лишение свободы заключается  в изоляции осужденного от общества путем помещения его в исправительную колонию особого режима пожизненно. Поэтому включение в систему наказаний пожизненного лишения свободы в качестве самостоятельного считаем обоснованным  [10, 162].    </w:t>
      </w:r>
      <w:r w:rsidRPr="00DA76A7">
        <w:rPr>
          <w:rFonts w:ascii="Arial" w:hAnsi="Arial" w:cs="Arial"/>
          <w:color w:val="000000" w:themeColor="text1"/>
          <w:sz w:val="22"/>
          <w:szCs w:val="22"/>
        </w:rPr>
        <w:tab/>
      </w:r>
    </w:p>
    <w:p w:rsidR="002A5E41"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Альтернативой смертной казни являются длительные сроки лишения свободы, включая пожизненное. Но вопрос о пожизненном лишении свободы как более гуманной меры по отношению к смертной казни, спорный. Если касаться общественного мнения, то сначала нужно методически верно его изучить. Например, если задать вопрос: «Являетесь ли вы сторонником смертной казни?» - будет один результат; если же спросить: «Какое наказание более приемлемо: смертная казнь или пожизненное лишение свободы?»- результат оказывается иным.</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 сторонников  немедленной отмены смертной казни один из основных аргументов сводится к тому, что это наказание не имеет предупредительного значения. Аргументами сторонников отмены смертной казни указывается, что одни совершают преступление с внезапно возникши умыслом, ситуативно, не успевая подумать, что будет им угрожать в результате разоблачения; другие в состоянии такого опьянения, что не могут даже оценить, на сколько вероятно их разоблачение и наказание; третьи рассчитывают на безнаказанность, надеясь на свою ловкость, проницательность, т.е. наличие качеств; четвертые – на плохую работу органов правопорядка  [8,  138].</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Сторонники этого вида наказания (альтернативного смертной казни) утверждают, исходя из теории естественного права, что жизнь дается Богом (или природой) и только Бог может ее отнять. Человек не в праве лишать жизни другого человека. Тезис о жизни, ее ценности невозможно оспорить, но ведь такой же ценностью обладает и жизнь потерпевших. Это однако не смущает убийцу [3, 196]. </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Еще в начале XX века Б.Н. Чичерин писал: «Чем выше ценится человеческая жизнь, тем выше должно быть наказание за ее отнятие» [14,  173].</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 проведенных выше точек зрения «за» и «против» у нас появилось сомнение, а правильно ли мы поступаем, приговаривая людей к смертной казни, лишаем их жизни, не имея на то право? Ведь можно же смертную казнь заменить пожизненным лишение свободы. Все зависит от конкретного случая, порой заменяя расстрел на пожизненное лишение свободы, обрекаем человека на более мучительные страдания, заставляя его каждый день вспоминать о содеянном.</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говорить об условиях содержания осужденных, кажется, можно разве еще чего-то желать, когда смертная казнь заменена на просто «райские» условия содержания. Но не все так просто. Надо сказать, что большинство из осужденных не достигло еще и тридцатилетнего возраста (здесь взят средний показатель). И если все боятся смертной казни, тогда почему многие из осужденных пытаются покончить жизнь самоубийством? Это одно из распространенных явлений, оно настолько распространено, что стало привычным. Не проходит и месяца, чтобы кто-нибудь из осужденных не пытался свести счеты с жизнью. Вот рвут они себе простыни на петли, грызут вены, «подключаются» к розеткам, одним словом, используют любую возможность прервать свое бессмысленное существование. На какие только здесь ухищрения не пускаются, какую только изобретательность не проявляют. Благо времени для обдумывания очередного суицидального плана предостаточно [9, 150].</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Призывая к отмене последней, они, в сущности, не сокращают зло. Им остается убедить общественность, что отказ от меньшего зла в пользу большего и есть путь к возрождению нравственности в мире. Некоторые авторы называют пожизненное заключение ничем иным, как «смертью в рассрочку». И надо иметь в виду, аморально содержать пожизненно убийц за счет налогоплательщиков, в число которых входят и жертвы преступлений. Присутствует ли социальная справедливость, когда лишен жизни потерпевший и осужденный продолжает жить за счет родственников убитого [3, 166-167]</w:t>
      </w:r>
    </w:p>
    <w:p w:rsidR="002A5E41"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Малько А.В., «В качестве альтернативы смертной казни подчас предлагают и пожизненное заключение. И хотя подобная разновидность наказания используется в законодательстве и практике некоторых сран, следует весьма осторожно к ней подходить, ибо пожизненное заключение тоже является неоднозначной мерой наказания и имеет  свою специфику [12].</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2A5E41"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Карпец И.И., «Можно ли назвать гуманной  мерой пожизненное заключение? Какие цели государство стремится достичь, применяя его? Говорить, что это средство исправления и перевоспитания, наверно. Если человек перевоспитался, его надо освобождать от заключения, а не держать всю жизнь в тюрьме.  Говорить, что тем самым обеспечивается безопасность общества, тоже можно лишь условно, ибо рано или поздно осужденный достигает того возраста, когда его общественная безопасность будет равна нулю. Так не является ли  пожизненное заключение пожизненным мучительством? В право ли государство узаконивать пожизненное мучительство, нравственно ли это? Уверен, что нет!»  [7, 50-52] .</w:t>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же как экономически, социально Россия не готова полностью к отмене смертной казни и к применению ее альтернативы-пожизненного лишения свободы. При отмене смертной казни в России нужно будет  строить по одной тюрьме в год. Таким образом проблема с тюрьмами не такая уж простая, если взять что по минимальным стандартным правилам обращения с заключенными тюрьмы не должны вмещать более чем по 500 заключенных. Готова ли страна к полной альтернативе смертной казни? А.С. Михлин считает, что «помилование – не милость государства, которая может быть дарована  лишь в исключительных случаях. Помилование не может быть правилом, иначе наказание теряет смысл, создается представление, что оно вообще не применяется» [8, 138]. </w:t>
      </w:r>
    </w:p>
    <w:p w:rsidR="00592BC2" w:rsidRPr="00DA76A7" w:rsidRDefault="00592BC2" w:rsidP="00592BC2">
      <w:pPr>
        <w:ind w:firstLine="567"/>
        <w:jc w:val="both"/>
        <w:rPr>
          <w:rFonts w:ascii="Arial" w:eastAsia="Calibri" w:hAnsi="Arial" w:cs="Arial"/>
          <w:color w:val="000000" w:themeColor="text1"/>
          <w:sz w:val="22"/>
          <w:szCs w:val="22"/>
        </w:rPr>
      </w:pPr>
      <w:r w:rsidRPr="00DA76A7">
        <w:rPr>
          <w:rFonts w:ascii="Arial" w:hAnsi="Arial" w:cs="Arial"/>
          <w:color w:val="000000" w:themeColor="text1"/>
          <w:sz w:val="22"/>
          <w:szCs w:val="22"/>
        </w:rPr>
        <w:t>Таким образом, на современном этапе развития общества пожизненное лишение свободы выступает в качестве более гуманной альтернативы высшей мере наказания смертной казни. В большинстве стран сейчас введен либо мораторий либо полный запрет использования смертной казни как меры наказания. Но, несмотря на целесообразность применения пожизненного лишения свободы, есть определенные нюансы, которые тоже имеют место быть и решение этих нюансов актуальны и по сей день.</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22"/>
        <w:numPr>
          <w:ilvl w:val="0"/>
          <w:numId w:val="130"/>
        </w:numPr>
        <w:shd w:val="clear" w:color="auto" w:fill="auto"/>
        <w:tabs>
          <w:tab w:val="left" w:pos="851"/>
          <w:tab w:val="left" w:pos="993"/>
        </w:tabs>
        <w:spacing w:after="0" w:line="240" w:lineRule="auto"/>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Антонов О.А. Правовое регулирование назначения и исполнения наказания в виде пожизненного лишения свободы: дисс. ... канд. юрид. наук. - Ростов н/Д,-                             1998 – 168 с.</w:t>
      </w:r>
    </w:p>
    <w:p w:rsidR="00592BC2" w:rsidRPr="00DA76A7" w:rsidRDefault="00592BC2" w:rsidP="00D45D6B">
      <w:pPr>
        <w:pStyle w:val="a6"/>
        <w:numPr>
          <w:ilvl w:val="0"/>
          <w:numId w:val="13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Андреева В.Н., Дементьев С.И.,  Трахов А.И., Самвелян К.Р. Смертная казнь и пожизненное лишение свободы. – Краснодар, 2001. – 224 с.   </w:t>
      </w:r>
    </w:p>
    <w:p w:rsidR="00592BC2" w:rsidRPr="00DA76A7" w:rsidRDefault="00592BC2" w:rsidP="00D45D6B">
      <w:pPr>
        <w:pStyle w:val="a6"/>
        <w:numPr>
          <w:ilvl w:val="0"/>
          <w:numId w:val="13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Бабаджанов И.Х. Право на жизнь и право на смертную казнь в юридической теории и практике. - Душанбе, 2010. – 196 с.</w:t>
      </w:r>
    </w:p>
    <w:p w:rsidR="00592BC2" w:rsidRPr="00DA76A7" w:rsidRDefault="00592BC2" w:rsidP="00D45D6B">
      <w:pPr>
        <w:pStyle w:val="a6"/>
        <w:numPr>
          <w:ilvl w:val="0"/>
          <w:numId w:val="13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Желоков Н.В. Пожизненное лишение свободы в системы наказаний УК РФ и его назначение: дис. … канд. юрид. наук. – Саратов, 2007. – 162 с.</w:t>
      </w:r>
    </w:p>
    <w:p w:rsidR="00592BC2" w:rsidRPr="00DA76A7" w:rsidRDefault="00592BC2" w:rsidP="00D45D6B">
      <w:pPr>
        <w:pStyle w:val="a6"/>
        <w:numPr>
          <w:ilvl w:val="0"/>
          <w:numId w:val="13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Захарина О.В. Исполнение наказания в виде пожизненного лишения свободы в России: дис. … канд. юрид. наук.- М., 2005. – 211 с.</w:t>
      </w:r>
    </w:p>
    <w:p w:rsidR="00592BC2" w:rsidRPr="00DA76A7" w:rsidRDefault="00592BC2" w:rsidP="00D45D6B">
      <w:pPr>
        <w:pStyle w:val="22"/>
        <w:numPr>
          <w:ilvl w:val="0"/>
          <w:numId w:val="130"/>
        </w:numPr>
        <w:shd w:val="clear" w:color="auto" w:fill="auto"/>
        <w:tabs>
          <w:tab w:val="left" w:pos="851"/>
          <w:tab w:val="left" w:pos="993"/>
        </w:tabs>
        <w:spacing w:after="0" w:line="240" w:lineRule="auto"/>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Кирюхина Е.Л.  Уголовно правовые и уголовно-исполнительные аспекты применения наказания в виде пожизненного лишения свободы: дисс. ... канд. юрид. наук. – М., 2008. – 174 с.</w:t>
      </w:r>
    </w:p>
    <w:p w:rsidR="00592BC2" w:rsidRPr="00DA76A7" w:rsidRDefault="00592BC2" w:rsidP="00D45D6B">
      <w:pPr>
        <w:pStyle w:val="a6"/>
        <w:numPr>
          <w:ilvl w:val="0"/>
          <w:numId w:val="13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Карпец И.И. Высшая мера: за и против. - М., 1973.- 228 с.</w:t>
      </w:r>
    </w:p>
    <w:p w:rsidR="00592BC2" w:rsidRPr="00DA76A7" w:rsidRDefault="00592BC2" w:rsidP="00D45D6B">
      <w:pPr>
        <w:pStyle w:val="22"/>
        <w:numPr>
          <w:ilvl w:val="0"/>
          <w:numId w:val="130"/>
        </w:numPr>
        <w:shd w:val="clear" w:color="auto" w:fill="auto"/>
        <w:tabs>
          <w:tab w:val="left" w:pos="851"/>
          <w:tab w:val="left" w:pos="993"/>
        </w:tabs>
        <w:spacing w:after="0" w:line="240" w:lineRule="auto"/>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Михлин А.С. Исследование о смертной казни. - М.,  2000. - 138 с.</w:t>
      </w:r>
    </w:p>
    <w:p w:rsidR="00592BC2" w:rsidRPr="00DA76A7" w:rsidRDefault="00592BC2" w:rsidP="00D45D6B">
      <w:pPr>
        <w:pStyle w:val="a6"/>
        <w:numPr>
          <w:ilvl w:val="0"/>
          <w:numId w:val="13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Сергеевский Н.Д., О смертной казни в России. - М., 1994. – 154 с.</w:t>
      </w:r>
    </w:p>
    <w:p w:rsidR="00592BC2" w:rsidRPr="00DA76A7" w:rsidRDefault="00592BC2" w:rsidP="00D45D6B">
      <w:pPr>
        <w:pStyle w:val="a6"/>
        <w:numPr>
          <w:ilvl w:val="0"/>
          <w:numId w:val="13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Тулиев И.Р. Проблема правового регулирования назначения наказаний в Уголовном праве Республики Таджикистан.   –    Душанбе, 2013. – 112 с.</w:t>
      </w:r>
    </w:p>
    <w:p w:rsidR="00592BC2" w:rsidRPr="00DA76A7" w:rsidRDefault="00592BC2" w:rsidP="00D45D6B">
      <w:pPr>
        <w:pStyle w:val="affe"/>
        <w:numPr>
          <w:ilvl w:val="0"/>
          <w:numId w:val="130"/>
        </w:numPr>
        <w:shd w:val="clear" w:color="auto" w:fill="auto"/>
        <w:tabs>
          <w:tab w:val="left" w:pos="541"/>
          <w:tab w:val="left" w:pos="851"/>
          <w:tab w:val="left" w:pos="993"/>
        </w:tabs>
        <w:spacing w:line="240" w:lineRule="auto"/>
        <w:ind w:left="0" w:firstLine="567"/>
        <w:rPr>
          <w:rFonts w:ascii="Arial" w:hAnsi="Arial" w:cs="Arial"/>
          <w:b w:val="0"/>
          <w:color w:val="000000" w:themeColor="text1"/>
        </w:rPr>
      </w:pPr>
      <w:r w:rsidRPr="00DA76A7">
        <w:rPr>
          <w:rFonts w:ascii="Arial" w:hAnsi="Arial" w:cs="Arial"/>
          <w:b w:val="0"/>
          <w:color w:val="000000" w:themeColor="text1"/>
        </w:rPr>
        <w:t>Трахов А.И. Срочные наказания в законодательной и судебной практике (по материалам Северо-Кавказского региона): дисс. ... канд. юрид. наук. - Краснодар,             1998. - 179 с.</w:t>
      </w:r>
    </w:p>
    <w:p w:rsidR="00592BC2" w:rsidRPr="00DA76A7" w:rsidRDefault="00592BC2" w:rsidP="00D45D6B">
      <w:pPr>
        <w:pStyle w:val="22"/>
        <w:numPr>
          <w:ilvl w:val="0"/>
          <w:numId w:val="130"/>
        </w:numPr>
        <w:shd w:val="clear" w:color="auto" w:fill="auto"/>
        <w:tabs>
          <w:tab w:val="left" w:pos="851"/>
          <w:tab w:val="left" w:pos="993"/>
        </w:tabs>
        <w:spacing w:after="0" w:line="240" w:lineRule="auto"/>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Уткин В.А., Детков А.П. Пожизненное лишение свободы. – Томск.,  1997. – 136 с.</w:t>
      </w:r>
    </w:p>
    <w:p w:rsidR="00592BC2" w:rsidRPr="00DA76A7" w:rsidRDefault="00592BC2" w:rsidP="00D45D6B">
      <w:pPr>
        <w:pStyle w:val="22"/>
        <w:numPr>
          <w:ilvl w:val="0"/>
          <w:numId w:val="130"/>
        </w:numPr>
        <w:shd w:val="clear" w:color="auto" w:fill="auto"/>
        <w:tabs>
          <w:tab w:val="left" w:pos="851"/>
          <w:tab w:val="left" w:pos="993"/>
        </w:tabs>
        <w:spacing w:after="0" w:line="240" w:lineRule="auto"/>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Шарогородский М.Д. Наказание, его цели и эффективность.- Ленинград., 1973. - 115с.</w:t>
      </w:r>
    </w:p>
    <w:p w:rsidR="00592BC2" w:rsidRPr="00DA76A7" w:rsidRDefault="00592BC2" w:rsidP="00D45D6B">
      <w:pPr>
        <w:pStyle w:val="a6"/>
        <w:numPr>
          <w:ilvl w:val="0"/>
          <w:numId w:val="130"/>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Чичерин Б.Н. Философия права.  - М., 1990. -344 с.</w:t>
      </w:r>
    </w:p>
    <w:p w:rsidR="00592BC2" w:rsidRPr="00DA76A7" w:rsidRDefault="00592BC2" w:rsidP="00592BC2">
      <w:pPr>
        <w:pStyle w:val="22"/>
        <w:shd w:val="clear" w:color="auto" w:fill="auto"/>
        <w:spacing w:after="0" w:line="240" w:lineRule="auto"/>
        <w:ind w:firstLine="567"/>
        <w:jc w:val="both"/>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ЭФФЕКТИВНОСТЬ ПРИМЕНЕНИЯ РЕЗУЛЬТАТОВ ОПЕРАТИВНО-РОЗЫСКНОЙ ДЕЯТЕЛЬНОСТИ В УГОЛОВНОМ СУДОПРОИЗВОДСТВЕ</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Никулин Никита Владимирович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дневного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Алтайский государственный университет</w:t>
      </w:r>
    </w:p>
    <w:p w:rsidR="00592BC2" w:rsidRPr="00DA76A7" w:rsidRDefault="00592BC2" w:rsidP="00592BC2">
      <w:pPr>
        <w:pStyle w:val="ConsPlusNormal"/>
        <w:ind w:firstLine="0"/>
        <w:jc w:val="center"/>
        <w:rPr>
          <w:color w:val="000000" w:themeColor="text1"/>
          <w:sz w:val="22"/>
          <w:szCs w:val="22"/>
        </w:rPr>
      </w:pPr>
      <w:r w:rsidRPr="00DA76A7">
        <w:rPr>
          <w:color w:val="000000" w:themeColor="text1"/>
          <w:sz w:val="22"/>
          <w:szCs w:val="22"/>
        </w:rPr>
        <w:t>656049, Россия, Алтайский край, г. Барнаул, проспект Ленина 61</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89130822898, e-mail: </w:t>
      </w:r>
      <w:hyperlink r:id="rId313" w:history="1">
        <w:r w:rsidRPr="00DA76A7">
          <w:rPr>
            <w:rStyle w:val="af0"/>
            <w:rFonts w:ascii="Arial" w:hAnsi="Arial" w:cs="Arial"/>
            <w:color w:val="000000" w:themeColor="text1"/>
            <w:sz w:val="22"/>
            <w:szCs w:val="22"/>
            <w:u w:val="none"/>
            <w:lang w:val="en-US"/>
          </w:rPr>
          <w:t>nin.nikulin.92@mail.ru</w:t>
        </w:r>
      </w:hyperlink>
    </w:p>
    <w:p w:rsidR="00592BC2" w:rsidRDefault="00592BC2" w:rsidP="00592BC2">
      <w:pPr>
        <w:jc w:val="center"/>
        <w:rPr>
          <w:rFonts w:ascii="Arial" w:hAnsi="Arial" w:cs="Arial"/>
          <w:b/>
          <w:color w:val="000000" w:themeColor="text1"/>
          <w:sz w:val="22"/>
          <w:szCs w:val="22"/>
          <w:lang w:val="en-US"/>
        </w:rPr>
      </w:pPr>
    </w:p>
    <w:p w:rsidR="0095201E" w:rsidRPr="00DA76A7" w:rsidRDefault="0095201E"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EFFICIENCY OF APPLICATION OF RESULTS OF OPERATIVE-COST ACTIVITY IN CRIMINAL PROCEEDINGS</w:t>
      </w: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Nikulin Nikita Vladimirovich</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undergraduate 2nd year students of full-time department of the law faculty</w:t>
      </w:r>
    </w:p>
    <w:p w:rsidR="00592BC2" w:rsidRPr="00DA76A7" w:rsidRDefault="00592BC2" w:rsidP="00592BC2">
      <w:pPr>
        <w:pStyle w:val="ConsPlusNormal"/>
        <w:ind w:firstLine="0"/>
        <w:jc w:val="center"/>
        <w:rPr>
          <w:color w:val="000000" w:themeColor="text1"/>
          <w:sz w:val="22"/>
          <w:szCs w:val="22"/>
          <w:lang w:val="en-US"/>
        </w:rPr>
      </w:pPr>
      <w:r w:rsidRPr="00DA76A7">
        <w:rPr>
          <w:color w:val="000000" w:themeColor="text1"/>
          <w:sz w:val="22"/>
          <w:szCs w:val="22"/>
          <w:lang w:val="en-US"/>
        </w:rPr>
        <w:t>Altai State University</w:t>
      </w:r>
    </w:p>
    <w:p w:rsidR="00592BC2" w:rsidRPr="00DA76A7" w:rsidRDefault="00592BC2" w:rsidP="00592BC2">
      <w:pPr>
        <w:pStyle w:val="ConsPlusNormal"/>
        <w:ind w:firstLine="0"/>
        <w:jc w:val="center"/>
        <w:rPr>
          <w:color w:val="000000" w:themeColor="text1"/>
          <w:sz w:val="22"/>
          <w:szCs w:val="22"/>
          <w:lang w:val="en-US"/>
        </w:rPr>
      </w:pPr>
      <w:r w:rsidRPr="00DA76A7">
        <w:rPr>
          <w:color w:val="000000" w:themeColor="text1"/>
          <w:sz w:val="22"/>
          <w:szCs w:val="22"/>
          <w:lang w:val="en-US"/>
        </w:rPr>
        <w:t>656049, Russia, Altai region, Barnaul, Lenin Avenue 61</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89130822898, e-mail: </w:t>
      </w:r>
      <w:hyperlink r:id="rId314" w:history="1">
        <w:r w:rsidRPr="00DA76A7">
          <w:rPr>
            <w:rStyle w:val="af0"/>
            <w:rFonts w:ascii="Arial" w:hAnsi="Arial" w:cs="Arial"/>
            <w:color w:val="000000" w:themeColor="text1"/>
            <w:sz w:val="22"/>
            <w:szCs w:val="22"/>
            <w:u w:val="none"/>
            <w:lang w:val="en-US"/>
          </w:rPr>
          <w:t>nin.nikulin.92@mail.ru</w:t>
        </w:r>
      </w:hyperlink>
    </w:p>
    <w:p w:rsidR="00592BC2" w:rsidRPr="00DA76A7" w:rsidRDefault="00592BC2" w:rsidP="00592BC2">
      <w:pPr>
        <w:ind w:firstLine="567"/>
        <w:jc w:val="center"/>
        <w:rPr>
          <w:rFonts w:ascii="Arial" w:hAnsi="Arial" w:cs="Arial"/>
          <w:b/>
          <w:color w:val="000000" w:themeColor="text1"/>
          <w:sz w:val="22"/>
          <w:szCs w:val="22"/>
          <w:lang w:val="en-US"/>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данной статье анализируется эффективность применения результатов ОРД в уголовном процессе. Подробно рассматриваются положения нормативно-правовых актов регулирующих оперативно-розыскную деятельность, выявляются проблемы использования результатов ОРД в доказывании.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analyzes the effectiveness of the application of the results of the SAR in the criminal process. The provisions of regulatory legal acts regulating operational and investigative activities are considered in detail, problems of using the results of the SAR in proving are revealed.</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оперативно-розыскная деятельность</w:t>
      </w:r>
      <w:r w:rsidRPr="00DA76A7">
        <w:rPr>
          <w:rFonts w:ascii="Arial" w:hAnsi="Arial" w:cs="Arial"/>
          <w:b/>
          <w:i/>
          <w:color w:val="000000" w:themeColor="text1"/>
          <w:sz w:val="22"/>
          <w:szCs w:val="22"/>
        </w:rPr>
        <w:t xml:space="preserve">; </w:t>
      </w:r>
      <w:r w:rsidRPr="00DA76A7">
        <w:rPr>
          <w:rFonts w:ascii="Arial" w:hAnsi="Arial" w:cs="Arial"/>
          <w:i/>
          <w:color w:val="000000" w:themeColor="text1"/>
          <w:sz w:val="22"/>
          <w:szCs w:val="22"/>
        </w:rPr>
        <w:t>доказывание; следственные действия.</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operatively-search activity; proof; investigative actions.</w:t>
      </w:r>
    </w:p>
    <w:p w:rsidR="00592BC2" w:rsidRPr="00DA76A7" w:rsidRDefault="00592BC2" w:rsidP="00592BC2">
      <w:pPr>
        <w:ind w:firstLine="567"/>
        <w:jc w:val="both"/>
        <w:rPr>
          <w:rFonts w:ascii="Arial" w:hAnsi="Arial" w:cs="Arial"/>
          <w:b/>
          <w:color w:val="000000" w:themeColor="text1"/>
          <w:sz w:val="22"/>
          <w:szCs w:val="22"/>
          <w:lang w:val="en-US"/>
        </w:rPr>
      </w:pPr>
    </w:p>
    <w:p w:rsidR="00592BC2" w:rsidRPr="00DA76A7" w:rsidRDefault="00592BC2" w:rsidP="00592BC2">
      <w:pPr>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 xml:space="preserve">Качество и эффективность расследования уголовных дел прежде всего зависит от организации и уровня взаимодействия следователя </w:t>
      </w:r>
      <w:r w:rsidRPr="00DA76A7">
        <w:rPr>
          <w:rFonts w:ascii="Arial" w:hAnsi="Arial" w:cs="Arial"/>
          <w:b/>
          <w:bCs/>
          <w:color w:val="000000" w:themeColor="text1"/>
          <w:kern w:val="36"/>
          <w:sz w:val="22"/>
          <w:szCs w:val="22"/>
        </w:rPr>
        <w:t>«</w:t>
      </w:r>
      <w:r w:rsidRPr="00DA76A7">
        <w:rPr>
          <w:rFonts w:ascii="Arial" w:hAnsi="Arial" w:cs="Arial"/>
          <w:bCs/>
          <w:color w:val="000000" w:themeColor="text1"/>
          <w:kern w:val="36"/>
          <w:sz w:val="22"/>
          <w:szCs w:val="22"/>
        </w:rPr>
        <w:t>дознавателя</w:t>
      </w:r>
      <w:r w:rsidRPr="00DA76A7">
        <w:rPr>
          <w:rFonts w:ascii="Arial" w:hAnsi="Arial" w:cs="Arial"/>
          <w:b/>
          <w:bCs/>
          <w:color w:val="000000" w:themeColor="text1"/>
          <w:kern w:val="36"/>
          <w:sz w:val="22"/>
          <w:szCs w:val="22"/>
        </w:rPr>
        <w:t xml:space="preserve">» </w:t>
      </w:r>
      <w:r w:rsidRPr="00DA76A7">
        <w:rPr>
          <w:rFonts w:ascii="Arial" w:hAnsi="Arial" w:cs="Arial"/>
          <w:bCs/>
          <w:color w:val="000000" w:themeColor="text1"/>
          <w:kern w:val="36"/>
          <w:sz w:val="22"/>
          <w:szCs w:val="22"/>
        </w:rPr>
        <w:t>и подразделений, осуществляющих оперативно-розыскную деятельность (далее – ОРД).</w:t>
      </w:r>
    </w:p>
    <w:p w:rsidR="00592BC2" w:rsidRPr="00DA76A7" w:rsidRDefault="00592BC2" w:rsidP="00592BC2">
      <w:pPr>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 xml:space="preserve">Согласно Федеральному закону </w:t>
      </w:r>
      <w:r w:rsidRPr="00DA76A7">
        <w:rPr>
          <w:rFonts w:ascii="Arial" w:hAnsi="Arial" w:cs="Arial"/>
          <w:b/>
          <w:bCs/>
          <w:color w:val="000000" w:themeColor="text1"/>
          <w:kern w:val="36"/>
          <w:sz w:val="22"/>
          <w:szCs w:val="22"/>
        </w:rPr>
        <w:t> </w:t>
      </w:r>
      <w:r w:rsidRPr="00DA76A7">
        <w:rPr>
          <w:rFonts w:ascii="Arial" w:hAnsi="Arial" w:cs="Arial"/>
          <w:bCs/>
          <w:color w:val="000000" w:themeColor="text1"/>
          <w:kern w:val="36"/>
          <w:sz w:val="22"/>
          <w:szCs w:val="22"/>
        </w:rPr>
        <w:t>от 12 августа 1995 № 144-ФЗ «Об оперативно</w:t>
      </w:r>
      <w:r w:rsidRPr="00DA76A7">
        <w:rPr>
          <w:rFonts w:ascii="Arial" w:hAnsi="Arial" w:cs="Arial"/>
          <w:b/>
          <w:bCs/>
          <w:color w:val="000000" w:themeColor="text1"/>
          <w:kern w:val="36"/>
          <w:sz w:val="22"/>
          <w:szCs w:val="22"/>
        </w:rPr>
        <w:t>–</w:t>
      </w:r>
      <w:r w:rsidRPr="00DA76A7">
        <w:rPr>
          <w:rFonts w:ascii="Arial" w:hAnsi="Arial" w:cs="Arial"/>
          <w:bCs/>
          <w:color w:val="000000" w:themeColor="text1"/>
          <w:kern w:val="36"/>
          <w:sz w:val="22"/>
          <w:szCs w:val="22"/>
        </w:rPr>
        <w:t xml:space="preserve">розыскной деятельности» </w:t>
      </w:r>
      <w:r w:rsidRPr="00DA76A7">
        <w:rPr>
          <w:rFonts w:ascii="Arial" w:eastAsia="Calibri" w:hAnsi="Arial" w:cs="Arial"/>
          <w:bCs/>
          <w:color w:val="000000" w:themeColor="text1"/>
          <w:sz w:val="22"/>
          <w:szCs w:val="22"/>
          <w:shd w:val="clear" w:color="auto" w:fill="FFFFFF"/>
        </w:rPr>
        <w:t xml:space="preserve">оперативно-розыскная деятельность </w:t>
      </w:r>
      <w:r w:rsidRPr="00DA76A7">
        <w:rPr>
          <w:rFonts w:ascii="Arial" w:hAnsi="Arial" w:cs="Arial"/>
          <w:b/>
          <w:bCs/>
          <w:color w:val="000000" w:themeColor="text1"/>
          <w:kern w:val="36"/>
          <w:sz w:val="22"/>
          <w:szCs w:val="22"/>
        </w:rPr>
        <w:t>–</w:t>
      </w:r>
      <w:r w:rsidRPr="00DA76A7">
        <w:rPr>
          <w:rFonts w:ascii="Arial" w:eastAsia="Calibri" w:hAnsi="Arial" w:cs="Arial"/>
          <w:bCs/>
          <w:color w:val="000000" w:themeColor="text1"/>
          <w:sz w:val="22"/>
          <w:szCs w:val="22"/>
          <w:shd w:val="clear" w:color="auto" w:fill="FFFFFF"/>
        </w:rPr>
        <w:t xml:space="preserve"> вид деятельности, осуществляемой гласно и негласно оперативными подразделениями государственных органов, уполномоченных на то настоящим Федеральным законом </w:t>
      </w:r>
      <w:r w:rsidRPr="00DA76A7">
        <w:rPr>
          <w:rFonts w:ascii="Arial" w:hAnsi="Arial" w:cs="Arial"/>
          <w:bCs/>
          <w:color w:val="000000" w:themeColor="text1"/>
          <w:kern w:val="36"/>
          <w:sz w:val="22"/>
          <w:szCs w:val="22"/>
        </w:rPr>
        <w:t>«</w:t>
      </w:r>
      <w:r w:rsidRPr="00DA76A7">
        <w:rPr>
          <w:rFonts w:ascii="Arial" w:eastAsia="Calibri" w:hAnsi="Arial" w:cs="Arial"/>
          <w:bCs/>
          <w:color w:val="000000" w:themeColor="text1"/>
          <w:sz w:val="22"/>
          <w:szCs w:val="22"/>
          <w:shd w:val="clear" w:color="auto" w:fill="FFFFFF"/>
        </w:rPr>
        <w:t xml:space="preserve">далее - </w:t>
      </w:r>
      <w:hyperlink r:id="rId315" w:anchor="block_13" w:history="1">
        <w:r w:rsidRPr="00DA76A7">
          <w:rPr>
            <w:rFonts w:ascii="Arial" w:eastAsia="Calibri" w:hAnsi="Arial" w:cs="Arial"/>
            <w:bCs/>
            <w:color w:val="000000" w:themeColor="text1"/>
            <w:sz w:val="22"/>
            <w:szCs w:val="22"/>
          </w:rPr>
          <w:t>органы</w:t>
        </w:r>
      </w:hyperlink>
      <w:r w:rsidRPr="00DA76A7">
        <w:rPr>
          <w:rFonts w:ascii="Arial" w:eastAsia="Calibri" w:hAnsi="Arial" w:cs="Arial"/>
          <w:bCs/>
          <w:color w:val="000000" w:themeColor="text1"/>
          <w:sz w:val="22"/>
          <w:szCs w:val="22"/>
          <w:shd w:val="clear" w:color="auto" w:fill="FFFFFF"/>
        </w:rPr>
        <w:t>, осуществляющие оперативно-розыскную деятельность</w:t>
      </w:r>
      <w:r w:rsidRPr="00DA76A7">
        <w:rPr>
          <w:rFonts w:ascii="Arial" w:hAnsi="Arial" w:cs="Arial"/>
          <w:bCs/>
          <w:color w:val="000000" w:themeColor="text1"/>
          <w:kern w:val="36"/>
          <w:sz w:val="22"/>
          <w:szCs w:val="22"/>
        </w:rPr>
        <w:t>»</w:t>
      </w:r>
      <w:r w:rsidRPr="00DA76A7">
        <w:rPr>
          <w:rFonts w:ascii="Arial" w:eastAsia="Calibri" w:hAnsi="Arial" w:cs="Arial"/>
          <w:bCs/>
          <w:color w:val="000000" w:themeColor="text1"/>
          <w:sz w:val="22"/>
          <w:szCs w:val="22"/>
          <w:shd w:val="clear" w:color="auto" w:fill="FFFFFF"/>
        </w:rPr>
        <w:t>, в пределах их полномочий посредством проведения оперативно</w:t>
      </w:r>
      <w:r w:rsidRPr="00DA76A7">
        <w:rPr>
          <w:rFonts w:ascii="Arial" w:hAnsi="Arial" w:cs="Arial"/>
          <w:b/>
          <w:bCs/>
          <w:color w:val="000000" w:themeColor="text1"/>
          <w:kern w:val="36"/>
          <w:sz w:val="22"/>
          <w:szCs w:val="22"/>
        </w:rPr>
        <w:t>-</w:t>
      </w:r>
      <w:r w:rsidRPr="00DA76A7">
        <w:rPr>
          <w:rFonts w:ascii="Arial" w:eastAsia="Calibri" w:hAnsi="Arial" w:cs="Arial"/>
          <w:bCs/>
          <w:color w:val="000000" w:themeColor="text1"/>
          <w:sz w:val="22"/>
          <w:szCs w:val="22"/>
          <w:shd w:val="clear" w:color="auto" w:fill="FFFFFF"/>
        </w:rPr>
        <w:t>розыскных мероприятий в целях защиты жизни, здоровья, прав и свобод человека и гражданина, собственности, обеспечения безопасности общества и государства от преступных посягательств [3].</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Стоит отметить, что органы осуществляющие предварительное следствие дознание, а также ОРД имеют общее задачи в борьбе с преступностью, в то время как средства для решения поставленных перед ними задач заметно отличаются.</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Следственные действия осуществляются в тех случаях, когда следователь (дознаватель) располагает определенными фактическими данными, которые свидетельствуют о том, что посредством производства данного действия может быть извлечена определенная доказательственная информация [7, 8]. Стоит отметить, что именно фактические основания для производства следственного действия позволяют получить те сведения, которые способствуют правильному разрешению уголовного дела.</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В настоящее время в юридической науке существует огромное множество мнений по вопросу использования результатов ОРД как основания для производства следственных действий. Большинство ученых полагают, что отсутствие в Уголовно-процессуальном кодексе Российской Федерации (далее – УПК РФ) четких указаний, обосновывающих принятие решения о производстве следственных действий, фактически означает дозволение рассматривать в качестве него и результаты, полученные в ходе проведения оперативно</w:t>
      </w:r>
      <w:r w:rsidRPr="00DA76A7">
        <w:rPr>
          <w:rFonts w:ascii="Arial" w:hAnsi="Arial" w:cs="Arial"/>
          <w:b/>
          <w:bCs/>
          <w:color w:val="000000" w:themeColor="text1"/>
          <w:kern w:val="36"/>
          <w:sz w:val="22"/>
          <w:szCs w:val="22"/>
        </w:rPr>
        <w:t>-</w:t>
      </w:r>
      <w:r w:rsidRPr="00DA76A7">
        <w:rPr>
          <w:rFonts w:ascii="Arial" w:hAnsi="Arial" w:cs="Arial"/>
          <w:bCs/>
          <w:color w:val="000000" w:themeColor="text1"/>
          <w:kern w:val="36"/>
          <w:sz w:val="22"/>
          <w:szCs w:val="22"/>
        </w:rPr>
        <w:t xml:space="preserve">розыскных мероприятий. </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Для того чтобы разобраться в данной проблеме обратимся к УПК РФ. Согласно ст.85</w:t>
      </w:r>
      <w:r w:rsidRPr="00DA76A7">
        <w:rPr>
          <w:rFonts w:ascii="Arial" w:hAnsi="Arial" w:cs="Arial"/>
          <w:b/>
          <w:bCs/>
          <w:color w:val="000000" w:themeColor="text1"/>
          <w:kern w:val="36"/>
          <w:sz w:val="22"/>
          <w:szCs w:val="22"/>
        </w:rPr>
        <w:t xml:space="preserve"> </w:t>
      </w:r>
      <w:r w:rsidRPr="00DA76A7">
        <w:rPr>
          <w:rFonts w:ascii="Arial" w:hAnsi="Arial" w:cs="Arial"/>
          <w:bCs/>
          <w:color w:val="000000" w:themeColor="text1"/>
          <w:kern w:val="36"/>
          <w:sz w:val="22"/>
          <w:szCs w:val="22"/>
        </w:rPr>
        <w:t xml:space="preserve">доказывание состоит в сборе, проверке и оценке доказательств в целях установления: события преступления (время, место, способ и других обстоятельств совершения преступления, предусмотренных ст. 73 УПК РФ).   Установление данных обстоятельств и фактов собранных оперативным путем без их процессуального оформления доказательствами не являются. Таким образом можно сделать вывод о том, что установление всей совокупности фактов и обстоятельств, имеющих значение для разрешения уголовного дела, невозможно </w:t>
      </w:r>
      <w:r w:rsidRPr="00DA76A7">
        <w:rPr>
          <w:rFonts w:ascii="Arial" w:hAnsi="Arial" w:cs="Arial"/>
          <w:color w:val="000000" w:themeColor="text1"/>
          <w:sz w:val="22"/>
          <w:szCs w:val="22"/>
        </w:rPr>
        <w:t>без проведения оперативно-розыскных мероприятий и использования результатов ОРД, что непосредственно указывает на их значимость.</w:t>
      </w:r>
      <w:r w:rsidRPr="00DA76A7">
        <w:rPr>
          <w:rFonts w:ascii="Arial" w:hAnsi="Arial" w:cs="Arial"/>
          <w:bCs/>
          <w:color w:val="000000" w:themeColor="text1"/>
          <w:kern w:val="36"/>
          <w:sz w:val="22"/>
          <w:szCs w:val="22"/>
        </w:rPr>
        <w:t xml:space="preserve">       </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 xml:space="preserve">Более конкретно данный вопрос раскрывает Федеральный Закон от 12 августа 1995 № 144-ФЗ «Об оперативно </w:t>
      </w:r>
      <w:r w:rsidRPr="00DA76A7">
        <w:rPr>
          <w:rFonts w:ascii="Arial" w:hAnsi="Arial" w:cs="Arial"/>
          <w:b/>
          <w:bCs/>
          <w:color w:val="000000" w:themeColor="text1"/>
          <w:kern w:val="36"/>
          <w:sz w:val="22"/>
          <w:szCs w:val="22"/>
        </w:rPr>
        <w:t xml:space="preserve">– </w:t>
      </w:r>
      <w:r w:rsidRPr="00DA76A7">
        <w:rPr>
          <w:rFonts w:ascii="Arial" w:hAnsi="Arial" w:cs="Arial"/>
          <w:bCs/>
          <w:color w:val="000000" w:themeColor="text1"/>
          <w:kern w:val="36"/>
          <w:sz w:val="22"/>
          <w:szCs w:val="22"/>
        </w:rPr>
        <w:t xml:space="preserve">розыскной деятельности». В ч.1 ст. 11 данного закона говорится, об использовании результатов ОРД для подготовки и осуществления следственных действий. </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 xml:space="preserve">Кроме того, обратимся к </w:t>
      </w:r>
      <w:r w:rsidRPr="00DA76A7">
        <w:rPr>
          <w:rFonts w:ascii="Arial" w:hAnsi="Arial" w:cs="Arial"/>
          <w:b/>
          <w:bCs/>
          <w:color w:val="000000" w:themeColor="text1"/>
          <w:kern w:val="36"/>
          <w:sz w:val="22"/>
          <w:szCs w:val="22"/>
        </w:rPr>
        <w:t>«</w:t>
      </w:r>
      <w:r w:rsidRPr="00DA76A7">
        <w:rPr>
          <w:rFonts w:ascii="Arial" w:hAnsi="Arial" w:cs="Arial"/>
          <w:bCs/>
          <w:color w:val="000000" w:themeColor="text1"/>
          <w:kern w:val="36"/>
          <w:sz w:val="22"/>
          <w:szCs w:val="22"/>
        </w:rPr>
        <w:t>Инструкции о порядке представления результатов оперативно-розыскной деятельности органу дознания, следователю или в суд</w:t>
      </w:r>
      <w:r w:rsidRPr="00DA76A7">
        <w:rPr>
          <w:rFonts w:ascii="Arial" w:hAnsi="Arial" w:cs="Arial"/>
          <w:b/>
          <w:bCs/>
          <w:color w:val="000000" w:themeColor="text1"/>
          <w:kern w:val="36"/>
          <w:sz w:val="22"/>
          <w:szCs w:val="22"/>
        </w:rPr>
        <w:t>»</w:t>
      </w:r>
      <w:r w:rsidRPr="00DA76A7">
        <w:rPr>
          <w:rFonts w:ascii="Arial" w:hAnsi="Arial" w:cs="Arial"/>
          <w:bCs/>
          <w:color w:val="000000" w:themeColor="text1"/>
          <w:kern w:val="36"/>
          <w:sz w:val="22"/>
          <w:szCs w:val="22"/>
        </w:rPr>
        <w:t>.</w:t>
      </w:r>
      <w:r w:rsidRPr="00DA76A7">
        <w:rPr>
          <w:rFonts w:ascii="Arial" w:hAnsi="Arial" w:cs="Arial"/>
          <w:b/>
          <w:bCs/>
          <w:color w:val="000000" w:themeColor="text1"/>
          <w:kern w:val="36"/>
          <w:sz w:val="22"/>
          <w:szCs w:val="22"/>
        </w:rPr>
        <w:t xml:space="preserve"> </w:t>
      </w:r>
      <w:r w:rsidRPr="00DA76A7">
        <w:rPr>
          <w:rFonts w:ascii="Arial" w:hAnsi="Arial" w:cs="Arial"/>
          <w:bCs/>
          <w:color w:val="000000" w:themeColor="text1"/>
          <w:kern w:val="36"/>
          <w:sz w:val="22"/>
          <w:szCs w:val="22"/>
        </w:rPr>
        <w:t xml:space="preserve">В п. 19 данной Инструкции предусмотрено: «результаты ОРД, представляемые для подготовки  и  осуществления  процессуальных  действий,  должны  содержать сведения (при установлении таковых) о местонахождении лиц, скрывающихся от органов предварительного расследования и суда; о лицах, которым известны обстоятельства и факты, имеющие значение для уголовного дела; о возможных источниках  доказательств;  о  местонахождении  предметов  и  документов, которые могут быть признаны вещественными  доказательствами  по уголовному делу; о других фактах и обстоятельствах, позволяющих определить объём и последовательность проведения  процессуальных  действий,  выбрать наиболее  эффективную  тактику  их  производства,  выработать  оптимальную методику  расследования  по  конкретному  уголовному  делу» [4]. </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 xml:space="preserve">Стоит отметить, что данный перечень не является исчерпывающим, поскольку огромное многообразие как следственных, так и оперативно </w:t>
      </w:r>
      <w:r w:rsidRPr="00DA76A7">
        <w:rPr>
          <w:rFonts w:ascii="Arial" w:hAnsi="Arial" w:cs="Arial"/>
          <w:b/>
          <w:bCs/>
          <w:color w:val="000000" w:themeColor="text1"/>
          <w:kern w:val="36"/>
          <w:sz w:val="22"/>
          <w:szCs w:val="22"/>
        </w:rPr>
        <w:t xml:space="preserve">- </w:t>
      </w:r>
      <w:r w:rsidRPr="00DA76A7">
        <w:rPr>
          <w:rFonts w:ascii="Arial" w:hAnsi="Arial" w:cs="Arial"/>
          <w:bCs/>
          <w:color w:val="000000" w:themeColor="text1"/>
          <w:kern w:val="36"/>
          <w:sz w:val="22"/>
          <w:szCs w:val="22"/>
        </w:rPr>
        <w:t xml:space="preserve">розыскных мероприятий не позволяет законодателю перечислить все сведения, которые можно предоставить органу, осуществляющему расследование для проведения следственных действий.  </w:t>
      </w:r>
    </w:p>
    <w:p w:rsidR="00592BC2" w:rsidRPr="00DA76A7" w:rsidRDefault="00592BC2" w:rsidP="00592BC2">
      <w:pPr>
        <w:shd w:val="clear" w:color="auto" w:fill="FFFFFF"/>
        <w:ind w:firstLine="567"/>
        <w:jc w:val="both"/>
        <w:outlineLvl w:val="0"/>
        <w:rPr>
          <w:rFonts w:ascii="Arial" w:hAnsi="Arial" w:cs="Arial"/>
          <w:color w:val="000000" w:themeColor="text1"/>
          <w:sz w:val="22"/>
          <w:szCs w:val="22"/>
        </w:rPr>
      </w:pPr>
      <w:r w:rsidRPr="00DA76A7">
        <w:rPr>
          <w:rFonts w:ascii="Arial" w:hAnsi="Arial" w:cs="Arial"/>
          <w:bCs/>
          <w:color w:val="000000" w:themeColor="text1"/>
          <w:kern w:val="36"/>
          <w:sz w:val="22"/>
          <w:szCs w:val="22"/>
        </w:rPr>
        <w:t xml:space="preserve">Таким образом, можно сделать вывод о таком специфическом «дуализме» законодателя. С одной стороны, законодатель разрешает использование результатов ОРД в доказывании, </w:t>
      </w:r>
      <w:r w:rsidRPr="00DA76A7">
        <w:rPr>
          <w:rFonts w:ascii="Arial" w:hAnsi="Arial" w:cs="Arial"/>
          <w:bCs/>
          <w:color w:val="000000" w:themeColor="text1"/>
          <w:kern w:val="36"/>
          <w:sz w:val="22"/>
          <w:szCs w:val="22"/>
          <w:lang w:val="en-US"/>
        </w:rPr>
        <w:t>c</w:t>
      </w:r>
      <w:r w:rsidRPr="00DA76A7">
        <w:rPr>
          <w:rFonts w:ascii="Arial" w:hAnsi="Arial" w:cs="Arial"/>
          <w:bCs/>
          <w:color w:val="000000" w:themeColor="text1"/>
          <w:kern w:val="36"/>
          <w:sz w:val="22"/>
          <w:szCs w:val="22"/>
        </w:rPr>
        <w:t xml:space="preserve"> другой стороны – ограничивает их использование. В качестве примера можно привести уже упомянутую ст.11 Федеральный Закон от 12 августа 1995 № 144-ФЗ «Об оперативно </w:t>
      </w:r>
      <w:r w:rsidRPr="00DA76A7">
        <w:rPr>
          <w:rFonts w:ascii="Arial" w:hAnsi="Arial" w:cs="Arial"/>
          <w:b/>
          <w:bCs/>
          <w:color w:val="000000" w:themeColor="text1"/>
          <w:kern w:val="36"/>
          <w:sz w:val="22"/>
          <w:szCs w:val="22"/>
        </w:rPr>
        <w:t xml:space="preserve">– </w:t>
      </w:r>
      <w:r w:rsidRPr="00DA76A7">
        <w:rPr>
          <w:rFonts w:ascii="Arial" w:hAnsi="Arial" w:cs="Arial"/>
          <w:bCs/>
          <w:color w:val="000000" w:themeColor="text1"/>
          <w:kern w:val="36"/>
          <w:sz w:val="22"/>
          <w:szCs w:val="22"/>
        </w:rPr>
        <w:t>розыскной деятельности», которая допускает использование результатов ОРД в качестве основания производства следственных действий, и ст.89</w:t>
      </w:r>
      <w:r w:rsidRPr="00DA76A7">
        <w:rPr>
          <w:rFonts w:ascii="Arial" w:hAnsi="Arial" w:cs="Arial"/>
          <w:color w:val="000000" w:themeColor="text1"/>
          <w:sz w:val="22"/>
          <w:szCs w:val="22"/>
        </w:rPr>
        <w:t xml:space="preserve"> УПК РФ согласно которой, в процессе доказывания запрещается использование результатов ОРД, если они не отвечают требованиям, предъявляемым к доказательствам нормами УПК РФ [2].</w:t>
      </w:r>
    </w:p>
    <w:p w:rsidR="00592BC2" w:rsidRPr="00DA76A7" w:rsidRDefault="00592BC2" w:rsidP="00592BC2">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П</w:t>
      </w:r>
      <w:r w:rsidRPr="00DA76A7">
        <w:rPr>
          <w:rFonts w:ascii="Arial" w:hAnsi="Arial" w:cs="Arial"/>
          <w:bCs/>
          <w:color w:val="000000" w:themeColor="text1"/>
          <w:kern w:val="36"/>
          <w:sz w:val="22"/>
          <w:szCs w:val="22"/>
        </w:rPr>
        <w:t>риходим к выводу, что законодательством предусмотрены двоя случая применения результатов ОРД в доказывании при производстве по уголовному делу. Во-первых, использование результатов данной деятельности в качестве основания для производства следственных действий. Во-вторых, предоставление органами, осуществляющими ОРД информации добытой оперативным путем, и ее использование в соответствии с УПК РФ для проверки заявлений и сообщений о преступлении на стадии возбуждения уголовного дела.</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 xml:space="preserve">Важно отметить, что сами результаты ОРД еще не являются доказательствами.   Они являются лишь промежуточными сведениями об обстоятельствах, которые смогут стать доказательствами, после их процессуального оформления. </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bCs/>
          <w:color w:val="000000" w:themeColor="text1"/>
          <w:kern w:val="36"/>
          <w:sz w:val="22"/>
          <w:szCs w:val="22"/>
        </w:rPr>
        <w:t xml:space="preserve">Сам процесс установления и сбора доказательств начинается с установления носителя и источника информации. Здесь роль ОРД имеет первостепенное значение, поскольку установить источник информации без ОРД практически невозможно.  </w:t>
      </w:r>
      <w:r w:rsidRPr="00DA76A7">
        <w:rPr>
          <w:rFonts w:ascii="Arial" w:hAnsi="Arial" w:cs="Arial"/>
          <w:color w:val="000000" w:themeColor="text1"/>
          <w:sz w:val="22"/>
          <w:szCs w:val="22"/>
        </w:rPr>
        <w:t>Нередко при помощи оперативно-розыскных средств и методов устанавливаются свидетели (очевидцы) преступления. Знание обстоятельств, характеризующих личность потерпевшего, свидетеля, подозреваемого, обвиняемого, имеет первоочередное значение для выдвижения не только оперативно-розыскных, но и следственных версий, выработки тактики их допроса, оценки показаний, проведения последующих следственных действий с их участием [5, 78].</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color w:val="000000" w:themeColor="text1"/>
          <w:sz w:val="22"/>
          <w:szCs w:val="22"/>
        </w:rPr>
        <w:t xml:space="preserve">Подводя итог вышесказанному, приходим к выводу, что только после установления источника или носителя информации   наступает следующая стадия формирования доказательств. </w:t>
      </w:r>
    </w:p>
    <w:p w:rsidR="00592BC2" w:rsidRPr="00DA76A7" w:rsidRDefault="00592BC2" w:rsidP="00592BC2">
      <w:pPr>
        <w:shd w:val="clear" w:color="auto" w:fill="FFFFFF"/>
        <w:ind w:firstLine="567"/>
        <w:jc w:val="both"/>
        <w:outlineLvl w:val="0"/>
        <w:rPr>
          <w:rFonts w:ascii="Arial" w:hAnsi="Arial" w:cs="Arial"/>
          <w:bCs/>
          <w:color w:val="000000" w:themeColor="text1"/>
          <w:kern w:val="36"/>
          <w:sz w:val="22"/>
          <w:szCs w:val="22"/>
        </w:rPr>
      </w:pPr>
      <w:r w:rsidRPr="00DA76A7">
        <w:rPr>
          <w:rFonts w:ascii="Arial" w:hAnsi="Arial" w:cs="Arial"/>
          <w:color w:val="000000" w:themeColor="text1"/>
          <w:sz w:val="22"/>
          <w:szCs w:val="22"/>
        </w:rPr>
        <w:t>На основе данных ОРД следователь решает какие следственные действия нужно провести, определяет их порядок, тактику, методику расследования уголовного дела. Кроме того, для некоторых следственных действий просто необходима оперативная информация. Так, для производства выемки следователь должен какой предмет подлежит выемки и где он точно находиться. Обыск проводится при наличии достаточных данных, предполагающих, что в определенном месте или у кого-либо могут находиться предметы и документы имеющее значение для уголовного дела. Однако для производства ряда других следственных оперативная информация не представляет существенного интереса. К ним относиться следственный эксперимент; очная ставка; проверка показаний на месте.</w:t>
      </w:r>
    </w:p>
    <w:p w:rsidR="00592BC2" w:rsidRPr="00DA76A7" w:rsidRDefault="00592BC2" w:rsidP="00592BC2">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Важное процессуальное значение имеют такие документальные материалы, как справки не процессуального (оперативного) исследования предметов и документов, в том числе об отнесении обнаруженного вещества к наркотическим средствам, принадлежности предмета к огнестрельному или холодному оружию, об отнесении предметов к боеприпасам, о наличии подчисток или следов подделки в документе и др. Такие документы служат основаниями для назначения соответствующих экспертиз. Доказательствами они могут стать только после проведения следственных и судебных действий: осмотров, проведения при необходимости криминалистических экспертиз, допросов лиц, проводивших соответствующие оперативно-розыскные мероприятия, и др. [6, 67]. Также в процессе ОРД могут быть обнаружены предметы, которые могли служить орудием совершения преступления либо на них могли сохраниться следы преступления.  В УПК данные предметы именуются вещественными доказательствами.</w:t>
      </w:r>
    </w:p>
    <w:p w:rsidR="00592BC2" w:rsidRPr="00DA76A7" w:rsidRDefault="00592BC2" w:rsidP="00592BC2">
      <w:pPr>
        <w:shd w:val="clear" w:color="auto" w:fill="FFFFFF"/>
        <w:ind w:firstLine="567"/>
        <w:jc w:val="both"/>
        <w:outlineLvl w:val="0"/>
        <w:rPr>
          <w:rFonts w:ascii="Arial" w:hAnsi="Arial" w:cs="Arial"/>
          <w:color w:val="000000" w:themeColor="text1"/>
          <w:sz w:val="22"/>
          <w:szCs w:val="22"/>
        </w:rPr>
      </w:pPr>
      <w:r w:rsidRPr="00DA76A7">
        <w:rPr>
          <w:rFonts w:ascii="Arial" w:hAnsi="Arial" w:cs="Arial"/>
          <w:color w:val="000000" w:themeColor="text1"/>
          <w:sz w:val="22"/>
          <w:szCs w:val="22"/>
        </w:rPr>
        <w:t>Подводя итог, важно отметить: установления лица, совершившего преступление, для целей уголовного судопроизводства явно недостаточно. Нередко важно установить местонахождение подозреваемого, обвиняемого, других лиц, причастных к совершению преступления или потерпевших, разыскать похищенные предметы, ценности, орудия, средства совершения преступления. С этой целью оперативные подразделения проводят оперативно-розыскные мероприятия, применяя различные организационные и тактические приемы, предусмотренные федеральным законодательством, ведомственными и межведомственными нормативными актами.</w:t>
      </w:r>
    </w:p>
    <w:p w:rsidR="00592BC2" w:rsidRPr="00DA76A7" w:rsidRDefault="00592BC2" w:rsidP="00592BC2">
      <w:pPr>
        <w:shd w:val="clear" w:color="auto" w:fill="FFFFFF"/>
        <w:ind w:firstLine="567"/>
        <w:jc w:val="both"/>
        <w:outlineLvl w:val="0"/>
        <w:rPr>
          <w:rFonts w:ascii="Arial" w:hAnsi="Arial" w:cs="Arial"/>
          <w:color w:val="000000" w:themeColor="text1"/>
          <w:sz w:val="22"/>
          <w:szCs w:val="22"/>
        </w:rPr>
      </w:pPr>
    </w:p>
    <w:p w:rsidR="00592BC2" w:rsidRPr="00DA76A7" w:rsidRDefault="00592BC2" w:rsidP="00592BC2">
      <w:pPr>
        <w:shd w:val="clear" w:color="auto" w:fill="FFFFFF"/>
        <w:ind w:firstLine="567"/>
        <w:jc w:val="center"/>
        <w:outlineLvl w:val="0"/>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31"/>
        </w:numPr>
        <w:shd w:val="clear" w:color="auto" w:fill="FFFFFF"/>
        <w:tabs>
          <w:tab w:val="left" w:pos="851"/>
        </w:tabs>
        <w:spacing w:after="0" w:line="240" w:lineRule="auto"/>
        <w:ind w:left="0" w:firstLine="567"/>
        <w:jc w:val="both"/>
        <w:rPr>
          <w:rFonts w:ascii="Arial" w:eastAsia="Calibri" w:hAnsi="Arial" w:cs="Arial"/>
          <w:color w:val="000000" w:themeColor="text1"/>
          <w:shd w:val="clear" w:color="auto" w:fill="FFFFFF"/>
        </w:rPr>
      </w:pPr>
      <w:r w:rsidRPr="00DA76A7">
        <w:rPr>
          <w:rFonts w:ascii="Arial" w:eastAsia="Calibri" w:hAnsi="Arial" w:cs="Arial"/>
          <w:color w:val="000000" w:themeColor="text1"/>
          <w:shd w:val="clear" w:color="auto" w:fill="FFFFFF"/>
        </w:rPr>
        <w:t>Конституция Российской Федерации (Принята всенародным голосованием 12 декабря 1993 г.) (с изм. от 21 июля 2014 г.) // Собрание законодательства РФ. – 2014. – № 31. – Ст. 4398.</w:t>
      </w:r>
    </w:p>
    <w:p w:rsidR="00592BC2" w:rsidRPr="00DA76A7" w:rsidRDefault="00666D87" w:rsidP="00D45D6B">
      <w:pPr>
        <w:pStyle w:val="a6"/>
        <w:numPr>
          <w:ilvl w:val="0"/>
          <w:numId w:val="131"/>
        </w:numPr>
        <w:shd w:val="clear" w:color="auto" w:fill="FFFFFF"/>
        <w:tabs>
          <w:tab w:val="left" w:pos="851"/>
        </w:tabs>
        <w:spacing w:after="0" w:line="240" w:lineRule="auto"/>
        <w:ind w:left="0" w:firstLine="567"/>
        <w:jc w:val="both"/>
        <w:rPr>
          <w:rFonts w:ascii="Arial" w:eastAsia="Calibri" w:hAnsi="Arial" w:cs="Arial"/>
          <w:color w:val="000000" w:themeColor="text1"/>
          <w:shd w:val="clear" w:color="auto" w:fill="FFFFFF"/>
        </w:rPr>
      </w:pPr>
      <w:hyperlink r:id="rId316" w:history="1">
        <w:r w:rsidR="00592BC2" w:rsidRPr="00DA76A7">
          <w:rPr>
            <w:rFonts w:ascii="Arial" w:eastAsia="Calibri" w:hAnsi="Arial" w:cs="Arial"/>
            <w:bCs/>
            <w:color w:val="000000" w:themeColor="text1"/>
            <w:shd w:val="clear" w:color="auto" w:fill="FFFFFF"/>
          </w:rPr>
          <w:t xml:space="preserve">Уголовно-процессуальный кодекс Российской Федерации: федеральный закон от 18 декабря 2001 № 174-ФЗ </w:t>
        </w:r>
      </w:hyperlink>
      <w:r w:rsidR="00592BC2" w:rsidRPr="00DA76A7">
        <w:rPr>
          <w:rFonts w:ascii="Arial" w:hAnsi="Arial" w:cs="Arial"/>
          <w:color w:val="000000" w:themeColor="text1"/>
        </w:rPr>
        <w:t>(ред. от 19.02.2018)</w:t>
      </w:r>
      <w:r w:rsidR="00592BC2" w:rsidRPr="00DA76A7">
        <w:rPr>
          <w:rFonts w:ascii="Arial" w:eastAsia="Calibri" w:hAnsi="Arial" w:cs="Arial"/>
          <w:color w:val="000000" w:themeColor="text1"/>
        </w:rPr>
        <w:t xml:space="preserve"> // </w:t>
      </w:r>
      <w:r w:rsidR="00592BC2" w:rsidRPr="00DA76A7">
        <w:rPr>
          <w:rFonts w:ascii="Arial" w:hAnsi="Arial" w:cs="Arial"/>
          <w:color w:val="000000" w:themeColor="text1"/>
        </w:rPr>
        <w:t>Собрание законодательства РФ.</w:t>
      </w:r>
      <w:r w:rsidR="00592BC2" w:rsidRPr="00DA76A7">
        <w:rPr>
          <w:rFonts w:ascii="Arial" w:eastAsia="Calibri" w:hAnsi="Arial" w:cs="Arial"/>
          <w:color w:val="000000" w:themeColor="text1"/>
          <w:shd w:val="clear" w:color="auto" w:fill="FFFFFF"/>
        </w:rPr>
        <w:t xml:space="preserve"> –</w:t>
      </w:r>
      <w:r w:rsidR="00592BC2" w:rsidRPr="00DA76A7">
        <w:rPr>
          <w:rFonts w:ascii="Arial" w:hAnsi="Arial" w:cs="Arial"/>
          <w:color w:val="000000" w:themeColor="text1"/>
        </w:rPr>
        <w:t xml:space="preserve">  2001. </w:t>
      </w:r>
      <w:r w:rsidR="00592BC2" w:rsidRPr="00DA76A7">
        <w:rPr>
          <w:rFonts w:ascii="Arial" w:eastAsia="Calibri" w:hAnsi="Arial" w:cs="Arial"/>
          <w:color w:val="000000" w:themeColor="text1"/>
          <w:shd w:val="clear" w:color="auto" w:fill="FFFFFF"/>
        </w:rPr>
        <w:t>–</w:t>
      </w:r>
      <w:r w:rsidR="00592BC2" w:rsidRPr="00DA76A7">
        <w:rPr>
          <w:rFonts w:ascii="Arial" w:hAnsi="Arial" w:cs="Arial"/>
          <w:color w:val="000000" w:themeColor="text1"/>
        </w:rPr>
        <w:t xml:space="preserve"> № 52 (ч. I). </w:t>
      </w:r>
      <w:r w:rsidR="00592BC2" w:rsidRPr="00DA76A7">
        <w:rPr>
          <w:rFonts w:ascii="Arial" w:eastAsia="Calibri" w:hAnsi="Arial" w:cs="Arial"/>
          <w:color w:val="000000" w:themeColor="text1"/>
          <w:shd w:val="clear" w:color="auto" w:fill="FFFFFF"/>
        </w:rPr>
        <w:t>– С</w:t>
      </w:r>
      <w:r w:rsidR="00592BC2" w:rsidRPr="00DA76A7">
        <w:rPr>
          <w:rFonts w:ascii="Arial" w:hAnsi="Arial" w:cs="Arial"/>
          <w:color w:val="000000" w:themeColor="text1"/>
        </w:rPr>
        <w:t>т. 4921.</w:t>
      </w:r>
    </w:p>
    <w:p w:rsidR="00592BC2" w:rsidRPr="00DA76A7" w:rsidRDefault="00592BC2" w:rsidP="00D45D6B">
      <w:pPr>
        <w:pStyle w:val="a6"/>
        <w:numPr>
          <w:ilvl w:val="0"/>
          <w:numId w:val="131"/>
        </w:numPr>
        <w:shd w:val="clear" w:color="auto" w:fill="FFFFFF"/>
        <w:tabs>
          <w:tab w:val="left" w:pos="851"/>
        </w:tabs>
        <w:spacing w:after="0" w:line="240" w:lineRule="auto"/>
        <w:ind w:left="0" w:firstLine="567"/>
        <w:jc w:val="both"/>
        <w:rPr>
          <w:rFonts w:ascii="Arial" w:eastAsia="Calibri" w:hAnsi="Arial" w:cs="Arial"/>
          <w:color w:val="000000" w:themeColor="text1"/>
          <w:shd w:val="clear" w:color="auto" w:fill="FFFFFF"/>
        </w:rPr>
      </w:pPr>
      <w:r w:rsidRPr="00DA76A7">
        <w:rPr>
          <w:rFonts w:ascii="Arial" w:hAnsi="Arial" w:cs="Arial"/>
          <w:color w:val="000000" w:themeColor="text1"/>
        </w:rPr>
        <w:t xml:space="preserve">Об оперативно-розыскной деятельности: федеральный закон от 12 августа 1995 № 144-ФЗ (ред. от 06.07.2016) // Собрание законодательства РФ. </w:t>
      </w:r>
      <w:r w:rsidRPr="00DA76A7">
        <w:rPr>
          <w:rFonts w:ascii="Arial" w:eastAsia="Calibri" w:hAnsi="Arial" w:cs="Arial"/>
          <w:color w:val="000000" w:themeColor="text1"/>
          <w:shd w:val="clear" w:color="auto" w:fill="FFFFFF"/>
        </w:rPr>
        <w:t xml:space="preserve">– </w:t>
      </w:r>
      <w:r w:rsidRPr="00DA76A7">
        <w:rPr>
          <w:rFonts w:ascii="Arial" w:hAnsi="Arial" w:cs="Arial"/>
          <w:color w:val="000000" w:themeColor="text1"/>
        </w:rPr>
        <w:t xml:space="preserve">1995. </w:t>
      </w:r>
      <w:r w:rsidRPr="00DA76A7">
        <w:rPr>
          <w:rFonts w:ascii="Arial" w:eastAsia="Calibri" w:hAnsi="Arial" w:cs="Arial"/>
          <w:color w:val="000000" w:themeColor="text1"/>
          <w:shd w:val="clear" w:color="auto" w:fill="FFFFFF"/>
        </w:rPr>
        <w:t xml:space="preserve">– № </w:t>
      </w:r>
      <w:r w:rsidRPr="00DA76A7">
        <w:rPr>
          <w:rFonts w:ascii="Arial" w:hAnsi="Arial" w:cs="Arial"/>
          <w:color w:val="000000" w:themeColor="text1"/>
        </w:rPr>
        <w:t xml:space="preserve">33. </w:t>
      </w:r>
      <w:r w:rsidRPr="00DA76A7">
        <w:rPr>
          <w:rFonts w:ascii="Arial" w:eastAsia="Calibri" w:hAnsi="Arial" w:cs="Arial"/>
          <w:color w:val="000000" w:themeColor="text1"/>
          <w:shd w:val="clear" w:color="auto" w:fill="FFFFFF"/>
        </w:rPr>
        <w:t>– С</w:t>
      </w:r>
      <w:r w:rsidRPr="00DA76A7">
        <w:rPr>
          <w:rFonts w:ascii="Arial" w:hAnsi="Arial" w:cs="Arial"/>
          <w:color w:val="000000" w:themeColor="text1"/>
        </w:rPr>
        <w:t>т. 3349.</w:t>
      </w:r>
    </w:p>
    <w:p w:rsidR="00592BC2" w:rsidRPr="00DA76A7" w:rsidRDefault="00592BC2" w:rsidP="00D45D6B">
      <w:pPr>
        <w:pStyle w:val="a6"/>
        <w:numPr>
          <w:ilvl w:val="0"/>
          <w:numId w:val="131"/>
        </w:numPr>
        <w:shd w:val="clear" w:color="auto" w:fill="FFFFFF"/>
        <w:tabs>
          <w:tab w:val="left" w:pos="851"/>
        </w:tabs>
        <w:spacing w:after="0" w:line="240" w:lineRule="auto"/>
        <w:ind w:left="0" w:firstLine="567"/>
        <w:jc w:val="both"/>
        <w:rPr>
          <w:rFonts w:ascii="Arial" w:eastAsia="Calibri" w:hAnsi="Arial" w:cs="Arial"/>
          <w:color w:val="000000" w:themeColor="text1"/>
          <w:shd w:val="clear" w:color="auto" w:fill="FFFFFF"/>
        </w:rPr>
      </w:pPr>
      <w:r w:rsidRPr="00DA76A7">
        <w:rPr>
          <w:rFonts w:ascii="Arial" w:hAnsi="Arial" w:cs="Arial"/>
          <w:color w:val="000000" w:themeColor="text1"/>
        </w:rPr>
        <w:t xml:space="preserve">Об утверждении Инструкции о порядке представления результатов оперативно-розыскной деятельности органу дознания, следователю или в суд: Приказ МВД России, Минобороны России, ФСБ России, ФСО России, ФТС России, СВР России, ФСИН России, ФСКН России, Следственного комитета Российской Федерации от 27 сентября 2013 г.  №776/703/509/507/1820/42/535/398/68 // </w:t>
      </w:r>
      <w:r w:rsidRPr="00DA76A7">
        <w:rPr>
          <w:rFonts w:ascii="Arial" w:hAnsi="Arial" w:cs="Arial"/>
          <w:color w:val="000000" w:themeColor="text1"/>
          <w:shd w:val="clear" w:color="auto" w:fill="FFFFFF"/>
        </w:rPr>
        <w:t xml:space="preserve">Российская газета. – </w:t>
      </w:r>
      <w:r w:rsidRPr="00DA76A7">
        <w:rPr>
          <w:rFonts w:ascii="Arial" w:hAnsi="Arial" w:cs="Arial"/>
          <w:color w:val="000000" w:themeColor="text1"/>
        </w:rPr>
        <w:t>№ 6258.</w:t>
      </w:r>
    </w:p>
    <w:p w:rsidR="00592BC2" w:rsidRPr="00DA76A7" w:rsidRDefault="00592BC2" w:rsidP="00D45D6B">
      <w:pPr>
        <w:pStyle w:val="a6"/>
        <w:numPr>
          <w:ilvl w:val="0"/>
          <w:numId w:val="131"/>
        </w:numPr>
        <w:shd w:val="clear" w:color="auto" w:fill="FFFFFF"/>
        <w:tabs>
          <w:tab w:val="left" w:pos="851"/>
        </w:tabs>
        <w:spacing w:after="0" w:line="240" w:lineRule="auto"/>
        <w:ind w:left="0" w:firstLine="567"/>
        <w:jc w:val="both"/>
        <w:rPr>
          <w:rFonts w:ascii="Arial" w:eastAsia="Calibri" w:hAnsi="Arial" w:cs="Arial"/>
          <w:color w:val="000000" w:themeColor="text1"/>
          <w:shd w:val="clear" w:color="auto" w:fill="FFFFFF"/>
        </w:rPr>
      </w:pPr>
      <w:r w:rsidRPr="00DA76A7">
        <w:rPr>
          <w:rFonts w:ascii="Arial" w:hAnsi="Arial" w:cs="Arial"/>
          <w:color w:val="000000" w:themeColor="text1"/>
        </w:rPr>
        <w:t xml:space="preserve">Астишина, Т.В., Афонькин Г.П. Использование результатов оперативно-розыскной деятельности в Уголовном процессе. </w:t>
      </w:r>
      <w:r w:rsidRPr="00DA76A7">
        <w:rPr>
          <w:rFonts w:ascii="Arial" w:hAnsi="Arial" w:cs="Arial"/>
          <w:color w:val="000000" w:themeColor="text1"/>
          <w:shd w:val="clear" w:color="auto" w:fill="FFFFFF"/>
        </w:rPr>
        <w:t>Учебно-практическое пособие. - Домодедово: ВИПК МВД России, 2016. – 92 с.</w:t>
      </w:r>
    </w:p>
    <w:p w:rsidR="00592BC2" w:rsidRPr="00DA76A7" w:rsidRDefault="00592BC2" w:rsidP="00D45D6B">
      <w:pPr>
        <w:pStyle w:val="af2"/>
        <w:numPr>
          <w:ilvl w:val="0"/>
          <w:numId w:val="13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Горяинов, К.К. Теория и практика использования результатов оперативно-розыскной деятельности в уголовном судопроизводстве: материалы международной науч.-практ. конференции / под ред. К.К. Горяинова. – М.: ВНИИ МВД России, 2002. – 236 с.</w:t>
      </w:r>
    </w:p>
    <w:p w:rsidR="00592BC2" w:rsidRPr="00DA76A7" w:rsidRDefault="00592BC2" w:rsidP="00D45D6B">
      <w:pPr>
        <w:pStyle w:val="af2"/>
        <w:numPr>
          <w:ilvl w:val="0"/>
          <w:numId w:val="13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Шейфер, С.А. Система следственных действий: каковы пути ее развития // Законы России: опыт, анализ, практика. – 2015. – № 2. – С. 5 - 16.</w:t>
      </w:r>
    </w:p>
    <w:p w:rsidR="00592BC2" w:rsidRPr="00DA76A7" w:rsidRDefault="00592BC2" w:rsidP="00592BC2">
      <w:pPr>
        <w:pStyle w:val="a6"/>
        <w:spacing w:after="0" w:line="240" w:lineRule="auto"/>
        <w:ind w:left="0" w:firstLine="567"/>
        <w:jc w:val="both"/>
        <w:rPr>
          <w:rFonts w:ascii="Arial" w:hAnsi="Arial" w:cs="Arial"/>
          <w:color w:val="000000" w:themeColor="text1"/>
        </w:rPr>
      </w:pPr>
    </w:p>
    <w:p w:rsidR="00592BC2" w:rsidRPr="00DA76A7" w:rsidRDefault="00592BC2" w:rsidP="00592BC2">
      <w:pPr>
        <w:pStyle w:val="ac"/>
        <w:jc w:val="center"/>
        <w:rPr>
          <w:rFonts w:ascii="Arial" w:hAnsi="Arial" w:cs="Arial"/>
          <w:b/>
          <w:color w:val="000000" w:themeColor="text1"/>
          <w:shd w:val="clear" w:color="auto" w:fill="FFFFFF"/>
        </w:rPr>
      </w:pPr>
    </w:p>
    <w:p w:rsidR="00592BC2" w:rsidRPr="00DA76A7" w:rsidRDefault="00592BC2" w:rsidP="00592BC2">
      <w:pPr>
        <w:pStyle w:val="ac"/>
        <w:jc w:val="center"/>
        <w:rPr>
          <w:rFonts w:ascii="Arial" w:hAnsi="Arial" w:cs="Arial"/>
          <w:b/>
          <w:color w:val="000000" w:themeColor="text1"/>
          <w:shd w:val="clear" w:color="auto" w:fill="FFFFFF"/>
        </w:rPr>
      </w:pPr>
      <w:r w:rsidRPr="00DA76A7">
        <w:rPr>
          <w:rFonts w:ascii="Arial" w:hAnsi="Arial" w:cs="Arial"/>
          <w:b/>
          <w:color w:val="000000" w:themeColor="text1"/>
          <w:shd w:val="clear" w:color="auto" w:fill="FFFFFF"/>
        </w:rPr>
        <w:t>НЕКОТОРЫЕ ПРБОЛЕМЫ ПРЕДСТАВИТЕЛЬСТВА АВДОКАТОМ ПРАВ И ЗАКОННЫХ ИНТЕРЕСОВ ЗАЯВИТЕЛЕЙ ЯВОК С ПОВИННОЙ</w:t>
      </w:r>
    </w:p>
    <w:p w:rsidR="00592BC2" w:rsidRPr="00DA76A7" w:rsidRDefault="00592BC2" w:rsidP="00592BC2">
      <w:pPr>
        <w:pStyle w:val="ac"/>
        <w:jc w:val="center"/>
        <w:rPr>
          <w:rFonts w:ascii="Arial" w:hAnsi="Arial" w:cs="Arial"/>
          <w:b/>
          <w:color w:val="000000" w:themeColor="text1"/>
          <w:shd w:val="clear" w:color="auto" w:fill="FFFFFF"/>
        </w:rPr>
      </w:pPr>
    </w:p>
    <w:p w:rsidR="00592BC2" w:rsidRPr="00DA76A7" w:rsidRDefault="00592BC2" w:rsidP="00592BC2">
      <w:pPr>
        <w:pStyle w:val="ac"/>
        <w:jc w:val="center"/>
        <w:rPr>
          <w:rFonts w:ascii="Arial" w:hAnsi="Arial" w:cs="Arial"/>
          <w:b/>
          <w:color w:val="000000" w:themeColor="text1"/>
          <w:shd w:val="clear" w:color="auto" w:fill="FFFFFF"/>
        </w:rPr>
      </w:pPr>
      <w:r w:rsidRPr="00DA76A7">
        <w:rPr>
          <w:rFonts w:ascii="Arial" w:hAnsi="Arial" w:cs="Arial"/>
          <w:b/>
          <w:color w:val="000000" w:themeColor="text1"/>
          <w:shd w:val="clear" w:color="auto" w:fill="FFFFFF"/>
        </w:rPr>
        <w:t>Олчёнов Аржан Фёдорович</w:t>
      </w:r>
    </w:p>
    <w:p w:rsidR="00592BC2" w:rsidRPr="00DA76A7" w:rsidRDefault="00592BC2" w:rsidP="00592BC2">
      <w:pPr>
        <w:pStyle w:val="ac"/>
        <w:jc w:val="center"/>
        <w:rPr>
          <w:rFonts w:ascii="Arial" w:hAnsi="Arial" w:cs="Arial"/>
          <w:color w:val="000000" w:themeColor="text1"/>
          <w:shd w:val="clear" w:color="auto" w:fill="FFFFFF"/>
        </w:rPr>
      </w:pPr>
      <w:r w:rsidRPr="00DA76A7">
        <w:rPr>
          <w:rFonts w:ascii="Arial" w:hAnsi="Arial" w:cs="Arial"/>
          <w:color w:val="000000" w:themeColor="text1"/>
          <w:shd w:val="clear" w:color="auto" w:fill="FFFFFF"/>
        </w:rPr>
        <w:t>аспирант 2-го года обучения юридического факультета</w:t>
      </w:r>
    </w:p>
    <w:p w:rsidR="00592BC2" w:rsidRPr="00DA76A7" w:rsidRDefault="00592BC2" w:rsidP="00592BC2">
      <w:pPr>
        <w:pStyle w:val="ac"/>
        <w:jc w:val="center"/>
        <w:rPr>
          <w:rFonts w:ascii="Arial" w:hAnsi="Arial" w:cs="Arial"/>
          <w:color w:val="000000" w:themeColor="text1"/>
          <w:shd w:val="clear" w:color="auto" w:fill="FFFFFF"/>
        </w:rPr>
      </w:pPr>
      <w:r w:rsidRPr="00DA76A7">
        <w:rPr>
          <w:rFonts w:ascii="Arial" w:hAnsi="Arial" w:cs="Arial"/>
          <w:color w:val="000000" w:themeColor="text1"/>
          <w:shd w:val="clear" w:color="auto" w:fill="FFFFFF"/>
        </w:rPr>
        <w:t>Алтайский государственный университет</w:t>
      </w:r>
    </w:p>
    <w:p w:rsidR="00592BC2" w:rsidRPr="00DA76A7" w:rsidRDefault="00592BC2" w:rsidP="00592BC2">
      <w:pPr>
        <w:pStyle w:val="ac"/>
        <w:jc w:val="center"/>
        <w:rPr>
          <w:rFonts w:ascii="Arial" w:hAnsi="Arial" w:cs="Arial"/>
          <w:color w:val="000000" w:themeColor="text1"/>
          <w:shd w:val="clear" w:color="auto" w:fill="FFFFFF"/>
        </w:rPr>
      </w:pPr>
      <w:r w:rsidRPr="00DA76A7">
        <w:rPr>
          <w:rFonts w:ascii="Arial" w:hAnsi="Arial" w:cs="Arial"/>
          <w:color w:val="000000" w:themeColor="text1"/>
          <w:shd w:val="clear" w:color="auto" w:fill="FFFFFF"/>
        </w:rPr>
        <w:t>656049, Российская Федерация, г. Барнаул, пр. Социалистический, 68</w:t>
      </w:r>
    </w:p>
    <w:p w:rsidR="00592BC2" w:rsidRPr="00DA76A7" w:rsidRDefault="00592BC2" w:rsidP="00592BC2">
      <w:pPr>
        <w:pStyle w:val="ac"/>
        <w:jc w:val="center"/>
        <w:rPr>
          <w:rFonts w:ascii="Arial" w:hAnsi="Arial" w:cs="Arial"/>
          <w:color w:val="000000" w:themeColor="text1"/>
          <w:shd w:val="clear" w:color="auto" w:fill="FFFFFF"/>
        </w:rPr>
      </w:pPr>
      <w:r w:rsidRPr="00DA76A7">
        <w:rPr>
          <w:rFonts w:ascii="Arial" w:hAnsi="Arial" w:cs="Arial"/>
          <w:color w:val="000000" w:themeColor="text1"/>
          <w:shd w:val="clear" w:color="auto" w:fill="FFFFFF"/>
        </w:rPr>
        <w:t xml:space="preserve">тел.: 913-993-92-09, </w:t>
      </w:r>
      <w:r w:rsidRPr="00DA76A7">
        <w:rPr>
          <w:rFonts w:ascii="Arial" w:hAnsi="Arial" w:cs="Arial"/>
          <w:color w:val="000000" w:themeColor="text1"/>
          <w:shd w:val="clear" w:color="auto" w:fill="FFFFFF"/>
          <w:lang w:val="en-US"/>
        </w:rPr>
        <w:t>e</w:t>
      </w:r>
      <w:r w:rsidRPr="00DA76A7">
        <w:rPr>
          <w:rFonts w:ascii="Arial" w:hAnsi="Arial" w:cs="Arial"/>
          <w:color w:val="000000" w:themeColor="text1"/>
          <w:shd w:val="clear" w:color="auto" w:fill="FFFFFF"/>
        </w:rPr>
        <w:t>-</w:t>
      </w:r>
      <w:r w:rsidRPr="00DA76A7">
        <w:rPr>
          <w:rFonts w:ascii="Arial" w:hAnsi="Arial" w:cs="Arial"/>
          <w:color w:val="000000" w:themeColor="text1"/>
          <w:shd w:val="clear" w:color="auto" w:fill="FFFFFF"/>
          <w:lang w:val="en-US"/>
        </w:rPr>
        <w:t>mail</w:t>
      </w:r>
      <w:r w:rsidRPr="00DA76A7">
        <w:rPr>
          <w:rFonts w:ascii="Arial" w:hAnsi="Arial" w:cs="Arial"/>
          <w:color w:val="000000" w:themeColor="text1"/>
          <w:shd w:val="clear" w:color="auto" w:fill="FFFFFF"/>
        </w:rPr>
        <w:t xml:space="preserve">: </w:t>
      </w:r>
      <w:r w:rsidRPr="00DA76A7">
        <w:rPr>
          <w:rFonts w:ascii="Arial" w:hAnsi="Arial" w:cs="Arial"/>
          <w:color w:val="000000" w:themeColor="text1"/>
          <w:shd w:val="clear" w:color="auto" w:fill="FFFFFF"/>
          <w:lang w:val="en-US"/>
        </w:rPr>
        <w:t>arzhan</w:t>
      </w:r>
      <w:r w:rsidRPr="00DA76A7">
        <w:rPr>
          <w:rFonts w:ascii="Arial" w:hAnsi="Arial" w:cs="Arial"/>
          <w:color w:val="000000" w:themeColor="text1"/>
          <w:shd w:val="clear" w:color="auto" w:fill="FFFFFF"/>
        </w:rPr>
        <w:t>.</w:t>
      </w:r>
      <w:r w:rsidRPr="00DA76A7">
        <w:rPr>
          <w:rFonts w:ascii="Arial" w:hAnsi="Arial" w:cs="Arial"/>
          <w:color w:val="000000" w:themeColor="text1"/>
          <w:shd w:val="clear" w:color="auto" w:fill="FFFFFF"/>
          <w:lang w:val="en-US"/>
        </w:rPr>
        <w:t>olchenov</w:t>
      </w:r>
      <w:r w:rsidRPr="00DA76A7">
        <w:rPr>
          <w:rFonts w:ascii="Arial" w:hAnsi="Arial" w:cs="Arial"/>
          <w:color w:val="000000" w:themeColor="text1"/>
          <w:shd w:val="clear" w:color="auto" w:fill="FFFFFF"/>
        </w:rPr>
        <w:t>@</w:t>
      </w:r>
      <w:r w:rsidRPr="00DA76A7">
        <w:rPr>
          <w:rFonts w:ascii="Arial" w:hAnsi="Arial" w:cs="Arial"/>
          <w:color w:val="000000" w:themeColor="text1"/>
          <w:shd w:val="clear" w:color="auto" w:fill="FFFFFF"/>
          <w:lang w:val="en-US"/>
        </w:rPr>
        <w:t>yandex</w:t>
      </w:r>
      <w:r w:rsidRPr="00DA76A7">
        <w:rPr>
          <w:rFonts w:ascii="Arial" w:hAnsi="Arial" w:cs="Arial"/>
          <w:color w:val="000000" w:themeColor="text1"/>
          <w:shd w:val="clear" w:color="auto" w:fill="FFFFFF"/>
        </w:rPr>
        <w:t>.</w:t>
      </w:r>
      <w:r w:rsidRPr="00DA76A7">
        <w:rPr>
          <w:rFonts w:ascii="Arial" w:hAnsi="Arial" w:cs="Arial"/>
          <w:color w:val="000000" w:themeColor="text1"/>
          <w:shd w:val="clear" w:color="auto" w:fill="FFFFFF"/>
          <w:lang w:val="en-US"/>
        </w:rPr>
        <w:t>ru</w:t>
      </w:r>
    </w:p>
    <w:p w:rsidR="00592BC2" w:rsidRPr="00DA76A7" w:rsidRDefault="00592BC2" w:rsidP="00592BC2">
      <w:pPr>
        <w:pStyle w:val="ac"/>
        <w:jc w:val="center"/>
        <w:rPr>
          <w:rFonts w:ascii="Arial" w:hAnsi="Arial" w:cs="Arial"/>
          <w:b/>
          <w:color w:val="000000" w:themeColor="text1"/>
          <w:shd w:val="clear" w:color="auto" w:fill="FFFFFF"/>
        </w:rPr>
      </w:pPr>
    </w:p>
    <w:p w:rsidR="00592BC2" w:rsidRPr="00DA76A7" w:rsidRDefault="00592BC2" w:rsidP="00592BC2">
      <w:pPr>
        <w:pStyle w:val="ac"/>
        <w:jc w:val="center"/>
        <w:rPr>
          <w:rFonts w:ascii="Arial" w:hAnsi="Arial" w:cs="Arial"/>
          <w:b/>
          <w:color w:val="000000" w:themeColor="text1"/>
          <w:shd w:val="clear" w:color="auto" w:fill="FFFFFF"/>
          <w:lang w:val="en-US"/>
        </w:rPr>
      </w:pPr>
      <w:r w:rsidRPr="00DA76A7">
        <w:rPr>
          <w:rFonts w:ascii="Arial" w:hAnsi="Arial" w:cs="Arial"/>
          <w:b/>
          <w:color w:val="000000" w:themeColor="text1"/>
          <w:shd w:val="clear" w:color="auto" w:fill="FFFFFF"/>
          <w:lang w:val="en-US"/>
        </w:rPr>
        <w:t>SOME ISSUES ON REPRESENTATION OF THE  LENIENCY APPLICANTS’ RIGHTS AND INTERESTS BY A LAWYER</w:t>
      </w:r>
    </w:p>
    <w:p w:rsidR="00592BC2" w:rsidRPr="00DA76A7" w:rsidRDefault="00592BC2" w:rsidP="00592BC2">
      <w:pPr>
        <w:pStyle w:val="ac"/>
        <w:jc w:val="center"/>
        <w:rPr>
          <w:rFonts w:ascii="Arial" w:hAnsi="Arial" w:cs="Arial"/>
          <w:b/>
          <w:color w:val="000000" w:themeColor="text1"/>
          <w:shd w:val="clear" w:color="auto" w:fill="FFFFFF"/>
          <w:lang w:val="en-US"/>
        </w:rPr>
      </w:pPr>
    </w:p>
    <w:p w:rsidR="00592BC2" w:rsidRPr="00DA76A7" w:rsidRDefault="00592BC2" w:rsidP="00592BC2">
      <w:pPr>
        <w:pStyle w:val="ac"/>
        <w:jc w:val="center"/>
        <w:rPr>
          <w:rFonts w:ascii="Arial" w:hAnsi="Arial" w:cs="Arial"/>
          <w:b/>
          <w:color w:val="000000" w:themeColor="text1"/>
          <w:shd w:val="clear" w:color="auto" w:fill="FFFFFF"/>
          <w:lang w:val="en-US"/>
        </w:rPr>
      </w:pPr>
      <w:r w:rsidRPr="00DA76A7">
        <w:rPr>
          <w:rFonts w:ascii="Arial" w:hAnsi="Arial" w:cs="Arial"/>
          <w:b/>
          <w:color w:val="000000" w:themeColor="text1"/>
          <w:shd w:val="clear" w:color="auto" w:fill="FFFFFF"/>
          <w:lang w:val="en-US"/>
        </w:rPr>
        <w:t>Olchenov Arzhan Fedorovich</w:t>
      </w:r>
    </w:p>
    <w:p w:rsidR="00592BC2" w:rsidRPr="00DA76A7" w:rsidRDefault="00592BC2" w:rsidP="00592BC2">
      <w:pPr>
        <w:pStyle w:val="ac"/>
        <w:jc w:val="center"/>
        <w:rPr>
          <w:rFonts w:ascii="Arial" w:hAnsi="Arial" w:cs="Arial"/>
          <w:color w:val="000000" w:themeColor="text1"/>
          <w:shd w:val="clear" w:color="auto" w:fill="FFFFFF"/>
          <w:lang w:val="en-US"/>
        </w:rPr>
      </w:pPr>
      <w:r w:rsidRPr="00DA76A7">
        <w:rPr>
          <w:rFonts w:ascii="Arial" w:hAnsi="Arial" w:cs="Arial"/>
          <w:color w:val="000000" w:themeColor="text1"/>
          <w:shd w:val="clear" w:color="auto" w:fill="FFFFFF"/>
          <w:lang w:val="en-US"/>
        </w:rPr>
        <w:t xml:space="preserve">postgraduate 2nd year student of the law faculty,     </w:t>
      </w:r>
    </w:p>
    <w:p w:rsidR="00592BC2" w:rsidRPr="00DA76A7" w:rsidRDefault="00592BC2" w:rsidP="00592BC2">
      <w:pPr>
        <w:pStyle w:val="ac"/>
        <w:jc w:val="center"/>
        <w:rPr>
          <w:rFonts w:ascii="Arial" w:hAnsi="Arial" w:cs="Arial"/>
          <w:color w:val="000000" w:themeColor="text1"/>
          <w:shd w:val="clear" w:color="auto" w:fill="FFFFFF"/>
          <w:lang w:val="en-US"/>
        </w:rPr>
      </w:pPr>
      <w:r w:rsidRPr="00DA76A7">
        <w:rPr>
          <w:rFonts w:ascii="Arial" w:hAnsi="Arial" w:cs="Arial"/>
          <w:color w:val="000000" w:themeColor="text1"/>
          <w:shd w:val="clear" w:color="auto" w:fill="FFFFFF"/>
          <w:lang w:val="en-US"/>
        </w:rPr>
        <w:t xml:space="preserve"> Altai state university</w:t>
      </w:r>
    </w:p>
    <w:p w:rsidR="00592BC2" w:rsidRPr="00DA76A7" w:rsidRDefault="00592BC2" w:rsidP="00592BC2">
      <w:pPr>
        <w:pStyle w:val="ac"/>
        <w:jc w:val="center"/>
        <w:rPr>
          <w:rFonts w:ascii="Arial" w:hAnsi="Arial" w:cs="Arial"/>
          <w:color w:val="000000" w:themeColor="text1"/>
          <w:shd w:val="clear" w:color="auto" w:fill="FFFFFF"/>
          <w:lang w:val="en-US"/>
        </w:rPr>
      </w:pPr>
      <w:r w:rsidRPr="00DA76A7">
        <w:rPr>
          <w:rFonts w:ascii="Arial" w:hAnsi="Arial" w:cs="Arial"/>
          <w:color w:val="000000" w:themeColor="text1"/>
          <w:shd w:val="clear" w:color="auto" w:fill="FFFFFF"/>
          <w:lang w:val="en-US"/>
        </w:rPr>
        <w:t>656049, Russian Federation, Barnaul, Socialistic street, 68</w:t>
      </w:r>
    </w:p>
    <w:p w:rsidR="00592BC2" w:rsidRPr="00DA76A7" w:rsidRDefault="00592BC2" w:rsidP="00592BC2">
      <w:pPr>
        <w:pStyle w:val="ac"/>
        <w:jc w:val="center"/>
        <w:rPr>
          <w:rFonts w:ascii="Arial" w:hAnsi="Arial" w:cs="Arial"/>
          <w:color w:val="000000" w:themeColor="text1"/>
          <w:shd w:val="clear" w:color="auto" w:fill="FFFFFF"/>
          <w:lang w:val="en-US"/>
        </w:rPr>
      </w:pPr>
      <w:r w:rsidRPr="00DA76A7">
        <w:rPr>
          <w:rFonts w:ascii="Arial" w:hAnsi="Arial" w:cs="Arial"/>
          <w:color w:val="000000" w:themeColor="text1"/>
          <w:shd w:val="clear" w:color="auto" w:fill="FFFFFF"/>
          <w:lang w:val="en-US"/>
        </w:rPr>
        <w:t>tel.: 913-993-92-09, e-mail: arzhan.olchenov@yandex.ru</w:t>
      </w:r>
    </w:p>
    <w:p w:rsidR="00592BC2" w:rsidRPr="00DA76A7" w:rsidRDefault="00592BC2" w:rsidP="00592BC2">
      <w:pPr>
        <w:pStyle w:val="ac"/>
        <w:jc w:val="center"/>
        <w:rPr>
          <w:rFonts w:ascii="Arial" w:hAnsi="Arial" w:cs="Arial"/>
          <w:color w:val="000000" w:themeColor="text1"/>
          <w:shd w:val="clear" w:color="auto" w:fill="FFFFFF"/>
          <w:lang w:val="en-US"/>
        </w:rPr>
      </w:pPr>
    </w:p>
    <w:p w:rsidR="00592BC2" w:rsidRPr="00DA76A7" w:rsidRDefault="00592BC2" w:rsidP="00592BC2">
      <w:pPr>
        <w:pStyle w:val="ac"/>
        <w:ind w:firstLine="567"/>
        <w:jc w:val="right"/>
        <w:rPr>
          <w:rFonts w:ascii="Arial" w:hAnsi="Arial" w:cs="Arial"/>
          <w:color w:val="000000" w:themeColor="text1"/>
          <w:shd w:val="clear" w:color="auto" w:fill="FFFFFF"/>
        </w:rPr>
      </w:pPr>
      <w:r w:rsidRPr="00DA76A7">
        <w:rPr>
          <w:rFonts w:ascii="Arial" w:hAnsi="Arial" w:cs="Arial"/>
          <w:color w:val="000000" w:themeColor="text1"/>
          <w:shd w:val="clear" w:color="auto" w:fill="FFFFFF"/>
        </w:rPr>
        <w:t xml:space="preserve">Научный руководитель: к.ю.н. Петухов Е.Н. </w:t>
      </w:r>
    </w:p>
    <w:p w:rsidR="00592BC2" w:rsidRPr="00DA76A7" w:rsidRDefault="00592BC2" w:rsidP="00592BC2">
      <w:pPr>
        <w:pStyle w:val="ac"/>
        <w:ind w:firstLine="567"/>
        <w:jc w:val="right"/>
        <w:rPr>
          <w:rFonts w:ascii="Arial" w:hAnsi="Arial" w:cs="Arial"/>
          <w:color w:val="000000" w:themeColor="text1"/>
          <w:shd w:val="clear" w:color="auto" w:fill="FFFFFF"/>
        </w:rPr>
      </w:pPr>
    </w:p>
    <w:p w:rsidR="00592BC2" w:rsidRPr="00DA76A7" w:rsidRDefault="00592BC2" w:rsidP="00592BC2">
      <w:pPr>
        <w:pStyle w:val="ac"/>
        <w:ind w:firstLine="567"/>
        <w:jc w:val="both"/>
        <w:rPr>
          <w:rFonts w:ascii="Arial" w:hAnsi="Arial" w:cs="Arial"/>
          <w:i/>
          <w:color w:val="000000" w:themeColor="text1"/>
        </w:rPr>
      </w:pPr>
      <w:r w:rsidRPr="00DA76A7">
        <w:rPr>
          <w:rFonts w:ascii="Arial" w:hAnsi="Arial" w:cs="Arial"/>
          <w:b/>
          <w:i/>
          <w:color w:val="000000" w:themeColor="text1"/>
        </w:rPr>
        <w:t>Аннотация.</w:t>
      </w:r>
      <w:r w:rsidRPr="00DA76A7">
        <w:rPr>
          <w:rFonts w:ascii="Arial" w:hAnsi="Arial" w:cs="Arial"/>
          <w:i/>
          <w:color w:val="000000" w:themeColor="text1"/>
        </w:rPr>
        <w:t xml:space="preserve"> Статья посвящена вопросам  по совершенствованию уголовно-процессуального законодательства Российской Федерации, направленных на совершенствование и в научном осмыслении вопросов, связанных с оказанием правовой помощи адвокатом лицу, подающему явку с повинной на доследственной и досудебной стадиях в уголовном судопроизводстве.</w:t>
      </w:r>
    </w:p>
    <w:p w:rsidR="00592BC2" w:rsidRPr="00DA76A7" w:rsidRDefault="00592BC2" w:rsidP="00592BC2">
      <w:pPr>
        <w:pStyle w:val="ac"/>
        <w:ind w:firstLine="567"/>
        <w:jc w:val="both"/>
        <w:rPr>
          <w:rFonts w:ascii="Arial" w:hAnsi="Arial" w:cs="Arial"/>
          <w:b/>
          <w:i/>
          <w:color w:val="000000" w:themeColor="text1"/>
          <w:lang w:val="en-US"/>
        </w:rPr>
      </w:pPr>
      <w:r w:rsidRPr="00DA76A7">
        <w:rPr>
          <w:rFonts w:ascii="Arial" w:hAnsi="Arial" w:cs="Arial"/>
          <w:b/>
          <w:i/>
          <w:color w:val="000000" w:themeColor="text1"/>
          <w:lang w:val="en-US"/>
        </w:rPr>
        <w:t xml:space="preserve">Annotation. </w:t>
      </w:r>
      <w:r w:rsidRPr="00DA76A7">
        <w:rPr>
          <w:rFonts w:ascii="Arial" w:hAnsi="Arial" w:cs="Arial"/>
          <w:i/>
          <w:color w:val="000000" w:themeColor="text1"/>
          <w:lang w:val="en-US"/>
        </w:rPr>
        <w:t>The article is about some issues on improving the criminal procedural legislation of Russian Federation, directed on improving and in scientific understanding of the questions connected with the leniency applicants in pre-hereditary and pre-judicial stages of the criminal proceedings.</w:t>
      </w:r>
      <w:r w:rsidRPr="00DA76A7">
        <w:rPr>
          <w:rFonts w:ascii="Arial" w:hAnsi="Arial" w:cs="Arial"/>
          <w:b/>
          <w:i/>
          <w:color w:val="000000" w:themeColor="text1"/>
          <w:lang w:val="en-US"/>
        </w:rPr>
        <w:t xml:space="preserve">   </w:t>
      </w:r>
    </w:p>
    <w:p w:rsidR="00592BC2" w:rsidRPr="00DA76A7" w:rsidRDefault="00592BC2" w:rsidP="00592BC2">
      <w:pPr>
        <w:pStyle w:val="ac"/>
        <w:ind w:firstLine="567"/>
        <w:jc w:val="both"/>
        <w:rPr>
          <w:rFonts w:ascii="Arial" w:hAnsi="Arial" w:cs="Arial"/>
          <w:i/>
          <w:color w:val="000000" w:themeColor="text1"/>
        </w:rPr>
      </w:pPr>
      <w:r w:rsidRPr="00DA76A7">
        <w:rPr>
          <w:rFonts w:ascii="Arial" w:hAnsi="Arial" w:cs="Arial"/>
          <w:b/>
          <w:i/>
          <w:color w:val="000000" w:themeColor="text1"/>
        </w:rPr>
        <w:t>Ключевые слова:</w:t>
      </w:r>
      <w:r w:rsidRPr="00DA76A7">
        <w:rPr>
          <w:rFonts w:ascii="Arial" w:hAnsi="Arial" w:cs="Arial"/>
          <w:i/>
          <w:color w:val="000000" w:themeColor="text1"/>
        </w:rPr>
        <w:t xml:space="preserve"> адвокат, заявитель, явка с повинной, суд, защита прав, доказательство, допустимость, юридическая помощь, уголовно-процессуальное законодательство, уголовное судопроизводство. </w:t>
      </w:r>
    </w:p>
    <w:p w:rsidR="00592BC2" w:rsidRPr="00DA76A7" w:rsidRDefault="00592BC2" w:rsidP="00592BC2">
      <w:pPr>
        <w:pStyle w:val="ac"/>
        <w:ind w:firstLine="567"/>
        <w:jc w:val="both"/>
        <w:rPr>
          <w:rFonts w:ascii="Arial" w:hAnsi="Arial" w:cs="Arial"/>
          <w:i/>
          <w:color w:val="000000" w:themeColor="text1"/>
          <w:lang w:val="en-US"/>
        </w:rPr>
      </w:pPr>
      <w:r w:rsidRPr="00DA76A7">
        <w:rPr>
          <w:rFonts w:ascii="Arial" w:hAnsi="Arial" w:cs="Arial"/>
          <w:b/>
          <w:i/>
          <w:color w:val="000000" w:themeColor="text1"/>
          <w:lang w:val="en-US"/>
        </w:rPr>
        <w:t>Key words:</w:t>
      </w:r>
      <w:r w:rsidRPr="00DA76A7">
        <w:rPr>
          <w:rFonts w:ascii="Arial" w:hAnsi="Arial" w:cs="Arial"/>
          <w:i/>
          <w:color w:val="000000" w:themeColor="text1"/>
          <w:lang w:val="en-US"/>
        </w:rPr>
        <w:t xml:space="preserve"> lawyer, declarer, admission of quilt, court, protection of rights, evidence, allowability, legal aid, criminal procedural  legislation, criminal proceedings.       </w:t>
      </w:r>
    </w:p>
    <w:p w:rsidR="00592BC2" w:rsidRPr="00DA76A7" w:rsidRDefault="00592BC2" w:rsidP="00592BC2">
      <w:pPr>
        <w:pStyle w:val="ac"/>
        <w:ind w:firstLine="567"/>
        <w:jc w:val="both"/>
        <w:rPr>
          <w:rFonts w:ascii="Arial" w:hAnsi="Arial" w:cs="Arial"/>
          <w:color w:val="000000" w:themeColor="text1"/>
          <w:lang w:val="en-US"/>
        </w:rPr>
      </w:pP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Наиболее важной гарантией защиты прав и законных интересов человека является возможность получения квалифицированной юридической помощи в лице профессионального юриста - адвоката. Необходимость в этом возникает потому, что во многих случаях человек, не имеющий специальных юридических познаний, не может сам реализовать свои процессуальные права и правильно разобраться в юридической ситуации. Причины этого разнообразны.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Теоретическая разработка в научном осмыслении вопросов, связанных с оказанием правовой помощи адвокатом лицу, подающему явку с повинной, является весьма перспективной, поскольку позволяет разрешить ряд важных проблем, связанных с обеспечением прав лиц, подающих явку с повинной, на защиту на стадиях, до возбуждения уголовного дела и после.</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Часть проблем участия адвоката-защитника в ходе дачи лицами явки с повинной в уголовном процессе рассматривали видные ученые отечественной юриспруденции И.Я. Фойницкий, В.К. Коломеец, А.А. Пионтковский, Л.Л., Кругликов, В.И. Ткаченко, К.А. Панько, Д.Е. Дядько, А.А. Тер-Акопов, Л.А. Долиненко, и др.</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Целью данной работы являются обоснование ряда научно-аргументированных рекомендаций по совершенствованию уголовно-процессуального законодательства Российской Федерации, направленных на совершенствование института представительства прав и законных интересов лица, подающего явку с повинной - адвокатом.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Согласно ч.1 ст.140 Уголовно-процессуального кодекса Российской Федерации</w:t>
      </w:r>
      <w:r w:rsidRPr="00DA76A7">
        <w:rPr>
          <w:rStyle w:val="afff"/>
          <w:rFonts w:ascii="Arial" w:hAnsi="Arial" w:cs="Arial"/>
          <w:color w:val="000000" w:themeColor="text1"/>
        </w:rPr>
        <w:t xml:space="preserve"> </w:t>
      </w:r>
      <w:r w:rsidRPr="00DA76A7">
        <w:rPr>
          <w:rFonts w:ascii="Arial" w:hAnsi="Arial" w:cs="Arial"/>
          <w:color w:val="000000" w:themeColor="text1"/>
        </w:rPr>
        <w:t xml:space="preserve"> [1, 97] явка с повинной является одним из поводов для возбуждения уголовного дела.  Положения ст. 74, ч.1.2 ст.144 УПК РФ позволяют использовать явку с повинной в качестве доказательств по уголовным делам.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Явка с повинной, рассматриваемая в ряду других стимулирующих уголовным законом форм поведения лиц, совершивших преступления, представляет собой одну из наиболее важных форм позитивного постпреступного поведения, поощряемых предоставлением льгот при решении вопроса об индивидуализации наказания.  Но на практике, нередко подсудимые заявляют в суде о том, что явка с повинной на досудебной стадии была получена без участия защитника, в связи с чем, сторона защиты просит признать ее недопустимым доказательством.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В настоящее время проблема явки с повинной волнует не только правозащитников, но и представителей Совета Федерации. По сообщению Российского агентства правовой и судебной информации, «члены Совета Федерации Константин Добрынин, Вадим Тюльпанов и Андрей Клишас внесли в Госдуму законопроект, обязывающий должностных лиц органов предварительного следствия не проводить никаких выяснений с подозреваемым без участия защитника до составления протокола задержания. Такие сведения, полученные до составления протокола, предлагается также считать недопустимыми доказательствами». По мнению указанных сенаторов, в момент задержания лицо может находиться в шоковом состоянии, не давать оценку своим действиям, не понимать целесообразность тех или иных действия, поэтому ему необходима юридическая помощь [4, 2].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Точку в дискуссии о том, обязательно ли присутствие защитника (адвоката) при написании явки с повинной, поставил Конституционный Суд Российской Федерации в своём определении от 29.09.2015 № 2270-О «Об отказе в принятии к рассмотрению жалобы гражданина Мирошниченко Александра Викторовича на нарушение его конституционных прав пунктом 15 статьи 5, пунктами 3 и 6 части третьей статьи 49, частью первой статьи 75, частью первой статьи 142 и частью первой.2 статьи 144 Уголовно-процессуального кодекса Российской Федерации» на вопрос об обязательности присутствия адвоката-защитника при написании явки с повинной, ответил следующим образом:  суд установил, конституционное право пользоваться помощью защитника (адвоката) возникает у конкретного лица с того момента, когда ограничение его прав становиться реальным, когда уполномоченными органами власти в отношении этого лица предприняты меры, которыми реально ограничиваются его свобода и личная неприкосновенность, включая свободу передвижения.</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Кроме того, именно в силу добровольного характера явки с повинной законодатель не установил обязательного разъяснения заявляющему ее лицу предписаний статьи 51 Конституции Российской Федерации, закрепляющей право не свидетельствовать против себя самого, своего супруга и близких родственников.</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При этом УПК РФ определяет, что полученные в ходе проверки сообщения о преступлении сведения могут быть использованы в качестве доказательств при условии соблюдения положений статей 75 и 89 данного Кодекса (часть первая.2 статьи 144), а доказательства, полученные с нарушением требований данного Кодекса, являются недопустимыми, не имеют юридической силы и не могут быть положены в основу обвинения, а также использоваться для доказывания любого из обстоятельств, предусмотренных его статьей 73 (статья 75); устанавливает конкретные процессуальные механизмы устранения таких доказательств из уголовного дела (статья 88, часть пятая статьи 234, статья 235 и часть пятая статьи 335) и предъявляет к процессуальному решению по вопросу о допустимости доказательств требования законности, обоснованности и мотивированности (части третья и четвертая статьи 7).</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Указанные статьи не содержат положений, освобождающих суд, прокурора, следователя и дознавателя от обязанности исследовать доводы подозреваемого, обвиняемого о признании тех или иных доказательств не имеющими юридической силы и при возникновении сомнений в допустимости или достоверности этих доказательств - отвергнуть их в соответствии с требованиями статей 49 (часть 3) и 50 (часть 2) Конституции Российской Федерации [2, 6].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Таким образом, Конституционным Судом РФ установлено, что оспариваемые нормы не нарушают конституционные права заявителя.</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Несколько иную позицию принял Верховный Суд Российской Федерации, так из  п. 10 Постановления Пленума Верховного Суда РФ от 29 ноября 2016 г. № 55 «О судебном приговоре» следует: »В тех случаях, когда в ходе проверки сообщения о преступлении в порядке, предусмотренном статьей 144 УПК РФ, подсудимый обращался с письменным или устным заявлением о явке с повинной, и сторона обвинения ссылается на указанные в этом заявлении сведения как на одно из доказательств его виновности, суду надлежит проверять, в частности, разъяснялись ли подсудимому при принятии от него такого заявления с учетом требований части 1.1 статьи 144 УПК РФ права не свидетельствовать против самого себя, пользоваться услугами адвоката, приносить жалобы на действия (бездействие) и решения органов предварительного расследования в порядке, установленном главой 16 УПК РФ; была ли обеспечена возможность осуществления этих прав» [3, 11].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Законодатель, не предусмотрел, какого либо процессуального документа, который бы фиксировал факт разъяснения прав лицу, который намеревается обратиться с явкой с повинной. Полагаю, необходимым данный процессуальный документ предусмотреть в уголовно-процессуальном законодательстве и внести дополнения в ст. 142 УПК РФ.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Явка с повинной может быть признана доказательством, но только в том случае, если явившемуся лицу разъяснили права не свидетельствовать против себя самого, пользоваться услугами адвоката, приносить жалобы на действия должностных лиц. При этом возможность осуществления этих прав должна быть реально обеспечена, что означает обязательное присутствие защитника даже тогда, когда лицо желает от него отказаться. И, как я предлагаю, факт реального обеспечения присутствия адвоката (защитника) и консультация с ним, даже в случае отказа лица от услуг адвоката, должны быть подтверждены наличием адвокатского ордера, подписями адвоката защитника в протоколе разъяснения права на защиту.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Суды, ссылаясь на явку с повинной как на обвинительное доказательство, не учитывают тот факт, что нередко получение явки происходит с нарушением права на защиту. Не применяется аналогия – признательные показания учитываются как доказательство вины только при реализации права подозреваемого (или обвиняемого) права на защиту. Представители стороны обвинения имеют возможность не выполнять требования нормы, предусмотренную п. 1 ч. 2 ст. 75 УПК РФ. Таким образом, последующие, при возбуждении уголовного дела, обязательные следственные действия, как допросы подозреваемого и обвиняемого, становятся для следователя нецелесообразными в случае не признания вины лицом, привлекаемом к уголовной ответственности и изменения позиции о своей виновности.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Если ставить доказательственную ценность в зависимость от содержания показаний подозреваемого, то это обессмысливает явку с повинной как средство доказывания. Реализация данного подхода приведет к необоснованному усложнению процесса доказывания, к тому, что подозреваемый, обвиняемый получит еще одно средство для противодействия расследованию, а последнее утратит эффективное средство стимулирование лица к сотрудничеству с правосудием.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Если законодатель распространил право на защиту на проверочные действия, производимые до возбуждения уголовного дела (ч. 1.1 ст.144 УПК РФ), то нет никаких оснований для того, чтобы право на защиту выполнялось и при получении явки с повинной. Иначе говоря, явка с повинной все же должна оставаться в качестве средства доказывания, но при обеспечении лицу (по его желанию) права пользоваться услугами защитника.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Также я считаю, что при получении явки с повинной сотрудники правоохранительных органов обязаны применять видеозапись, так как именно таким образом можно впоследствии проверить факт разъяснения прав лицу, подающему явку с повинной о совершенном им преступлении, принятие участия адвоката (защитника) в данном действии, услугами которого пожелало воспользоваться указанное лицо.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В связи с этим я предлагаю законодателю следующие дополнения ст. 142 УПК РФ: «Часть 3. Лицу, подающему явку с повинной, разъясняются права и обязанности, предусмотренные частью 1.1 ст.144 настоящего Кодекса, и право пользоваться услугами адвоката бесплатно.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Часть 4. Лицо, принимающее заявление о явке с повинной, обязано предупредить заявителя, что при его согласии добровольно сообщить о совершенном им преступлении данная явка с повинной (заявление, протокол) может быть использована в качестве доказательства по уголовному делу и в случае непризнания вины в совершении преступления, за исключением случая, предусмотренного пунктом 1 части 2 ст. 75 настоящего Кодекса.</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Часть 5. Явка с повинной может использоваться в доказывании, если она соответствует требованиям, предусмотренным частями 1-4 статьи 142 и статьи 84 настоящего Кодекса».   </w:t>
      </w:r>
    </w:p>
    <w:p w:rsidR="00592BC2" w:rsidRPr="00DA76A7" w:rsidRDefault="00592BC2" w:rsidP="00592BC2">
      <w:pPr>
        <w:pStyle w:val="ac"/>
        <w:ind w:firstLine="567"/>
        <w:jc w:val="both"/>
        <w:rPr>
          <w:rFonts w:ascii="Arial" w:hAnsi="Arial" w:cs="Arial"/>
          <w:color w:val="000000" w:themeColor="text1"/>
        </w:rPr>
      </w:pPr>
    </w:p>
    <w:p w:rsidR="00592BC2" w:rsidRPr="00DA76A7" w:rsidRDefault="00592BC2" w:rsidP="00592BC2">
      <w:pPr>
        <w:pStyle w:val="ac"/>
        <w:ind w:firstLine="567"/>
        <w:jc w:val="center"/>
        <w:rPr>
          <w:rFonts w:ascii="Arial" w:hAnsi="Arial" w:cs="Arial"/>
          <w:b/>
          <w:color w:val="000000" w:themeColor="text1"/>
        </w:rPr>
      </w:pPr>
      <w:r w:rsidRPr="00DA76A7">
        <w:rPr>
          <w:rFonts w:ascii="Arial" w:hAnsi="Arial" w:cs="Arial"/>
          <w:b/>
          <w:color w:val="000000" w:themeColor="text1"/>
        </w:rPr>
        <w:t>Список литературы:</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1. Уголовно-процессуальный кодекс Российской Федерации от 18 ноября 2001 г. [Электронный ресурс] // Справочно-правовая система. – www.consultant.ru (дата обращения 21.12.2017).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2. Определение Конституционного Суда Российской Федерации в своём определении от 29.09.2015 № 2270-О «Об отказе в принятии к рассмотрению жалобы гражданина Мирошниченко Александра Викторовича на нарушение его конституционных прав пунктом 15 статьи 5, пунктами 3 и 6 части третьей статьи 49, частью первой статьи 75, частью первой статьи 142 и частью первой.2 статьи 144 Уголовно-процессуального кодекса Российской Федерации» [Электронный ресурс] // Справочно-правовая система. – www.consultant.ru (дата обращения 21.12.2017)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3. Постановление Пленума Верховного Суда РФ от 29 ноября 2016 г. № 55 «О судебном приговоре» [Электронный ресурс] // Справочно-правовая система. – www.consultant.ru (дата обращения 28.12.2017)</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4. Члены СФ предлагают запретить проводить следствие без протокола задержания [Электронный ресурс] //РАПСИ – Российское агентство правовой информации [сайт] URL: </w:t>
      </w:r>
      <w:hyperlink r:id="rId317" w:history="1">
        <w:r w:rsidRPr="00DA76A7">
          <w:rPr>
            <w:rStyle w:val="af0"/>
            <w:rFonts w:ascii="Arial" w:hAnsi="Arial" w:cs="Arial"/>
            <w:color w:val="000000" w:themeColor="text1"/>
            <w:u w:val="none"/>
          </w:rPr>
          <w:t>http://www.rapsinews_news</w:t>
        </w:r>
      </w:hyperlink>
      <w:r w:rsidRPr="00DA76A7">
        <w:rPr>
          <w:rFonts w:ascii="Arial" w:hAnsi="Arial" w:cs="Arial"/>
          <w:color w:val="000000" w:themeColor="text1"/>
        </w:rPr>
        <w:t xml:space="preserve"> (дата обращения 20.12.2017).   </w:t>
      </w:r>
    </w:p>
    <w:p w:rsidR="00592BC2" w:rsidRPr="00DA76A7" w:rsidRDefault="00592BC2" w:rsidP="00592BC2">
      <w:pPr>
        <w:tabs>
          <w:tab w:val="left" w:pos="851"/>
        </w:tabs>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ОРГАНИЗАЦИОННЫЕ ОСОБЕННОСТИ СОБИРАНИЯ ДОКАЗАТЕЛЬСТВ ПРИ ОСМОТРЕ МЕСТА ПРОИСШЕСТВИЯ В РЕСПУБЛИКЕ ТАДЖИКИСТАН: РЕТРОСПЕКТИВНЫЙ, УГОЛОВНО-ПРОЦЕССУАЛЬНЫЙ, КРИМИНАЛИСТИЧЕСКИЙ И ОПЕРАТИВНО-РОЗЫСКНОЙ ВЗГЛЯД</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tabs>
          <w:tab w:val="left" w:pos="142"/>
          <w:tab w:val="left" w:pos="851"/>
        </w:tabs>
        <w:jc w:val="center"/>
        <w:rPr>
          <w:rFonts w:ascii="Arial" w:hAnsi="Arial" w:cs="Arial"/>
          <w:b/>
          <w:color w:val="000000" w:themeColor="text1"/>
          <w:sz w:val="22"/>
          <w:szCs w:val="22"/>
        </w:rPr>
      </w:pPr>
      <w:r w:rsidRPr="00DA76A7">
        <w:rPr>
          <w:rFonts w:ascii="Arial" w:hAnsi="Arial" w:cs="Arial"/>
          <w:b/>
          <w:color w:val="000000" w:themeColor="text1"/>
          <w:sz w:val="22"/>
          <w:szCs w:val="22"/>
        </w:rPr>
        <w:t>Парфёнов Алексей Алексеевич</w:t>
      </w:r>
    </w:p>
    <w:p w:rsidR="00592BC2" w:rsidRPr="00DA76A7" w:rsidRDefault="00592BC2" w:rsidP="00592BC2">
      <w:pPr>
        <w:tabs>
          <w:tab w:val="left" w:pos="142"/>
          <w:tab w:val="left" w:pos="851"/>
        </w:tabs>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соискатель юридического факультета </w:t>
      </w:r>
    </w:p>
    <w:p w:rsidR="00592BC2" w:rsidRPr="00DA76A7" w:rsidRDefault="00592BC2" w:rsidP="00592BC2">
      <w:pPr>
        <w:tabs>
          <w:tab w:val="left" w:pos="142"/>
          <w:tab w:val="left" w:pos="851"/>
        </w:tabs>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tabs>
          <w:tab w:val="left" w:pos="851"/>
        </w:tabs>
        <w:jc w:val="center"/>
        <w:rPr>
          <w:rFonts w:ascii="Arial" w:hAnsi="Arial" w:cs="Arial"/>
          <w:color w:val="000000" w:themeColor="text1"/>
          <w:sz w:val="22"/>
          <w:szCs w:val="22"/>
        </w:rPr>
      </w:pPr>
      <w:r w:rsidRPr="00DA76A7">
        <w:rPr>
          <w:rFonts w:ascii="Arial" w:hAnsi="Arial" w:cs="Arial"/>
          <w:bCs/>
          <w:color w:val="000000" w:themeColor="text1"/>
          <w:sz w:val="22"/>
          <w:szCs w:val="22"/>
        </w:rPr>
        <w:t>734025, Республика Таджикистан, г. Душанбе, ул. М. Турсунзаде, 30</w:t>
      </w:r>
    </w:p>
    <w:p w:rsidR="00592BC2" w:rsidRPr="00DA76A7" w:rsidRDefault="00592BC2" w:rsidP="00592BC2">
      <w:pPr>
        <w:tabs>
          <w:tab w:val="left" w:pos="851"/>
        </w:tabs>
        <w:jc w:val="center"/>
        <w:rPr>
          <w:rFonts w:ascii="Arial" w:hAnsi="Arial" w:cs="Arial"/>
          <w:b/>
          <w:color w:val="000000" w:themeColor="text1"/>
          <w:sz w:val="22"/>
          <w:szCs w:val="22"/>
        </w:rPr>
      </w:pPr>
      <w:r w:rsidRPr="00DA76A7">
        <w:rPr>
          <w:rFonts w:ascii="Arial" w:hAnsi="Arial" w:cs="Arial"/>
          <w:color w:val="000000" w:themeColor="text1"/>
          <w:sz w:val="22"/>
          <w:szCs w:val="22"/>
        </w:rPr>
        <w:t xml:space="preserve">тел.: (+992) 918-65-48-18,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parfenov</w:t>
      </w:r>
      <w:r w:rsidRPr="00DA76A7">
        <w:rPr>
          <w:rFonts w:ascii="Arial" w:hAnsi="Arial" w:cs="Arial"/>
          <w:color w:val="000000" w:themeColor="text1"/>
          <w:sz w:val="22"/>
          <w:szCs w:val="22"/>
        </w:rPr>
        <w:t>_</w:t>
      </w:r>
      <w:r w:rsidRPr="00DA76A7">
        <w:rPr>
          <w:rFonts w:ascii="Arial" w:hAnsi="Arial" w:cs="Arial"/>
          <w:color w:val="000000" w:themeColor="text1"/>
          <w:sz w:val="22"/>
          <w:szCs w:val="22"/>
          <w:lang w:val="en-US"/>
        </w:rPr>
        <w:t>alexey</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tabs>
          <w:tab w:val="left" w:pos="142"/>
          <w:tab w:val="left" w:pos="851"/>
        </w:tabs>
        <w:jc w:val="center"/>
        <w:rPr>
          <w:rFonts w:ascii="Arial" w:hAnsi="Arial" w:cs="Arial"/>
          <w:b/>
          <w:color w:val="000000" w:themeColor="text1"/>
          <w:sz w:val="22"/>
          <w:szCs w:val="22"/>
        </w:rPr>
      </w:pPr>
    </w:p>
    <w:p w:rsidR="00592BC2" w:rsidRPr="00DA76A7" w:rsidRDefault="00592BC2" w:rsidP="00592BC2">
      <w:pPr>
        <w:tabs>
          <w:tab w:val="left" w:pos="142"/>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shd w:val="clear" w:color="auto" w:fill="FFFFFF"/>
          <w:lang w:val="en-US"/>
        </w:rPr>
        <w:t>ORGANIZATIONAL PECULIARITIES OF EVIDENCE COLLECTION WHILE INSPECTION OF PLACE OF ACCIDENT IN REPUBLIC OF TAJIKISTAN: RETROSPECTIVE, CRIMINAL PROCESSUAL, CRIMINALISTIC AND OPERATIONAL-PERSONAL VIEW</w:t>
      </w:r>
    </w:p>
    <w:p w:rsidR="00592BC2" w:rsidRPr="00DA76A7" w:rsidRDefault="00592BC2" w:rsidP="00592BC2">
      <w:pPr>
        <w:tabs>
          <w:tab w:val="left" w:pos="142"/>
        </w:tabs>
        <w:jc w:val="center"/>
        <w:rPr>
          <w:rFonts w:ascii="Arial" w:hAnsi="Arial" w:cs="Arial"/>
          <w:b/>
          <w:color w:val="000000" w:themeColor="text1"/>
          <w:sz w:val="22"/>
          <w:szCs w:val="22"/>
          <w:lang w:val="en-US"/>
        </w:rPr>
      </w:pP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Parfyonov Alexey Alekseevich</w:t>
      </w:r>
    </w:p>
    <w:p w:rsidR="00592BC2" w:rsidRPr="00DA76A7" w:rsidRDefault="00592BC2" w:rsidP="00592BC2">
      <w:pPr>
        <w:tabs>
          <w:tab w:val="left" w:pos="142"/>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 xml:space="preserve">pplicant faculty of law </w:t>
      </w:r>
    </w:p>
    <w:p w:rsidR="00592BC2" w:rsidRPr="00DA76A7" w:rsidRDefault="00592BC2" w:rsidP="00592BC2">
      <w:pPr>
        <w:tabs>
          <w:tab w:val="left" w:pos="142"/>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 xml:space="preserve">734025, Republic of Tajikistan, Dushanbe, </w:t>
      </w:r>
      <w:r w:rsidRPr="00DA76A7">
        <w:rPr>
          <w:rFonts w:ascii="Arial" w:hAnsi="Arial" w:cs="Arial"/>
          <w:bCs/>
          <w:color w:val="000000" w:themeColor="text1"/>
          <w:sz w:val="22"/>
          <w:szCs w:val="22"/>
        </w:rPr>
        <w:t>М</w:t>
      </w:r>
      <w:r w:rsidRPr="00DA76A7">
        <w:rPr>
          <w:rFonts w:ascii="Arial" w:hAnsi="Arial" w:cs="Arial"/>
          <w:bCs/>
          <w:color w:val="000000" w:themeColor="text1"/>
          <w:sz w:val="22"/>
          <w:szCs w:val="22"/>
          <w:lang w:val="en-US"/>
        </w:rPr>
        <w:t>. Tursunzade str., 30</w:t>
      </w:r>
    </w:p>
    <w:p w:rsidR="00592BC2" w:rsidRPr="00DA76A7" w:rsidRDefault="00592BC2" w:rsidP="00592BC2">
      <w:pPr>
        <w:tabs>
          <w:tab w:val="left" w:pos="142"/>
          <w:tab w:val="left" w:pos="851"/>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918-65-48-18,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parfenov_alexey@mail.ru</w:t>
      </w:r>
    </w:p>
    <w:p w:rsidR="00592BC2" w:rsidRPr="00DA76A7" w:rsidRDefault="00592BC2" w:rsidP="00592BC2">
      <w:pPr>
        <w:tabs>
          <w:tab w:val="left" w:pos="142"/>
          <w:tab w:val="left" w:pos="851"/>
        </w:tabs>
        <w:ind w:firstLine="567"/>
        <w:jc w:val="right"/>
        <w:rPr>
          <w:rFonts w:ascii="Arial" w:hAnsi="Arial" w:cs="Arial"/>
          <w:b/>
          <w:color w:val="000000" w:themeColor="text1"/>
          <w:sz w:val="22"/>
          <w:szCs w:val="22"/>
          <w:lang w:val="en-US"/>
        </w:rPr>
      </w:pPr>
    </w:p>
    <w:p w:rsidR="00592BC2" w:rsidRPr="00DA76A7" w:rsidRDefault="00592BC2" w:rsidP="00592BC2">
      <w:pPr>
        <w:tabs>
          <w:tab w:val="left" w:pos="142"/>
          <w:tab w:val="left" w:pos="851"/>
        </w:tabs>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Алимов С.Ю.</w:t>
      </w:r>
    </w:p>
    <w:p w:rsidR="00592BC2" w:rsidRPr="00DA76A7" w:rsidRDefault="00592BC2" w:rsidP="00592BC2">
      <w:pPr>
        <w:tabs>
          <w:tab w:val="left" w:pos="142"/>
          <w:tab w:val="left" w:pos="851"/>
        </w:tabs>
        <w:ind w:firstLine="567"/>
        <w:jc w:val="center"/>
        <w:rPr>
          <w:rFonts w:ascii="Arial" w:hAnsi="Arial" w:cs="Arial"/>
          <w:color w:val="000000" w:themeColor="text1"/>
          <w:sz w:val="22"/>
          <w:szCs w:val="22"/>
        </w:rPr>
      </w:pPr>
    </w:p>
    <w:p w:rsidR="00592BC2" w:rsidRPr="00DA76A7" w:rsidRDefault="00592BC2" w:rsidP="00592BC2">
      <w:pPr>
        <w:tabs>
          <w:tab w:val="left" w:pos="142"/>
          <w:tab w:val="left" w:pos="851"/>
        </w:tabs>
        <w:ind w:firstLine="567"/>
        <w:jc w:val="both"/>
        <w:rPr>
          <w:rFonts w:ascii="Arial" w:hAnsi="Arial" w:cs="Arial"/>
          <w:i/>
          <w:color w:val="000000" w:themeColor="text1"/>
          <w:sz w:val="22"/>
          <w:szCs w:val="22"/>
          <w:highlight w:val="yellow"/>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настоящей статье, на основании законодательства Республики Таджикистан и научной литературы уголовно-процессуального, криминалистического и оперативно-розыскного цикла, проводится ретроспективный, уголовно-процессуальный, криминалистический и оперативно-розыскной анализ организационных особенностей собирания доказательств при осмотре места происшествия.</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this article, based on the legislation of the Republic of Tajikistan and the scientific literature of the criminal procedure, forensic and operational-search cycle, a retrospective, criminal procedural, forensic and operational-investigative analysis of the organizational features of gathering evidence while inspecting the scene of an accident is conducted.</w:t>
      </w:r>
    </w:p>
    <w:p w:rsidR="00592BC2" w:rsidRPr="00DA76A7" w:rsidRDefault="00592BC2" w:rsidP="00592BC2">
      <w:pPr>
        <w:tabs>
          <w:tab w:val="left" w:pos="142"/>
          <w:tab w:val="left" w:pos="851"/>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 о</w:t>
      </w:r>
      <w:r w:rsidRPr="00DA76A7">
        <w:rPr>
          <w:rFonts w:ascii="Arial" w:hAnsi="Arial" w:cs="Arial"/>
          <w:i/>
          <w:color w:val="000000" w:themeColor="text1"/>
          <w:sz w:val="22"/>
          <w:szCs w:val="22"/>
        </w:rPr>
        <w:t xml:space="preserve">смотр места происшествия, доказательства, криминалистика, уголовно-процессуальное законодательство, оперативно-розыскная деятельность, организация. </w:t>
      </w:r>
    </w:p>
    <w:p w:rsidR="00592BC2" w:rsidRPr="00DA76A7" w:rsidRDefault="00592BC2" w:rsidP="00592BC2">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crime scene investigation, evidence, criminalistics, criminal procedure legislation, operational and investigative activities, organization.</w:t>
      </w:r>
    </w:p>
    <w:p w:rsidR="00592BC2" w:rsidRPr="00DA76A7" w:rsidRDefault="00592BC2" w:rsidP="00592BC2">
      <w:pPr>
        <w:ind w:firstLine="567"/>
        <w:jc w:val="both"/>
        <w:rPr>
          <w:rFonts w:ascii="Arial" w:hAnsi="Arial" w:cs="Arial"/>
          <w:b/>
          <w:bCs/>
          <w:color w:val="000000" w:themeColor="text1"/>
          <w:sz w:val="22"/>
          <w:szCs w:val="22"/>
          <w:highlight w:val="yellow"/>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момента зарождения криминалистики, место происшествия, что от</w:t>
      </w:r>
      <w:r w:rsidRPr="00DA76A7">
        <w:rPr>
          <w:rFonts w:ascii="Arial" w:hAnsi="Arial" w:cs="Arial"/>
          <w:color w:val="000000" w:themeColor="text1"/>
          <w:sz w:val="22"/>
          <w:szCs w:val="22"/>
        </w:rPr>
        <w:softHyphen/>
        <w:t>мечалось нами ранее [29, 312-320], было предметом ее особого внимания, по-прежнему оставаясь при этом в числе важнейших проблем уголовного процесса. Применительно к месту происшествия реализуются положения уголовно-процессуального закона, определяющие его понятие, цель, порядок произ</w:t>
      </w:r>
      <w:r w:rsidRPr="00DA76A7">
        <w:rPr>
          <w:rFonts w:ascii="Arial" w:hAnsi="Arial" w:cs="Arial"/>
          <w:color w:val="000000" w:themeColor="text1"/>
          <w:sz w:val="22"/>
          <w:szCs w:val="22"/>
        </w:rPr>
        <w:softHyphen/>
        <w:t>водства его осмотра и фиксации результатов, а вместе с тем применяются криминалистические методы, средства, рекомендации, составляющие ос</w:t>
      </w:r>
      <w:r w:rsidRPr="00DA76A7">
        <w:rPr>
          <w:rFonts w:ascii="Arial" w:hAnsi="Arial" w:cs="Arial"/>
          <w:color w:val="000000" w:themeColor="text1"/>
          <w:sz w:val="22"/>
          <w:szCs w:val="22"/>
        </w:rPr>
        <w:softHyphen/>
        <w:t>нову механизма реализации правовых предписаний. При этом важно не только обнаружить и изъять следы преступлений, но и обеспечить их ис</w:t>
      </w:r>
      <w:r w:rsidRPr="00DA76A7">
        <w:rPr>
          <w:rFonts w:ascii="Arial" w:hAnsi="Arial" w:cs="Arial"/>
          <w:color w:val="000000" w:themeColor="text1"/>
          <w:sz w:val="22"/>
          <w:szCs w:val="22"/>
        </w:rPr>
        <w:softHyphen/>
        <w:t>пользование и в решении поисково-исследовательских, розыскных задач по уголовному делу, а в конечном итоге в процессе доказывания.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Место происшествия, будь оно местом совершения преступления или обнаружения связанных с ним орудий преступления, предметов преступ</w:t>
      </w:r>
      <w:r w:rsidRPr="00DA76A7">
        <w:rPr>
          <w:rFonts w:ascii="Arial" w:hAnsi="Arial" w:cs="Arial"/>
          <w:color w:val="000000" w:themeColor="text1"/>
          <w:sz w:val="22"/>
          <w:szCs w:val="22"/>
        </w:rPr>
        <w:softHyphen/>
        <w:t>ного посягательства, иных вещественных доказательств или объектов - следоносителей (предметов, вещей, документов), само по себе является уголовно-процессуальной категорией. Это место закономерного отобра</w:t>
      </w:r>
      <w:r w:rsidRPr="00DA76A7">
        <w:rPr>
          <w:rFonts w:ascii="Arial" w:hAnsi="Arial" w:cs="Arial"/>
          <w:color w:val="000000" w:themeColor="text1"/>
          <w:sz w:val="22"/>
          <w:szCs w:val="22"/>
        </w:rPr>
        <w:softHyphen/>
        <w:t>жения особенностей механизма и иных обстоятельств совершенного пре</w:t>
      </w:r>
      <w:r w:rsidRPr="00DA76A7">
        <w:rPr>
          <w:rFonts w:ascii="Arial" w:hAnsi="Arial" w:cs="Arial"/>
          <w:color w:val="000000" w:themeColor="text1"/>
          <w:sz w:val="22"/>
          <w:szCs w:val="22"/>
        </w:rPr>
        <w:softHyphen/>
        <w:t>ступления, а вместе с тем признаков и свойств лица, его совершившего. Это место нахождения материально отображенной и формирования вер</w:t>
      </w:r>
      <w:r w:rsidRPr="00DA76A7">
        <w:rPr>
          <w:rFonts w:ascii="Arial" w:hAnsi="Arial" w:cs="Arial"/>
          <w:color w:val="000000" w:themeColor="text1"/>
          <w:sz w:val="22"/>
          <w:szCs w:val="22"/>
        </w:rPr>
        <w:softHyphen/>
        <w:t>бальной как розыскной, так и доказательственной информации. Именно поэтому с местом происшествия, с качеством его осмотра, связывается ус</w:t>
      </w:r>
      <w:r w:rsidRPr="00DA76A7">
        <w:rPr>
          <w:rFonts w:ascii="Arial" w:hAnsi="Arial" w:cs="Arial"/>
          <w:color w:val="000000" w:themeColor="text1"/>
          <w:sz w:val="22"/>
          <w:szCs w:val="22"/>
        </w:rPr>
        <w:softHyphen/>
        <w:t>пех в целом расследования преступления [8; 13, 175-179; 36].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этом контексте проявляется правовая, в том числе уголовно-процессуальная сущность осмотра места происшествия как система дейст</w:t>
      </w:r>
      <w:r w:rsidRPr="00DA76A7">
        <w:rPr>
          <w:rFonts w:ascii="Arial" w:hAnsi="Arial" w:cs="Arial"/>
          <w:color w:val="000000" w:themeColor="text1"/>
          <w:sz w:val="22"/>
          <w:szCs w:val="22"/>
        </w:rPr>
        <w:softHyphen/>
        <w:t>вий, направленных на собирание, обнаружение, изъятие и исследование информации о преступлении и лице, его совершившим или, в соответст</w:t>
      </w:r>
      <w:r w:rsidRPr="00DA76A7">
        <w:rPr>
          <w:rFonts w:ascii="Arial" w:hAnsi="Arial" w:cs="Arial"/>
          <w:color w:val="000000" w:themeColor="text1"/>
          <w:sz w:val="22"/>
          <w:szCs w:val="22"/>
        </w:rPr>
        <w:softHyphen/>
        <w:t>вии с ч.1 ст.72 Уголовно-процессуального кодекса Республики Таджикистан (далее по тексту – УПК РТ), сведений, «на основе которых в порядке, определенном настоящим Кодексом, суд, прокурор, следователь, дознаватель устанавливают наличие или отсутствие общественно опасного деяния, доказанности или недоказанности совершения этого деяния и иные обстоятельства, имеющие значение для правильного разрешения дела...» [1].</w:t>
      </w:r>
    </w:p>
    <w:p w:rsidR="00592BC2" w:rsidRPr="00DA76A7" w:rsidRDefault="00592BC2" w:rsidP="00592BC2">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Место происшествия, как источник и носитель розыскной и доказа</w:t>
      </w:r>
      <w:r w:rsidRPr="00DA76A7">
        <w:rPr>
          <w:rFonts w:ascii="Arial" w:hAnsi="Arial" w:cs="Arial"/>
          <w:color w:val="000000" w:themeColor="text1"/>
          <w:sz w:val="22"/>
          <w:szCs w:val="22"/>
        </w:rPr>
        <w:softHyphen/>
        <w:t>тельственной информации или сведений о событии преступления и лице, его совершившем, корреспондируется с ч. 2 ст. 72 УПК РТ, определяю</w:t>
      </w:r>
      <w:r w:rsidRPr="00DA76A7">
        <w:rPr>
          <w:rFonts w:ascii="Arial" w:hAnsi="Arial" w:cs="Arial"/>
          <w:color w:val="000000" w:themeColor="text1"/>
          <w:sz w:val="22"/>
          <w:szCs w:val="22"/>
        </w:rPr>
        <w:softHyphen/>
        <w:t>щей перечень собственно доказательств: «1) показания свидетеля; 2) показания потерпевшего; 3) показания подозреваемого; 4) показания обвиняемого; 5) показания подсудимого; 6) заключения и показания эксперта; 7) заключения и показания специалиста; 8) вещественные доказательства; 9) протоколы следственных и судебных действий; 10) скрытые записи; 11) прослушанные и зафиксированные телефонные разговоры; 12) электронные, видео- и аудиозаписи наблюдения; 13) иные документы» [1]. Доказательства всех этих видов могут быть обнаруже</w:t>
      </w:r>
      <w:r w:rsidRPr="00DA76A7">
        <w:rPr>
          <w:rFonts w:ascii="Arial" w:hAnsi="Arial" w:cs="Arial"/>
          <w:color w:val="000000" w:themeColor="text1"/>
          <w:sz w:val="22"/>
          <w:szCs w:val="22"/>
        </w:rPr>
        <w:softHyphen/>
        <w:t>ны (установлены) и зафиксированы в порядке осмотра места происшест</w:t>
      </w:r>
      <w:r w:rsidRPr="00DA76A7">
        <w:rPr>
          <w:rFonts w:ascii="Arial" w:hAnsi="Arial" w:cs="Arial"/>
          <w:color w:val="000000" w:themeColor="text1"/>
          <w:sz w:val="22"/>
          <w:szCs w:val="22"/>
        </w:rPr>
        <w:softHyphen/>
        <w:t>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Очевидно, что подозреваемый, обвиняемый, потерпевший, будучи непосредственными участниками преступления, лучше, чем кто-либо дру</w:t>
      </w:r>
      <w:r w:rsidRPr="00DA76A7">
        <w:rPr>
          <w:rFonts w:ascii="Arial" w:hAnsi="Arial" w:cs="Arial"/>
          <w:color w:val="000000" w:themeColor="text1"/>
          <w:sz w:val="22"/>
          <w:szCs w:val="22"/>
        </w:rPr>
        <w:softHyphen/>
        <w:t>гой, знают особенности связанных с ними обстоятельств. Ценность свиде</w:t>
      </w:r>
      <w:r w:rsidRPr="00DA76A7">
        <w:rPr>
          <w:rFonts w:ascii="Arial" w:hAnsi="Arial" w:cs="Arial"/>
          <w:color w:val="000000" w:themeColor="text1"/>
          <w:sz w:val="22"/>
          <w:szCs w:val="22"/>
        </w:rPr>
        <w:softHyphen/>
        <w:t>теля как источника доказательств предопределяется его положением оче</w:t>
      </w:r>
      <w:r w:rsidRPr="00DA76A7">
        <w:rPr>
          <w:rFonts w:ascii="Arial" w:hAnsi="Arial" w:cs="Arial"/>
          <w:color w:val="000000" w:themeColor="text1"/>
          <w:sz w:val="22"/>
          <w:szCs w:val="22"/>
        </w:rPr>
        <w:softHyphen/>
        <w:t>видца события преступления или отдельных особенностей поведения его участников. Заключение и показание эксперта и специалиста появляются в уголовном деле как результат исследования объектов (следов преступле</w:t>
      </w:r>
      <w:r w:rsidRPr="00DA76A7">
        <w:rPr>
          <w:rFonts w:ascii="Arial" w:hAnsi="Arial" w:cs="Arial"/>
          <w:color w:val="000000" w:themeColor="text1"/>
          <w:sz w:val="22"/>
          <w:szCs w:val="22"/>
        </w:rPr>
        <w:softHyphen/>
        <w:t>ния, иных вещественных доказательств), изымаемых, прежде всего, при осмотрах мест происшествий. Процесс и результат их осмотра, как и иных следственных действий, приобретают доказательственное значение, если они оформлены надлежащим образом в протоколе.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результаты осмотра места происшествия могут выступать, и зачастую выступают, «мерилом» правдивости (или ложности) показаний указанных участников события преступления. Иногда они предопределя</w:t>
      </w:r>
      <w:r w:rsidRPr="00DA76A7">
        <w:rPr>
          <w:rFonts w:ascii="Arial" w:hAnsi="Arial" w:cs="Arial"/>
          <w:color w:val="000000" w:themeColor="text1"/>
          <w:sz w:val="22"/>
          <w:szCs w:val="22"/>
        </w:rPr>
        <w:softHyphen/>
        <w:t>ют необходимость проведения таких «проверочных» следственных дейст</w:t>
      </w:r>
      <w:r w:rsidRPr="00DA76A7">
        <w:rPr>
          <w:rFonts w:ascii="Arial" w:hAnsi="Arial" w:cs="Arial"/>
          <w:color w:val="000000" w:themeColor="text1"/>
          <w:sz w:val="22"/>
          <w:szCs w:val="22"/>
        </w:rPr>
        <w:softHyphen/>
        <w:t>вий, как очная ставка (ст. 204 УПК РТ), проверка показаний на месте (ст. 207 УПК РТ), следственный эксперимент (ст. 188 УПК РТ). Нередко ре</w:t>
      </w:r>
      <w:r w:rsidRPr="00DA76A7">
        <w:rPr>
          <w:rFonts w:ascii="Arial" w:hAnsi="Arial" w:cs="Arial"/>
          <w:color w:val="000000" w:themeColor="text1"/>
          <w:sz w:val="22"/>
          <w:szCs w:val="22"/>
        </w:rPr>
        <w:softHyphen/>
        <w:t>зультаты осмотра места происшествия находят свое выражение в таких следственных действиях, как обыск (ст. 190 УПК РТ), выемка (ст. 191 УПК РТ), освидетельствование (ст. 186 УПК РТ), про</w:t>
      </w:r>
      <w:r w:rsidRPr="00DA76A7">
        <w:rPr>
          <w:rFonts w:ascii="Arial" w:hAnsi="Arial" w:cs="Arial"/>
          <w:color w:val="000000" w:themeColor="text1"/>
          <w:sz w:val="22"/>
          <w:szCs w:val="22"/>
        </w:rPr>
        <w:softHyphen/>
        <w:t>верка показаний на месте (ст. 207 УПК РТ) и др. Иначе говоря, они во многом предопреде</w:t>
      </w:r>
      <w:r w:rsidRPr="00DA76A7">
        <w:rPr>
          <w:rFonts w:ascii="Arial" w:hAnsi="Arial" w:cs="Arial"/>
          <w:color w:val="000000" w:themeColor="text1"/>
          <w:sz w:val="22"/>
          <w:szCs w:val="22"/>
        </w:rPr>
        <w:softHyphen/>
        <w:t>ляют весь процесс расследования и реализацию в этих целях возможно</w:t>
      </w:r>
      <w:r w:rsidRPr="00DA76A7">
        <w:rPr>
          <w:rFonts w:ascii="Arial" w:hAnsi="Arial" w:cs="Arial"/>
          <w:color w:val="000000" w:themeColor="text1"/>
          <w:sz w:val="22"/>
          <w:szCs w:val="22"/>
        </w:rPr>
        <w:softHyphen/>
        <w:t xml:space="preserve">стей оперативно-розыскной деятельности.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криминалистической и процессуальной литературе, как уже отме</w:t>
      </w:r>
      <w:r w:rsidRPr="00DA76A7">
        <w:rPr>
          <w:rFonts w:ascii="Arial" w:hAnsi="Arial" w:cs="Arial"/>
          <w:color w:val="000000" w:themeColor="text1"/>
          <w:sz w:val="22"/>
          <w:szCs w:val="22"/>
        </w:rPr>
        <w:softHyphen/>
        <w:t>чалось, сформировалось два подхода к определению понятия места про</w:t>
      </w:r>
      <w:r w:rsidRPr="00DA76A7">
        <w:rPr>
          <w:rFonts w:ascii="Arial" w:hAnsi="Arial" w:cs="Arial"/>
          <w:color w:val="000000" w:themeColor="text1"/>
          <w:sz w:val="22"/>
          <w:szCs w:val="22"/>
        </w:rPr>
        <w:softHyphen/>
        <w:t>исшествия: в узком и широком смысле слова. В узком - это определенная территория или помещение, где произошло событие преступления; в ши</w:t>
      </w:r>
      <w:r w:rsidRPr="00DA76A7">
        <w:rPr>
          <w:rFonts w:ascii="Arial" w:hAnsi="Arial" w:cs="Arial"/>
          <w:color w:val="000000" w:themeColor="text1"/>
          <w:sz w:val="22"/>
          <w:szCs w:val="22"/>
        </w:rPr>
        <w:softHyphen/>
        <w:t>роком - это место, где обнаружены связанные с ним объекты (брошенные преступником орудия преступления, предметы преступного посягательст</w:t>
      </w:r>
      <w:r w:rsidRPr="00DA76A7">
        <w:rPr>
          <w:rFonts w:ascii="Arial" w:hAnsi="Arial" w:cs="Arial"/>
          <w:color w:val="000000" w:themeColor="text1"/>
          <w:sz w:val="22"/>
          <w:szCs w:val="22"/>
        </w:rPr>
        <w:softHyphen/>
        <w:t>ва, труп потерпевшего и т.п.) [18, 208; 20, 246; 21, 264; 22, 308; 23, 344; 26, 467 и др.]. С точки зрения способа преступления - это место его подготовки, совершения и сокрытия. Однако, как справедливо отмечал еще Д.П. Рассейкин, связывать место происшествия только с со</w:t>
      </w:r>
      <w:r w:rsidRPr="00DA76A7">
        <w:rPr>
          <w:rFonts w:ascii="Arial" w:hAnsi="Arial" w:cs="Arial"/>
          <w:color w:val="000000" w:themeColor="text1"/>
          <w:sz w:val="22"/>
          <w:szCs w:val="22"/>
        </w:rPr>
        <w:softHyphen/>
        <w:t>бытием преступления, даже с позиции его полноструктурного способа, не совсем правильно. Понятие происшествия, как говорится, по определению шире понятия преступления. Им охватываются и такие события, как само</w:t>
      </w:r>
      <w:r w:rsidRPr="00DA76A7">
        <w:rPr>
          <w:rFonts w:ascii="Arial" w:hAnsi="Arial" w:cs="Arial"/>
          <w:color w:val="000000" w:themeColor="text1"/>
          <w:sz w:val="22"/>
          <w:szCs w:val="22"/>
        </w:rPr>
        <w:softHyphen/>
        <w:t xml:space="preserve"> убийство, инсценировка преступления, несчастный случай, которые пре</w:t>
      </w:r>
      <w:r w:rsidRPr="00DA76A7">
        <w:rPr>
          <w:rFonts w:ascii="Arial" w:hAnsi="Arial" w:cs="Arial"/>
          <w:color w:val="000000" w:themeColor="text1"/>
          <w:sz w:val="22"/>
          <w:szCs w:val="22"/>
        </w:rPr>
        <w:softHyphen/>
        <w:t>ступлением не являются, но на практике результаты осмотра таких мест совершенно правильно оформляются соответствующим протоколом [32, 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этому следует добавить, что во многих случаях место обнаружения орудий преступления, предметов преступного посягательства лишь услов</w:t>
      </w:r>
      <w:r w:rsidRPr="00DA76A7">
        <w:rPr>
          <w:rFonts w:ascii="Arial" w:hAnsi="Arial" w:cs="Arial"/>
          <w:color w:val="000000" w:themeColor="text1"/>
          <w:sz w:val="22"/>
          <w:szCs w:val="22"/>
        </w:rPr>
        <w:softHyphen/>
        <w:t>но можно назвать местом происшествия. Чаще всего это место обнаруже</w:t>
      </w:r>
      <w:r w:rsidRPr="00DA76A7">
        <w:rPr>
          <w:rFonts w:ascii="Arial" w:hAnsi="Arial" w:cs="Arial"/>
          <w:color w:val="000000" w:themeColor="text1"/>
          <w:sz w:val="22"/>
          <w:szCs w:val="22"/>
        </w:rPr>
        <w:softHyphen/>
        <w:t>ния следов преступления и иных вещественных доказательств вне связи с осмотром места происшествия. В современных условиях лицо, совершившее убийство по заказу, за</w:t>
      </w:r>
      <w:r w:rsidRPr="00DA76A7">
        <w:rPr>
          <w:rFonts w:ascii="Arial" w:hAnsi="Arial" w:cs="Arial"/>
          <w:color w:val="000000" w:themeColor="text1"/>
          <w:sz w:val="22"/>
          <w:szCs w:val="22"/>
        </w:rPr>
        <w:softHyphen/>
        <w:t>частую, выбрасывает огнестрельное оружие и не всегда на месте преступ</w:t>
      </w:r>
      <w:r w:rsidRPr="00DA76A7">
        <w:rPr>
          <w:rFonts w:ascii="Arial" w:hAnsi="Arial" w:cs="Arial"/>
          <w:color w:val="000000" w:themeColor="text1"/>
          <w:sz w:val="22"/>
          <w:szCs w:val="22"/>
        </w:rPr>
        <w:softHyphen/>
        <w:t>ления. Место его обнаружения также, строго говоря, не место происшест</w:t>
      </w:r>
      <w:r w:rsidRPr="00DA76A7">
        <w:rPr>
          <w:rFonts w:ascii="Arial" w:hAnsi="Arial" w:cs="Arial"/>
          <w:color w:val="000000" w:themeColor="text1"/>
          <w:sz w:val="22"/>
          <w:szCs w:val="22"/>
        </w:rPr>
        <w:softHyphen/>
        <w:t>вия. И таких примеров достаточно много, когда на практике, соответст</w:t>
      </w:r>
      <w:r w:rsidRPr="00DA76A7">
        <w:rPr>
          <w:rFonts w:ascii="Arial" w:hAnsi="Arial" w:cs="Arial"/>
          <w:color w:val="000000" w:themeColor="text1"/>
          <w:sz w:val="22"/>
          <w:szCs w:val="22"/>
        </w:rPr>
        <w:softHyphen/>
        <w:t>венно, составляются протоколы осмотра обнаруженных объектов, а не протокол осмотра места происшествия. Исключение составляют факты обнаружения трупа человека, убитого в одном месте, а обнаруженного в другом, поскольку, как правило, такой факт устанавливается следствен</w:t>
      </w:r>
      <w:r w:rsidRPr="00DA76A7">
        <w:rPr>
          <w:rFonts w:ascii="Arial" w:hAnsi="Arial" w:cs="Arial"/>
          <w:color w:val="000000" w:themeColor="text1"/>
          <w:sz w:val="22"/>
          <w:szCs w:val="22"/>
        </w:rPr>
        <w:softHyphen/>
        <w:t>ным путем, начиная с осмотра места происшествия.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заметить, что в криминалистике понятие места происшест</w:t>
      </w:r>
      <w:r w:rsidRPr="00DA76A7">
        <w:rPr>
          <w:rFonts w:ascii="Arial" w:hAnsi="Arial" w:cs="Arial"/>
          <w:color w:val="000000" w:themeColor="text1"/>
          <w:sz w:val="22"/>
          <w:szCs w:val="22"/>
        </w:rPr>
        <w:softHyphen/>
        <w:t>вия, его осмотр, организация его производства как комплексной, много</w:t>
      </w:r>
      <w:r w:rsidRPr="00DA76A7">
        <w:rPr>
          <w:rFonts w:ascii="Arial" w:hAnsi="Arial" w:cs="Arial"/>
          <w:color w:val="000000" w:themeColor="text1"/>
          <w:sz w:val="22"/>
          <w:szCs w:val="22"/>
        </w:rPr>
        <w:softHyphen/>
        <w:t>функциональной системы поисково-исследовательских действий сложи</w:t>
      </w:r>
      <w:r w:rsidRPr="00DA76A7">
        <w:rPr>
          <w:rFonts w:ascii="Arial" w:hAnsi="Arial" w:cs="Arial"/>
          <w:color w:val="000000" w:themeColor="text1"/>
          <w:sz w:val="22"/>
          <w:szCs w:val="22"/>
        </w:rPr>
        <w:softHyphen/>
        <w:t>лось традиционно и находило отражение в некоторых ранних определени</w:t>
      </w:r>
      <w:r w:rsidRPr="00DA76A7">
        <w:rPr>
          <w:rFonts w:ascii="Arial" w:hAnsi="Arial" w:cs="Arial"/>
          <w:color w:val="000000" w:themeColor="text1"/>
          <w:sz w:val="22"/>
          <w:szCs w:val="22"/>
        </w:rPr>
        <w:softHyphen/>
        <w:t>ях этого следственного действия. Например, В.И. Попов представлял это следственное действие как «комплекс следственных и розыскных меро</w:t>
      </w:r>
      <w:r w:rsidRPr="00DA76A7">
        <w:rPr>
          <w:rFonts w:ascii="Arial" w:hAnsi="Arial" w:cs="Arial"/>
          <w:color w:val="000000" w:themeColor="text1"/>
          <w:sz w:val="22"/>
          <w:szCs w:val="22"/>
        </w:rPr>
        <w:softHyphen/>
        <w:t>приятий, направленных на обнаружение и закрепление вещественных до</w:t>
      </w:r>
      <w:r w:rsidRPr="00DA76A7">
        <w:rPr>
          <w:rFonts w:ascii="Arial" w:hAnsi="Arial" w:cs="Arial"/>
          <w:color w:val="000000" w:themeColor="text1"/>
          <w:sz w:val="22"/>
          <w:szCs w:val="22"/>
        </w:rPr>
        <w:softHyphen/>
        <w:t>казательств и следов преступления, на выяснение механизма и мотивов преступления, на использование данных осмотра в целях розыска по горя</w:t>
      </w:r>
      <w:r w:rsidRPr="00DA76A7">
        <w:rPr>
          <w:rFonts w:ascii="Arial" w:hAnsi="Arial" w:cs="Arial"/>
          <w:color w:val="000000" w:themeColor="text1"/>
          <w:sz w:val="22"/>
          <w:szCs w:val="22"/>
        </w:rPr>
        <w:softHyphen/>
        <w:t>чим следам» [31, 8-9]. По мнению А.И. Винберга «осмотр места происшествия является следственным действием, направленным к изучению механизма происшествия, фиксированию обстановки преступления для обнаружения, сохранения и последующего изучения следов преступной деятельности, а также различных объектов, предметов, документов и прочего, имеющего по делу значение доказательств, в целях установления обстоятельств про</w:t>
      </w:r>
      <w:r w:rsidRPr="00DA76A7">
        <w:rPr>
          <w:rFonts w:ascii="Arial" w:hAnsi="Arial" w:cs="Arial"/>
          <w:color w:val="000000" w:themeColor="text1"/>
          <w:sz w:val="22"/>
          <w:szCs w:val="22"/>
        </w:rPr>
        <w:softHyphen/>
        <w:t>изошедшего события» [17, 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этих определениях осмотр места происшествия представляется, по сути, довольно масштабно, а по существу, по целям прагматично. В них особое внимание придается взаимодействию следователя с оперативным работником и специалистом-криминалистом, непременными участниками этого следственного действия. Можно безоговорочно признать достойным права на существование и последнюю фразу этого определения о «горячих следах», поскольку таким образом расширяется общая конечная цель дан</w:t>
      </w:r>
      <w:r w:rsidRPr="00DA76A7">
        <w:rPr>
          <w:rFonts w:ascii="Arial" w:hAnsi="Arial" w:cs="Arial"/>
          <w:color w:val="000000" w:themeColor="text1"/>
          <w:sz w:val="22"/>
          <w:szCs w:val="22"/>
        </w:rPr>
        <w:softHyphen/>
        <w:t>ного следственного действия, которая сочетается с общей целью деятель</w:t>
      </w:r>
      <w:r w:rsidRPr="00DA76A7">
        <w:rPr>
          <w:rFonts w:ascii="Arial" w:hAnsi="Arial" w:cs="Arial"/>
          <w:color w:val="000000" w:themeColor="text1"/>
          <w:sz w:val="22"/>
          <w:szCs w:val="22"/>
        </w:rPr>
        <w:softHyphen/>
        <w:t>ности по расследованию преступления.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УПК РТ понятие осмотра места происшествия как следственного действия раскрывается через его цель (ст. 182 УПК РТ) - «обнаружения следов преступления и иных материальных объектов, выяснения других обстоятельств, имеющих значение для дела» [1]. В этих кратких предписаниях, как и в последующей статье 183 УПК РТ, посвященной порядку производства данного следст</w:t>
      </w:r>
      <w:r w:rsidRPr="00DA76A7">
        <w:rPr>
          <w:rFonts w:ascii="Arial" w:hAnsi="Arial" w:cs="Arial"/>
          <w:color w:val="000000" w:themeColor="text1"/>
          <w:sz w:val="22"/>
          <w:szCs w:val="22"/>
        </w:rPr>
        <w:softHyphen/>
        <w:t>венного действия, не раскрываются его тактические особенности, вопросы организационного, научно-технического обеспечения их решения. Между тем, как свидетельствует следственная практика, через эти категории фор</w:t>
      </w:r>
      <w:r w:rsidRPr="00DA76A7">
        <w:rPr>
          <w:rFonts w:ascii="Arial" w:hAnsi="Arial" w:cs="Arial"/>
          <w:color w:val="000000" w:themeColor="text1"/>
          <w:sz w:val="22"/>
          <w:szCs w:val="22"/>
        </w:rPr>
        <w:softHyphen/>
        <w:t>мируются и реализуются условия эффективности осмотра места происше</w:t>
      </w:r>
      <w:r w:rsidRPr="00DA76A7">
        <w:rPr>
          <w:rFonts w:ascii="Arial" w:hAnsi="Arial" w:cs="Arial"/>
          <w:color w:val="000000" w:themeColor="text1"/>
          <w:sz w:val="22"/>
          <w:szCs w:val="22"/>
        </w:rPr>
        <w:softHyphen/>
        <w:t>ствия.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этой связи в учебной литературе по криминалистике осмотр места происшествия определяется в основном (при некоторых редакционных различиях) как разновидность следственного осмотра, суть которого за</w:t>
      </w:r>
      <w:r w:rsidRPr="00DA76A7">
        <w:rPr>
          <w:rFonts w:ascii="Arial" w:hAnsi="Arial" w:cs="Arial"/>
          <w:color w:val="000000" w:themeColor="text1"/>
          <w:sz w:val="22"/>
          <w:szCs w:val="22"/>
        </w:rPr>
        <w:softHyphen/>
        <w:t>ключается: а) в непосредственном восприятии и изучении следователем обста</w:t>
      </w:r>
      <w:r w:rsidRPr="00DA76A7">
        <w:rPr>
          <w:rFonts w:ascii="Arial" w:hAnsi="Arial" w:cs="Arial"/>
          <w:color w:val="000000" w:themeColor="text1"/>
          <w:sz w:val="22"/>
          <w:szCs w:val="22"/>
        </w:rPr>
        <w:softHyphen/>
        <w:t>новки места происшествия; б) в обнаружении и закреплении следов преступления и иных матери</w:t>
      </w:r>
      <w:r w:rsidRPr="00DA76A7">
        <w:rPr>
          <w:rFonts w:ascii="Arial" w:hAnsi="Arial" w:cs="Arial"/>
          <w:color w:val="000000" w:themeColor="text1"/>
          <w:sz w:val="22"/>
          <w:szCs w:val="22"/>
        </w:rPr>
        <w:softHyphen/>
        <w:t>альных объектов (Иногда в этом контексте упоминаются «вещественные доказательства», но строго говоря, изымаемые на месте происшествия объекты с процессуальной точки зрения таковыми не являются); в) в исследовании обнаруженных объектов, в выявлении их призна</w:t>
      </w:r>
      <w:r w:rsidRPr="00DA76A7">
        <w:rPr>
          <w:rFonts w:ascii="Arial" w:hAnsi="Arial" w:cs="Arial"/>
          <w:color w:val="000000" w:themeColor="text1"/>
          <w:sz w:val="22"/>
          <w:szCs w:val="22"/>
        </w:rPr>
        <w:softHyphen/>
        <w:t>ков, свойств, состояния механизма образования.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в некоторых определениях осмотра места происшествия отмечается и более широкое его толкование как «комплекса следственных и розыскных мероприятий, данные которых используются для розыска по «горячим следам». Такое разночтение, проявляющееся и в более поздних работах по криминалистике, можно было бы объяснить стремлением неко</w:t>
      </w:r>
      <w:r w:rsidRPr="00DA76A7">
        <w:rPr>
          <w:rFonts w:ascii="Arial" w:hAnsi="Arial" w:cs="Arial"/>
          <w:color w:val="000000" w:themeColor="text1"/>
          <w:sz w:val="22"/>
          <w:szCs w:val="22"/>
        </w:rPr>
        <w:softHyphen/>
        <w:t>торых авторов представить «два в одном» - следственное действие и использование его результатов. Но это объяснение было бы слишком про</w:t>
      </w:r>
      <w:r w:rsidRPr="00DA76A7">
        <w:rPr>
          <w:rFonts w:ascii="Arial" w:hAnsi="Arial" w:cs="Arial"/>
          <w:color w:val="000000" w:themeColor="text1"/>
          <w:sz w:val="22"/>
          <w:szCs w:val="22"/>
        </w:rPr>
        <w:softHyphen/>
        <w:t>стым и не раскрывающим истинное положение дел.</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 это действительно следственное действие, но не случайно все криминалисты - ученые и практики так единодушны во мнении, что осу</w:t>
      </w:r>
      <w:r w:rsidRPr="00DA76A7">
        <w:rPr>
          <w:rFonts w:ascii="Arial" w:hAnsi="Arial" w:cs="Arial"/>
          <w:color w:val="000000" w:themeColor="text1"/>
          <w:sz w:val="22"/>
          <w:szCs w:val="22"/>
        </w:rPr>
        <w:softHyphen/>
        <w:t>ществлять его должна следственно-оперативная группа, включая следователя, специалистов-криминалистов, оперативных работников, ки</w:t>
      </w:r>
      <w:r w:rsidRPr="00DA76A7">
        <w:rPr>
          <w:rFonts w:ascii="Arial" w:hAnsi="Arial" w:cs="Arial"/>
          <w:color w:val="000000" w:themeColor="text1"/>
          <w:sz w:val="22"/>
          <w:szCs w:val="22"/>
        </w:rPr>
        <w:softHyphen/>
        <w:t>нологов и др. Эта проверенная следственной практикой рекомендация позволяет говорить об осмотре места происшествия не только как о следст</w:t>
      </w:r>
      <w:r w:rsidRPr="00DA76A7">
        <w:rPr>
          <w:rFonts w:ascii="Arial" w:hAnsi="Arial" w:cs="Arial"/>
          <w:color w:val="000000" w:themeColor="text1"/>
          <w:sz w:val="22"/>
          <w:szCs w:val="22"/>
        </w:rPr>
        <w:softHyphen/>
        <w:t>венном действии, но и по существу, как о поисково-исследовательской деятельности, направленной, естественно, на обнаружение, закрепление и изучение источников розыскной и доказательственной информации (сле</w:t>
      </w:r>
      <w:r w:rsidRPr="00DA76A7">
        <w:rPr>
          <w:rFonts w:ascii="Arial" w:hAnsi="Arial" w:cs="Arial"/>
          <w:color w:val="000000" w:themeColor="text1"/>
          <w:sz w:val="22"/>
          <w:szCs w:val="22"/>
        </w:rPr>
        <w:softHyphen/>
        <w:t>дов преступлений), а вместе с тем на ее безотлагательное использование в целях розыска лиц, совершивших преступление.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Место происшествия, отмечают многие ученые - криминалисты, яв</w:t>
      </w:r>
      <w:r w:rsidRPr="00DA76A7">
        <w:rPr>
          <w:rFonts w:ascii="Arial" w:hAnsi="Arial" w:cs="Arial"/>
          <w:color w:val="000000" w:themeColor="text1"/>
          <w:sz w:val="22"/>
          <w:szCs w:val="22"/>
        </w:rPr>
        <w:softHyphen/>
        <w:t>ляется своеобразным и незаменимым источником самой разнообразной розыскной и доказательственной информации, в его осмотре, как уже от</w:t>
      </w:r>
      <w:r w:rsidRPr="00DA76A7">
        <w:rPr>
          <w:rFonts w:ascii="Arial" w:hAnsi="Arial" w:cs="Arial"/>
          <w:color w:val="000000" w:themeColor="text1"/>
          <w:sz w:val="22"/>
          <w:szCs w:val="22"/>
        </w:rPr>
        <w:softHyphen/>
        <w:t>мечалось, сочетаются элементы многих следственных действий: обыска, эксперимента, выемки [29, 263-268]. Зачастую при его проведении осуществляются оперативно-розыскные мероприятия, а иногда и задержание преступника, его опрос (ст. 6 Закона РТ «Об оперативно-розыскной деятельности» [3]) (по существу допрос), личный досмотр. Уже в процессе этого следственного действия предопределяются поводы и основания для назна</w:t>
      </w:r>
      <w:r w:rsidRPr="00DA76A7">
        <w:rPr>
          <w:rFonts w:ascii="Arial" w:hAnsi="Arial" w:cs="Arial"/>
          <w:color w:val="000000" w:themeColor="text1"/>
          <w:sz w:val="22"/>
          <w:szCs w:val="22"/>
        </w:rPr>
        <w:softHyphen/>
        <w:t>чения экспертиз, а также вопросы, требующие экспертного решения. Та</w:t>
      </w:r>
      <w:r w:rsidRPr="00DA76A7">
        <w:rPr>
          <w:rFonts w:ascii="Arial" w:hAnsi="Arial" w:cs="Arial"/>
          <w:color w:val="000000" w:themeColor="text1"/>
          <w:sz w:val="22"/>
          <w:szCs w:val="22"/>
        </w:rPr>
        <w:softHyphen/>
        <w:t>кая разноаспектность данного следственного действия, к тому же сопря</w:t>
      </w:r>
      <w:r w:rsidRPr="00DA76A7">
        <w:rPr>
          <w:rFonts w:ascii="Arial" w:hAnsi="Arial" w:cs="Arial"/>
          <w:color w:val="000000" w:themeColor="text1"/>
          <w:sz w:val="22"/>
          <w:szCs w:val="22"/>
        </w:rPr>
        <w:softHyphen/>
        <w:t>женная с использованием различной криминалистической техники, объек</w:t>
      </w:r>
      <w:r w:rsidRPr="00DA76A7">
        <w:rPr>
          <w:rFonts w:ascii="Arial" w:hAnsi="Arial" w:cs="Arial"/>
          <w:color w:val="000000" w:themeColor="text1"/>
          <w:sz w:val="22"/>
          <w:szCs w:val="22"/>
        </w:rPr>
        <w:softHyphen/>
        <w:t>тивно обуславливает необходимость его осуществления именно следст</w:t>
      </w:r>
      <w:r w:rsidRPr="00DA76A7">
        <w:rPr>
          <w:rFonts w:ascii="Arial" w:hAnsi="Arial" w:cs="Arial"/>
          <w:color w:val="000000" w:themeColor="text1"/>
          <w:sz w:val="22"/>
          <w:szCs w:val="22"/>
        </w:rPr>
        <w:softHyphen/>
        <w:t>венно-оперативной группой, особенно, когда имеет место тяжкое или осо</w:t>
      </w:r>
      <w:r w:rsidRPr="00DA76A7">
        <w:rPr>
          <w:rFonts w:ascii="Arial" w:hAnsi="Arial" w:cs="Arial"/>
          <w:color w:val="000000" w:themeColor="text1"/>
          <w:sz w:val="22"/>
          <w:szCs w:val="22"/>
        </w:rPr>
        <w:softHyphen/>
        <w:t>бо тяжкое преступление. Исключительной важности задачи, находясь в ее составе, призван решать специалист-криминалист, который: обнаруживает и распознает источники розыскной и доказательственной информации - следы преступлений; решает вопрос об их индивидуальном тождестве и возможности их идентификации; проводит сравнительное исследование обнаруженных следов и проверяемых объектов; устанавливает механизм и последовательность образования следов; решает вопросы о временных и причинно-следственных связях, характеризующих событие преступления; анализирует в системе «картину следов», выявляет возможности модели</w:t>
      </w:r>
      <w:r w:rsidRPr="00DA76A7">
        <w:rPr>
          <w:rFonts w:ascii="Arial" w:hAnsi="Arial" w:cs="Arial"/>
          <w:color w:val="000000" w:themeColor="text1"/>
          <w:sz w:val="22"/>
          <w:szCs w:val="22"/>
        </w:rPr>
        <w:softHyphen/>
        <w:t>рования по ним психологических и физио-анатомических признаков и свойств преступника. Строго говоря, задачи специалиста-криминалиста жестко сочетаются в целом с целью и задачами следственного осмотра в их уголовно-процессуальном толковании.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Анализ процесса формирования понятия «ос</w:t>
      </w:r>
      <w:r w:rsidRPr="00DA76A7">
        <w:rPr>
          <w:rFonts w:ascii="Arial" w:hAnsi="Arial" w:cs="Arial"/>
          <w:color w:val="000000" w:themeColor="text1"/>
          <w:sz w:val="22"/>
          <w:szCs w:val="22"/>
        </w:rPr>
        <w:softHyphen/>
        <w:t>мотр места происшествия» в историческом аспекте приводит нас к выводу, что в его определении преобладает уголовно-процессуальное начало и по форме, и по содержа</w:t>
      </w:r>
      <w:r w:rsidRPr="00DA76A7">
        <w:rPr>
          <w:rFonts w:ascii="Arial" w:hAnsi="Arial" w:cs="Arial"/>
          <w:color w:val="000000" w:themeColor="text1"/>
          <w:sz w:val="22"/>
          <w:szCs w:val="22"/>
        </w:rPr>
        <w:softHyphen/>
        <w:t>нию - как следственного действия. Между тем, с криминалистической точки зрения это следственное действие имеет существенные особенности, начиная от подготовки к его проведению, организации его осуществления и реализации при этом комплекса поисково-исследовательских методов и средств. С этим корреспондируется криминалистическая рекомендация применительно к составу следственно-оперативной группы, осуществляющая осмотр места происшест</w:t>
      </w:r>
      <w:r w:rsidRPr="00DA76A7">
        <w:rPr>
          <w:rFonts w:ascii="Arial" w:hAnsi="Arial" w:cs="Arial"/>
          <w:color w:val="000000" w:themeColor="text1"/>
          <w:sz w:val="22"/>
          <w:szCs w:val="22"/>
        </w:rPr>
        <w:softHyphen/>
        <w:t>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место происшествия выступает как место поисково</w:t>
      </w:r>
      <w:r w:rsidRPr="00DA76A7">
        <w:rPr>
          <w:rFonts w:ascii="Arial" w:hAnsi="Arial" w:cs="Arial"/>
          <w:color w:val="000000" w:themeColor="text1"/>
          <w:sz w:val="22"/>
          <w:szCs w:val="22"/>
        </w:rPr>
        <w:softHyphen/>
        <w:t>-исследовательской деятельности следственно-оперативной группы, пред</w:t>
      </w:r>
      <w:r w:rsidRPr="00DA76A7">
        <w:rPr>
          <w:rFonts w:ascii="Arial" w:hAnsi="Arial" w:cs="Arial"/>
          <w:color w:val="000000" w:themeColor="text1"/>
          <w:sz w:val="22"/>
          <w:szCs w:val="22"/>
        </w:rPr>
        <w:softHyphen/>
        <w:t>полагающей изучение не только собственно места совершения преступле</w:t>
      </w:r>
      <w:r w:rsidRPr="00DA76A7">
        <w:rPr>
          <w:rFonts w:ascii="Arial" w:hAnsi="Arial" w:cs="Arial"/>
          <w:color w:val="000000" w:themeColor="text1"/>
          <w:sz w:val="22"/>
          <w:szCs w:val="22"/>
        </w:rPr>
        <w:softHyphen/>
        <w:t>ния, но и окружающую его среду. Именно таким образом выявляются и изучаются пути возможного подхода преступников к месту совершения преступления, их ухода оттуда; обнаруживаются и предварительно иссле</w:t>
      </w:r>
      <w:r w:rsidRPr="00DA76A7">
        <w:rPr>
          <w:rFonts w:ascii="Arial" w:hAnsi="Arial" w:cs="Arial"/>
          <w:color w:val="000000" w:themeColor="text1"/>
          <w:sz w:val="22"/>
          <w:szCs w:val="22"/>
        </w:rPr>
        <w:softHyphen/>
        <w:t>дуются брошенные или случайно оставленные ими предметы; устанавли</w:t>
      </w:r>
      <w:r w:rsidRPr="00DA76A7">
        <w:rPr>
          <w:rFonts w:ascii="Arial" w:hAnsi="Arial" w:cs="Arial"/>
          <w:color w:val="000000" w:themeColor="text1"/>
          <w:sz w:val="22"/>
          <w:szCs w:val="22"/>
        </w:rPr>
        <w:softHyphen/>
        <w:t>ваются и опрашиваются очевидцы действий преступников - будущие сви</w:t>
      </w:r>
      <w:r w:rsidRPr="00DA76A7">
        <w:rPr>
          <w:rFonts w:ascii="Arial" w:hAnsi="Arial" w:cs="Arial"/>
          <w:color w:val="000000" w:themeColor="text1"/>
          <w:sz w:val="22"/>
          <w:szCs w:val="22"/>
        </w:rPr>
        <w:softHyphen/>
        <w:t>детели; на основе анализа и оценки результатов собранной информации, организуется розыск преступников по горячим следам.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Формально, в аспекте уголовно-процессуального закона, место про</w:t>
      </w:r>
      <w:r w:rsidRPr="00DA76A7">
        <w:rPr>
          <w:rFonts w:ascii="Arial" w:hAnsi="Arial" w:cs="Arial"/>
          <w:color w:val="000000" w:themeColor="text1"/>
          <w:sz w:val="22"/>
          <w:szCs w:val="22"/>
        </w:rPr>
        <w:softHyphen/>
        <w:t>исшествия - это место проведения осмотра как одной из разновидностей этого следственного действия, производство которого регламентируется ст.ст. 182-185 УПК РТ. Хотя, исходя из содержания ст. 182 УПК РТ, на</w:t>
      </w:r>
      <w:r w:rsidRPr="00DA76A7">
        <w:rPr>
          <w:rFonts w:ascii="Arial" w:hAnsi="Arial" w:cs="Arial"/>
          <w:color w:val="000000" w:themeColor="text1"/>
          <w:sz w:val="22"/>
          <w:szCs w:val="22"/>
        </w:rPr>
        <w:softHyphen/>
        <w:t>званной почему-то «Основания для производства осмотра» [1], а фактически определяющей его цель, однозначно следует, что его объектами могут быть местность, жилище, иные помещения и документы, где (или на которых) не исключается наличие следов преступления. То есть законодатель опре</w:t>
      </w:r>
      <w:r w:rsidRPr="00DA76A7">
        <w:rPr>
          <w:rFonts w:ascii="Arial" w:hAnsi="Arial" w:cs="Arial"/>
          <w:color w:val="000000" w:themeColor="text1"/>
          <w:sz w:val="22"/>
          <w:szCs w:val="22"/>
        </w:rPr>
        <w:softHyphen/>
        <w:t>делил объекты осмотра и его цель, оставляя за следователем право выбора методов и средств ее достижения. В этой связи, по нашему убеждению, теряет свою практическую значимость дискуссия о соотношении места преступления и места происшествия, во всяком случае, с точки зрения криминали</w:t>
      </w:r>
      <w:r w:rsidRPr="00DA76A7">
        <w:rPr>
          <w:rFonts w:ascii="Arial" w:hAnsi="Arial" w:cs="Arial"/>
          <w:color w:val="000000" w:themeColor="text1"/>
          <w:sz w:val="22"/>
          <w:szCs w:val="22"/>
        </w:rPr>
        <w:softHyphen/>
        <w:t>стического обеспечения достижения указанной цели. По существу, с ос</w:t>
      </w:r>
      <w:r w:rsidRPr="00DA76A7">
        <w:rPr>
          <w:rFonts w:ascii="Arial" w:hAnsi="Arial" w:cs="Arial"/>
          <w:color w:val="000000" w:themeColor="text1"/>
          <w:sz w:val="22"/>
          <w:szCs w:val="22"/>
        </w:rPr>
        <w:softHyphen/>
        <w:t>мотра места происшествия начинается весь процесс расследования и сле</w:t>
      </w:r>
      <w:r w:rsidRPr="00DA76A7">
        <w:rPr>
          <w:rFonts w:ascii="Arial" w:hAnsi="Arial" w:cs="Arial"/>
          <w:color w:val="000000" w:themeColor="text1"/>
          <w:sz w:val="22"/>
          <w:szCs w:val="22"/>
        </w:rPr>
        <w:softHyphen/>
        <w:t>дователь, как и в целом следственно-опреративная группа, ориентируется на достижение конечной цели этого процесса, вплоть до раскрытия преступления по горячим следам, а не только и не столько узкопроблемной цели этого следственного дейст</w:t>
      </w:r>
      <w:r w:rsidRPr="00DA76A7">
        <w:rPr>
          <w:rFonts w:ascii="Arial" w:hAnsi="Arial" w:cs="Arial"/>
          <w:color w:val="000000" w:themeColor="text1"/>
          <w:sz w:val="22"/>
          <w:szCs w:val="22"/>
        </w:rPr>
        <w:softHyphen/>
        <w:t>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Этим во многом объясняется криминалистическая характеристика ос</w:t>
      </w:r>
      <w:r w:rsidRPr="00DA76A7">
        <w:rPr>
          <w:rFonts w:ascii="Arial" w:hAnsi="Arial" w:cs="Arial"/>
          <w:color w:val="000000" w:themeColor="text1"/>
          <w:sz w:val="22"/>
          <w:szCs w:val="22"/>
        </w:rPr>
        <w:softHyphen/>
        <w:t>мотра места происшествия как неотложного, в своем роде уникального, незаменимого следственного действия. Хотя, следует заметить, что дейст</w:t>
      </w:r>
      <w:r w:rsidRPr="00DA76A7">
        <w:rPr>
          <w:rFonts w:ascii="Arial" w:hAnsi="Arial" w:cs="Arial"/>
          <w:color w:val="000000" w:themeColor="text1"/>
          <w:sz w:val="22"/>
          <w:szCs w:val="22"/>
        </w:rPr>
        <w:softHyphen/>
        <w:t>вующий УПК РТ, в отличие от своего предшественника (УПК Таджикской ССР 1961 г.) [2], определяя систему следственных действий, не выделяет в их числе неот</w:t>
      </w:r>
      <w:r w:rsidRPr="00DA76A7">
        <w:rPr>
          <w:rFonts w:ascii="Arial" w:hAnsi="Arial" w:cs="Arial"/>
          <w:color w:val="000000" w:themeColor="text1"/>
          <w:sz w:val="22"/>
          <w:szCs w:val="22"/>
        </w:rPr>
        <w:softHyphen/>
        <w:t>ложных. Возможно, законодатель решил, что в зависимости от ситуации любое из них может оказаться неотложным, что, в общем-то, на практике зачастую и происходит, особенно когда совершаются и расследуются так называемые очевидные преступления. В таких случаях неотложным могут оказаться и обыск, и допрос, и очная ставка и другие следственные дейст</w:t>
      </w:r>
      <w:r w:rsidRPr="00DA76A7">
        <w:rPr>
          <w:rFonts w:ascii="Arial" w:hAnsi="Arial" w:cs="Arial"/>
          <w:color w:val="000000" w:themeColor="text1"/>
          <w:sz w:val="22"/>
          <w:szCs w:val="22"/>
        </w:rPr>
        <w:softHyphen/>
        <w:t>вия. И все-таки особое место в этом перечне занимает осмотр мета проис</w:t>
      </w:r>
      <w:r w:rsidRPr="00DA76A7">
        <w:rPr>
          <w:rFonts w:ascii="Arial" w:hAnsi="Arial" w:cs="Arial"/>
          <w:color w:val="000000" w:themeColor="text1"/>
          <w:sz w:val="22"/>
          <w:szCs w:val="22"/>
        </w:rPr>
        <w:softHyphen/>
        <w:t>шествия. Не случайно, в отличии от большинства других следственных действий, его производство (ч. 2 ст. 182 УПК РТ) разрешается до возбуж</w:t>
      </w:r>
      <w:r w:rsidRPr="00DA76A7">
        <w:rPr>
          <w:rFonts w:ascii="Arial" w:hAnsi="Arial" w:cs="Arial"/>
          <w:color w:val="000000" w:themeColor="text1"/>
          <w:sz w:val="22"/>
          <w:szCs w:val="22"/>
        </w:rPr>
        <w:softHyphen/>
        <w:t>дения уголовного дела, «в безотлагательных случаях».</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заметить, что такие «случаи» фактически представляют со</w:t>
      </w:r>
      <w:r w:rsidRPr="00DA76A7">
        <w:rPr>
          <w:rFonts w:ascii="Arial" w:hAnsi="Arial" w:cs="Arial"/>
          <w:color w:val="000000" w:themeColor="text1"/>
          <w:sz w:val="22"/>
          <w:szCs w:val="22"/>
        </w:rPr>
        <w:softHyphen/>
        <w:t>бой на практике закономерно обусловленную систему. В практике Следственного комитета Российской Федерации за период январь-июнь 2017 гг. было зафиксировано всего два факта производства осмотра места происшествия после возбуждения уголовного дела и то по причинам, объективно исключавшим такую возможность до возбуждения уголовного дела, а не потому что «терпелось отлагательство» [4]. По нашему мнению, это положение противоречит не только реалиям практики, но и основополагающим принципам организации расследования и его следова</w:t>
      </w:r>
      <w:r w:rsidRPr="00DA76A7">
        <w:rPr>
          <w:rFonts w:ascii="Arial" w:hAnsi="Arial" w:cs="Arial"/>
          <w:color w:val="000000" w:themeColor="text1"/>
          <w:sz w:val="22"/>
          <w:szCs w:val="22"/>
        </w:rPr>
        <w:softHyphen/>
        <w:t>ло бы исключить из содержания указанной статьи УПК РТ. Тем более, что результаты осмотра места происшествия оцениваются в порядке проверки основания для возбуждения уголовного дела и, как правило, при отсутст</w:t>
      </w:r>
      <w:r w:rsidRPr="00DA76A7">
        <w:rPr>
          <w:rFonts w:ascii="Arial" w:hAnsi="Arial" w:cs="Arial"/>
          <w:color w:val="000000" w:themeColor="text1"/>
          <w:sz w:val="22"/>
          <w:szCs w:val="22"/>
        </w:rPr>
        <w:softHyphen/>
        <w:t>вии подозреваемого лица. Хотя, в литературе проявляется и иное мнение, в контексте доктринального толкования норм уголовно-процессуального закона [14, 129].</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результатами осмотра места происшествия связывается перспектива расследования преступления. На их основе строятся следственные и розы</w:t>
      </w:r>
      <w:r w:rsidRPr="00DA76A7">
        <w:rPr>
          <w:rFonts w:ascii="Arial" w:hAnsi="Arial" w:cs="Arial"/>
          <w:color w:val="000000" w:themeColor="text1"/>
          <w:sz w:val="22"/>
          <w:szCs w:val="22"/>
        </w:rPr>
        <w:softHyphen/>
        <w:t>скные версии, планируются мероприятия по их проверке. Уникальность этого следственного действия заключается в том, что следователь лично и непосредственно воспринимает обстановку преступления, мысленно мо</w:t>
      </w:r>
      <w:r w:rsidRPr="00DA76A7">
        <w:rPr>
          <w:rFonts w:ascii="Arial" w:hAnsi="Arial" w:cs="Arial"/>
          <w:color w:val="000000" w:themeColor="text1"/>
          <w:sz w:val="22"/>
          <w:szCs w:val="22"/>
        </w:rPr>
        <w:softHyphen/>
        <w:t>делируя его механизм, способы действий преступника, в том числе свя</w:t>
      </w:r>
      <w:r w:rsidRPr="00DA76A7">
        <w:rPr>
          <w:rFonts w:ascii="Arial" w:hAnsi="Arial" w:cs="Arial"/>
          <w:color w:val="000000" w:themeColor="text1"/>
          <w:sz w:val="22"/>
          <w:szCs w:val="22"/>
        </w:rPr>
        <w:softHyphen/>
        <w:t>занные с образованием следов. В этом аспекте сформировалась известная рекомендация следователю: при осуществлении осмотра места происше</w:t>
      </w:r>
      <w:r w:rsidRPr="00DA76A7">
        <w:rPr>
          <w:rFonts w:ascii="Arial" w:hAnsi="Arial" w:cs="Arial"/>
          <w:color w:val="000000" w:themeColor="text1"/>
          <w:sz w:val="22"/>
          <w:szCs w:val="22"/>
        </w:rPr>
        <w:softHyphen/>
        <w:t>ствия мысленно представлять себя на месте преступника и, соответствен</w:t>
      </w:r>
      <w:r w:rsidRPr="00DA76A7">
        <w:rPr>
          <w:rFonts w:ascii="Arial" w:hAnsi="Arial" w:cs="Arial"/>
          <w:color w:val="000000" w:themeColor="text1"/>
          <w:sz w:val="22"/>
          <w:szCs w:val="22"/>
        </w:rPr>
        <w:softHyphen/>
        <w:t>но, воспроизводить его действия, представлять их возможные последствия в виде следов. Уже в этой довольно простой, если не сказать примитивной, форме прослеживается исследовательская сущность данного следственно</w:t>
      </w:r>
      <w:r w:rsidRPr="00DA76A7">
        <w:rPr>
          <w:rFonts w:ascii="Arial" w:hAnsi="Arial" w:cs="Arial"/>
          <w:color w:val="000000" w:themeColor="text1"/>
          <w:sz w:val="22"/>
          <w:szCs w:val="22"/>
        </w:rPr>
        <w:softHyphen/>
        <w:t>го действия. С этих позиций в криминалистической литературе отмечается важность опыта и профессиональной подготовки следователя, его умения не только владеть приемами и средствами собирания следов преступления, но и анализировать их систему или общую «следовую картину».</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Цель исследования следов преступлений на месте происшествия и в УПК РТ, и в криминалистике, как правило, выражается через необходи</w:t>
      </w:r>
      <w:r w:rsidRPr="00DA76A7">
        <w:rPr>
          <w:rFonts w:ascii="Arial" w:hAnsi="Arial" w:cs="Arial"/>
          <w:color w:val="000000" w:themeColor="text1"/>
          <w:sz w:val="22"/>
          <w:szCs w:val="22"/>
        </w:rPr>
        <w:softHyphen/>
        <w:t>мость «выяснения механизма и мотива преступления», хотя в этом отно</w:t>
      </w:r>
      <w:r w:rsidRPr="00DA76A7">
        <w:rPr>
          <w:rFonts w:ascii="Arial" w:hAnsi="Arial" w:cs="Arial"/>
          <w:color w:val="000000" w:themeColor="text1"/>
          <w:sz w:val="22"/>
          <w:szCs w:val="22"/>
        </w:rPr>
        <w:softHyphen/>
        <w:t>шении, прежде всего, следует иметь в виду установление отобразившихся в следах признаков и свойств лица, совершившего преступление, выявле</w:t>
      </w:r>
      <w:r w:rsidRPr="00DA76A7">
        <w:rPr>
          <w:rFonts w:ascii="Arial" w:hAnsi="Arial" w:cs="Arial"/>
          <w:color w:val="000000" w:themeColor="text1"/>
          <w:sz w:val="22"/>
          <w:szCs w:val="22"/>
        </w:rPr>
        <w:softHyphen/>
        <w:t>ние причинно-следственных связей между различными видами следов, между следами и действиями оставившего их лица; наконец, определение относимости обнаруживаемых следов к событию преступления. Кроме то</w:t>
      </w:r>
      <w:r w:rsidRPr="00DA76A7">
        <w:rPr>
          <w:rFonts w:ascii="Arial" w:hAnsi="Arial" w:cs="Arial"/>
          <w:color w:val="000000" w:themeColor="text1"/>
          <w:sz w:val="22"/>
          <w:szCs w:val="22"/>
        </w:rPr>
        <w:softHyphen/>
        <w:t>го, полагаем, что с криминалистической точки зрения следы преступлений не корректно представлять обособленно от вещественных доказательств. Во-первых, следы преступлений, имеются в виду материально отображае</w:t>
      </w:r>
      <w:r w:rsidRPr="00DA76A7">
        <w:rPr>
          <w:rFonts w:ascii="Arial" w:hAnsi="Arial" w:cs="Arial"/>
          <w:color w:val="000000" w:themeColor="text1"/>
          <w:sz w:val="22"/>
          <w:szCs w:val="22"/>
        </w:rPr>
        <w:softHyphen/>
        <w:t>мые, тем более с объектами следоносителями, представляют собой в пер</w:t>
      </w:r>
      <w:r w:rsidRPr="00DA76A7">
        <w:rPr>
          <w:rFonts w:ascii="Arial" w:hAnsi="Arial" w:cs="Arial"/>
          <w:color w:val="000000" w:themeColor="text1"/>
          <w:sz w:val="22"/>
          <w:szCs w:val="22"/>
        </w:rPr>
        <w:softHyphen/>
        <w:t>спективе ни что иное как вещественные доказательства. Во-вторых, все-таки на месте происшествия обнаруживаются, фиксируются, изымаются и исследуются, прежде всего, следы преступления, как источники и носите</w:t>
      </w:r>
      <w:r w:rsidRPr="00DA76A7">
        <w:rPr>
          <w:rFonts w:ascii="Arial" w:hAnsi="Arial" w:cs="Arial"/>
          <w:color w:val="000000" w:themeColor="text1"/>
          <w:sz w:val="22"/>
          <w:szCs w:val="22"/>
        </w:rPr>
        <w:softHyphen/>
        <w:t>ли криминалистически значимой информации, через результат исследова</w:t>
      </w:r>
      <w:r w:rsidRPr="00DA76A7">
        <w:rPr>
          <w:rFonts w:ascii="Arial" w:hAnsi="Arial" w:cs="Arial"/>
          <w:color w:val="000000" w:themeColor="text1"/>
          <w:sz w:val="22"/>
          <w:szCs w:val="22"/>
        </w:rPr>
        <w:softHyphen/>
        <w:t>ния которых определяется потенциальная значимость предметов и объек</w:t>
      </w:r>
      <w:r w:rsidRPr="00DA76A7">
        <w:rPr>
          <w:rFonts w:ascii="Arial" w:hAnsi="Arial" w:cs="Arial"/>
          <w:color w:val="000000" w:themeColor="text1"/>
          <w:sz w:val="22"/>
          <w:szCs w:val="22"/>
        </w:rPr>
        <w:softHyphen/>
        <w:t>тов как вещественных доказательств.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этом отношении нам представляется довольно рациональным опре</w:t>
      </w:r>
      <w:r w:rsidRPr="00DA76A7">
        <w:rPr>
          <w:rFonts w:ascii="Arial" w:hAnsi="Arial" w:cs="Arial"/>
          <w:color w:val="000000" w:themeColor="text1"/>
          <w:sz w:val="22"/>
          <w:szCs w:val="22"/>
        </w:rPr>
        <w:softHyphen/>
        <w:t>деление осмотра места происшествия как следственного действия, данное в пособии для прокурорско-следственных работников, подготовленном под руководством А.Н. Васильева. В его редакции - это «следственное действие, заключающееся в непосред</w:t>
      </w:r>
      <w:r w:rsidRPr="00DA76A7">
        <w:rPr>
          <w:rFonts w:ascii="Arial" w:hAnsi="Arial" w:cs="Arial"/>
          <w:color w:val="000000" w:themeColor="text1"/>
          <w:sz w:val="22"/>
          <w:szCs w:val="22"/>
        </w:rPr>
        <w:softHyphen/>
        <w:t>ственном восприятии, исследовании и фиксации следователем или дозна</w:t>
      </w:r>
      <w:r w:rsidRPr="00DA76A7">
        <w:rPr>
          <w:rFonts w:ascii="Arial" w:hAnsi="Arial" w:cs="Arial"/>
          <w:color w:val="000000" w:themeColor="text1"/>
          <w:sz w:val="22"/>
          <w:szCs w:val="22"/>
        </w:rPr>
        <w:softHyphen/>
        <w:t>вателем обстановки места происшествия, а также в обнаружении, фикса</w:t>
      </w:r>
      <w:r w:rsidRPr="00DA76A7">
        <w:rPr>
          <w:rFonts w:ascii="Arial" w:hAnsi="Arial" w:cs="Arial"/>
          <w:color w:val="000000" w:themeColor="text1"/>
          <w:sz w:val="22"/>
          <w:szCs w:val="22"/>
        </w:rPr>
        <w:softHyphen/>
        <w:t>ции и изъятии следов и вещественных доказательств для установления в возможных пределах характера и обстоятельств события и виновных лиц» [7, 9].</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этом определении, что по нашему мнению важно, удачно сочетают</w:t>
      </w:r>
      <w:r w:rsidRPr="00DA76A7">
        <w:rPr>
          <w:rFonts w:ascii="Arial" w:hAnsi="Arial" w:cs="Arial"/>
          <w:color w:val="000000" w:themeColor="text1"/>
          <w:sz w:val="22"/>
          <w:szCs w:val="22"/>
        </w:rPr>
        <w:softHyphen/>
        <w:t>ся уголовно-процессуальные цели данного следственного действия и кри</w:t>
      </w:r>
      <w:r w:rsidRPr="00DA76A7">
        <w:rPr>
          <w:rFonts w:ascii="Arial" w:hAnsi="Arial" w:cs="Arial"/>
          <w:color w:val="000000" w:themeColor="text1"/>
          <w:sz w:val="22"/>
          <w:szCs w:val="22"/>
        </w:rPr>
        <w:softHyphen/>
        <w:t>миналистические возможности их достижения, включая такие тактико-</w:t>
      </w:r>
      <w:r w:rsidRPr="00DA76A7">
        <w:rPr>
          <w:rFonts w:ascii="Arial" w:hAnsi="Arial" w:cs="Arial"/>
          <w:color w:val="000000" w:themeColor="text1"/>
          <w:sz w:val="22"/>
          <w:szCs w:val="22"/>
        </w:rPr>
        <w:softHyphen/>
        <w:t>криминалистические рекомендации, как непосредственное восприятие и исследование обстановки места происшествия следователем или дознава</w:t>
      </w:r>
      <w:r w:rsidRPr="00DA76A7">
        <w:rPr>
          <w:rFonts w:ascii="Arial" w:hAnsi="Arial" w:cs="Arial"/>
          <w:color w:val="000000" w:themeColor="text1"/>
          <w:sz w:val="22"/>
          <w:szCs w:val="22"/>
        </w:rPr>
        <w:softHyphen/>
        <w:t>телем. Однако несколько искусственным и процессуально неудачным представляется окончание этого определения: «для установления в воз</w:t>
      </w:r>
      <w:r w:rsidRPr="00DA76A7">
        <w:rPr>
          <w:rFonts w:ascii="Arial" w:hAnsi="Arial" w:cs="Arial"/>
          <w:color w:val="000000" w:themeColor="text1"/>
          <w:sz w:val="22"/>
          <w:szCs w:val="22"/>
        </w:rPr>
        <w:softHyphen/>
        <w:t>можных пределах характера и обстоятельств события и виновных лиц» [7, 9]. В современной трактовке этого положения следует иметь в виду, что винов</w:t>
      </w:r>
      <w:r w:rsidRPr="00DA76A7">
        <w:rPr>
          <w:rFonts w:ascii="Arial" w:hAnsi="Arial" w:cs="Arial"/>
          <w:color w:val="000000" w:themeColor="text1"/>
          <w:sz w:val="22"/>
          <w:szCs w:val="22"/>
        </w:rPr>
        <w:softHyphen/>
        <w:t>ность лица устанавливается только судом, на основе доказательств, пред</w:t>
      </w:r>
      <w:r w:rsidRPr="00DA76A7">
        <w:rPr>
          <w:rFonts w:ascii="Arial" w:hAnsi="Arial" w:cs="Arial"/>
          <w:color w:val="000000" w:themeColor="text1"/>
          <w:sz w:val="22"/>
          <w:szCs w:val="22"/>
        </w:rPr>
        <w:softHyphen/>
        <w:t>ставляемых сторонами уголовного процесса - обвинения и защиты.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Неудачна, по нашему мнению, и оговорка «о возможных пределах». Во-первых, это само собой разумеется, все следственные действия тоже нацелены на установление соответствующих обстоятельств преступления «в возможных пределах»; а во-вторых, это понятие определяется и толку</w:t>
      </w:r>
      <w:r w:rsidRPr="00DA76A7">
        <w:rPr>
          <w:rFonts w:ascii="Arial" w:hAnsi="Arial" w:cs="Arial"/>
          <w:color w:val="000000" w:themeColor="text1"/>
          <w:sz w:val="22"/>
          <w:szCs w:val="22"/>
        </w:rPr>
        <w:softHyphen/>
        <w:t>ется субъективно, с позиции уровня профессиональной подготовки участ</w:t>
      </w:r>
      <w:r w:rsidRPr="00DA76A7">
        <w:rPr>
          <w:rFonts w:ascii="Arial" w:hAnsi="Arial" w:cs="Arial"/>
          <w:color w:val="000000" w:themeColor="text1"/>
          <w:sz w:val="22"/>
          <w:szCs w:val="22"/>
        </w:rPr>
        <w:softHyphen/>
        <w:t>ников данного следственного действия. Поспособствовав следователю в описании и изъятии валявшегося под ногами ножа - орудия престу</w:t>
      </w:r>
      <w:r w:rsidRPr="00DA76A7">
        <w:rPr>
          <w:rFonts w:ascii="Arial" w:hAnsi="Arial" w:cs="Arial"/>
          <w:color w:val="000000" w:themeColor="text1"/>
          <w:sz w:val="22"/>
          <w:szCs w:val="22"/>
        </w:rPr>
        <w:softHyphen/>
        <w:t>пления, профессионально безграмотный и безответственный специалист-криминалист будет утверждать, что он сработал в пределах возможностей, оставив при этом без внимания следы пальцев рук, обуви, микрообъекты и т.п. Не говоря уже об их исследовании непосредственно на месте проис</w:t>
      </w:r>
      <w:r w:rsidRPr="00DA76A7">
        <w:rPr>
          <w:rFonts w:ascii="Arial" w:hAnsi="Arial" w:cs="Arial"/>
          <w:color w:val="000000" w:themeColor="text1"/>
          <w:sz w:val="22"/>
          <w:szCs w:val="22"/>
        </w:rPr>
        <w:softHyphen/>
        <w:t>шествия каждого в отдельности и в совокупности.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более общей, но достаточно конкретной трактовке дается определе</w:t>
      </w:r>
      <w:r w:rsidRPr="00DA76A7">
        <w:rPr>
          <w:rFonts w:ascii="Arial" w:hAnsi="Arial" w:cs="Arial"/>
          <w:color w:val="000000" w:themeColor="text1"/>
          <w:sz w:val="22"/>
          <w:szCs w:val="22"/>
        </w:rPr>
        <w:softHyphen/>
        <w:t>ние осмотра места происшествия в учебном пособии коллектива авторов ВШ МВД СССР, в котором отмечается, что это «неотложное следственное действие, которое состоит в непосредственном изучении места происше</w:t>
      </w:r>
      <w:r w:rsidRPr="00DA76A7">
        <w:rPr>
          <w:rFonts w:ascii="Arial" w:hAnsi="Arial" w:cs="Arial"/>
          <w:color w:val="000000" w:themeColor="text1"/>
          <w:sz w:val="22"/>
          <w:szCs w:val="22"/>
        </w:rPr>
        <w:softHyphen/>
        <w:t>ствия в целях установления и процессуального закрепления объективных данных, необходимых для разрешения вопросов, имеющих значение по делу» [34].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этом определении подчеркивается особое значение осмотра места происшествия как неотложного следственного действия, отмечается его исследовательская сущность - «изучение», причем непосредственно сле</w:t>
      </w:r>
      <w:r w:rsidRPr="00DA76A7">
        <w:rPr>
          <w:rFonts w:ascii="Arial" w:hAnsi="Arial" w:cs="Arial"/>
          <w:color w:val="000000" w:themeColor="text1"/>
          <w:sz w:val="22"/>
          <w:szCs w:val="22"/>
        </w:rPr>
        <w:softHyphen/>
        <w:t>дователем и, наконец, довольно точно, с учетом распространенного в то время истолкования понятия доказательств - как объективных фактиче</w:t>
      </w:r>
      <w:r w:rsidRPr="00DA76A7">
        <w:rPr>
          <w:rFonts w:ascii="Arial" w:hAnsi="Arial" w:cs="Arial"/>
          <w:color w:val="000000" w:themeColor="text1"/>
          <w:sz w:val="22"/>
          <w:szCs w:val="22"/>
        </w:rPr>
        <w:softHyphen/>
        <w:t>ских данных, определяется его цель. В современных условиях, как извест</w:t>
      </w:r>
      <w:r w:rsidRPr="00DA76A7">
        <w:rPr>
          <w:rFonts w:ascii="Arial" w:hAnsi="Arial" w:cs="Arial"/>
          <w:color w:val="000000" w:themeColor="text1"/>
          <w:sz w:val="22"/>
          <w:szCs w:val="22"/>
        </w:rPr>
        <w:softHyphen/>
        <w:t>но, доказательствами признаются «сведения», источ</w:t>
      </w:r>
      <w:r w:rsidRPr="00DA76A7">
        <w:rPr>
          <w:rFonts w:ascii="Arial" w:hAnsi="Arial" w:cs="Arial"/>
          <w:color w:val="000000" w:themeColor="text1"/>
          <w:sz w:val="22"/>
          <w:szCs w:val="22"/>
        </w:rPr>
        <w:softHyphen/>
        <w:t>никами которых с криминалистической точки зрения, выступают различ</w:t>
      </w:r>
      <w:r w:rsidRPr="00DA76A7">
        <w:rPr>
          <w:rFonts w:ascii="Arial" w:hAnsi="Arial" w:cs="Arial"/>
          <w:color w:val="000000" w:themeColor="text1"/>
          <w:sz w:val="22"/>
          <w:szCs w:val="22"/>
        </w:rPr>
        <w:softHyphen/>
        <w:t>ные следы преступлений. На их «установление и процессуальное закреп</w:t>
      </w:r>
      <w:r w:rsidRPr="00DA76A7">
        <w:rPr>
          <w:rFonts w:ascii="Arial" w:hAnsi="Arial" w:cs="Arial"/>
          <w:color w:val="000000" w:themeColor="text1"/>
          <w:sz w:val="22"/>
          <w:szCs w:val="22"/>
        </w:rPr>
        <w:softHyphen/>
        <w:t>ление» как раз и нацелен осмотр места происшествия.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заметить, что при несколько различной редакции, но по су</w:t>
      </w:r>
      <w:r w:rsidRPr="00DA76A7">
        <w:rPr>
          <w:rFonts w:ascii="Arial" w:hAnsi="Arial" w:cs="Arial"/>
          <w:color w:val="000000" w:themeColor="text1"/>
          <w:sz w:val="22"/>
          <w:szCs w:val="22"/>
        </w:rPr>
        <w:softHyphen/>
        <w:t>ществу в основе своей такие же определения осмотра места происшествия, начиная с 60-х годов ХХ века, даются учеными-криминалистами, посвятившие свои труды тактике производства этого следственного дейст</w:t>
      </w:r>
      <w:r w:rsidRPr="00DA76A7">
        <w:rPr>
          <w:rFonts w:ascii="Arial" w:hAnsi="Arial" w:cs="Arial"/>
          <w:color w:val="000000" w:themeColor="text1"/>
          <w:sz w:val="22"/>
          <w:szCs w:val="22"/>
        </w:rPr>
        <w:softHyphen/>
        <w:t>вия. Имеются в виду монографии и учебные пособия В.П. Колмакова (1969 г.), И.Е. Быховского (1973 г.), И.Б. Вандера и Н.А. Корниенко (1976 г.), А.Г. Филиппова (1976 г.), С.П. Ефимичева, Н.И. Кулагина, А.Е. Ямпольского (1983 г.), Л.В. Виницкого (1986 г.), Е.Ф. Коновалова (1987 г.), А.Ф. Облакова и А.Т. Темирбаева (1992 г.) и др. Не отмечается принципи</w:t>
      </w:r>
      <w:r w:rsidRPr="00DA76A7">
        <w:rPr>
          <w:rFonts w:ascii="Arial" w:hAnsi="Arial" w:cs="Arial"/>
          <w:color w:val="000000" w:themeColor="text1"/>
          <w:sz w:val="22"/>
          <w:szCs w:val="22"/>
        </w:rPr>
        <w:softHyphen/>
        <w:t>альных различий в его определение и в современных работах по кримина</w:t>
      </w:r>
      <w:r w:rsidRPr="00DA76A7">
        <w:rPr>
          <w:rFonts w:ascii="Arial" w:hAnsi="Arial" w:cs="Arial"/>
          <w:color w:val="000000" w:themeColor="text1"/>
          <w:sz w:val="22"/>
          <w:szCs w:val="22"/>
        </w:rPr>
        <w:softHyphen/>
        <w:t>ллистике, в том числе в учебниках и учебных пособиях [19, 380; 24, 333; 25, 429 и др.]. В некоторых из них говорится об изу</w:t>
      </w:r>
      <w:r w:rsidRPr="00DA76A7">
        <w:rPr>
          <w:rFonts w:ascii="Arial" w:hAnsi="Arial" w:cs="Arial"/>
          <w:color w:val="000000" w:themeColor="text1"/>
          <w:sz w:val="22"/>
          <w:szCs w:val="22"/>
        </w:rPr>
        <w:softHyphen/>
        <w:t>чении и фиксации следов преступления, в других об исследовании и фик</w:t>
      </w:r>
      <w:r w:rsidRPr="00DA76A7">
        <w:rPr>
          <w:rFonts w:ascii="Arial" w:hAnsi="Arial" w:cs="Arial"/>
          <w:color w:val="000000" w:themeColor="text1"/>
          <w:sz w:val="22"/>
          <w:szCs w:val="22"/>
        </w:rPr>
        <w:softHyphen/>
        <w:t>сации материальной обстановки места происшествия. Иначе говоря, вни</w:t>
      </w:r>
      <w:r w:rsidRPr="00DA76A7">
        <w:rPr>
          <w:rFonts w:ascii="Arial" w:hAnsi="Arial" w:cs="Arial"/>
          <w:color w:val="000000" w:themeColor="text1"/>
          <w:sz w:val="22"/>
          <w:szCs w:val="22"/>
        </w:rPr>
        <w:softHyphen/>
        <w:t>мание акцентируется на работе с материальными объектами как источни</w:t>
      </w:r>
      <w:r w:rsidRPr="00DA76A7">
        <w:rPr>
          <w:rFonts w:ascii="Arial" w:hAnsi="Arial" w:cs="Arial"/>
          <w:color w:val="000000" w:themeColor="text1"/>
          <w:sz w:val="22"/>
          <w:szCs w:val="22"/>
        </w:rPr>
        <w:softHyphen/>
        <w:t>ками и носителями розыскной и доказательственной информации.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 это объяснимо, поскольку в конечном итоге с помощью таких объ</w:t>
      </w:r>
      <w:r w:rsidRPr="00DA76A7">
        <w:rPr>
          <w:rFonts w:ascii="Arial" w:hAnsi="Arial" w:cs="Arial"/>
          <w:color w:val="000000" w:themeColor="text1"/>
          <w:sz w:val="22"/>
          <w:szCs w:val="22"/>
        </w:rPr>
        <w:softHyphen/>
        <w:t>ектов устанавливаются обстоятельства преступления, его механизм, вре</w:t>
      </w:r>
      <w:r w:rsidRPr="00DA76A7">
        <w:rPr>
          <w:rFonts w:ascii="Arial" w:hAnsi="Arial" w:cs="Arial"/>
          <w:color w:val="000000" w:themeColor="text1"/>
          <w:sz w:val="22"/>
          <w:szCs w:val="22"/>
        </w:rPr>
        <w:softHyphen/>
        <w:t>менные и причинно-следственные связи его элементов и т.д. Анализ мате</w:t>
      </w:r>
      <w:r w:rsidRPr="00DA76A7">
        <w:rPr>
          <w:rFonts w:ascii="Arial" w:hAnsi="Arial" w:cs="Arial"/>
          <w:color w:val="000000" w:themeColor="text1"/>
          <w:sz w:val="22"/>
          <w:szCs w:val="22"/>
        </w:rPr>
        <w:softHyphen/>
        <w:t>риальных объектов в виде следов преступления (взлома преград, проник</w:t>
      </w:r>
      <w:r w:rsidRPr="00DA76A7">
        <w:rPr>
          <w:rFonts w:ascii="Arial" w:hAnsi="Arial" w:cs="Arial"/>
          <w:color w:val="000000" w:themeColor="text1"/>
          <w:sz w:val="22"/>
          <w:szCs w:val="22"/>
        </w:rPr>
        <w:softHyphen/>
        <w:t>новения в помещение, пальцев рук, ног, обуви и т.п.) позволяет довольно точно воспроизвести не только его механизм, но и признаки, свойства лица, его совершившего (рост, физические данные, профессионализм, при</w:t>
      </w:r>
      <w:r w:rsidRPr="00DA76A7">
        <w:rPr>
          <w:rFonts w:ascii="Arial" w:hAnsi="Arial" w:cs="Arial"/>
          <w:color w:val="000000" w:themeColor="text1"/>
          <w:sz w:val="22"/>
          <w:szCs w:val="22"/>
        </w:rPr>
        <w:softHyphen/>
        <w:t>вычки и т.п.).</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Такой же подход к толкованию данного вопроса прослеживается в ра</w:t>
      </w:r>
      <w:r w:rsidRPr="00DA76A7">
        <w:rPr>
          <w:rFonts w:ascii="Arial" w:hAnsi="Arial" w:cs="Arial"/>
          <w:color w:val="000000" w:themeColor="text1"/>
          <w:sz w:val="22"/>
          <w:szCs w:val="22"/>
        </w:rPr>
        <w:softHyphen/>
        <w:t>ботах, посвященных осмотру места происшествия по отдельным видам преступлений: по кражам из квартир (Н.Н. Баранов, 1997 г.), из торговых и складских помещений (Б.Я. Петелин, 1984 г.), из гостиниц (В.М. Петренко, 1978 г.); по дорожно-транспортным происшествиям (С.И. Новиков, 1997 г.; В.А. Ледащев, С.И. Медведев, 1980 г.); по разбойным нападениям на кассиров и инкассаторов (М.П. Черных, 1978 г.); по преступлениям, связанных с применением огнестрельного оружия и взрывчатых устройств (Л.Н. Юрин, 1983 г.; В.М. Плескачевский, 1992 г.; В.Ю. Владимиров, Г.В. Лаврентюк, 1997 г.). Обращают на себя внимание работы, посвященные ос</w:t>
      </w:r>
      <w:r w:rsidRPr="00DA76A7">
        <w:rPr>
          <w:rFonts w:ascii="Arial" w:hAnsi="Arial" w:cs="Arial"/>
          <w:color w:val="000000" w:themeColor="text1"/>
          <w:sz w:val="22"/>
          <w:szCs w:val="22"/>
        </w:rPr>
        <w:softHyphen/>
        <w:t>мотру трупа (Д.П. Рассейкин, 1967 г.; Н.И. Порубов, 1985 г.; Б.А. Саркесян, 1997 г. и др.).</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все названные авторы, как правило, отмечают, что осмотр места происшествия как следственное действие характеризуется: а) непо</w:t>
      </w:r>
      <w:r w:rsidRPr="00DA76A7">
        <w:rPr>
          <w:rFonts w:ascii="Arial" w:hAnsi="Arial" w:cs="Arial"/>
          <w:color w:val="000000" w:themeColor="text1"/>
          <w:sz w:val="22"/>
          <w:szCs w:val="22"/>
        </w:rPr>
        <w:softHyphen/>
        <w:t>средственным личным участием следователя в его производстве; б) поис</w:t>
      </w:r>
      <w:r w:rsidRPr="00DA76A7">
        <w:rPr>
          <w:rFonts w:ascii="Arial" w:hAnsi="Arial" w:cs="Arial"/>
          <w:color w:val="000000" w:themeColor="text1"/>
          <w:sz w:val="22"/>
          <w:szCs w:val="22"/>
        </w:rPr>
        <w:softHyphen/>
        <w:t>ково-исследовательской сущностью осуществляемых действий; в) наце</w:t>
      </w:r>
      <w:r w:rsidRPr="00DA76A7">
        <w:rPr>
          <w:rFonts w:ascii="Arial" w:hAnsi="Arial" w:cs="Arial"/>
          <w:color w:val="000000" w:themeColor="text1"/>
          <w:sz w:val="22"/>
          <w:szCs w:val="22"/>
        </w:rPr>
        <w:softHyphen/>
        <w:t>ленностью на обнаружение, процессуальное закрепление материальных следов преступлений и их предварительное исследование. В ряде случаев отмечается его комплексность по целям, а соответственно, по реализуе</w:t>
      </w:r>
      <w:r w:rsidRPr="00DA76A7">
        <w:rPr>
          <w:rFonts w:ascii="Arial" w:hAnsi="Arial" w:cs="Arial"/>
          <w:color w:val="000000" w:themeColor="text1"/>
          <w:sz w:val="22"/>
          <w:szCs w:val="22"/>
        </w:rPr>
        <w:softHyphen/>
        <w:t>мым при его производстве методам и средствам.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как показывает анализ следственной практики, в боль</w:t>
      </w:r>
      <w:r w:rsidRPr="00DA76A7">
        <w:rPr>
          <w:rFonts w:ascii="Arial" w:hAnsi="Arial" w:cs="Arial"/>
          <w:color w:val="000000" w:themeColor="text1"/>
          <w:sz w:val="22"/>
          <w:szCs w:val="22"/>
        </w:rPr>
        <w:softHyphen/>
        <w:t>шинстве случаев в даль</w:t>
      </w:r>
      <w:r w:rsidRPr="00DA76A7">
        <w:rPr>
          <w:rFonts w:ascii="Arial" w:hAnsi="Arial" w:cs="Arial"/>
          <w:color w:val="000000" w:themeColor="text1"/>
          <w:sz w:val="22"/>
          <w:szCs w:val="22"/>
        </w:rPr>
        <w:softHyphen/>
        <w:t>нейшем преступления расследуют не те следователи, которые проводили осмотр места происшествия, и констатация этого факта в данном опреде</w:t>
      </w:r>
      <w:r w:rsidRPr="00DA76A7">
        <w:rPr>
          <w:rFonts w:ascii="Arial" w:hAnsi="Arial" w:cs="Arial"/>
          <w:color w:val="000000" w:themeColor="text1"/>
          <w:sz w:val="22"/>
          <w:szCs w:val="22"/>
        </w:rPr>
        <w:softHyphen/>
        <w:t>лении на практике теряет свое значение; участие в осмотре места про</w:t>
      </w:r>
      <w:r w:rsidRPr="00DA76A7">
        <w:rPr>
          <w:rFonts w:ascii="Arial" w:hAnsi="Arial" w:cs="Arial"/>
          <w:color w:val="000000" w:themeColor="text1"/>
          <w:sz w:val="22"/>
          <w:szCs w:val="22"/>
        </w:rPr>
        <w:softHyphen/>
        <w:t>исшествия, особенно по тяжким и особо тяжким преступлениям, нередко принимают оперативные работники, специалисты, кинологи, иные со</w:t>
      </w:r>
      <w:r w:rsidRPr="00DA76A7">
        <w:rPr>
          <w:rFonts w:ascii="Arial" w:hAnsi="Arial" w:cs="Arial"/>
          <w:color w:val="000000" w:themeColor="text1"/>
          <w:sz w:val="22"/>
          <w:szCs w:val="22"/>
        </w:rPr>
        <w:softHyphen/>
        <w:t>трудники правоохранительных органов, которые выявляют, изучают (ис</w:t>
      </w:r>
      <w:r w:rsidRPr="00DA76A7">
        <w:rPr>
          <w:rFonts w:ascii="Arial" w:hAnsi="Arial" w:cs="Arial"/>
          <w:color w:val="000000" w:themeColor="text1"/>
          <w:sz w:val="22"/>
          <w:szCs w:val="22"/>
        </w:rPr>
        <w:softHyphen/>
        <w:t>следуют) не только материально отображаемую, но и вербальную розыск</w:t>
      </w:r>
      <w:r w:rsidRPr="00DA76A7">
        <w:rPr>
          <w:rFonts w:ascii="Arial" w:hAnsi="Arial" w:cs="Arial"/>
          <w:color w:val="000000" w:themeColor="text1"/>
          <w:sz w:val="22"/>
          <w:szCs w:val="22"/>
        </w:rPr>
        <w:softHyphen/>
        <w:t>ную и доказательственную информацию, более того, осуществляют ее реализацию в раскрытии преступлений по горячим следам. Разумеется, любые поисковые и розыскные действия за пределами места происшест</w:t>
      </w:r>
      <w:r w:rsidRPr="00DA76A7">
        <w:rPr>
          <w:rFonts w:ascii="Arial" w:hAnsi="Arial" w:cs="Arial"/>
          <w:color w:val="000000" w:themeColor="text1"/>
          <w:sz w:val="22"/>
          <w:szCs w:val="22"/>
        </w:rPr>
        <w:softHyphen/>
        <w:t>вия, строго говоря, не охватываются понятием осмотра, но они являются его логическим продолжением, а в ряде случаев существенным дополне</w:t>
      </w:r>
      <w:r w:rsidRPr="00DA76A7">
        <w:rPr>
          <w:rFonts w:ascii="Arial" w:hAnsi="Arial" w:cs="Arial"/>
          <w:color w:val="000000" w:themeColor="text1"/>
          <w:sz w:val="22"/>
          <w:szCs w:val="22"/>
        </w:rPr>
        <w:softHyphen/>
        <w:t>нием.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УПК РТ, как известно, такого «комплекса» нет, а его организаци</w:t>
      </w:r>
      <w:r w:rsidRPr="00DA76A7">
        <w:rPr>
          <w:rFonts w:ascii="Arial" w:hAnsi="Arial" w:cs="Arial"/>
          <w:color w:val="000000" w:themeColor="text1"/>
          <w:sz w:val="22"/>
          <w:szCs w:val="22"/>
        </w:rPr>
        <w:softHyphen/>
        <w:t>онно-тактическая составляющая не охватывается понятием и содержанием собственно осмотра, в основе которого поиск, восприятие, фиксация и ис</w:t>
      </w:r>
      <w:r w:rsidRPr="00DA76A7">
        <w:rPr>
          <w:rFonts w:ascii="Arial" w:hAnsi="Arial" w:cs="Arial"/>
          <w:color w:val="000000" w:themeColor="text1"/>
          <w:sz w:val="22"/>
          <w:szCs w:val="22"/>
        </w:rPr>
        <w:softHyphen/>
        <w:t>следование следов преступления и иных вещественных доказательств, ха</w:t>
      </w:r>
      <w:r w:rsidRPr="00DA76A7">
        <w:rPr>
          <w:rFonts w:ascii="Arial" w:hAnsi="Arial" w:cs="Arial"/>
          <w:color w:val="000000" w:themeColor="text1"/>
          <w:sz w:val="22"/>
          <w:szCs w:val="22"/>
        </w:rPr>
        <w:softHyphen/>
        <w:t>рактеризующих обстановку места происшествия и механизм преступле</w:t>
      </w:r>
      <w:r w:rsidRPr="00DA76A7">
        <w:rPr>
          <w:rFonts w:ascii="Arial" w:hAnsi="Arial" w:cs="Arial"/>
          <w:color w:val="000000" w:themeColor="text1"/>
          <w:sz w:val="22"/>
          <w:szCs w:val="22"/>
        </w:rPr>
        <w:softHyphen/>
        <w:t>ния. Наконец, рамками данного следственного действия не охватывается и розыск по горячим следам лица, совершившего преступление, с использо</w:t>
      </w:r>
      <w:r w:rsidRPr="00DA76A7">
        <w:rPr>
          <w:rFonts w:ascii="Arial" w:hAnsi="Arial" w:cs="Arial"/>
          <w:color w:val="000000" w:themeColor="text1"/>
          <w:sz w:val="22"/>
          <w:szCs w:val="22"/>
        </w:rPr>
        <w:softHyphen/>
        <w:t>ванием полученной таким образом информации, а тем более логически следующее из него задержание. С криминалистической точки зрения в данном случае речь идет, по существу, о своеобразной тактико</w:t>
      </w:r>
      <w:r w:rsidRPr="00DA76A7">
        <w:rPr>
          <w:rFonts w:ascii="Arial" w:hAnsi="Arial" w:cs="Arial"/>
          <w:color w:val="000000" w:themeColor="text1"/>
          <w:sz w:val="22"/>
          <w:szCs w:val="22"/>
        </w:rPr>
        <w:softHyphen/>
        <w:t>-криминалистической операции со всеми присущими ей признаками, как совокупности следственных действий и оперативно-розыскных мероприя</w:t>
      </w:r>
      <w:r w:rsidRPr="00DA76A7">
        <w:rPr>
          <w:rFonts w:ascii="Arial" w:hAnsi="Arial" w:cs="Arial"/>
          <w:color w:val="000000" w:themeColor="text1"/>
          <w:sz w:val="22"/>
          <w:szCs w:val="22"/>
        </w:rPr>
        <w:softHyphen/>
        <w:t>тий [9, 40-47; 10, 45-51; 15, 40-48; 16].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Необходимость разработки специальных комплексов следственных действий и оперативно-розыскных мероприятий, ревизионных и иных действий, направленных на решение задач расследования и осуществляе</w:t>
      </w:r>
      <w:r w:rsidRPr="00DA76A7">
        <w:rPr>
          <w:rFonts w:ascii="Arial" w:hAnsi="Arial" w:cs="Arial"/>
          <w:color w:val="000000" w:themeColor="text1"/>
          <w:sz w:val="22"/>
          <w:szCs w:val="22"/>
        </w:rPr>
        <w:softHyphen/>
        <w:t>мых по единому плану, впервые в криминалистической литературе, еще 45 лет назад, обосновал А.В Дулов, отмечая, что разрозненные, обособленные следственные действия не всегда достигают цели. Такие комплексы он на</w:t>
      </w:r>
      <w:r w:rsidRPr="00DA76A7">
        <w:rPr>
          <w:rFonts w:ascii="Arial" w:hAnsi="Arial" w:cs="Arial"/>
          <w:color w:val="000000" w:themeColor="text1"/>
          <w:sz w:val="22"/>
          <w:szCs w:val="22"/>
        </w:rPr>
        <w:softHyphen/>
        <w:t>звал «тактические операции» [11]. Несколько позже он посвятил этой пробле</w:t>
      </w:r>
      <w:r w:rsidRPr="00DA76A7">
        <w:rPr>
          <w:rFonts w:ascii="Arial" w:hAnsi="Arial" w:cs="Arial"/>
          <w:color w:val="000000" w:themeColor="text1"/>
          <w:sz w:val="22"/>
          <w:szCs w:val="22"/>
        </w:rPr>
        <w:softHyphen/>
        <w:t>ме монографию, в которой комплексирование рассматривал как способ повышения эффективности следствия, а тактические операции как его ор</w:t>
      </w:r>
      <w:r w:rsidRPr="00DA76A7">
        <w:rPr>
          <w:rFonts w:ascii="Arial" w:hAnsi="Arial" w:cs="Arial"/>
          <w:color w:val="000000" w:themeColor="text1"/>
          <w:sz w:val="22"/>
          <w:szCs w:val="22"/>
        </w:rPr>
        <w:softHyphen/>
        <w:t>ганизационную форму, в рамках которой наиболее полно и правильно реа</w:t>
      </w:r>
      <w:r w:rsidRPr="00DA76A7">
        <w:rPr>
          <w:rFonts w:ascii="Arial" w:hAnsi="Arial" w:cs="Arial"/>
          <w:color w:val="000000" w:themeColor="text1"/>
          <w:sz w:val="22"/>
          <w:szCs w:val="22"/>
        </w:rPr>
        <w:softHyphen/>
        <w:t>лизуются возможности взаимодействия участников расследования преступления [12]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Некоторые авторы обосновывают необходимость решать в форме так</w:t>
      </w:r>
      <w:r w:rsidRPr="00DA76A7">
        <w:rPr>
          <w:rFonts w:ascii="Arial" w:hAnsi="Arial" w:cs="Arial"/>
          <w:color w:val="000000" w:themeColor="text1"/>
          <w:sz w:val="22"/>
          <w:szCs w:val="22"/>
        </w:rPr>
        <w:softHyphen/>
        <w:t>тической операции задачи, связанные в целом с организацией процесса расследования, с его отдельными ситуациями. Например, Г.Н. Мухин, в качестве такой операции рассматривал «Криминалистическую оценку психического состояния подследственного», В.А. Таланов анализирует особенности взаимодействия органов следствия и дознания при проведе</w:t>
      </w:r>
      <w:r w:rsidRPr="00DA76A7">
        <w:rPr>
          <w:rFonts w:ascii="Arial" w:hAnsi="Arial" w:cs="Arial"/>
          <w:color w:val="000000" w:themeColor="text1"/>
          <w:sz w:val="22"/>
          <w:szCs w:val="22"/>
        </w:rPr>
        <w:softHyphen/>
        <w:t xml:space="preserve">нии тактической операции «Следственный осмотр» по делам об уголовно наказуемых нарушениях авторских прав в области распространения аудио- и видеопродукции [28, 4-12; 37, 30-31].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заметить, что в криминалистике предпринимались попытки и, по нашему мнению, вполне удачные, рассматривать некоторые следст</w:t>
      </w:r>
      <w:r w:rsidRPr="00DA76A7">
        <w:rPr>
          <w:rFonts w:ascii="Arial" w:hAnsi="Arial" w:cs="Arial"/>
          <w:color w:val="000000" w:themeColor="text1"/>
          <w:sz w:val="22"/>
          <w:szCs w:val="22"/>
        </w:rPr>
        <w:softHyphen/>
        <w:t>венные действия в их тактико-криминалистическом понимании, как опе</w:t>
      </w:r>
      <w:r w:rsidRPr="00DA76A7">
        <w:rPr>
          <w:rFonts w:ascii="Arial" w:hAnsi="Arial" w:cs="Arial"/>
          <w:color w:val="000000" w:themeColor="text1"/>
          <w:sz w:val="22"/>
          <w:szCs w:val="22"/>
        </w:rPr>
        <w:softHyphen/>
        <w:t>рации. Примером такой попытки является диссертационное исследование С.Б. Россинского применительно к обыску [33]. Несколько позже с этих пози</w:t>
      </w:r>
      <w:r w:rsidRPr="00DA76A7">
        <w:rPr>
          <w:rFonts w:ascii="Arial" w:hAnsi="Arial" w:cs="Arial"/>
          <w:color w:val="000000" w:themeColor="text1"/>
          <w:sz w:val="22"/>
          <w:szCs w:val="22"/>
        </w:rPr>
        <w:softHyphen/>
        <w:t>ций рассматривали и осмотр места происшествия Е.Ю. Березуцкий, В.С. Мамонов, М.А. Чернышев [5; 27, 79; 39, 95].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порядке обоснования такого подхода к рассмотрению осмотра мес</w:t>
      </w:r>
      <w:r w:rsidRPr="00DA76A7">
        <w:rPr>
          <w:rFonts w:ascii="Arial" w:hAnsi="Arial" w:cs="Arial"/>
          <w:color w:val="000000" w:themeColor="text1"/>
          <w:sz w:val="22"/>
          <w:szCs w:val="22"/>
        </w:rPr>
        <w:softHyphen/>
        <w:t>та происшествия можно обозначить следующие доводы или аргументы.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Во-первых, это негативные тенденции в развитии современной пре</w:t>
      </w:r>
      <w:r w:rsidRPr="00DA76A7">
        <w:rPr>
          <w:rFonts w:ascii="Arial" w:hAnsi="Arial" w:cs="Arial"/>
          <w:color w:val="000000" w:themeColor="text1"/>
          <w:sz w:val="22"/>
          <w:szCs w:val="22"/>
        </w:rPr>
        <w:softHyphen/>
        <w:t>ступности и в способах совершения ею преступлений. Имеются в виду, прежде всего, факты терроризма, бандитизма, убийства по заказу, когда только для обеспечения безопасности участников этого следственного действия осуществляется порой целый комплекс мероприятий, включая силовую поддержку.</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Во-вторых, следующим из первого, явно усложнилась деятельность по раскрытию и расследованию преступлений, тем более, если ей оказыва</w:t>
      </w:r>
      <w:r w:rsidRPr="00DA76A7">
        <w:rPr>
          <w:rFonts w:ascii="Arial" w:hAnsi="Arial" w:cs="Arial"/>
          <w:color w:val="000000" w:themeColor="text1"/>
          <w:sz w:val="22"/>
          <w:szCs w:val="22"/>
        </w:rPr>
        <w:softHyphen/>
        <w:t>ется активное противодействие. В таких условиях содержательная и ста</w:t>
      </w:r>
      <w:r w:rsidRPr="00DA76A7">
        <w:rPr>
          <w:rFonts w:ascii="Arial" w:hAnsi="Arial" w:cs="Arial"/>
          <w:color w:val="000000" w:themeColor="text1"/>
          <w:sz w:val="22"/>
          <w:szCs w:val="22"/>
        </w:rPr>
        <w:softHyphen/>
        <w:t>бильная доказательственная база выступает как важнейший фактор ус</w:t>
      </w:r>
      <w:r w:rsidRPr="00DA76A7">
        <w:rPr>
          <w:rFonts w:ascii="Arial" w:hAnsi="Arial" w:cs="Arial"/>
          <w:color w:val="000000" w:themeColor="text1"/>
          <w:sz w:val="22"/>
          <w:szCs w:val="22"/>
        </w:rPr>
        <w:softHyphen/>
        <w:t>пешной деятельности следователя. А формируется такая база, прежде все</w:t>
      </w:r>
      <w:r w:rsidRPr="00DA76A7">
        <w:rPr>
          <w:rFonts w:ascii="Arial" w:hAnsi="Arial" w:cs="Arial"/>
          <w:color w:val="000000" w:themeColor="text1"/>
          <w:sz w:val="22"/>
          <w:szCs w:val="22"/>
        </w:rPr>
        <w:softHyphen/>
        <w:t>го, начиная с осмотра места происшествия.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В-третьих, разнообразие и сложность отмеченных выше задач, ре</w:t>
      </w:r>
      <w:r w:rsidRPr="00DA76A7">
        <w:rPr>
          <w:rFonts w:ascii="Arial" w:hAnsi="Arial" w:cs="Arial"/>
          <w:color w:val="000000" w:themeColor="text1"/>
          <w:sz w:val="22"/>
          <w:szCs w:val="22"/>
        </w:rPr>
        <w:softHyphen/>
        <w:t>шаемых при осмотре места происшествия, обусловливают необходимость реализации комплекса соответствующих методов и средств, а как следст</w:t>
      </w:r>
      <w:r w:rsidRPr="00DA76A7">
        <w:rPr>
          <w:rFonts w:ascii="Arial" w:hAnsi="Arial" w:cs="Arial"/>
          <w:color w:val="000000" w:themeColor="text1"/>
          <w:sz w:val="22"/>
          <w:szCs w:val="22"/>
        </w:rPr>
        <w:softHyphen/>
        <w:t>вие, участие в их решении сотрудников и специалистов различных профи</w:t>
      </w:r>
      <w:r w:rsidRPr="00DA76A7">
        <w:rPr>
          <w:rFonts w:ascii="Arial" w:hAnsi="Arial" w:cs="Arial"/>
          <w:color w:val="000000" w:themeColor="text1"/>
          <w:sz w:val="22"/>
          <w:szCs w:val="22"/>
        </w:rPr>
        <w:softHyphen/>
        <w:t>лей деятельности [6, 92]. Организовать их работу, в том числе взаимодействие, реализуя организационные и тактические рекомендации в форме «чисто» следственного действия, крайне сложно, если и возможно.</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Наконец, в четвертых, в следственной практике все чаще встречаются (или появляются) ситуации, когда осмотры мест происшествий проводятся довольно длительное время - до нескольких суток [35]. Возникают проблемы, которые приходится решать на управленческом, а не только на организа</w:t>
      </w:r>
      <w:r w:rsidRPr="00DA76A7">
        <w:rPr>
          <w:rFonts w:ascii="Arial" w:hAnsi="Arial" w:cs="Arial"/>
          <w:color w:val="000000" w:themeColor="text1"/>
          <w:sz w:val="22"/>
          <w:szCs w:val="22"/>
        </w:rPr>
        <w:softHyphen/>
        <w:t>ционном уровне. Так, несколько дней подряд продолжался осмотр места происшествия, связанного с убийством 12 человек в станице Кущевской Краснодарского края в 2010 году, как отмечает Ю.В. Ткач. Аналогичная в этом отношении ситуа</w:t>
      </w:r>
      <w:r w:rsidRPr="00DA76A7">
        <w:rPr>
          <w:rFonts w:ascii="Arial" w:hAnsi="Arial" w:cs="Arial"/>
          <w:color w:val="000000" w:themeColor="text1"/>
          <w:sz w:val="22"/>
          <w:szCs w:val="22"/>
        </w:rPr>
        <w:softHyphen/>
        <w:t>ция была при осмотре места пожара на Краснослободском судоремонтном заводе Волгоградской области. При этом к следственно-оперативной группе, в ее традиционном для таких случаев составе (следователь, оперативный работник, специалист-криминалист, специалист пожарного дела) прикрепили сотрудников территориального ОВД, в частности, обес</w:t>
      </w:r>
      <w:r w:rsidRPr="00DA76A7">
        <w:rPr>
          <w:rFonts w:ascii="Arial" w:hAnsi="Arial" w:cs="Arial"/>
          <w:color w:val="000000" w:themeColor="text1"/>
          <w:sz w:val="22"/>
          <w:szCs w:val="22"/>
        </w:rPr>
        <w:softHyphen/>
        <w:t>печивавших круглосуточную охрану места происшествия, следственно-оперативная группа работала по 8 часов в день. Понятые из числа рабочих завода оставались одни и те же, а по договоренности с руководством завода им выплачивалась зара</w:t>
      </w:r>
      <w:r w:rsidRPr="00DA76A7">
        <w:rPr>
          <w:rFonts w:ascii="Arial" w:hAnsi="Arial" w:cs="Arial"/>
          <w:color w:val="000000" w:themeColor="text1"/>
          <w:sz w:val="22"/>
          <w:szCs w:val="22"/>
        </w:rPr>
        <w:softHyphen/>
        <w:t>ботная плата. Поскольку члены следственно-оперативной группы и понятые проживали в Волгограде, пришлось решать вопрос об их питании [38, 86].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Определенные особенности проявились и в тактике осмотра места происшествия. Вся его территория условно была разделена на пять участ</w:t>
      </w:r>
      <w:r w:rsidRPr="00DA76A7">
        <w:rPr>
          <w:rFonts w:ascii="Arial" w:hAnsi="Arial" w:cs="Arial"/>
          <w:color w:val="000000" w:themeColor="text1"/>
          <w:sz w:val="22"/>
          <w:szCs w:val="22"/>
        </w:rPr>
        <w:softHyphen/>
        <w:t>ков, на осмотр каждого из них требовался рабочий день. На месте проис</w:t>
      </w:r>
      <w:r w:rsidRPr="00DA76A7">
        <w:rPr>
          <w:rFonts w:ascii="Arial" w:hAnsi="Arial" w:cs="Arial"/>
          <w:color w:val="000000" w:themeColor="text1"/>
          <w:sz w:val="22"/>
          <w:szCs w:val="22"/>
        </w:rPr>
        <w:softHyphen/>
        <w:t>шествия велись только рабочие записи, затем составлялись схемы, планы, производилась фотосъемка. При этом осмотр осуществлялся от периферии к центру, чтобы минимизировать опасность утраты важных для дела сле</w:t>
      </w:r>
      <w:r w:rsidRPr="00DA76A7">
        <w:rPr>
          <w:rFonts w:ascii="Arial" w:hAnsi="Arial" w:cs="Arial"/>
          <w:color w:val="000000" w:themeColor="text1"/>
          <w:sz w:val="22"/>
          <w:szCs w:val="22"/>
        </w:rPr>
        <w:softHyphen/>
        <w:t>дов, возможно находящихся на окружающей территории. Оперативные работники одновременно выясняли вопросы, касающиеся причины пожа</w:t>
      </w:r>
      <w:r w:rsidRPr="00DA76A7">
        <w:rPr>
          <w:rFonts w:ascii="Arial" w:hAnsi="Arial" w:cs="Arial"/>
          <w:color w:val="000000" w:themeColor="text1"/>
          <w:sz w:val="22"/>
          <w:szCs w:val="22"/>
        </w:rPr>
        <w:softHyphen/>
        <w:t>ра, состояния сохранности ценностей, отношении между руководством за</w:t>
      </w:r>
      <w:r w:rsidRPr="00DA76A7">
        <w:rPr>
          <w:rFonts w:ascii="Arial" w:hAnsi="Arial" w:cs="Arial"/>
          <w:color w:val="000000" w:themeColor="text1"/>
          <w:sz w:val="22"/>
          <w:szCs w:val="22"/>
        </w:rPr>
        <w:softHyphen/>
        <w:t>вода и рабочими, межличностных отношений в коллективе и т.д. В конце рабочего дня подводились итоги работы, проведенной за день, затем удо</w:t>
      </w:r>
      <w:r w:rsidRPr="00DA76A7">
        <w:rPr>
          <w:rFonts w:ascii="Arial" w:hAnsi="Arial" w:cs="Arial"/>
          <w:color w:val="000000" w:themeColor="text1"/>
          <w:sz w:val="22"/>
          <w:szCs w:val="22"/>
        </w:rPr>
        <w:softHyphen/>
        <w:t>стоверялись подписями участников следственно-оперативной группы и понятых. Окончательно прото</w:t>
      </w:r>
      <w:r w:rsidRPr="00DA76A7">
        <w:rPr>
          <w:rFonts w:ascii="Arial" w:hAnsi="Arial" w:cs="Arial"/>
          <w:color w:val="000000" w:themeColor="text1"/>
          <w:sz w:val="22"/>
          <w:szCs w:val="22"/>
        </w:rPr>
        <w:softHyphen/>
        <w:t>кол осмотра оформлялся еще несколько дней в кабинете следователя [38, 86].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Уже формальный перечень возникающих в таких случаях задач, осо</w:t>
      </w:r>
      <w:r w:rsidRPr="00DA76A7">
        <w:rPr>
          <w:rFonts w:ascii="Arial" w:hAnsi="Arial" w:cs="Arial"/>
          <w:color w:val="000000" w:themeColor="text1"/>
          <w:sz w:val="22"/>
          <w:szCs w:val="22"/>
        </w:rPr>
        <w:softHyphen/>
        <w:t>бенностей организационного и тактического обеспечения их решения сви</w:t>
      </w:r>
      <w:r w:rsidRPr="00DA76A7">
        <w:rPr>
          <w:rFonts w:ascii="Arial" w:hAnsi="Arial" w:cs="Arial"/>
          <w:color w:val="000000" w:themeColor="text1"/>
          <w:sz w:val="22"/>
          <w:szCs w:val="22"/>
        </w:rPr>
        <w:softHyphen/>
        <w:t>детельствует, что в рамки обычного следственного действия это не укла</w:t>
      </w:r>
      <w:r w:rsidRPr="00DA76A7">
        <w:rPr>
          <w:rFonts w:ascii="Arial" w:hAnsi="Arial" w:cs="Arial"/>
          <w:color w:val="000000" w:themeColor="text1"/>
          <w:sz w:val="22"/>
          <w:szCs w:val="22"/>
        </w:rPr>
        <w:softHyphen/>
        <w:t>дывается. Тем более что при этом предполагается не только собирание следов преступления, их исследование в целях получения розыскной и до</w:t>
      </w:r>
      <w:r w:rsidRPr="00DA76A7">
        <w:rPr>
          <w:rFonts w:ascii="Arial" w:hAnsi="Arial" w:cs="Arial"/>
          <w:color w:val="000000" w:themeColor="text1"/>
          <w:sz w:val="22"/>
          <w:szCs w:val="22"/>
        </w:rPr>
        <w:softHyphen/>
        <w:t>казательственной информации, но и немедленное использование такой информации в целях раскрытия и расследования преступления.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учетом изложенного, по нашему мнению, тактико</w:t>
      </w:r>
      <w:r w:rsidRPr="00DA76A7">
        <w:rPr>
          <w:rFonts w:ascii="Arial" w:hAnsi="Arial" w:cs="Arial"/>
          <w:color w:val="000000" w:themeColor="text1"/>
          <w:sz w:val="22"/>
          <w:szCs w:val="22"/>
        </w:rPr>
        <w:softHyphen/>
        <w:t>-криминалистическую операцию «осмотр места происшествия» можно представить как систему основанных на законе, согласованных единым планом поисково-исследовательских действий следственно-оперативной группы, направленных на вы</w:t>
      </w:r>
      <w:r w:rsidRPr="00DA76A7">
        <w:rPr>
          <w:rFonts w:ascii="Arial" w:hAnsi="Arial" w:cs="Arial"/>
          <w:color w:val="000000" w:themeColor="text1"/>
          <w:sz w:val="22"/>
          <w:szCs w:val="22"/>
        </w:rPr>
        <w:softHyphen/>
        <w:t>явление обстоятельств преступления, собирание его следов, их предвари</w:t>
      </w:r>
      <w:r w:rsidRPr="00DA76A7">
        <w:rPr>
          <w:rFonts w:ascii="Arial" w:hAnsi="Arial" w:cs="Arial"/>
          <w:color w:val="000000" w:themeColor="text1"/>
          <w:sz w:val="22"/>
          <w:szCs w:val="22"/>
        </w:rPr>
        <w:softHyphen/>
        <w:t>тельное исследование и использование в целях раскрытия и расследования преступления. Соответственно, отмечаются определенные различия в за</w:t>
      </w:r>
      <w:r w:rsidRPr="00DA76A7">
        <w:rPr>
          <w:rFonts w:ascii="Arial" w:hAnsi="Arial" w:cs="Arial"/>
          <w:color w:val="000000" w:themeColor="text1"/>
          <w:sz w:val="22"/>
          <w:szCs w:val="22"/>
        </w:rPr>
        <w:softHyphen/>
        <w:t>дачах осмотра места происшествия, в его содержании и в предъявляемых к нему требованиях.</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с процессуальной точки зрения, осмотр места проис</w:t>
      </w:r>
      <w:r w:rsidRPr="00DA76A7">
        <w:rPr>
          <w:rFonts w:ascii="Arial" w:hAnsi="Arial" w:cs="Arial"/>
          <w:color w:val="000000" w:themeColor="text1"/>
          <w:sz w:val="22"/>
          <w:szCs w:val="22"/>
        </w:rPr>
        <w:softHyphen/>
        <w:t>шествия - одно из следственных действий, которое в определенных ситуа</w:t>
      </w:r>
      <w:r w:rsidRPr="00DA76A7">
        <w:rPr>
          <w:rFonts w:ascii="Arial" w:hAnsi="Arial" w:cs="Arial"/>
          <w:color w:val="000000" w:themeColor="text1"/>
          <w:sz w:val="22"/>
          <w:szCs w:val="22"/>
        </w:rPr>
        <w:softHyphen/>
        <w:t>циях может осуществляться в форме тактико-криминалистической опера</w:t>
      </w:r>
      <w:r w:rsidRPr="00DA76A7">
        <w:rPr>
          <w:rFonts w:ascii="Arial" w:hAnsi="Arial" w:cs="Arial"/>
          <w:color w:val="000000" w:themeColor="text1"/>
          <w:sz w:val="22"/>
          <w:szCs w:val="22"/>
        </w:rPr>
        <w:softHyphen/>
        <w:t>ции, предполагающей реализацию как процессуальных (гласных), так и непроцессуальных (негласных) возможностей правоохранительных орга</w:t>
      </w:r>
      <w:r w:rsidRPr="00DA76A7">
        <w:rPr>
          <w:rFonts w:ascii="Arial" w:hAnsi="Arial" w:cs="Arial"/>
          <w:color w:val="000000" w:themeColor="text1"/>
          <w:sz w:val="22"/>
          <w:szCs w:val="22"/>
        </w:rPr>
        <w:softHyphen/>
        <w:t>нов, а также использование научно-технических (криминалистических) методов и средств. Этим предопределяется состав следственно</w:t>
      </w:r>
      <w:r w:rsidRPr="00DA76A7">
        <w:rPr>
          <w:rFonts w:ascii="Arial" w:hAnsi="Arial" w:cs="Arial"/>
          <w:color w:val="000000" w:themeColor="text1"/>
          <w:sz w:val="22"/>
          <w:szCs w:val="22"/>
        </w:rPr>
        <w:softHyphen/>
        <w:t>оперативной группы, производящей осмотр места происшествия, ее задачи и особенности организации ее деятельности. По существу, на месте про</w:t>
      </w:r>
      <w:r w:rsidRPr="00DA76A7">
        <w:rPr>
          <w:rFonts w:ascii="Arial" w:hAnsi="Arial" w:cs="Arial"/>
          <w:color w:val="000000" w:themeColor="text1"/>
          <w:sz w:val="22"/>
          <w:szCs w:val="22"/>
        </w:rPr>
        <w:softHyphen/>
        <w:t>исшествия осуществляется комплексная по своему содержанию, поисково-исследовательская деятельность, в которой реализуются требования уго</w:t>
      </w:r>
      <w:r w:rsidRPr="00DA76A7">
        <w:rPr>
          <w:rFonts w:ascii="Arial" w:hAnsi="Arial" w:cs="Arial"/>
          <w:color w:val="000000" w:themeColor="text1"/>
          <w:sz w:val="22"/>
          <w:szCs w:val="22"/>
        </w:rPr>
        <w:softHyphen/>
        <w:t>ловно-процессуального закона по отношению не только к отдельно взято</w:t>
      </w:r>
      <w:r w:rsidRPr="00DA76A7">
        <w:rPr>
          <w:rFonts w:ascii="Arial" w:hAnsi="Arial" w:cs="Arial"/>
          <w:color w:val="000000" w:themeColor="text1"/>
          <w:sz w:val="22"/>
          <w:szCs w:val="22"/>
        </w:rPr>
        <w:softHyphen/>
        <w:t>му следственному действию (осмотру), но и к конечной цели в целом рас</w:t>
      </w:r>
      <w:r w:rsidRPr="00DA76A7">
        <w:rPr>
          <w:rFonts w:ascii="Arial" w:hAnsi="Arial" w:cs="Arial"/>
          <w:color w:val="000000" w:themeColor="text1"/>
          <w:sz w:val="22"/>
          <w:szCs w:val="22"/>
        </w:rPr>
        <w:softHyphen/>
        <w:t xml:space="preserve">следования преступления. </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shd w:val="clear" w:color="auto" w:fill="FFFFFF"/>
        </w:rPr>
        <w:t>Уголовно-процессуальный кодекс Республики Таджикистан от 3 декабря 2009 г. № 564 (ред. от 24 февраля 2017 г.)</w:t>
      </w:r>
      <w:r w:rsidRPr="00DA76A7">
        <w:rPr>
          <w:rFonts w:ascii="Arial" w:hAnsi="Arial" w:cs="Arial"/>
          <w:color w:val="000000" w:themeColor="text1"/>
        </w:rPr>
        <w:t xml:space="preserve"> </w:t>
      </w:r>
      <w:r w:rsidRPr="00DA76A7">
        <w:rPr>
          <w:rStyle w:val="s8"/>
          <w:rFonts w:ascii="Arial" w:hAnsi="Arial" w:cs="Arial"/>
          <w:color w:val="000000" w:themeColor="text1"/>
        </w:rPr>
        <w:t>[Электронный ресурс]</w:t>
      </w:r>
      <w:r w:rsidRPr="00DA76A7">
        <w:rPr>
          <w:rFonts w:ascii="Arial" w:hAnsi="Arial" w:cs="Arial"/>
          <w:color w:val="000000" w:themeColor="text1"/>
        </w:rPr>
        <w:t xml:space="preserve"> // Официальный интернет-портал правовой информации – Режим доступа: http://www.</w:t>
      </w:r>
      <w:r w:rsidRPr="00DA76A7">
        <w:rPr>
          <w:rFonts w:ascii="Arial" w:hAnsi="Arial" w:cs="Arial"/>
          <w:color w:val="000000" w:themeColor="text1"/>
          <w:lang w:val="en-US"/>
        </w:rPr>
        <w:t>mmk</w:t>
      </w:r>
      <w:r w:rsidRPr="00DA76A7">
        <w:rPr>
          <w:rFonts w:ascii="Arial" w:hAnsi="Arial" w:cs="Arial"/>
          <w:color w:val="000000" w:themeColor="text1"/>
        </w:rPr>
        <w:t>.</w:t>
      </w:r>
      <w:r w:rsidRPr="00DA76A7">
        <w:rPr>
          <w:rFonts w:ascii="Arial" w:hAnsi="Arial" w:cs="Arial"/>
          <w:color w:val="000000" w:themeColor="text1"/>
          <w:lang w:val="en-US"/>
        </w:rPr>
        <w:t>tj</w:t>
      </w:r>
      <w:r w:rsidRPr="00DA76A7">
        <w:rPr>
          <w:rFonts w:ascii="Arial" w:hAnsi="Arial" w:cs="Arial"/>
          <w:color w:val="000000" w:themeColor="text1"/>
        </w:rPr>
        <w:t>.</w:t>
      </w:r>
      <w:r w:rsidRPr="00DA76A7">
        <w:rPr>
          <w:rFonts w:ascii="Arial" w:hAnsi="Arial" w:cs="Arial"/>
          <w:color w:val="000000" w:themeColor="text1"/>
          <w:shd w:val="clear" w:color="auto" w:fill="FFFFFF"/>
        </w:rPr>
        <w:t xml:space="preserve"> (дата обращения:</w:t>
      </w:r>
      <w:r w:rsidRPr="00DA76A7">
        <w:rPr>
          <w:rStyle w:val="apple-converted-space"/>
          <w:rFonts w:ascii="Arial" w:hAnsi="Arial" w:cs="Arial"/>
          <w:color w:val="000000" w:themeColor="text1"/>
        </w:rPr>
        <w:t xml:space="preserve"> </w:t>
      </w:r>
      <w:r w:rsidRPr="00DA76A7">
        <w:rPr>
          <w:rFonts w:ascii="Arial" w:hAnsi="Arial" w:cs="Arial"/>
          <w:color w:val="000000" w:themeColor="text1"/>
        </w:rPr>
        <w:t>18.10.2017).</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Уголовно-процессуальный кодекс Таджикской ССР </w:t>
      </w:r>
      <w:smartTag w:uri="urn:schemas-microsoft-com:office:smarttags" w:element="metricconverter">
        <w:smartTagPr>
          <w:attr w:name="ProductID" w:val="1961 г"/>
        </w:smartTagPr>
        <w:r w:rsidRPr="00DA76A7">
          <w:rPr>
            <w:rFonts w:ascii="Arial" w:hAnsi="Arial" w:cs="Arial"/>
            <w:color w:val="000000" w:themeColor="text1"/>
          </w:rPr>
          <w:t>1961 г</w:t>
        </w:r>
      </w:smartTag>
      <w:r w:rsidRPr="00DA76A7">
        <w:rPr>
          <w:rFonts w:ascii="Arial" w:hAnsi="Arial" w:cs="Arial"/>
          <w:color w:val="000000" w:themeColor="text1"/>
        </w:rPr>
        <w:t xml:space="preserve">. (в редакции Законов от 20 марта </w:t>
      </w:r>
      <w:smartTag w:uri="urn:schemas-microsoft-com:office:smarttags" w:element="metricconverter">
        <w:smartTagPr>
          <w:attr w:name="ProductID" w:val="2008 г"/>
        </w:smartTagPr>
        <w:r w:rsidRPr="00DA76A7">
          <w:rPr>
            <w:rFonts w:ascii="Arial" w:hAnsi="Arial" w:cs="Arial"/>
            <w:color w:val="000000" w:themeColor="text1"/>
          </w:rPr>
          <w:t>2008 г</w:t>
        </w:r>
      </w:smartTag>
      <w:r w:rsidRPr="00DA76A7">
        <w:rPr>
          <w:rFonts w:ascii="Arial" w:hAnsi="Arial" w:cs="Arial"/>
          <w:color w:val="000000" w:themeColor="text1"/>
        </w:rPr>
        <w:t>. № 366) // газета «Джумхурият». - 2008. - 30 марта.</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Об оперативно-розыскной деятельности: Закон Республики Таджикистан от 25 марта 2011 г. № 687 (ред. от 18 июля 2017 г.)</w:t>
      </w:r>
      <w:r w:rsidRPr="00DA76A7">
        <w:rPr>
          <w:rFonts w:ascii="Arial" w:hAnsi="Arial" w:cs="Arial"/>
          <w:color w:val="000000" w:themeColor="text1"/>
          <w:sz w:val="22"/>
          <w:szCs w:val="22"/>
        </w:rPr>
        <w:t xml:space="preserve"> </w:t>
      </w:r>
      <w:r w:rsidRPr="00DA76A7">
        <w:rPr>
          <w:rStyle w:val="s8"/>
          <w:rFonts w:ascii="Arial" w:hAnsi="Arial" w:cs="Arial"/>
          <w:color w:val="000000" w:themeColor="text1"/>
          <w:sz w:val="22"/>
          <w:szCs w:val="22"/>
        </w:rPr>
        <w:t>[Электронный ресурс]</w:t>
      </w:r>
      <w:r w:rsidRPr="00DA76A7">
        <w:rPr>
          <w:rFonts w:ascii="Arial" w:hAnsi="Arial" w:cs="Arial"/>
          <w:color w:val="000000" w:themeColor="text1"/>
          <w:sz w:val="22"/>
          <w:szCs w:val="22"/>
        </w:rPr>
        <w:t xml:space="preserve"> // Официальный интернет-портал правовой информации – Режим доступа: http://www.</w:t>
      </w:r>
      <w:r w:rsidRPr="00DA76A7">
        <w:rPr>
          <w:rFonts w:ascii="Arial" w:hAnsi="Arial" w:cs="Arial"/>
          <w:color w:val="000000" w:themeColor="text1"/>
          <w:sz w:val="22"/>
          <w:szCs w:val="22"/>
          <w:lang w:val="en-US"/>
        </w:rPr>
        <w:t>mmk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tj</w:t>
      </w:r>
      <w:r w:rsidRPr="00DA76A7">
        <w:rPr>
          <w:rFonts w:ascii="Arial" w:hAnsi="Arial" w:cs="Arial"/>
          <w:color w:val="000000" w:themeColor="text1"/>
          <w:sz w:val="22"/>
          <w:szCs w:val="22"/>
        </w:rPr>
        <w:t>.</w:t>
      </w:r>
      <w:r w:rsidRPr="00DA76A7">
        <w:rPr>
          <w:rFonts w:ascii="Arial" w:hAnsi="Arial" w:cs="Arial"/>
          <w:color w:val="000000" w:themeColor="text1"/>
          <w:sz w:val="22"/>
          <w:szCs w:val="22"/>
          <w:shd w:val="clear" w:color="auto" w:fill="FFFFFF"/>
        </w:rPr>
        <w:t xml:space="preserve"> (дата обращения:</w:t>
      </w:r>
      <w:r w:rsidRPr="00DA76A7">
        <w:rPr>
          <w:rStyle w:val="apple-converted-space"/>
          <w:rFonts w:ascii="Arial" w:hAnsi="Arial" w:cs="Arial"/>
          <w:color w:val="000000" w:themeColor="text1"/>
          <w:sz w:val="22"/>
          <w:szCs w:val="22"/>
        </w:rPr>
        <w:t xml:space="preserve"> </w:t>
      </w:r>
      <w:r w:rsidRPr="00DA76A7">
        <w:rPr>
          <w:rFonts w:ascii="Arial" w:hAnsi="Arial" w:cs="Arial"/>
          <w:color w:val="000000" w:themeColor="text1"/>
          <w:sz w:val="22"/>
          <w:szCs w:val="22"/>
        </w:rPr>
        <w:t>18.10.2017).</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Сведения о деятельности Следственного комитета Российской Федерации за январь-июнь 2017 года </w:t>
      </w:r>
      <w:r w:rsidRPr="00DA76A7">
        <w:rPr>
          <w:rStyle w:val="s8"/>
          <w:rFonts w:ascii="Arial" w:hAnsi="Arial" w:cs="Arial"/>
          <w:color w:val="000000" w:themeColor="text1"/>
        </w:rPr>
        <w:t>[Электронный ресурс]</w:t>
      </w:r>
      <w:r w:rsidRPr="00DA76A7">
        <w:rPr>
          <w:rFonts w:ascii="Arial" w:hAnsi="Arial" w:cs="Arial"/>
          <w:color w:val="000000" w:themeColor="text1"/>
        </w:rPr>
        <w:t xml:space="preserve"> // Официальный интернет-портал Следственного комитета Российской Федерации – Режим доступа: http://www.</w:t>
      </w:r>
      <w:r w:rsidRPr="00DA76A7">
        <w:rPr>
          <w:rFonts w:ascii="Arial" w:hAnsi="Arial" w:cs="Arial"/>
          <w:color w:val="000000" w:themeColor="text1"/>
          <w:lang w:val="en-US"/>
        </w:rPr>
        <w:t>sledcom</w:t>
      </w:r>
      <w:r w:rsidRPr="00DA76A7">
        <w:rPr>
          <w:rFonts w:ascii="Arial" w:hAnsi="Arial" w:cs="Arial"/>
          <w:color w:val="000000" w:themeColor="text1"/>
        </w:rPr>
        <w:t>.</w:t>
      </w:r>
      <w:r w:rsidRPr="00DA76A7">
        <w:rPr>
          <w:rFonts w:ascii="Arial" w:hAnsi="Arial" w:cs="Arial"/>
          <w:color w:val="000000" w:themeColor="text1"/>
          <w:lang w:val="en-US"/>
        </w:rPr>
        <w:t>ru</w:t>
      </w:r>
      <w:r w:rsidRPr="00DA76A7">
        <w:rPr>
          <w:rFonts w:ascii="Arial" w:hAnsi="Arial" w:cs="Arial"/>
          <w:color w:val="000000" w:themeColor="text1"/>
        </w:rPr>
        <w:t>.</w:t>
      </w:r>
      <w:r w:rsidRPr="00DA76A7">
        <w:rPr>
          <w:rFonts w:ascii="Arial" w:hAnsi="Arial" w:cs="Arial"/>
          <w:color w:val="000000" w:themeColor="text1"/>
          <w:shd w:val="clear" w:color="auto" w:fill="FFFFFF"/>
        </w:rPr>
        <w:t xml:space="preserve"> (дата обращения:</w:t>
      </w:r>
      <w:r w:rsidRPr="00DA76A7">
        <w:rPr>
          <w:rStyle w:val="apple-converted-space"/>
          <w:rFonts w:ascii="Arial" w:hAnsi="Arial" w:cs="Arial"/>
          <w:color w:val="000000" w:themeColor="text1"/>
        </w:rPr>
        <w:t xml:space="preserve"> </w:t>
      </w:r>
      <w:r w:rsidRPr="00DA76A7">
        <w:rPr>
          <w:rFonts w:ascii="Arial" w:hAnsi="Arial" w:cs="Arial"/>
          <w:color w:val="000000" w:themeColor="text1"/>
        </w:rPr>
        <w:t>18.10.2017).</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Березуцкий Е.Ю. Исследование места происшествия - криминалистическая операция: некоторые вопросы теории и практики. - Иркутск: ГИУ, 2001. – 168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Березуцкий Е.Ю. Исследование места убийства - криминалистическая операция: некоторые вопросы теории и практики. – Иркутск: ГИУ, 2001. – 214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Васильев А.Н. Осмотр места происшествия. - М.: Изд. Юрид. литературы, 1960. – 318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Винницкий Л.В. Совершенствование качества осмотров места происшествия - важное условие повышения уровня расследования преступлений // Повышение эффективности использования технико-криминалистичеких и тактико</w:t>
      </w:r>
      <w:r w:rsidRPr="00DA76A7">
        <w:rPr>
          <w:rFonts w:ascii="Arial" w:hAnsi="Arial" w:cs="Arial"/>
          <w:color w:val="000000" w:themeColor="text1"/>
          <w:sz w:val="22"/>
          <w:szCs w:val="22"/>
        </w:rPr>
        <w:softHyphen/>
        <w:t>криминалистических средств и методов на первоначальном этапе расследования. - Караганда, 1992. – С. 18-29.</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Гайфулин И.Р. Тактическая операция установление личности неизвестного преступника // Южно-Уральские криминалистические чтения. - Уфа, 2001. - Вып. 9. - С. 40-47</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Головин А.Ю. Понятие и классификация тактических комбинаций (операций) // Известия Тульского Гос. ун-та. Серия: Современные проблемы законодательства России, юридических наук и правоохранительной деятельности. - Тула: Тул ГУ, 2000. - Вып. 5. - С. 45-51</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Дулов А.В. О разработке тактических операций при расследовании преступлений // 50 лет советской прокуратуры и проблемы совершенствования предварительного следствия. - Л., 1972. – С. 24-32.</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Дулов А.В. Тактические операции при расследовании преступлений: монография. - Минск, 1979. – 168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Иванов Л.А. Место происшествия как объект экспертного исследования // Актуальные проблемы отраслевых юридических наук. - Саратов, 1982. - С. 175-179 </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Ильин А.Н. Тактика предварительной проверки сообщений о преступлении: дис. канд. юрид. наук. - М.: Акад. упр. МВД РФ, 2009. – 167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Ищенко Е.П. К вопросу о понятии структуре тактической операции // Тактические операции и эффективность расследования. - Свердловск, 1986. - С. 40-48</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Ищенко Е.П. Проблемы первоначального этапа расследования преступлений. - Красноярск, 1987. – 180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Криминалистика / А.И. Винберг. - М.: ВЮА, 1950. - Вып. 2. – 348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Криминалистика: учебник / под ред А.И. Винберг, С.П. Митречев. - М.: Госюриздат, 1950. – 618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Криминалистика: учебник / под ред. А.Ф. Волынского, В.П. Лаврова. - М.: ЮНИТИ. Закон и право, 2009. – 542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Криминалистика: учебник / отв. ред С.А. Голунский. - М.: Госюриздат, 1959. – 480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Криминалистика: учебник / отв. ред.: С.П. Митричев, М.П. Шаламов. - М.: Изд-во Юрид. литер., 1963. – 524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Криминалистика: учебник / отв. ред И.Ф. Крылов. - Л.: Изд-во ЛГУ, 1976. – 420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Криминалистика: учебник / под ред. А.Ф. Пантелеева, Н.А. Селиванова. - М.: Изд-во Юрид. литер., 1988. – 536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Криминалистика: учебник / под ред. А.Г.Филиппова. - М.: Высшее образ., 2009. – 512 с. </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Криминалистика: учебник / под ред. Н.П. Яблокова. - М.: Изд-во Юрист, 2005. – 654 с. </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Криминалистика: учебник. - СПб.: СПбГУ, 2000. – 786 с. </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Мамонов В.С. Уголовно-процессуальные и криминалистические аспекты осмотра места происшествия в современных условиях: дис. канд. юрид. наук. - Саратов, 2007. – 160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Мухин Г.Н. Тактическая операция «Криминалистическая оценка психического состояния подследственного» // Вестник криминалистики. - М., 2004. - Вып. 3 (11). - С. 4-12.</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Парфёнов А.А. Актуальные проблемы осмотра места происшествия и перспективы их решения / А.А. Парфёнов // Организация предварительного расследования. Проблемы и перспективы: материалы Междунар. науч.-практич. конф. (Москва, 20 ноября 2015 г.) / под ред. А.И. Бастрыкина. М.: ЮНИТИ-ДАНА, 2015. - С. 263-268</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Парфёнов А.А. Генезис и эволюция учения криминалистики о месте происшествия, как средстве получения доказательств в уголовном процессе // Актуальные проблемы юридических наук: теория и практика. Материалы Международной научно-практической конференции, посвященной 25-летию независимости РТ и 20-летию РТСУ (Душанбе, 27-28 октября 2016 г.). - Душанбе: РТСУ, 2016. - С. 312-320</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Попов В.И. Осмотр места происшествия. - Алма-Ата: Казгосиздат, 1956. – 212 с.</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Рассейкин Д.П. Осмотр места происшествия и трупа при расследовании убийств. - Саратов: Приволж. Книж. Изд-во, 1967. – 378 с.</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Россинский С.Б. Производство обыска в форме специальной операции: дис. канд. юрид. наук. - М., 2002. – 184 с.</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Следственный осмотр: учебное пособие. - М.: ВШ МВД СССР, 1957. – 289 с.</w:t>
      </w:r>
    </w:p>
    <w:p w:rsidR="00592BC2" w:rsidRPr="00DA76A7" w:rsidRDefault="00592BC2" w:rsidP="00D45D6B">
      <w:pPr>
        <w:pStyle w:val="af2"/>
        <w:numPr>
          <w:ilvl w:val="0"/>
          <w:numId w:val="132"/>
        </w:numPr>
        <w:tabs>
          <w:tab w:val="left" w:pos="993"/>
        </w:tabs>
        <w:ind w:left="0" w:firstLine="567"/>
        <w:rPr>
          <w:rFonts w:ascii="Arial" w:hAnsi="Arial" w:cs="Arial"/>
          <w:color w:val="000000" w:themeColor="text1"/>
          <w:sz w:val="22"/>
          <w:szCs w:val="22"/>
        </w:rPr>
      </w:pPr>
      <w:r w:rsidRPr="00DA76A7">
        <w:rPr>
          <w:rFonts w:ascii="Arial" w:hAnsi="Arial" w:cs="Arial"/>
          <w:color w:val="000000" w:themeColor="text1"/>
          <w:sz w:val="22"/>
          <w:szCs w:val="22"/>
        </w:rPr>
        <w:t>Следствием установлено / Под ред. А.И. Бастрыкина. - 2017. - № 1. – 316 с.</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Солонец С.А. Эффективность осмотра места происшествия и его роль в раскрытии и расследовании преступлений. - Минск, 1989. – 214 с.</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Таланов В.А. Взаимодействие органов следствия и дознания при проведении тактической операции «Следственный осмотр» по делам об уголовно наказуемых нарушениях авторских прав в области распространения аудио</w:t>
      </w:r>
      <w:r w:rsidRPr="00DA76A7">
        <w:rPr>
          <w:rFonts w:ascii="Arial" w:hAnsi="Arial" w:cs="Arial"/>
          <w:color w:val="000000" w:themeColor="text1"/>
        </w:rPr>
        <w:softHyphen/>
        <w:t>видеопродукции // Следователь. - 2003. - № 2 (58). – С. 30-39.</w:t>
      </w:r>
    </w:p>
    <w:p w:rsidR="00592BC2" w:rsidRPr="00DA76A7" w:rsidRDefault="00592BC2" w:rsidP="00D45D6B">
      <w:pPr>
        <w:pStyle w:val="a6"/>
        <w:numPr>
          <w:ilvl w:val="0"/>
          <w:numId w:val="132"/>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Ткач В.Ю. Место происшествия как объект криминалистического исследования (проблемы научно-технического и организационного обеспечения): дис. канд. юрид. наук. - М., 2014. – 180 с.</w:t>
      </w:r>
    </w:p>
    <w:p w:rsidR="00592BC2" w:rsidRPr="00DA76A7" w:rsidRDefault="00592BC2" w:rsidP="00D45D6B">
      <w:pPr>
        <w:pStyle w:val="af2"/>
        <w:numPr>
          <w:ilvl w:val="0"/>
          <w:numId w:val="132"/>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Чернышев М.А. Осмотр места происшествия как базовая тактическая операция: дис. канд. юрид. наук. - Курск, 2008. – 174 с.</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tabs>
          <w:tab w:val="left" w:pos="1418"/>
        </w:tabs>
        <w:ind w:firstLine="567"/>
        <w:jc w:val="center"/>
        <w:rPr>
          <w:rFonts w:ascii="Arial" w:hAnsi="Arial" w:cs="Arial"/>
          <w:b/>
          <w:color w:val="000000" w:themeColor="text1"/>
          <w:sz w:val="22"/>
          <w:szCs w:val="22"/>
        </w:rPr>
      </w:pPr>
    </w:p>
    <w:p w:rsidR="00592BC2" w:rsidRPr="00DA76A7" w:rsidRDefault="00592BC2" w:rsidP="00592BC2">
      <w:pPr>
        <w:tabs>
          <w:tab w:val="left" w:pos="1418"/>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ДОСТОИНСТА И</w:t>
      </w:r>
      <w:r w:rsidR="002A5E41" w:rsidRPr="00DA76A7">
        <w:rPr>
          <w:rFonts w:ascii="Arial" w:hAnsi="Arial" w:cs="Arial"/>
          <w:b/>
          <w:color w:val="000000" w:themeColor="text1"/>
          <w:sz w:val="22"/>
          <w:szCs w:val="22"/>
        </w:rPr>
        <w:t>НСТИТУТА РЕАБИЛИТАЦИИ В КИРГИЗСКОЙ РЕСПУБЛИКЕ</w:t>
      </w:r>
      <w:r w:rsidRPr="00DA76A7">
        <w:rPr>
          <w:rFonts w:ascii="Arial" w:hAnsi="Arial" w:cs="Arial"/>
          <w:b/>
          <w:color w:val="000000" w:themeColor="text1"/>
          <w:sz w:val="22"/>
          <w:szCs w:val="22"/>
        </w:rPr>
        <w:t xml:space="preserve"> И ТАДЖИКИСТАНЕ</w:t>
      </w:r>
    </w:p>
    <w:p w:rsidR="00592BC2" w:rsidRPr="00DA76A7" w:rsidRDefault="00592BC2" w:rsidP="00592BC2">
      <w:pPr>
        <w:tabs>
          <w:tab w:val="left" w:pos="1418"/>
        </w:tabs>
        <w:ind w:firstLine="567"/>
        <w:jc w:val="center"/>
        <w:rPr>
          <w:rFonts w:ascii="Arial" w:hAnsi="Arial" w:cs="Arial"/>
          <w:b/>
          <w:color w:val="000000" w:themeColor="text1"/>
          <w:sz w:val="22"/>
          <w:szCs w:val="22"/>
        </w:rPr>
      </w:pPr>
    </w:p>
    <w:p w:rsidR="00592BC2" w:rsidRPr="00DA76A7" w:rsidRDefault="00592BC2" w:rsidP="00592BC2">
      <w:pPr>
        <w:tabs>
          <w:tab w:val="left" w:pos="1418"/>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Поричук Галина Викторовна</w:t>
      </w:r>
    </w:p>
    <w:p w:rsidR="00592BC2" w:rsidRPr="00DA76A7" w:rsidRDefault="00592BC2" w:rsidP="00592BC2">
      <w:pPr>
        <w:tabs>
          <w:tab w:val="left" w:pos="1418"/>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студентка 4-го курса очного отделения Института права </w:t>
      </w:r>
    </w:p>
    <w:p w:rsidR="00592BC2" w:rsidRPr="00DA76A7" w:rsidRDefault="00592BC2" w:rsidP="00592BC2">
      <w:pPr>
        <w:tabs>
          <w:tab w:val="left" w:pos="1418"/>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Владивостокский государственный университет экономики и сервиса</w:t>
      </w:r>
    </w:p>
    <w:p w:rsidR="00592BC2" w:rsidRPr="00DA76A7" w:rsidRDefault="00592BC2" w:rsidP="00592BC2">
      <w:pPr>
        <w:tabs>
          <w:tab w:val="left" w:pos="1418"/>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692561, Российская Федерация, Приморский край, Октябрьский район, с. Покровка, пер. Рабочий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 xml:space="preserve">. 3, </w:t>
      </w:r>
      <w:r w:rsidRPr="00DA76A7">
        <w:rPr>
          <w:rFonts w:ascii="Arial" w:hAnsi="Arial" w:cs="Arial"/>
          <w:color w:val="000000" w:themeColor="text1"/>
          <w:sz w:val="22"/>
          <w:szCs w:val="22"/>
        </w:rPr>
        <w:t>кв</w:t>
      </w:r>
      <w:r w:rsidRPr="00DA76A7">
        <w:rPr>
          <w:rFonts w:ascii="Arial" w:hAnsi="Arial" w:cs="Arial"/>
          <w:color w:val="000000" w:themeColor="text1"/>
          <w:sz w:val="22"/>
          <w:szCs w:val="22"/>
          <w:lang w:val="en-US"/>
        </w:rPr>
        <w:t>. 10</w:t>
      </w:r>
    </w:p>
    <w:p w:rsidR="00592BC2" w:rsidRPr="00DA76A7" w:rsidRDefault="00592BC2" w:rsidP="00592BC2">
      <w:pPr>
        <w:tabs>
          <w:tab w:val="left" w:pos="1418"/>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8-924-337-43-53,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318" w:history="1">
        <w:r w:rsidRPr="00DA76A7">
          <w:rPr>
            <w:rStyle w:val="af0"/>
            <w:rFonts w:ascii="Arial" w:hAnsi="Arial" w:cs="Arial"/>
            <w:color w:val="000000" w:themeColor="text1"/>
            <w:sz w:val="22"/>
            <w:szCs w:val="22"/>
            <w:u w:val="none"/>
            <w:lang w:val="en-US"/>
          </w:rPr>
          <w:t>galina.porichuk@mail.ru</w:t>
        </w:r>
      </w:hyperlink>
    </w:p>
    <w:p w:rsidR="00592BC2" w:rsidRPr="00DA76A7" w:rsidRDefault="00592BC2" w:rsidP="00592BC2">
      <w:pPr>
        <w:tabs>
          <w:tab w:val="left" w:pos="1418"/>
        </w:tabs>
        <w:ind w:firstLine="567"/>
        <w:jc w:val="center"/>
        <w:rPr>
          <w:rFonts w:ascii="Arial" w:hAnsi="Arial" w:cs="Arial"/>
          <w:color w:val="000000" w:themeColor="text1"/>
          <w:sz w:val="22"/>
          <w:szCs w:val="22"/>
          <w:lang w:val="en-US"/>
        </w:rPr>
      </w:pPr>
    </w:p>
    <w:p w:rsidR="002A5E41" w:rsidRPr="00DA76A7" w:rsidRDefault="00592BC2" w:rsidP="002A5E41">
      <w:pPr>
        <w:pStyle w:val="HTML"/>
        <w:shd w:val="clear" w:color="auto" w:fill="FFFFFF"/>
        <w:jc w:val="both"/>
        <w:rPr>
          <w:rFonts w:ascii="Arial" w:hAnsi="Arial" w:cs="Arial"/>
          <w:color w:val="000000" w:themeColor="text1"/>
          <w:lang w:val="en-US"/>
        </w:rPr>
      </w:pPr>
      <w:r w:rsidRPr="00DA76A7">
        <w:rPr>
          <w:rFonts w:ascii="Arial" w:hAnsi="Arial" w:cs="Arial"/>
          <w:b/>
          <w:color w:val="000000" w:themeColor="text1"/>
          <w:sz w:val="22"/>
          <w:szCs w:val="22"/>
          <w:lang w:val="en-US"/>
        </w:rPr>
        <w:t xml:space="preserve">ADVANTAGES OF THE REHABILITATION INSTITUTE IN </w:t>
      </w:r>
      <w:r w:rsidR="002A5E41" w:rsidRPr="005D1C4B">
        <w:rPr>
          <w:rFonts w:ascii="Arial" w:hAnsi="Arial" w:cs="Arial"/>
          <w:b/>
          <w:color w:val="000000" w:themeColor="text1"/>
          <w:sz w:val="22"/>
          <w:szCs w:val="22"/>
          <w:lang w:val="en-US"/>
        </w:rPr>
        <w:t>THE KYRGYZ REPUBLIC</w:t>
      </w:r>
    </w:p>
    <w:p w:rsidR="00592BC2" w:rsidRPr="00DA76A7" w:rsidRDefault="00592BC2" w:rsidP="00592BC2">
      <w:pPr>
        <w:tabs>
          <w:tab w:val="left" w:pos="1418"/>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 AND TADJIKISTAN</w:t>
      </w:r>
    </w:p>
    <w:p w:rsidR="00592BC2" w:rsidRPr="00DA76A7" w:rsidRDefault="00592BC2" w:rsidP="00592BC2">
      <w:pPr>
        <w:tabs>
          <w:tab w:val="left" w:pos="1418"/>
        </w:tabs>
        <w:ind w:firstLine="567"/>
        <w:jc w:val="both"/>
        <w:rPr>
          <w:rFonts w:ascii="Arial" w:hAnsi="Arial" w:cs="Arial"/>
          <w:b/>
          <w:color w:val="000000" w:themeColor="text1"/>
          <w:sz w:val="22"/>
          <w:szCs w:val="22"/>
          <w:lang w:val="en-US"/>
        </w:rPr>
      </w:pPr>
    </w:p>
    <w:p w:rsidR="00592BC2" w:rsidRPr="00DA76A7" w:rsidRDefault="00592BC2" w:rsidP="00592BC2">
      <w:pPr>
        <w:tabs>
          <w:tab w:val="left" w:pos="1418"/>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Porichuk Galina Viktorovna</w:t>
      </w:r>
    </w:p>
    <w:p w:rsidR="00592BC2" w:rsidRPr="00DA76A7" w:rsidRDefault="00592BC2" w:rsidP="00592BC2">
      <w:pPr>
        <w:tabs>
          <w:tab w:val="left" w:pos="1418"/>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student of 4-year course full-time department of the Institute of law </w:t>
      </w:r>
    </w:p>
    <w:p w:rsidR="00592BC2" w:rsidRPr="00DA76A7" w:rsidRDefault="00592BC2" w:rsidP="00592BC2">
      <w:pPr>
        <w:tabs>
          <w:tab w:val="left" w:pos="1418"/>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Vladivostok state University of Economics and service</w:t>
      </w:r>
    </w:p>
    <w:p w:rsidR="00592BC2" w:rsidRPr="00DA76A7" w:rsidRDefault="00592BC2" w:rsidP="00592BC2">
      <w:pPr>
        <w:tabs>
          <w:tab w:val="left" w:pos="1418"/>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692561, Russian Federation, Primorsky Krai, Oktyabrsky district, Pokrovka village, Rabochiy lane, d. 3, kV. 10</w:t>
      </w:r>
    </w:p>
    <w:p w:rsidR="00592BC2" w:rsidRPr="00DA76A7" w:rsidRDefault="00592BC2" w:rsidP="00592BC2">
      <w:pPr>
        <w:tabs>
          <w:tab w:val="left" w:pos="1418"/>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+ 7-924-337-43-53,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319" w:history="1">
        <w:r w:rsidRPr="00DA76A7">
          <w:rPr>
            <w:rStyle w:val="af0"/>
            <w:rFonts w:ascii="Arial" w:hAnsi="Arial" w:cs="Arial"/>
            <w:color w:val="000000" w:themeColor="text1"/>
            <w:sz w:val="22"/>
            <w:szCs w:val="22"/>
            <w:u w:val="none"/>
            <w:lang w:val="en-US"/>
          </w:rPr>
          <w:t>galina.porichuk@mail.ru</w:t>
        </w:r>
      </w:hyperlink>
    </w:p>
    <w:p w:rsidR="00592BC2" w:rsidRPr="00DA76A7" w:rsidRDefault="00592BC2" w:rsidP="00592BC2">
      <w:pPr>
        <w:tabs>
          <w:tab w:val="left" w:pos="1418"/>
        </w:tabs>
        <w:ind w:firstLine="567"/>
        <w:jc w:val="center"/>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анализируется институт реабилитации в Кыргызской Республике и Республике Таджикистан. На основании анализа указанного института в уголовно-процессуальных кодексах Киргизии и Таджикистана автор с целью совершенствования института реабилитации в Российской Федерации предлагает внести ряд изменений в главу 18 УПК РФ.</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The article analyzes the Institute of rehabilitation in the Kyrgyz Republic and the Republic of Tajikistan. Based on the analysis of this Institute in the criminal procedure codes of Kyrgyzstan and Tajikistan, the author proposes a number of changes to Chapter 18 of the code of criminal procedure in order to improve the Institute of rehabilitation in the Russian Federation.</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институт реабилитации; уголовно-процессуальный кодекс.</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Institute of rehabilitation; criminal procedure code.</w:t>
      </w:r>
    </w:p>
    <w:p w:rsidR="00592BC2" w:rsidRPr="00DA76A7" w:rsidRDefault="00592BC2" w:rsidP="00592BC2">
      <w:pPr>
        <w:ind w:firstLine="567"/>
        <w:jc w:val="center"/>
        <w:rPr>
          <w:rFonts w:ascii="Arial" w:hAnsi="Arial" w:cs="Arial"/>
          <w:b/>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Актуальность института реабилитации несомненна. Сущность реабилитации как уголовно-процессуального феномена имеет фундаментальную основу, которая выражена в праве на свободу и личную неприкосновенность, в праве на справедливое судебное разбирательство, закреплённых в ст. 5, 6 Европейской конвенции по правам человека [4].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Желательно, чтобы механизм реализации данного института имел четкое и ясное закрепление в уголовно-процессуальном законе, только тогда он сможет обеспечить восстановление нарушенных прав и свобод личности, в отношении которой осуществлялось незаконное уголовное преследование. В связи с этим, необходимо проанализировать положения, закрепляющие институт реабилитации, в Кыргызской Республике и Республике Таджикистан, с оглядкой на нормы Российской Федерации. В научной литературе практически нет исследований, посвященных институту реабилитации в уголовно-процессуальных кодексах Киргизии и Таджикистана. Подобные исследования важны для выявления положительного опыта урегулирования и возможности его заимствования. Выбор сопоставимых объектов не случаен. Он обусловлен тем, что Киргизия, Таджикистан и Россия являются бывшими республиками СССР. В силу этого они имели единую правовую систему, в том числе в них одновременно появились предпосылки формирования института реабилитации, который свое дальнейшее развитие получил в уголовно-процессуальном законодательстве независимых государств.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Основные начала, характеризующие реабилитацию в уголовном процессе, заложены в Конституции государства, которая является нормативно-правовым актом, имеющим высшую юридическую силу. Независимость Киргизии, Таджикистана и России оформлялась принятием конституций, в которых содержатся положения, заложившие основу регламентации института реабилитации. Так, предпосылки института реабилитации в России закреплены в ст. 53 Конституции Российской Федерации [1], а сам институт реабилитации – в главе 18 Уголовно-процессуального кодекса Российской Федерации [5] (далее в тексте – УПК РФ). Норма ст. 39 Конституции Кыргызской Республики [2] является предпосылкой института реабилитации, положения которого закреплены в главе 46 Уголовно-процессуального кодекса Кыргызской Республики от 30 июня 1999 года [6] (далее в тексте – УПК КР 1999 года). В соответствии с Законом КР от 24 января 2017 года № 10 [10] с 1 января 2019 года УПК КР 1999 года утрачивает силу, и с указанной даты будет действовать новый Уголовно-процессуальный кодекс Кыргызской Республики от 2 февраля 2017 года [7] (далее в тексте – УПК КР 2017 года). Это обстоятельство обусловило обращение не только к действующему, но и вновь принятому уголовно-процессуальному закону. Ч. 3 ст. 32 Конституции Республики Таджикистан [3] является предпосылкой института реабилитации, которому посвящена глава 47 Уголовно-процессуального кодекса Республики Таджикистан от 3 декабря 2009 года [8] (далее в тексте – УПК РТ).</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Анализируя положения УПК КР 2017 года, УПК КР 1999 года, УПК РТ и УПК РФ, следует обратить внимание на нижеследующее.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УПК КР 2017 года расширен список оснований, когда правила о признании за лицом права на реабилитацию не действуют. К примеру, к таковым добавлена ситуация примирения с потерпевшим (ч. 4 ст. 134 УПК КР 2017 года). В главах УПК КР 1999 года, УПК РТ и УПК РФ, посвященных институту реабилитации, данного рода положение отсутствует. Кыргызский законодатель обоснованно включил такое основание в перечень. Ведь, действительно, примирение с потерпевшим не может быть основанием реабилитации, если говорить о примирении в уголовно-процессуальном смысле, как основании прекращения уголовного преследования. Поскольку как основание прекращения уголовного преследования, примирение не является реабилитирующим основанием, то есть фактически лицо признается виновным, но прекращается его уголовное преследование в силу позиции потерпевшего, с которой согласился следователь, прокурор, суд.</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УПК КР 1999 года (ч. 3 ст. 417), УПК КР 2017 года (ч. 3 ст. 134), УПК РТ (ч. 3 ст. 461) предоставляет наследникам реабилитированного, в случае его смерти, право на реабилитацию, и в случае если же выплата пенсий и пособий была приостановлена – тем членам семьи, которые обеспечиваются пенсией по случаю потери кормильца. В УПК РФ такое право наследникам и лицам, по случаю потери кормильца, не предоставлено, что является несправедливым. Реабилитированный имеет право на возмещение вреда, который был причинен вследствие незаконного и необоснованного уголовного преследования. </w:t>
      </w:r>
    </w:p>
    <w:p w:rsidR="00592BC2" w:rsidRPr="00DA76A7" w:rsidRDefault="00592BC2" w:rsidP="00592BC2">
      <w:pPr>
        <w:ind w:firstLine="567"/>
        <w:jc w:val="both"/>
        <w:rPr>
          <w:rFonts w:ascii="Arial" w:hAnsi="Arial" w:cs="Arial"/>
          <w:b/>
          <w:color w:val="000000" w:themeColor="text1"/>
          <w:sz w:val="22"/>
          <w:szCs w:val="22"/>
        </w:rPr>
      </w:pPr>
      <w:r w:rsidRPr="00DA76A7">
        <w:rPr>
          <w:rFonts w:ascii="Arial" w:hAnsi="Arial" w:cs="Arial"/>
          <w:color w:val="000000" w:themeColor="text1"/>
          <w:sz w:val="22"/>
          <w:szCs w:val="22"/>
        </w:rPr>
        <w:t xml:space="preserve">Наибольший интерес вызывает включение ст. 469, именуемой «возмещение вреда юридическим лицам» в главу 47 УПК РТ таджикским законодателем. Институт реабилитации, безусловно, взаимосвязан с возмещением вреда вообще. Но посредством рассматриваемого уголовно-процессуального института, восстанавливаются права лиц, которые были подвергнуты незаконному уголовному преследованию, и, соответственно, возмещается причиненный им вред. Однако в отношении юридических лиц уголовное преследование вестись не может, так как они не являются субъектами, подлежащими уголовной ответственности. Значит, глава 47 УПК РТ содержит более широкий смысл, нежели понятие «реабилитации». Из чего следует, юридическое лицо в рамках института реабилитации в уголовном процессе не может требовать возмещения ему вреда. Такой вред может быть возмещен в рамках гражданского судопроизводства. А именно, по основаниям ч. 2 ст. 1086 Гражданского кодекса Республики Таджикистан [9] как «вред, причиненный юридическому лицу в результате иной незаконной деятельности органов дознания, следствия, прокуратуры и суда». Значит, наличие нормы, закрепляющей возмещения вреда юридическому лицу, в главе, посвященной институту реабилитации, в УПК РТ не является уместной. Надо отметить, что возмещение вреда юридическим лицам закреплено только в УПК РТ и в УПК РФ (ст. 139). Анализ норм УПК РТ и УПК РФ дает право говорить о том, что в действующем уголовно-процессуальном законодательстве Таджикистана и России отсутствует закрепленный порядок реализации юридическим лицом права на возмещение вреда в пределах реабилитации. А, значит, и на практики правоприменителями такой механизм не применяется. Из чего логически вытекает, что норма, предоставляющая юридическим лицам право требовать возмещения вреда в уголовном процессе в разрезе института реабилитации, представляется «мертворожденной».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Проведенный анализ уголовно-процессуальных законов России, Киргизии и Таджикистан, свидетельствует о том, что институт реабилитации актуален и имеет свои особенности. Выявленные достоинства в закреплении института реабилитации в уголовно-процессуальном законодательстве Киргизии и Таджикистана позволяют оценить нормативную регламентацию реабилитации как уголовно-процессуального института в России. Таким образом, с учетом вышеизложенного, думается надлежащим внести предложение о корректировке главы 18 УПК РФ, с целью её совершенствования, что позволит более в полной мере отразить сущность закрепленного института реабилитации. Представляется целесообразным: 1) в перечень оснований, по которым на лицо не распространяются правила реабилитации, включить основание – примирения с потерпевшим; 2) закрепить положение, предоставляющее наследникам реабилитированного, в случае его смерти, право на реабилитацию, а в части пособий и выплат, в случае если их выплата была приостановлена, - членам его семьи, которым выплачивается пенсия по потери кормильца; 3) исключить из положения главы 18 норму, которая предоставляет юридическому лицу в пределах реабилитации требовать возмещение ему вреда.  </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1. Конституция Российской Федерации (принята всенародным голосованием 12 декабря 1993) (с учетом поправок, внесенных Законами РФ о поправках к Конституции РФ от 30.12.2008 № 6-ФКЗ, от 30.12.2008 № 7-ФКЗ, от 05.02.2014 № 2-ФКЗ, от 21.07.2014 № 11-ФКЗ) [Электронный ресурс] // СПС «КонсультантПлюс». – Режим доступа: http://www.consultant.ru/document/cons_doc_LAW_28399/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2. Конституция Кыргызской Республики (принята референдумом (всенародным голосованием) 28.06.2010 года (в ред. Закона КР от 28.12.2016 года № 218) [Электронный ресурс] // Министерство юстиции Кыргызской Республики: официал. сайт. - Режим доступа: </w:t>
      </w:r>
      <w:hyperlink r:id="rId320" w:history="1">
        <w:r w:rsidRPr="00DA76A7">
          <w:rPr>
            <w:rStyle w:val="af0"/>
            <w:rFonts w:ascii="Arial" w:hAnsi="Arial" w:cs="Arial"/>
            <w:color w:val="000000" w:themeColor="text1"/>
            <w:u w:val="none"/>
          </w:rPr>
          <w:t>http://cbd.minjust.gov.kg/act/view/ru-ru/202913/20?mode=tekst</w:t>
        </w:r>
      </w:hyperlink>
      <w:r w:rsidRPr="00DA76A7">
        <w:rPr>
          <w:rFonts w:ascii="Arial" w:hAnsi="Arial" w:cs="Arial"/>
          <w:color w:val="000000" w:themeColor="text1"/>
        </w:rPr>
        <w:t xml:space="preserve">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3. Конституция Республики Таджикистан (принята всенародным референдумом 6.11.1994 года (с изм. и доп., внес. всенарод. Референдумом 26.28.1999, 22.06.2003, 22.05.2016) [Электронный ресурс] // Президент Республики Таджикистан: официал. сайт. - Режим доступа: </w:t>
      </w:r>
      <w:hyperlink r:id="rId321" w:history="1">
        <w:r w:rsidRPr="00DA76A7">
          <w:rPr>
            <w:rStyle w:val="af0"/>
            <w:rFonts w:ascii="Arial" w:hAnsi="Arial" w:cs="Arial"/>
            <w:color w:val="000000" w:themeColor="text1"/>
            <w:u w:val="none"/>
          </w:rPr>
          <w:t>http://www.president.tj/ru/taxonomy/term/5/112</w:t>
        </w:r>
      </w:hyperlink>
      <w:r w:rsidRPr="00DA76A7">
        <w:rPr>
          <w:rFonts w:ascii="Arial" w:hAnsi="Arial" w:cs="Arial"/>
          <w:color w:val="000000" w:themeColor="text1"/>
        </w:rPr>
        <w:t xml:space="preserve">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4. Конвенция о защите прав человека и основных свобод ETS № 005 (Рим, 04.11.1950) (с изм. и доп. от 13.05.2004) [Электронный ресурс] // СПС «Гарант». -  Режим доступа: </w:t>
      </w:r>
      <w:hyperlink r:id="rId322" w:history="1">
        <w:r w:rsidRPr="00DA76A7">
          <w:rPr>
            <w:rStyle w:val="af0"/>
            <w:rFonts w:ascii="Arial" w:hAnsi="Arial" w:cs="Arial"/>
            <w:color w:val="000000" w:themeColor="text1"/>
            <w:u w:val="none"/>
          </w:rPr>
          <w:t>http://base.garant.ru/2540800/</w:t>
        </w:r>
      </w:hyperlink>
      <w:r w:rsidRPr="00DA76A7">
        <w:rPr>
          <w:rFonts w:ascii="Arial" w:hAnsi="Arial" w:cs="Arial"/>
          <w:color w:val="000000" w:themeColor="text1"/>
        </w:rPr>
        <w:t xml:space="preserve">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5. Уголовно-процессуальный кодекс Российской Федерации от 18.12. 2001 года № 174-ФЗ (ред. от 19.02.2018), (с изм. и доп., вступ. в силу с 01.09.2017) [Электронный ресурс] // СПК «КонсультантПлюс». – Режим доступа: </w:t>
      </w:r>
      <w:hyperlink r:id="rId323" w:history="1">
        <w:r w:rsidRPr="00DA76A7">
          <w:rPr>
            <w:rStyle w:val="af0"/>
            <w:rFonts w:ascii="Arial" w:hAnsi="Arial" w:cs="Arial"/>
            <w:color w:val="000000" w:themeColor="text1"/>
            <w:u w:val="none"/>
          </w:rPr>
          <w:t>http://www.consultant.ru/document/cons_doc_ LAW_34481/</w:t>
        </w:r>
      </w:hyperlink>
      <w:r w:rsidRPr="00DA76A7">
        <w:rPr>
          <w:rFonts w:ascii="Arial" w:hAnsi="Arial" w:cs="Arial"/>
          <w:color w:val="000000" w:themeColor="text1"/>
        </w:rPr>
        <w:t xml:space="preserve">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6. Кодекс КР «Уголовно-процессуальный кодекс» от 30.06.1999 г. № 62 (ред. Закона КР от 28.07.2017 № 162) [Электронный ресурс] // Министерство юстиции Кыргызской Республики: официал. сайт. - Режим доступа: </w:t>
      </w:r>
      <w:hyperlink r:id="rId324" w:history="1">
        <w:r w:rsidRPr="00DA76A7">
          <w:rPr>
            <w:rStyle w:val="af0"/>
            <w:rFonts w:ascii="Arial" w:hAnsi="Arial" w:cs="Arial"/>
            <w:color w:val="000000" w:themeColor="text1"/>
            <w:u w:val="none"/>
          </w:rPr>
          <w:t>http://cbd.minjust.gov.kg/act/view/ru-ru/9</w:t>
        </w:r>
      </w:hyperlink>
      <w:r w:rsidRPr="00DA76A7">
        <w:rPr>
          <w:rFonts w:ascii="Arial" w:hAnsi="Arial" w:cs="Arial"/>
          <w:color w:val="000000" w:themeColor="text1"/>
        </w:rPr>
        <w:t xml:space="preserve">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7. Кодекс КР «Уголовно-процессуальный кодекс Кыргызской Республики» от 02.02.2017 г. № 20 (ред. 02.02.2017) [Электронный ресурс] // Министерство юстиции Кыргызской Республики: официал. сайт. - Режим доступа: http://cbd.minjust.gov.kg/act/view/ru-ru/111530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8. Уголовно-процессуальный кодекс Республики Таджикистан от 3.12. 2009 года (в ред. Закона РТ от 24.02.2017 № 1381) [Электронный ресурс] // ИС «Параграф». - Режим доступа: </w:t>
      </w:r>
      <w:hyperlink r:id="rId325" w:history="1">
        <w:r w:rsidRPr="00DA76A7">
          <w:rPr>
            <w:rStyle w:val="af0"/>
            <w:rFonts w:ascii="Arial" w:hAnsi="Arial" w:cs="Arial"/>
            <w:color w:val="000000" w:themeColor="text1"/>
            <w:u w:val="none"/>
          </w:rPr>
          <w:t>https://online.zakon.kz/Document/?doc_id=30594304</w:t>
        </w:r>
      </w:hyperlink>
      <w:r w:rsidRPr="00DA76A7">
        <w:rPr>
          <w:rFonts w:ascii="Arial" w:hAnsi="Arial" w:cs="Arial"/>
          <w:color w:val="000000" w:themeColor="text1"/>
        </w:rPr>
        <w:t xml:space="preserve">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9. Гражданский кодекс Республики Таджикистан. Ч.2 от 11.12.1999 года (в ред. Закона КР от 22.07.2013 № 977) [Электронный ресурс] // Налоговый комитет при Правительстве Республики Таджикистан: официал. сайт. - Режим доступа: </w:t>
      </w:r>
      <w:hyperlink r:id="rId326" w:history="1">
        <w:r w:rsidRPr="00DA76A7">
          <w:rPr>
            <w:rStyle w:val="af0"/>
            <w:rFonts w:ascii="Arial" w:hAnsi="Arial" w:cs="Arial"/>
            <w:color w:val="000000" w:themeColor="text1"/>
            <w:u w:val="none"/>
          </w:rPr>
          <w:t>http://andoz.tj/ru/uploads/Code_%E2%84%961__Civil_code-II_RT_ru.pdf</w:t>
        </w:r>
      </w:hyperlink>
      <w:r w:rsidRPr="00DA76A7">
        <w:rPr>
          <w:rFonts w:ascii="Arial" w:hAnsi="Arial" w:cs="Arial"/>
          <w:color w:val="000000" w:themeColor="text1"/>
        </w:rPr>
        <w:t xml:space="preserve"> (дата обращения: 28.03.2018).  </w:t>
      </w:r>
    </w:p>
    <w:p w:rsidR="00592BC2" w:rsidRPr="00DA76A7" w:rsidRDefault="00592BC2" w:rsidP="00592BC2">
      <w:pPr>
        <w:pStyle w:val="ac"/>
        <w:ind w:firstLine="567"/>
        <w:jc w:val="both"/>
        <w:rPr>
          <w:rFonts w:ascii="Arial" w:hAnsi="Arial" w:cs="Arial"/>
          <w:color w:val="000000" w:themeColor="text1"/>
        </w:rPr>
      </w:pPr>
      <w:r w:rsidRPr="00DA76A7">
        <w:rPr>
          <w:rFonts w:ascii="Arial" w:hAnsi="Arial" w:cs="Arial"/>
          <w:color w:val="000000" w:themeColor="text1"/>
        </w:rPr>
        <w:t xml:space="preserve">10. О введении в действие Уголовного кодекса Кыргызской Республики, Кодекса Кыргызской Республики о проступках, Уголовно-процессуального кодекса Кыргызской Республики, Уголовно-исполнительного кодекса Кыргызской Республики, Закона Кыргызской Республики «Об основах амнистии и порядке ее применения»: закон Кыргызской Республики от 24.01.2017 года № 10 (ред. от 24.01.2017) [Электронный ресурс] // Министерство юстиции Кыргызской Республики: официал. сайт. - Режим доступа: </w:t>
      </w:r>
      <w:hyperlink r:id="rId327" w:history="1">
        <w:r w:rsidRPr="00DA76A7">
          <w:rPr>
            <w:rStyle w:val="af0"/>
            <w:rFonts w:ascii="Arial" w:hAnsi="Arial" w:cs="Arial"/>
            <w:color w:val="000000" w:themeColor="text1"/>
            <w:u w:val="none"/>
          </w:rPr>
          <w:t>http://base.spinform.ru/show_doc. fwx?rgn=94388</w:t>
        </w:r>
      </w:hyperlink>
      <w:r w:rsidRPr="00DA76A7">
        <w:rPr>
          <w:rFonts w:ascii="Arial" w:hAnsi="Arial" w:cs="Arial"/>
          <w:color w:val="000000" w:themeColor="text1"/>
        </w:rPr>
        <w:t xml:space="preserve"> (дата обращения: 28.03.2018).  </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ПРОЦЕССУАЛЬНОЕ РУКОВОДСТВО ПРОКУРОРА КАК ГАРАНТИЯ СОБЛЮДЕНИЯ ЗАКОННОСТИ ПРИ ДОСУДЕБНОМ РАССЛЕДОВАНИИ</w:t>
      </w:r>
    </w:p>
    <w:p w:rsidR="00592BC2" w:rsidRPr="00DA76A7" w:rsidRDefault="00592BC2" w:rsidP="00592BC2">
      <w:pPr>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Протасевич Алексей Викторович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 права, выпускник магистратуры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Государственный институт управления и социальных технологий Белорусского государственного университета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220059, Республика Беларусь, г. Минск, ул. П. Панченко д. 18 кв. 71.</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тел.: +375 29</w:t>
      </w:r>
      <w:r w:rsidRPr="00DA76A7">
        <w:rPr>
          <w:rFonts w:ascii="Arial" w:hAnsi="Arial" w:cs="Arial"/>
          <w:color w:val="000000" w:themeColor="text1"/>
          <w:sz w:val="22"/>
          <w:szCs w:val="22"/>
          <w:lang w:val="en-US"/>
        </w:rPr>
        <w:t> </w:t>
      </w:r>
      <w:r w:rsidRPr="00DA76A7">
        <w:rPr>
          <w:rFonts w:ascii="Arial" w:hAnsi="Arial" w:cs="Arial"/>
          <w:color w:val="000000" w:themeColor="text1"/>
          <w:sz w:val="22"/>
          <w:szCs w:val="22"/>
        </w:rPr>
        <w:t xml:space="preserve">553-43-08,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Alexeyprot</w:t>
      </w:r>
      <w:r w:rsidRPr="00DA76A7">
        <w:rPr>
          <w:rFonts w:ascii="Arial" w:hAnsi="Arial" w:cs="Arial"/>
          <w:color w:val="000000" w:themeColor="text1"/>
          <w:sz w:val="22"/>
          <w:szCs w:val="22"/>
        </w:rPr>
        <w:t>1989@</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 xml:space="preserve"> </w:t>
      </w:r>
    </w:p>
    <w:p w:rsidR="00592BC2" w:rsidRPr="00DA76A7" w:rsidRDefault="00592BC2" w:rsidP="00592BC2">
      <w:pPr>
        <w:jc w:val="center"/>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PROCEDURAL GUIDELINES OF THE PROSECUTOR AS A GUARANTEE OF COMPLIANCE WITH THE LEGALITY OF THE PROCEEDING OF THE PROSECUTION</w:t>
      </w:r>
    </w:p>
    <w:p w:rsidR="00592BC2" w:rsidRPr="00DA76A7" w:rsidRDefault="00592BC2" w:rsidP="00592BC2">
      <w:pPr>
        <w:rPr>
          <w:rFonts w:ascii="Arial" w:hAnsi="Arial" w:cs="Arial"/>
          <w:color w:val="000000" w:themeColor="text1"/>
          <w:sz w:val="22"/>
          <w:szCs w:val="22"/>
          <w:lang w:val="en-US"/>
        </w:rPr>
      </w:pPr>
    </w:p>
    <w:p w:rsidR="00592BC2" w:rsidRPr="00DA76A7" w:rsidRDefault="00592BC2" w:rsidP="00592BC2">
      <w:pPr>
        <w:shd w:val="clear" w:color="auto" w:fill="FFFFFF" w:themeFill="background1"/>
        <w:suppressAutoHyphens/>
        <w:jc w:val="center"/>
        <w:rPr>
          <w:rFonts w:ascii="Arial" w:hAnsi="Arial" w:cs="Arial"/>
          <w:color w:val="000000" w:themeColor="text1"/>
          <w:sz w:val="22"/>
          <w:szCs w:val="22"/>
          <w:lang w:val="en-US"/>
        </w:rPr>
      </w:pPr>
      <w:r w:rsidRPr="00DA76A7">
        <w:rPr>
          <w:rFonts w:ascii="Arial" w:hAnsi="Arial" w:cs="Arial"/>
          <w:b/>
          <w:color w:val="000000" w:themeColor="text1"/>
          <w:sz w:val="22"/>
          <w:szCs w:val="22"/>
          <w:shd w:val="clear" w:color="auto" w:fill="FFFFFF"/>
          <w:lang w:val="en-US"/>
        </w:rPr>
        <w:t>Protasevich Aleksey Viktorovich</w:t>
      </w:r>
    </w:p>
    <w:p w:rsidR="00592BC2" w:rsidRPr="00DA76A7" w:rsidRDefault="00592BC2" w:rsidP="00592BC2">
      <w:pPr>
        <w:shd w:val="clear" w:color="auto" w:fill="FFFFFF" w:themeFill="background1"/>
        <w:suppressAutoHyphens/>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 xml:space="preserve">magistr prava, </w:t>
      </w:r>
      <w:r w:rsidRPr="00DA76A7">
        <w:rPr>
          <w:rFonts w:ascii="Arial" w:hAnsi="Arial" w:cs="Arial"/>
          <w:color w:val="000000" w:themeColor="text1"/>
          <w:sz w:val="22"/>
          <w:szCs w:val="22"/>
          <w:lang w:val="en-US"/>
        </w:rPr>
        <w:t xml:space="preserve">graduate magistracy </w:t>
      </w:r>
    </w:p>
    <w:p w:rsidR="00592BC2" w:rsidRPr="00DA76A7" w:rsidRDefault="00592BC2" w:rsidP="00592BC2">
      <w:pPr>
        <w:shd w:val="clear" w:color="auto" w:fill="FFFFFF" w:themeFill="background1"/>
        <w:suppressAutoHyphen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State institute of management and social technologies of the Belarusian state university</w:t>
      </w:r>
    </w:p>
    <w:p w:rsidR="00592BC2" w:rsidRPr="00DA76A7" w:rsidRDefault="00592BC2" w:rsidP="00592BC2">
      <w:pPr>
        <w:suppressAutoHyphens/>
        <w:jc w:val="center"/>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220059, Republic of Belarus, Minsk, P. Panchenko str., 18 square. </w:t>
      </w:r>
      <w:r w:rsidRPr="00DA76A7">
        <w:rPr>
          <w:rFonts w:ascii="Arial" w:hAnsi="Arial" w:cs="Arial"/>
          <w:color w:val="000000" w:themeColor="text1"/>
          <w:sz w:val="22"/>
          <w:szCs w:val="22"/>
        </w:rPr>
        <w:t>71.</w:t>
      </w:r>
    </w:p>
    <w:p w:rsidR="00592BC2" w:rsidRPr="00DA76A7" w:rsidRDefault="00592BC2" w:rsidP="00592BC2">
      <w:pPr>
        <w:suppressAutoHyphens/>
        <w:jc w:val="center"/>
        <w:rPr>
          <w:rFonts w:ascii="Arial" w:hAnsi="Arial" w:cs="Arial"/>
          <w:color w:val="000000" w:themeColor="text1"/>
          <w:sz w:val="22"/>
          <w:szCs w:val="22"/>
        </w:rPr>
      </w:pPr>
      <w:r w:rsidRPr="00DA76A7">
        <w:rPr>
          <w:rFonts w:ascii="Arial" w:hAnsi="Arial" w:cs="Arial"/>
          <w:color w:val="000000" w:themeColor="text1"/>
          <w:sz w:val="22"/>
          <w:szCs w:val="22"/>
          <w:lang w:val="en-US"/>
        </w:rPr>
        <w:t>tel</w:t>
      </w:r>
      <w:r w:rsidRPr="00DA76A7">
        <w:rPr>
          <w:rFonts w:ascii="Arial" w:hAnsi="Arial" w:cs="Arial"/>
          <w:color w:val="000000" w:themeColor="text1"/>
          <w:sz w:val="22"/>
          <w:szCs w:val="22"/>
        </w:rPr>
        <w:t xml:space="preserve">.: +375 29 553-43-08,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Alexeyprot</w:t>
      </w:r>
      <w:r w:rsidRPr="00DA76A7">
        <w:rPr>
          <w:rFonts w:ascii="Arial" w:hAnsi="Arial" w:cs="Arial"/>
          <w:color w:val="000000" w:themeColor="text1"/>
          <w:sz w:val="22"/>
          <w:szCs w:val="22"/>
        </w:rPr>
        <w:t>1989@</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suppressAutoHyphens/>
        <w:rPr>
          <w:rFonts w:ascii="Arial" w:hAnsi="Arial" w:cs="Arial"/>
          <w:b/>
          <w:color w:val="000000" w:themeColor="text1"/>
          <w:sz w:val="22"/>
          <w:szCs w:val="22"/>
        </w:rPr>
      </w:pPr>
    </w:p>
    <w:p w:rsidR="00592BC2" w:rsidRPr="00DA76A7" w:rsidRDefault="00592BC2" w:rsidP="00592BC2">
      <w:pPr>
        <w:suppressAutoHyphen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Статья посвящена исследованию проблем необходимости и возможностей осуществления прокурором процессуального руководства при досудебном расследовании. Проанализированы существующие позиции по данному вопросу, а также нормативная регламентация полномочий прокурора на досудебном производстве по уголовным делам в Республике Беларусь; определено место и роль прокурора в досудебном производстве.</w:t>
      </w:r>
    </w:p>
    <w:p w:rsidR="00592BC2" w:rsidRPr="00DA76A7" w:rsidRDefault="00592BC2" w:rsidP="00592BC2">
      <w:pPr>
        <w:suppressAutoHyphens/>
        <w:ind w:firstLine="567"/>
        <w:jc w:val="both"/>
        <w:rPr>
          <w:rFonts w:ascii="Arial" w:hAnsi="Arial" w:cs="Arial"/>
          <w:i/>
          <w:color w:val="000000" w:themeColor="text1"/>
          <w:sz w:val="22"/>
          <w:szCs w:val="22"/>
        </w:rPr>
      </w:pPr>
      <w:r w:rsidRPr="00DA76A7">
        <w:rPr>
          <w:rFonts w:ascii="Arial" w:hAnsi="Arial" w:cs="Arial"/>
          <w:i/>
          <w:color w:val="000000" w:themeColor="text1"/>
          <w:sz w:val="22"/>
          <w:szCs w:val="22"/>
        </w:rPr>
        <w:t>Аргументирована авторская позиция относительно неопределенности процессуального статуса прокурора, что, по мнению автора, свидетельствует об отсутствии у ученых и законодателя научно обоснованной концепции, которая определяла бы роль и место прокурора в досудебном производстве, в связи с чем, предложены направления совершенствования законодательства Республики Беларусь.</w:t>
      </w:r>
    </w:p>
    <w:p w:rsidR="00592BC2" w:rsidRPr="00DA76A7" w:rsidRDefault="00592BC2" w:rsidP="00592BC2">
      <w:pPr>
        <w:suppressAutoHyphen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The article is devoted to the investigation of the problems of necessity and the possibilities for the prosecutor to exercise procedural guidance during the pre-trial investigation. The existing positions on this issue have been analyzed, as well as the regulatory regulation of the powers of the prosecutor in pre-trial proceedings in criminal cases in the Republic of Belarus; determine the place and role of the prosecutor in pre-trial proceedings.</w:t>
      </w:r>
    </w:p>
    <w:p w:rsidR="00592BC2" w:rsidRPr="00DA76A7" w:rsidRDefault="00592BC2" w:rsidP="00592BC2">
      <w:pPr>
        <w:suppressAutoHyphens/>
        <w:ind w:firstLine="567"/>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The author's position on the uncertainty of the procedural status of the prosecutor is argued, which, in the author's opinion, testifies to the lack of scientifically based conception of the scientist and legislator, which would determine the role and place of the prosecutor in pre-trial proceedings, in this connection, directions for improving the legislation of the Republic of Belarus were suggested.</w:t>
      </w:r>
    </w:p>
    <w:p w:rsidR="00592BC2" w:rsidRPr="00DA76A7" w:rsidRDefault="00592BC2" w:rsidP="00592BC2">
      <w:pPr>
        <w:suppressAutoHyphen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прокуратура; досудебное расследование; Республика Беларусь; процессуальное руководство расследованием; Следственный комитет; полномочия прокурора.</w:t>
      </w:r>
    </w:p>
    <w:p w:rsidR="00592BC2" w:rsidRPr="00DA76A7" w:rsidRDefault="00592BC2" w:rsidP="00592BC2">
      <w:pPr>
        <w:suppressAutoHyphen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the prosecutor's office; pre-trial investigation; the Republic of Belarus; the procedural direction of the investigation; the Investigation Committee; the powers of the prosecutor.</w:t>
      </w:r>
    </w:p>
    <w:p w:rsidR="00592BC2" w:rsidRPr="00DA76A7" w:rsidRDefault="00592BC2" w:rsidP="00592BC2">
      <w:pPr>
        <w:suppressAutoHyphens/>
        <w:ind w:firstLine="567"/>
        <w:jc w:val="both"/>
        <w:rPr>
          <w:rFonts w:ascii="Arial" w:hAnsi="Arial" w:cs="Arial"/>
          <w:color w:val="000000" w:themeColor="text1"/>
          <w:sz w:val="22"/>
          <w:szCs w:val="22"/>
          <w:lang w:val="en-US"/>
        </w:rPr>
      </w:pP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Органы предварительного расследования обязаны четко и неукоснительно выполнять все требования уголовно-процессуального законодательства и проводить расследование уголовных дел в строгом соответствии с ним. Детальная регламентация предварительного расследования и точное выполнение следователем всех процессуальных требований гарантирует правильное установление фактических обстоятельств уголовного преступления и принятия законного и обоснованного решения. Во избежание каких-либо нарушений этих требований, произвола и субъективизма при проведении расследования, устанавливается прокурорский надзор за законностью каждого следственного действия и законностью каждого принятого следователем решения.</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 сам факт обеспечения законности при расследовании уголовных дел еще не гарантирует его полного и качественного расследования, в связи, с чем суды ранее возвращали немало таких уголовных дел для проведения дополнительного расследования.</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принятием Уголовно-процессуального кодекса Республики Беларусь от 9 июля 1999 г. № 275-З (далее – УПК Республики Беларусь) [1], который ликвидировал уголовно-процессуальный институт дополнительного расследования и остро встал вопрос о необходимости обеспечения не только законного, но и качественного расследования уголовного преступления. При подготовке белорусской судебной реформы в конце прошлого столетия ее авторы исходили из необходимости закрепления за прокурором трех процессуальных функций: уголовного преследования, надзора за его законностью и процессуального руководства расследованием.</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правовую основу современного института прокурорского следствия по уголовным делам в Республике Беларусь (о производстве прокурорами предварительного следствия по уголовным делам в совокупности с нормами УПК Республики Беларусь) образуют согласно со статьей 4 и ряда других статей Закона Республики Беларусь от 8 мая 2007 г. № 220-З «О прокуратуре Республики Беларусь» (далее – Закон о прокуратуре Республики Беларусь) [2].</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сожалению, результаты анализа действующего законодательства свидетельствуют о том, что правовая регламентация прав и обязанностей прокуроров при досудебном расследовании не отвечает данному, во всех отношениях важному, критерию.</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Сложившаяся ситуация, на наш взгляд, объяснима тем, что законодательная конструкция статьи 31 Закона о прокуратуре Республики Беларусь, определяющая полномочия прокуроров при осуществлении надзора за исполнением закона в ходе досудебного производства, при производстве предварительного следствия и дознания носит бланкетный характер и отсылает правоприменителя к полномочиям, предоставленным прокурорам УПК Республики Беларусь [8].</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то, что принятый в 1999 году УПК Республики Беларусь предусмотрел, что прокурор выполняет только функцию уголовного преследования и надзора за процессуальной деятельностью следователя и дознавателя (ст. 34 УПК Республики Беларусь), те полномочия, которыми был наделен изначально при принятии Кодекса прокурор в досудебном производстве, давали основания говорить о том, что он осуществляет и процессуальное руководство деятельностью органов расследования. Но законодатель отдельно не выделяет полномочий, с помощью которых прокурор реализует это право, считая, что любое из полномочий прокурора, определенных ч. 2 ст. 34 УПК Республики Беларусь, может быть использовано для осуществления процессуального руководства досудебным расследованием.</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науке уголовного процесса и прокурорского надзора высказано мнение о том, что руководство прокурора досудебным производством является методом, способом его надзорной деятельности, и освобождение прокурора от руководства расследованием неизбежно лишит его многих надзорных полномочий [9, с. 3], что руководство предварительным следствием соединяет расследование, разделенное по разным ведомствам, придавая ему единое направление и обеспечивая его законность [7, с. 42]. Отмечалось, что прокурорское руководство расследованием отражает специфику белорусской модели развития прокуратуры, ее уникальность, которая заключается в соединении в компетенции прокурора процессуальных полномочий, являющихся надзорными и одновременно представляющих форму руководства расследованием, организации уголовного преследования. Приверженцы такой точки зрения были убеждены в необходимости процессуального руководства прокурора досудебным производством, так как по окончании расследования именно прокурор обязан принять итоговое решение о направлении уголовного дела в суд, а впоследствии поддерживать государственное обвинение в ходе судебного заседания. Поэтому влияние прокурора на досудебное производство должно быть неограниченным [10, с. 160].</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многие ученые возражали против концепции процессуального руководства прокурором деятельностью следователя, считая, что это ограничивает независимость и самостоятельность следователя, значительно снижая ответственность руководителя следственного органа за качество расследования уголовных дел. Также отмечалось, что надзор прокурора за деятельностью, которой он же и руководит, не может быть эффективным, и недопустимо соединение в компетенции прокурора таких правомочий, которые в определенной степени взаимоисключают друг друга [4]. Закон, наделяя прокурора ответственностью за раскрытие преступлений и результативность досудебного производства, одновременно требовал от него осуществления надзора за этой деятельностью, а это лишало прокурора возможности быть объективным арбитром в споре обвиняемого со следователем [6, с. 7]. Прокурор осуществлял надзор за органами дознания и следствия, фактически будучи их руководителем, возглавляя деятельность по уголовному преследованию и непосредственно участвуя в этой деятельности.</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образованием Следственного комитета Республики Беларусь были внесены серьезные изменения и дополнения в нормы отечественного права, регламентирующие построение и функционирование правовой модели уголовного преследования в целом, и ее реализацию со стороны прокуратуры на досудебных стадиях уголовного процесса в частности.</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Создание Следственного комитета Республики Беларусь и произошедшее в связи с этим перераспределение властных полномочий между прокурором и руководителем следственного органа лишило прокурора статуса самостоятельного органа предварительного следствия.</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за прокурорами все же было сохранено полномочие по осуществлению производства предварительного следствия по уголовным делам [8]. Так, согласно УПК Республики Беларусь в ходе досудебного производства по материалам и уголовному делу прокурор вправе возбудить уголовное дело, затем принять его к своему производству и расследовать в полном объеме или поручить его расследование нижестоящему прокурору либо соответствующему органу предварительного следствия; отказать в возбуждении уголовного дела; передать заявление, сообщение о преступлении по подследственности; прекратить проверку по поступившему заявлению, сообщению о преступлении и разъяснить заявителю право возбудить в суде в соответствии со ст. 426 УПК Республики Беларусь уголовное дело частного обвинения.</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Осуществляя надзор за соблюдением законности при производстве предварительного следствия, прокурор вправе также в целях обеспечения всестороннего, полного и объективного исследования обстоятельств уголовного дела изымать уголовные дела, находящиеся в производстве следователя, и производить лично по ним в полном объеме предварительное следствие (ч. 4, 5 ст. 34, ч. 1 ст. 174 УПК Республики Беларусь).</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Тем самым, по сути, законодатель, а вслед за ним и правоприменитель отнесли анализируемое направление деятельности прокуратуры к категории факультативных (второстепенных) задач, стоящих перед прокурорами, к формам реализации ими функций уголовного преследования и прокурорского надзора на досудебных стадиях уголовного процесса [5, с. 4-7].</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подобную отведенную прокуратуре роль в сфере осуществления производства предварительного следствия по уголовным делам, следует подчеркнуть, что в целом прокуроры по сравнению со следователями Следственного комитета Республики Беларусь и следственными подразделениями органов государственной безопасности потенциально наделены более широкими процессуальными полномочиями. Они вправе не только возбуждать уголовные дела по преступлениям, предусмотренным всеми статьями Особенной части Уголовного кодекса Республики Беларусь, но и производить при необходимости по ним предварительное следствие. Их же коллегам подобная деятельность в контексте института подследственности, как правило, недоступна. Помимо этого, прокуроры среди органов уголовного преследования обладают исключительной возможностью возбуждать уголовные дела частного обвинения по преступлениям, указанным в ч. 2 ст. 26 УПК Республики Беларусь, а также уголовные дела частно-публичного обвинения [8].</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порядке, предусмотренном ст. 174 УПК Республики Беларусь, итоговые решения по поступившим в прокуратуру заявлениям и сообщениям о преступлениях вправе принимать все прокуроры, а именно: действующие в пределах своей компетенции Генеральный прокурор Республики Беларусь и подчиненные ему прокуроры, их заместители и помощники, начальники управлений (отделов) и их заместители, прокуроры управлений и отделов. Им же принадлежит полномочие производить предварительное следствие по уголовным делам (единолично, в составе группы прокуроров, в качестве руководителя следственной группы).</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Современное правовое регулирование полномочий прокурора на досудебных стадиях процесса, как справедливо отмечено, носит противоречивый характер и включает ряд существенных дефектов содержательного характера, изъянов смыслового значения, погрешностей технического характера, а также правовых пробелов.</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Характеризуя прокурорский надзор в досудебном расследовании по двум взаимосвязанным аспектам: собственно надзор как таковой и процессуальное руководство досудебным расследованием (его форма), – законодатель допустил методологическую ошибку, определив процессуальное руководство в качестве формы надзора, а не как самостоятельную функцию. Это несовершенство законодательной техники должно быть устранено в ближайшее время. </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Во-первых, в соответствии с Законом о прокуратуре Республики Беларусь, предметом прокурорского надзора является обеспечение законности в деятельности органов досудебного расследования. Во-вторых, прокурор обязан средствами процессуального руководства обеспечить еще и полное и всестороннее установление следователем всех обстоятельств уголовного правонарушения, подлежащих доказыванию в соответствии со статьей 89 УПК Республики Беларусь, поскольку именно на нем сегодня лежит основная ответственность за результаты расследования уголовного преступления.</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организационное распределение следственных функций между Следственным комитетом Республики Беларусь и следственными подразделениями органов государственной безопасности, их деятельность единственная и специфическая по своей юридической природе, принципами и содержанию, а также охватывается единым прокурорским надзором и единственным процессуальным руководством со стороны прокурора. Организационное распределение следственных подразделений и отграничение подследственности их уголовных преступлений объясняется историческими условиями формирования следственного аппарата в стране.</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Процессуальное руководство прокурора досудебным расследованием связывается с использованием не внутренние организационно-управленческих полномочий, а с использованием правовых уголовных процессуальных полномочий властно-распорядительного характера, закрепленных в ст. 34 УПК Республики Беларусь. Это различные виды руководства – как по своей направленности, так и по содержанию. Если первый из них направлен на обеспечение высокой организации труда, то второй – на методику, технику и тактику расследования уголовного преступления.</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отличие от других видов прокурорской деятельности, процессуальное руководство обеспечивает качественное расследование уголовного дела, имеет непосредственное и решающее значение как для составления или утверждения обвинительного акта, отказа в его утверждении прокурором, так и на формирование позиции в суде в качестве государственного обвинителя. А чтобы иметь такую уверенность, прокурор обязан сам систематически участвовать в досудебном расследовании и оперативно управлять им, направлять и координировать его. Только на базе такого руководства процессуальной деятельностью органов предварительного расследования, непосредственного участия в проведении следственных (розыскных) действий, своевременного исправления ошибок, допущенных при расследовании уголовного преступления, прокурор может обеспечить быстрое, полное, всестороннее и объективное его расследования, а следовательно, будет иметь фактическую и юридическую возможность как государственный обвинитель твердо и последовательно отстаивать с судебной трибуны свое мнение по вопросам доказанности уголовного преступления и виновности подсудимого.</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уже указывалось выше, из статьи 31 Закона о прокуратуре Республики Беларусь следует, что полномочия прокуроров в сфере надзора за законностью возбуждения уголовных дел определяются только УПК Республики Беларусь. Тем самым законодатель фактически запретил прокурорам в процессе осуществления прокурорского надзора на стадии возбуждения уголовного дела прибегать к полномочиям, предоставленным прокурорам при реализации надзора за исполнением законодательства. Во-вторых, предмет надзора за исполнением закона в ходе досудебного производства при производстве предварительного следствия и дознания и предмет надзора за исполнением законодательства различны между собой. Следовательно, полномочия прокуроров, относящиеся к надзору за исполнением законодательства, не могут быть применены в процессе осуществления надзора за законностью возбуждения уголовного дела [8].</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Еще одно существенное препятствие для использования прокурорами полномочий, предоставленных им в области надзора за исполнением законодательства, состоит в том, что часть органов уголовного преследования не являются объектами прокурорского надзора за исполнением законодательства (к примеру: Следственный комитет Республики Беларусь), в силу чего исследуемые полномочия в принципе не могут быть применены по отношению к ним.</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Вполне понятно, что подобное положение дел в сфере регулирования полномочий прокуроров на стадии досудебного расследования недопустимо и требует немедленного восполнения законодательных пробелов. Данная задача приобретает особое практическое значение в контексте возложения на прокуратуру действующим Законом о прокуратуре Республики Беларусь функции по координации правоохранительной деятельности государственных органов, осуществляющих борьбу с преступностью и коррупцией, деятельности по борьбе с преступностью и коррупцией государственных органов и иных организаций, участвующих в борьбе с преступностью и коррупцией (ст. 12 Закона о прокуратуре Республики Беларусь).</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Решение поставленной задачи возможно двумя путями: либо внесение соответствующих дополнений в Закон о прокуратуре Республики Беларусь, либо же в УПК Республики Беларусь. В пользу реализации первого из указанных вариантов свидетельствует тот факт, что Закон о прокуратуре Республики Беларусь является основополагающим нормативным правовым актом, определяющим сущность, предмет и пределы прокурорского надзора, закрепляющим перечень правовых средств прокурорского надзора. В пользу второго – то, что только УПК Республики Беларусь устанавливает порядок деятельности органов, ведущих уголовный процесс, являющийся единым и обязательным для всех органов и должностных лиц, ведущих уголовный процесс и иных участников уголовного процесса, а также права и обязанности участников уголовного процесса (ст. 1 УПК Республики Беларусь). Поэтому полагаем, что более перспективным является второй из названных вариантов, которому и следует отдать предпочтение [8].</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то же время во избежание дублирования положений в УПК Республики Беларусь и в Законе о прокуратуре Республики Беларусь, мы предлагаем, в частности в уголовно-процессуальном законе, а именно в ч. 4 ст. 34 УПК Республики Беларусь следует указать, что прокуроры в ходе досудебного производства, при производстве предварительного следствия и дознания обладают правами, предоставленными им иными нормативными правовыми актами. Параллельно необходимо внести соответствующие дополнения в главу 6 Закона о прокуратуре Республики Беларусь, положив в их основу правовые нормы статьи 24 ранее действующего Закона Республики Беларусь от 29 января 1993 г. № 2139-XII «О прокуратуре Республики Беларусь» [3].</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касается разделения прокурорских полномочий, установленных ст. 34 УПК Республики Беларусь, на сугубо надзорные и предназначенные для процессуального руководства дознанием и следствием, то в таком разделении вообще нет никакой необходимости через универсальный характер этих полномочий, поскольку они в одном случае могут успешно выполняться при осуществлении надзора за соблюдением законов, а в другом – для реализации процессуального руководства досудебным расследованием.</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Следовательно, утверждение некоторых ученых-правоведов о невозможности разграничения прокурорского надзора и процессуального руководства досудебным расследованием является неубедительным и опровергается приведенными нами аргументами. Конечно, было бы уместно четко и однозначно разграничить функции надзора за соблюдением законов в досудебном расследовании и руководства расследованием на законодательном уровне. При этом, надзорная функция должна быть определена основной, потому что она распространяется на всех участников досудебного расследования (за исключением судьи), а функция процессуального руководства – дополнительной, потому что ею охватывается деятельность только органов предварительного расследования, то есть следователей, независимо от их ведомственной принадлежности. Надзорная функция обеспечивает законность всего досудебного расследования, а процессуальное руководство направляет только деятельность органов предварительного расследования на быстрое, всестороннее, полное и беспристрастное расследование уголовного преступления в рамках режима законности, обеспеченного реализацией надзорной функции. Поскольку обязательность указаний прокурора и его право отменять незаконные и необоснованные решения – это именно то звено процессуального руководства, с помощью которых обеспечивается всесторонность, полнота и беспристрастность расследования уголовных преступлений.</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видим, функции надзора и процессуального руководства взаимосвязаны, но не заменяют друг друга. Их наличие обусловлено спецификой досудебного расследования, необходимостью обеспечения неуклонного соблюдения законности при его проведении и качества расследования уголовного преступления в целом.</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Качество же дознания и следствия обеспечивается, прежде всего, быстрым, полным, всесторонним и объективным установлением всех обстоятельств уголовного дела; объективностью принятых решений; умелым использованием научно-технических средств, специальных знаний экспертов и специалистов; применением эффективных методик расследования; правильной планировкой расследования уголовного преступления в целом и каждого следственного действия в частности; выдвижением и проверкой обоснованных версий; своевременным и обоснованным применением принудительных мер процессуального характера и тому подобное. Именно на это и направлено процессуальное руководство расследованием уголовного дела со стороны прокурора. Иначе говоря, через процессуальное руководство прокурор помогает следователю профессионально и эффективно выполнять поставленные перед ним задачи при расследовании уголовного дела.</w:t>
      </w:r>
    </w:p>
    <w:p w:rsidR="00592BC2" w:rsidRPr="00DA76A7" w:rsidRDefault="00592BC2" w:rsidP="00592BC2">
      <w:pPr>
        <w:suppressAutoHyphens/>
        <w:ind w:firstLine="567"/>
        <w:jc w:val="both"/>
        <w:rPr>
          <w:rFonts w:ascii="Arial" w:hAnsi="Arial" w:cs="Arial"/>
          <w:color w:val="000000" w:themeColor="text1"/>
          <w:sz w:val="22"/>
          <w:szCs w:val="22"/>
        </w:rPr>
      </w:pPr>
    </w:p>
    <w:p w:rsidR="00592BC2" w:rsidRPr="00DA76A7" w:rsidRDefault="00592BC2" w:rsidP="00592BC2">
      <w:pPr>
        <w:suppressAutoHyphen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Уголовно-процессуальный кодекс Республики Беларусь: Кодекс Республики Беларусь, 9 июля 1999 г., № 275-З: принят Палатой представителей 24 июня 1999 г.: одобрен Советом Республики 30 июня 1999 г. (в ред. Закона Респ. Беларусь от 08.01.2018 г., № 93-З) [Электронный ресурс] // КонсультантПлюс: Беларусь. Технология: Проф. / ООО «ЮрСпектр», Нац. центр правовой информ. Респ. Беларусь. – Минск, 2018. (дата обращения: 22.03.2018).</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О прокуратуре Республики Беларусь: Закон Республики Беларусь, 8 мая 2007 г., № 220-З (в ред. Закона Респ. Беларусь от 18.07.2016 г., </w:t>
      </w:r>
      <w:r w:rsidRPr="00DA76A7">
        <w:rPr>
          <w:rFonts w:ascii="Arial" w:hAnsi="Arial" w:cs="Arial"/>
          <w:color w:val="000000" w:themeColor="text1"/>
          <w:sz w:val="22"/>
          <w:szCs w:val="22"/>
          <w:shd w:val="clear" w:color="auto" w:fill="FFFFFF"/>
        </w:rPr>
        <w:t xml:space="preserve">№ 401-З) </w:t>
      </w:r>
      <w:r w:rsidRPr="00DA76A7">
        <w:rPr>
          <w:rFonts w:ascii="Arial" w:hAnsi="Arial" w:cs="Arial"/>
          <w:color w:val="000000" w:themeColor="text1"/>
          <w:sz w:val="22"/>
          <w:szCs w:val="22"/>
        </w:rPr>
        <w:t>[Электронный ресурс]</w:t>
      </w:r>
      <w:r w:rsidRPr="00DA76A7">
        <w:rPr>
          <w:rFonts w:ascii="Arial" w:hAnsi="Arial" w:cs="Arial"/>
          <w:color w:val="000000" w:themeColor="text1"/>
          <w:sz w:val="22"/>
          <w:szCs w:val="22"/>
          <w:shd w:val="clear" w:color="auto" w:fill="FFFFFF"/>
        </w:rPr>
        <w:t xml:space="preserve"> </w:t>
      </w:r>
      <w:r w:rsidRPr="00DA76A7">
        <w:rPr>
          <w:rFonts w:ascii="Arial" w:hAnsi="Arial" w:cs="Arial"/>
          <w:color w:val="000000" w:themeColor="text1"/>
          <w:sz w:val="22"/>
          <w:szCs w:val="22"/>
        </w:rPr>
        <w:t>// КонсультантПлюс: Беларусь. Технология: Проф. / ООО «ЮрСпектр», Нац. центр правовой информ. Респ. Беларусь. – Минск, 2018. (дата обращения: 22.03.2018).</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О прокуратуре Республики Беларусь: </w:t>
      </w:r>
      <w:hyperlink r:id="rId328" w:history="1"/>
      <w:r w:rsidRPr="00DA76A7">
        <w:rPr>
          <w:rFonts w:ascii="Arial" w:hAnsi="Arial" w:cs="Arial"/>
          <w:color w:val="000000" w:themeColor="text1"/>
          <w:sz w:val="22"/>
          <w:szCs w:val="22"/>
        </w:rPr>
        <w:t>Закон Республики Беларусь, 29 января 1993 г., № 2139-XII (утратил силу) // Ведомости Верховного Совета Республики Беларусь. – 1993. – № 10. – Ст. 95.</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Дубривный В.А. Процессуальное руководство прокурора следователем / В.А. Дубривный // Вестник Саратовской государственной академии права. – 2000. – № 2. – С. 27-31.</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Конюк А.В. Прокуратура на рубеже 90-летия: основные приоритеты деятельности / А.В. Конюк // Законность и правопорядок. – 2012. – №  2. – С. 4-7.</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Корнуков В.М. Обеспечение прав личности в состязательном уголовном процессе / В.М. Корнуков // Вестник Саратовской государственной академии права. – 2000. – № 2. – С. 3-7.</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Назаренко В. Предварительное расследование в современном уголовном процессе / В. Назаренко // Законность. – 2002. – № 8. – С. 41-43.</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Сенько А.С. Проблемы прокурорского надзора за законностью возбуждения уголовного дела [Электронный ресурс] / А.С. Сенько // КонсультантПлюс: Беларусь. Технология: Проф. Комментарии законодательства / ООО «ЮрСпектр», Нац. центр правовой информ. Респ. Беларусь. – Минск, 2018. (дата обращения: 22.03.2018).</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9. Соловьев А.Б., Якубович Н.А. Предварительное расследование и прокурорский надзор в свете судебной реформы / А.Б. Соловьев, Н.А. Якубович // Законность. – 1995. – № 8. – С. 2-7.</w:t>
      </w:r>
    </w:p>
    <w:p w:rsidR="00592BC2" w:rsidRPr="00DA76A7" w:rsidRDefault="00592BC2" w:rsidP="00592BC2">
      <w:pPr>
        <w:suppressAutoHyphen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10. Химичева О.В. Концептуальные основы процессуального контроля и надзора на досудебных стадиях уголовного судопроизводства / О.В. Химичева. – М.: Закон и право, Юнити-дана, 2004. – 287 с.</w:t>
      </w:r>
    </w:p>
    <w:p w:rsidR="00592BC2" w:rsidRPr="00DA76A7" w:rsidRDefault="00592BC2" w:rsidP="00592BC2">
      <w:pPr>
        <w:suppressAutoHyphens/>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О ПРОБЛЕМАХ ОСУЩЕСТВЛЕНИЯ АДВОКАТОМ ЗАЩИТЫ В ОСОБОМ ПОРЯДКЕ СУДЕБНОГО РАЗБИРАТЕЛЬСТВА</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Прусс Анастасия Руслановна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аспирант 4-го года обучения юридического факультета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Алтайский государственный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656049, Российская Федерация, г. Барнаул, пр. Ленина, 61</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961-978-87-89,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sattarova</w:t>
      </w:r>
      <w:r w:rsidRPr="00DA76A7">
        <w:rPr>
          <w:rFonts w:ascii="Arial" w:hAnsi="Arial" w:cs="Arial"/>
          <w:color w:val="000000" w:themeColor="text1"/>
          <w:sz w:val="22"/>
          <w:szCs w:val="22"/>
        </w:rPr>
        <w:t>92@</w:t>
      </w:r>
      <w:r w:rsidRPr="00DA76A7">
        <w:rPr>
          <w:rFonts w:ascii="Arial" w:hAnsi="Arial" w:cs="Arial"/>
          <w:color w:val="000000" w:themeColor="text1"/>
          <w:sz w:val="22"/>
          <w:szCs w:val="22"/>
          <w:lang w:val="en-US"/>
        </w:rPr>
        <w:t>gmail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com</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ABOUT THE PROBLEMS OF IMPLEMENTATION OF PROTECTION IN THE SPECIAL ORDER OF JUDICIAL PROCEEDINGS</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Pruss Anastasia Ruslanovna</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postgraduate 4th year student of the law faculty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Altai state university</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656049, Russian Federation, Barnaul, pr. Lenina, 61</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961-978-87-89, e-mail: a.sattarova92@gmail.com</w:t>
      </w:r>
    </w:p>
    <w:p w:rsidR="00592BC2" w:rsidRPr="00DA76A7" w:rsidRDefault="00592BC2" w:rsidP="00592BC2">
      <w:pPr>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анализируются проблемы осуществления адвокатом защиты  обвиняемого в особом порядке судебного разбирательства при согласии обвиняемого с предъявленным ему обвинением. При рассмотрении дела в особом порядке защитник существенно ограничен в выполнении своих обязанностей. Из анализа взглядов правоведов-исследователей и собственного практического опыта, автор приходит к выводу, что установленные в УПК РФ ограничения, в совокупности с положением об абсолюте воли подзащитного, приводят к выполнению защитником формальной роли.</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The article analyzes the problems of the lawyer's defense of the defendant in a special procedure for the trial, with the consent of the accused with the charge against him. When considering a case in a special order, the defense counsel is substantially limited in the performance of his duties. From the analysis of the views of legal scholars and own practical experience, the author comes to the conclusion that the restrictions established in the Code of Criminal Procedure, in conjunction with the provision on the absolute will of the defendant, lead to the formal role of the defender.</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особый порядок; защитник; обвиняемый; судебное разбирательство.</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special order of trial; defense counsels; accused; judicial proceedings.</w:t>
      </w:r>
    </w:p>
    <w:p w:rsidR="00592BC2" w:rsidRPr="00DA76A7" w:rsidRDefault="00592BC2" w:rsidP="00592BC2">
      <w:pPr>
        <w:ind w:firstLine="567"/>
        <w:jc w:val="both"/>
        <w:rPr>
          <w:rFonts w:ascii="Arial" w:hAnsi="Arial" w:cs="Arial"/>
          <w:i/>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Обеспечение подозреваемому и обвиняемому права на защиту является одним из принципов уголовного судопроизводства (ст. 16 УПК РФ) [2].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Право на защиту является комплексным правом.  Оно включает в себя обязанность суда, прокурора, следователя и дознавателя разъяснить подозреваемому или обвиняемому его права, обеспечить возможность защищаться всеми не запрещенными УПК РФ способами и средствами, а также обеспечить участие защитника по уголовному делу в предусмотренных УПК РФ случаях.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Одним из случаев обязательного участия защитника по уголовному делу является заявление обвиняемым ходатайства о рассмотрении уголовного дела в порядке, установленным главой 40 УПК РФ ( п.7 ч.1 ст. 51 УПК РФ), то есть в особом порядке судебного разбирательства при согласии обвиняемого с предъявленным ему обвинением.  Часть 2 статьи 316 УПК РФ, фактически дублируя положения ст. 51 УПК РФ, закрепляет, что судебное заседание в особом порядке судебного разбирательства проводится с обязательным участием подсудимого, а также его защитника.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Несмотря на то, что участие защитника в особом порядке судебного разбирательства обязательно, некоторые учёные говорят о фактической потере процессуальной роли защитника при рассмотрении дела в указанном порядке [7, 155]. Вместе с этим, в особом порядке затрагиваются важные для адвоката профессиональные этические проблемы, которые не характерны для рассмотрения дела в общем порядке судопроизводства.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Предоставление любого права может превратиться в формальность, если не будут созданы необходимые условия для его осуществления [10, 66]. Поэтому, в настоящей статье акцентируется внимание на роли адвоката в особом порядке судебного разбирательства, а также на этических проблемах при осуществлении адвокатом своих обязанностей в особом порядке.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Обеспечение прав и законных интересов обвиняемого, а также оказание ему юридической помощи возложено на защитника - адвоката (статья 49 УПК РФ). Качество осуществляемой защиты и обязанности адвоката не зависят не только от выбранной обвиняемым формы судебного производства, но и от того, участвует защитник по назначению органов следствия и суда или по соглашению [5].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практике, особенно по делам, где защитник назначается в порядке статьи 50 УПК РФ, к моменту вступления защитника в дело, у подозреваемого уже сложилось определенное мнение о своей позиции  и о порядке действий, которые ему обещают благоприятный исход по делу. Об особом порядке и мягком наказании, которое якобы «гарантирует» этот порядок, субъект уголовного преследования узнает задолго до ознакомления с делом, а иногда даже до первого допроса в качестве подозреваемого.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Думается, что несмотря на позицию подзащитного о признании вины, защитник должен прежде всего сформировать собственную правовую позицию по делу. В таком случае, это обеспечивает действительную, а не номинальную реализацию права каждого на квалифицированную юридическую помощь, гарантированную ст. 48 Конституции РФ [1].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Но кроме установленных процессуальным законом требований, защитник находится под сильным воздействием обязательных для него положений профессиональной этики. Согласно ч.2 статьи 9 Кодекса профессиональной этики адвоката [4], адвокату запрещено занимать позицию по делу, противоположную доверителю и действовать вопреки его воле. Это приводит к возникновению ситуаций, когда защитник в случае согласия его подзащитного с предъявленным ему обвинением, вынужден не возражать против особого порядка, даже в случае спорной квалификации действий подсудимого.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Нормы УПК РФ  и положения Кодекса профессиональной этики адвоката приводят к значительному ограничению возможной правовой позиции защитника по делу и к выполнению им формальной роли -  присутствию при заявлении обвиняемым ходатайства и рассмотрении уголовного дела в порядке гл. 40 УПК РФ. Будучи убежденным в необходимости обжаловать действия следователя, заявить ходатайство о переквалификации действий подзащитного или возражать против особого порядка, адвокат может остаться непонятым своим доверителем. Подобные действия могут быть оценены подзащитным как сделанные во вред его интересам. По мнению                           С.Э. Федоренковой, в ситуации конфликта позиций с подзащитным, адвокат, склонивший обвиняемого к чему-либо, руководствуясь при этом благими намерениями и будучи убежденным в их пользе, создает для себя потенциально опасную ситуацию [7, 158]. Кроме того, защитник может быть привлечен к дисциплинарной ответственности по законодательству об адвокатской деятельности и адвокатуре (статья 18 Кодекса профессиональной этики адвоката).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Закрепляя положение об обязательном присутствии защитника при заявлении ходатайства об особом порядке судебного разбирательства, законодатель наделил защитника ролью «гаранта» того, что ходатайство заявлено добровольно, что обвиняемый согласен с обвинением, признает вину и  в полной мере осознает характер, а также юридические последствия заявленного ходатайства. Однако, что может гарантировать защитник, если сам сомневается в добровольности признательных показаний, в квалификации деяния и обоснованности обвинения в целом?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правоприменительной практике редко, но возникают ситуации, когда против рассмотрения дела в особом порядке возражает  защитник. Несмотря на то, что в ч.6 ст. 316 УПК РФ  законодатель вообще не упоминает об учете мнения защитника при разрешении вопроса о соблюдении условий  для особого порядка, суды нередко выясняют его мнение. Возникает вопрос – может ли защитник возражать против особого порядка судебного разбирательства, считая, что действует во благо своему доверителю? Е.В. Федотова считает недопустимой ситуацию, когда в особом порядке позиции подсудимого и защитника расходятся, а именно: подсудимый признает свою вину в полном объеме и ходатайствует об особом порядке судебного разбирательства, а защитник в ходе судебного заседания выражает свое несогласие с предъявленным обвинением [8, 126]. Это влечет за собой последующую  отмену приговора  в связи с нарушением права на защиту.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адвокат-защитник всегда находится «в тисках» процессуальных норм и требований профессиональной этики, что превращает его участие в деле в номинальное присутствие.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Вопрос о том, какую позицию по уголовному делу может занять защитник зависит от его точки зрения на свое процессуальное положение. Либо защитник – самостоятельный участник процесса и вправе занимать позицию по делу, отличную от позиции обвиняемого; либо защитник полностью зависит от позиции своего подзащитного. Из практики вытекает теоретическая проблема.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рассмотрении этой проблемы, следует учитывать, что в пп.3, 4 ч.4 ст. 6 Федерального закона «Об адвокатской деятельности и адвокатуре в Российской Федерации», установлен императивный запрет на расхождение позиций защитника и его доверителя [3].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нашему мнению, установленное в законе требование занимать только позицию обвиняемого снижает эффективность деятельности адвоката не только в особом порядке судебного разбирательства, но и общем порядке.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исследованиям Е.А. Ходжаевой, у судей, прокуроров, следователей укрепилось мнение о слабости адвокатуры как института и адвокатов как юристов-профессионалов [9, 136]. Но в действительности, причина «слабости» адвокатуры обусловлена ограничениями в работе по уголовному делу.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Деятельность защитника существенно отличается от деятельности стороны обвинения – она носит односторонний характер и заключается в выяснении обстоятельств дела в пользу подзащитного. Выясняя обстоятельства, защитник должен способствовать правильному осуществлению правосудия, его позиция должна быть не только согласованной с доверителем, но и основана на нормах закона. Существующая «асимметрия» в правомочиях защитника значительно снижает его возможности  как участника судопроизводства [9,137].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Например, С. был осужден по ст. 264.1 УК РФ. Уголовное дело рассматривалось в особом порядке. Как видно из приговора, в действиях С. был установлен рецидив преступления [6]. При рецидиве преступления лицу назначается только наиболее строгий вид наказания, предусмотренный соответствующей статьей Особенной части УК РФ (ч. 2 ст. 68 УК РФ). Это положение закона было разъяснено защитником подсудимому по делу для согласования позиции в части возможного наказания.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судебных прениях, государственный обвинитель просил о назначении наказания в виде обязательных работ, а защитник – в виде лишения свободы с применения ст. 73 УК РФ. При вынесении приговора суд неправильно применил уголовный закон, т.к. С. было назначено наказание в виде обязательных работ.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этот приговор была подана апелляционная жалоба осужденным, который просил об изменении приговора и назначении лишения свободы с применением ст. 73 УК РФ.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Судебное заседание суда апелляционной инстанции  проводилось в отсутствие осужденного по его ходатайству. Несмотря на то, что судом первой инстанции было допущено неправильное применение уголовного закона, жалоба осужденного не могла быть удовлетворена, т.к. была направлена на ухудшение его положения, что возможно только по апелляционному представлению прокурора или апелляционной жалобе потерпевшего. Защитник-адвокат был не согласен с апелляционными доводами, считая, что это может повлечь ухудшение положения осужденного. Но из-за запрета занимать позицию, отличную от позиции доверителя, защитник в конечном итоге был вынужден поддержать апелляционную жалобу. В таких случаях проявляется абсурдность положений об абсолюте воли подзащитного лица для адвоката.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текущей ситуации перед защитниками стоит сложная задача – это баланс интересов, учёт позиции подзащитного, обоснованность занимаемой позиции, а также содействие правильному осуществлению правосудия. Такие задачи соответствуют здравому смыслу, которым предписано руководствоваться адвокатам положениями Федерального закона «Об адвокатской деятельности и адвокатуре в Российской Федерации» (п. 1 ч.1 ст.7).</w:t>
      </w:r>
    </w:p>
    <w:p w:rsidR="00592BC2" w:rsidRPr="00DA76A7" w:rsidRDefault="00592BC2"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3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Конституция Российской Федерации 1993 г.: принята всенародным голосованием 12.12.1993 г. [Электронный ресурс]. Доступ из справ.-правовой системы «Консультант плюс»: http://www.consultant.ru/document/cons_doc_LAW_28399/ (дата обращения 01.03.2018 г.).</w:t>
      </w:r>
    </w:p>
    <w:p w:rsidR="00592BC2" w:rsidRPr="00DA76A7" w:rsidRDefault="00592BC2" w:rsidP="00D45D6B">
      <w:pPr>
        <w:pStyle w:val="a6"/>
        <w:numPr>
          <w:ilvl w:val="0"/>
          <w:numId w:val="13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Уголовно-процессуальный кодекс Российской Федерации [Электронный ресурс]: федеральный закон от 18 декабря 2001 г. №174-ФЗ. Доступ из справ.-правовой системы «Консультант плюс». </w:t>
      </w:r>
      <w:r w:rsidRPr="00DA76A7">
        <w:rPr>
          <w:rFonts w:ascii="Arial" w:hAnsi="Arial" w:cs="Arial"/>
          <w:color w:val="000000" w:themeColor="text1"/>
          <w:lang w:val="en-US"/>
        </w:rPr>
        <w:t>http</w:t>
      </w:r>
      <w:r w:rsidRPr="00DA76A7">
        <w:rPr>
          <w:rFonts w:ascii="Arial" w:hAnsi="Arial" w:cs="Arial"/>
          <w:color w:val="000000" w:themeColor="text1"/>
        </w:rPr>
        <w:t>://</w:t>
      </w:r>
      <w:r w:rsidRPr="00DA76A7">
        <w:rPr>
          <w:rFonts w:ascii="Arial" w:hAnsi="Arial" w:cs="Arial"/>
          <w:color w:val="000000" w:themeColor="text1"/>
          <w:lang w:val="en-US"/>
        </w:rPr>
        <w:t>www</w:t>
      </w:r>
      <w:r w:rsidRPr="00DA76A7">
        <w:rPr>
          <w:rFonts w:ascii="Arial" w:hAnsi="Arial" w:cs="Arial"/>
          <w:color w:val="000000" w:themeColor="text1"/>
        </w:rPr>
        <w:t>.</w:t>
      </w:r>
      <w:r w:rsidRPr="00DA76A7">
        <w:rPr>
          <w:rFonts w:ascii="Arial" w:hAnsi="Arial" w:cs="Arial"/>
          <w:color w:val="000000" w:themeColor="text1"/>
          <w:lang w:val="en-US"/>
        </w:rPr>
        <w:t>consultant</w:t>
      </w:r>
      <w:r w:rsidRPr="00DA76A7">
        <w:rPr>
          <w:rFonts w:ascii="Arial" w:hAnsi="Arial" w:cs="Arial"/>
          <w:color w:val="000000" w:themeColor="text1"/>
        </w:rPr>
        <w:t>.</w:t>
      </w:r>
      <w:r w:rsidRPr="00DA76A7">
        <w:rPr>
          <w:rFonts w:ascii="Arial" w:hAnsi="Arial" w:cs="Arial"/>
          <w:color w:val="000000" w:themeColor="text1"/>
          <w:lang w:val="en-US"/>
        </w:rPr>
        <w:t>ru</w:t>
      </w:r>
      <w:r w:rsidRPr="00DA76A7">
        <w:rPr>
          <w:rFonts w:ascii="Arial" w:hAnsi="Arial" w:cs="Arial"/>
          <w:color w:val="000000" w:themeColor="text1"/>
        </w:rPr>
        <w:t>/</w:t>
      </w:r>
      <w:r w:rsidRPr="00DA76A7">
        <w:rPr>
          <w:rFonts w:ascii="Arial" w:hAnsi="Arial" w:cs="Arial"/>
          <w:color w:val="000000" w:themeColor="text1"/>
          <w:lang w:val="en-US"/>
        </w:rPr>
        <w:t>document</w:t>
      </w:r>
      <w:r w:rsidRPr="00DA76A7">
        <w:rPr>
          <w:rFonts w:ascii="Arial" w:hAnsi="Arial" w:cs="Arial"/>
          <w:color w:val="000000" w:themeColor="text1"/>
        </w:rPr>
        <w:t>/</w:t>
      </w:r>
      <w:r w:rsidRPr="00DA76A7">
        <w:rPr>
          <w:rFonts w:ascii="Arial" w:hAnsi="Arial" w:cs="Arial"/>
          <w:color w:val="000000" w:themeColor="text1"/>
          <w:lang w:val="en-US"/>
        </w:rPr>
        <w:t>cons</w:t>
      </w:r>
      <w:r w:rsidRPr="00DA76A7">
        <w:rPr>
          <w:rFonts w:ascii="Arial" w:hAnsi="Arial" w:cs="Arial"/>
          <w:color w:val="000000" w:themeColor="text1"/>
        </w:rPr>
        <w:t>_</w:t>
      </w:r>
      <w:r w:rsidRPr="00DA76A7">
        <w:rPr>
          <w:rFonts w:ascii="Arial" w:hAnsi="Arial" w:cs="Arial"/>
          <w:color w:val="000000" w:themeColor="text1"/>
          <w:lang w:val="en-US"/>
        </w:rPr>
        <w:t>doc</w:t>
      </w:r>
      <w:r w:rsidRPr="00DA76A7">
        <w:rPr>
          <w:rFonts w:ascii="Arial" w:hAnsi="Arial" w:cs="Arial"/>
          <w:color w:val="000000" w:themeColor="text1"/>
        </w:rPr>
        <w:t>_</w:t>
      </w:r>
      <w:r w:rsidRPr="00DA76A7">
        <w:rPr>
          <w:rFonts w:ascii="Arial" w:hAnsi="Arial" w:cs="Arial"/>
          <w:color w:val="000000" w:themeColor="text1"/>
          <w:lang w:val="en-US"/>
        </w:rPr>
        <w:t>LAW</w:t>
      </w:r>
      <w:r w:rsidRPr="00DA76A7">
        <w:rPr>
          <w:rFonts w:ascii="Arial" w:hAnsi="Arial" w:cs="Arial"/>
          <w:color w:val="000000" w:themeColor="text1"/>
        </w:rPr>
        <w:t>_34481/ (дата обращения 01.03.2018 г.).</w:t>
      </w:r>
    </w:p>
    <w:p w:rsidR="00592BC2" w:rsidRPr="00DA76A7" w:rsidRDefault="00592BC2" w:rsidP="00D45D6B">
      <w:pPr>
        <w:pStyle w:val="a6"/>
        <w:numPr>
          <w:ilvl w:val="0"/>
          <w:numId w:val="13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Об адвокатской деятельности и адвокатуре в Российской Федерации [Электронный ресурс]: федеральный закон от 31 мая 2005 г. №63 - ФЗ Доступ из справ.-правовой системы «Консультант плюс». </w:t>
      </w:r>
      <w:r w:rsidRPr="00DA76A7">
        <w:rPr>
          <w:rFonts w:ascii="Arial" w:hAnsi="Arial" w:cs="Arial"/>
          <w:color w:val="000000" w:themeColor="text1"/>
          <w:lang w:val="en-US"/>
        </w:rPr>
        <w:t>URL</w:t>
      </w:r>
      <w:r w:rsidRPr="00DA76A7">
        <w:rPr>
          <w:rFonts w:ascii="Arial" w:hAnsi="Arial" w:cs="Arial"/>
          <w:color w:val="000000" w:themeColor="text1"/>
        </w:rPr>
        <w:t>: http://www.consultant.ru/document/cons_doc_LAW_36945/ (дата обращения 01.03.2018 г.).</w:t>
      </w:r>
    </w:p>
    <w:p w:rsidR="00592BC2" w:rsidRPr="00DA76A7" w:rsidRDefault="00592BC2" w:rsidP="00D45D6B">
      <w:pPr>
        <w:pStyle w:val="af2"/>
        <w:numPr>
          <w:ilvl w:val="0"/>
          <w:numId w:val="138"/>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Кодекс профессиональной этики адвоката // Официальный сайт Федеральной палаты адвокатов. – Режим доступа: </w:t>
      </w:r>
      <w:r w:rsidRPr="00DA76A7">
        <w:rPr>
          <w:rFonts w:ascii="Arial" w:hAnsi="Arial" w:cs="Arial"/>
          <w:color w:val="000000" w:themeColor="text1"/>
          <w:sz w:val="22"/>
          <w:szCs w:val="22"/>
          <w:lang w:val="en-US"/>
        </w:rPr>
        <w:t>http</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fparf</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documents</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normative</w:t>
      </w:r>
      <w:r w:rsidRPr="00DA76A7">
        <w:rPr>
          <w:rFonts w:ascii="Arial" w:hAnsi="Arial" w:cs="Arial"/>
          <w:color w:val="000000" w:themeColor="text1"/>
          <w:sz w:val="22"/>
          <w:szCs w:val="22"/>
        </w:rPr>
        <w:t>_</w:t>
      </w:r>
      <w:r w:rsidRPr="00DA76A7">
        <w:rPr>
          <w:rFonts w:ascii="Arial" w:hAnsi="Arial" w:cs="Arial"/>
          <w:color w:val="000000" w:themeColor="text1"/>
          <w:sz w:val="22"/>
          <w:szCs w:val="22"/>
          <w:lang w:val="en-US"/>
        </w:rPr>
        <w:t>acts</w:t>
      </w:r>
      <w:r w:rsidRPr="00DA76A7">
        <w:rPr>
          <w:rFonts w:ascii="Arial" w:hAnsi="Arial" w:cs="Arial"/>
          <w:color w:val="000000" w:themeColor="text1"/>
          <w:sz w:val="22"/>
          <w:szCs w:val="22"/>
        </w:rPr>
        <w:t>/1059/ (дата обращения 01.03.2018 г.).</w:t>
      </w:r>
    </w:p>
    <w:p w:rsidR="00592BC2" w:rsidRPr="00DA76A7" w:rsidRDefault="00592BC2" w:rsidP="00D45D6B">
      <w:pPr>
        <w:pStyle w:val="a6"/>
        <w:numPr>
          <w:ilvl w:val="0"/>
          <w:numId w:val="13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Стандарта участия адвоката-защитника в уголовном судопроизводстве  // Официальный сайт Федеральной палаты адвокатов. – Режим доступа: http://fparf.ru/news/all_news/news/31364/ (дата обращения 01.03.2018 г.).</w:t>
      </w:r>
    </w:p>
    <w:p w:rsidR="00592BC2" w:rsidRPr="00DA76A7" w:rsidRDefault="00592BC2" w:rsidP="00D45D6B">
      <w:pPr>
        <w:pStyle w:val="a6"/>
        <w:numPr>
          <w:ilvl w:val="0"/>
          <w:numId w:val="13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Приговор от 18 октября 2016 г. по делу №1-55/2016 // Судебные и нормативные акты РФ. – Режим доступа: http://sudact.ru/magistrate/doc/5RtDPUTvazgv/ (дата обращения 01.03.2018 г.).</w:t>
      </w:r>
    </w:p>
    <w:p w:rsidR="00592BC2" w:rsidRPr="00DA76A7" w:rsidRDefault="00592BC2" w:rsidP="00D45D6B">
      <w:pPr>
        <w:pStyle w:val="a6"/>
        <w:numPr>
          <w:ilvl w:val="0"/>
          <w:numId w:val="13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Федоренкова С.Э. Особый порядок судебного разбирательства с точки зрения адвокатской этики // Актуальные проблемы российского права. – 2015. – №112(61). – С. 155-161.</w:t>
      </w:r>
    </w:p>
    <w:p w:rsidR="00592BC2" w:rsidRPr="00DA76A7" w:rsidRDefault="00592BC2" w:rsidP="00D45D6B">
      <w:pPr>
        <w:pStyle w:val="a6"/>
        <w:numPr>
          <w:ilvl w:val="0"/>
          <w:numId w:val="13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Федотова Е.В. Роль защитника в особом порядке судебного разбирательства // Вестник ОГУ. – 2005. – №3. – С.124-126.</w:t>
      </w:r>
    </w:p>
    <w:p w:rsidR="00592BC2" w:rsidRPr="00DA76A7" w:rsidRDefault="00592BC2" w:rsidP="00D45D6B">
      <w:pPr>
        <w:pStyle w:val="a6"/>
        <w:numPr>
          <w:ilvl w:val="0"/>
          <w:numId w:val="13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Ходжаева Е., Рабовски (Шестернина) Ю. Стратегии и тактики адвокатов в условиях обвинительного уклона //  Социология власти. – 2015. – Т. 27. – №2. – С. 135-167.</w:t>
      </w:r>
    </w:p>
    <w:p w:rsidR="00592BC2" w:rsidRPr="00DA76A7" w:rsidRDefault="00592BC2" w:rsidP="00D45D6B">
      <w:pPr>
        <w:pStyle w:val="a6"/>
        <w:numPr>
          <w:ilvl w:val="0"/>
          <w:numId w:val="138"/>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Шадрин В.С. Обеспечение прав личности при расследовании преступлений:  </w:t>
      </w:r>
      <w:r w:rsidRPr="00DA76A7">
        <w:rPr>
          <w:rFonts w:ascii="Arial" w:hAnsi="Arial" w:cs="Arial"/>
          <w:color w:val="000000" w:themeColor="text1"/>
          <w:shd w:val="clear" w:color="auto" w:fill="FFFFFF"/>
        </w:rPr>
        <w:t xml:space="preserve"> монография.</w:t>
      </w:r>
      <w:r w:rsidRPr="00DA76A7">
        <w:rPr>
          <w:rFonts w:ascii="Arial" w:hAnsi="Arial" w:cs="Arial"/>
          <w:color w:val="000000" w:themeColor="text1"/>
        </w:rPr>
        <w:t xml:space="preserve"> – </w:t>
      </w:r>
      <w:r w:rsidRPr="00DA76A7">
        <w:rPr>
          <w:rFonts w:ascii="Arial" w:hAnsi="Arial" w:cs="Arial"/>
          <w:color w:val="000000" w:themeColor="text1"/>
          <w:shd w:val="clear" w:color="auto" w:fill="FFFFFF"/>
        </w:rPr>
        <w:t>М.: Юрлитинформ, 2000. — 232 с.</w:t>
      </w:r>
    </w:p>
    <w:p w:rsidR="00592BC2" w:rsidRPr="00DA76A7" w:rsidRDefault="00592BC2" w:rsidP="00592BC2">
      <w:pPr>
        <w:tabs>
          <w:tab w:val="left" w:pos="851"/>
        </w:tabs>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РЕАЛЬНЫЙ ПРИНЦИП ДЕЙСТВИЯ УГОЛОВНОГО ЗАКОНА КАК СПОСОБ ЗАЩИТЫ КОНСТИТУЦИОН</w:t>
      </w:r>
      <w:r w:rsidR="00165FAA" w:rsidRPr="00DA76A7">
        <w:rPr>
          <w:rFonts w:ascii="Arial" w:hAnsi="Arial" w:cs="Arial"/>
          <w:b/>
          <w:color w:val="000000" w:themeColor="text1"/>
          <w:sz w:val="22"/>
          <w:szCs w:val="22"/>
        </w:rPr>
        <w:t>НЫХ ПРАВ ГРАЖДАН РОССИЙСКОЙ ФЕДЕРАЦИИ</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Рахмонкулов Азизбек Илхомович</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дневного отделения юридического факультета</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904-00-06-06,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Alisher</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ind w:firstLine="567"/>
        <w:jc w:val="center"/>
        <w:rPr>
          <w:rFonts w:ascii="Arial" w:hAnsi="Arial" w:cs="Arial"/>
          <w:b/>
          <w:color w:val="000000" w:themeColor="text1"/>
          <w:sz w:val="22"/>
          <w:szCs w:val="22"/>
        </w:rPr>
      </w:pPr>
    </w:p>
    <w:p w:rsidR="00165FAA" w:rsidRPr="00DA76A7" w:rsidRDefault="00592BC2" w:rsidP="00165FAA">
      <w:pPr>
        <w:pStyle w:val="HTML"/>
        <w:shd w:val="clear" w:color="auto" w:fill="FFFFFF"/>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THE REAL PRINCIPLE OF OPERATION OF CRIMINAL STATUTE AS A TOOL TO PROTE</w:t>
      </w:r>
      <w:r w:rsidR="00165FAA" w:rsidRPr="00DA76A7">
        <w:rPr>
          <w:rFonts w:ascii="Arial" w:hAnsi="Arial" w:cs="Arial"/>
          <w:b/>
          <w:color w:val="000000" w:themeColor="text1"/>
          <w:sz w:val="22"/>
          <w:szCs w:val="22"/>
          <w:lang w:val="en-US"/>
        </w:rPr>
        <w:t xml:space="preserve">CT THE CONSTITUTIONAL RIGHTS </w:t>
      </w:r>
      <w:r w:rsidRPr="00DA76A7">
        <w:rPr>
          <w:rFonts w:ascii="Arial" w:hAnsi="Arial" w:cs="Arial"/>
          <w:b/>
          <w:color w:val="000000" w:themeColor="text1"/>
          <w:sz w:val="22"/>
          <w:szCs w:val="22"/>
          <w:lang w:val="en-US"/>
        </w:rPr>
        <w:t>CITIZENS</w:t>
      </w:r>
      <w:r w:rsidR="00165FAA" w:rsidRPr="00DA76A7">
        <w:rPr>
          <w:rFonts w:ascii="Arial" w:hAnsi="Arial" w:cs="Arial"/>
          <w:b/>
          <w:color w:val="000000" w:themeColor="text1"/>
          <w:sz w:val="22"/>
          <w:szCs w:val="22"/>
          <w:lang w:val="en-US"/>
        </w:rPr>
        <w:t xml:space="preserve"> OF </w:t>
      </w:r>
      <w:r w:rsidR="00165FAA" w:rsidRPr="005D1C4B">
        <w:rPr>
          <w:rFonts w:ascii="Arial" w:hAnsi="Arial" w:cs="Arial"/>
          <w:b/>
          <w:color w:val="000000" w:themeColor="text1"/>
          <w:sz w:val="22"/>
          <w:szCs w:val="22"/>
          <w:lang w:val="en-US"/>
        </w:rPr>
        <w:t>THE RUSSIAN FEDERATION</w:t>
      </w:r>
    </w:p>
    <w:p w:rsidR="00592BC2" w:rsidRPr="00DA76A7" w:rsidRDefault="00592BC2" w:rsidP="00592BC2">
      <w:pPr>
        <w:ind w:firstLine="567"/>
        <w:jc w:val="center"/>
        <w:rPr>
          <w:rFonts w:ascii="Arial" w:hAnsi="Arial" w:cs="Arial"/>
          <w:b/>
          <w:color w:val="000000" w:themeColor="text1"/>
          <w:sz w:val="22"/>
          <w:szCs w:val="22"/>
          <w:lang w:val="en-US"/>
        </w:rPr>
      </w:pPr>
    </w:p>
    <w:p w:rsidR="00592BC2" w:rsidRPr="00DA76A7" w:rsidRDefault="00592BC2" w:rsidP="00592BC2">
      <w:pPr>
        <w:pStyle w:val="HTML"/>
        <w:shd w:val="clear" w:color="auto" w:fill="FFFFFF"/>
        <w:ind w:firstLine="567"/>
        <w:jc w:val="center"/>
        <w:rPr>
          <w:rFonts w:ascii="Arial" w:hAnsi="Arial" w:cs="Arial"/>
          <w:b/>
          <w:color w:val="000000" w:themeColor="text1"/>
          <w:sz w:val="22"/>
          <w:szCs w:val="22"/>
          <w:lang w:val="en-US"/>
        </w:rPr>
      </w:pPr>
    </w:p>
    <w:p w:rsidR="00592BC2" w:rsidRPr="00DA76A7" w:rsidRDefault="00592BC2" w:rsidP="00592BC2">
      <w:pPr>
        <w:pStyle w:val="HTML"/>
        <w:shd w:val="clear" w:color="auto" w:fill="FFFFFF"/>
        <w:ind w:firstLine="567"/>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Rahmonkulov Azizbek Ilkhomovich</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the 2 nd year of the full-time department of the faculty of law</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734025, Republic of Tajikistan, Dushanbe, M. Tursunzade str., 30 </w:t>
      </w:r>
    </w:p>
    <w:p w:rsidR="00592BC2" w:rsidRPr="00DA76A7" w:rsidRDefault="00592BC2" w:rsidP="00592BC2">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l.: 904-00-06-06, e-mail: Alisher.@mail.ru</w:t>
      </w:r>
    </w:p>
    <w:p w:rsidR="00592BC2" w:rsidRPr="00DA76A7" w:rsidRDefault="00592BC2" w:rsidP="00592BC2">
      <w:pPr>
        <w:ind w:firstLine="567"/>
        <w:jc w:val="right"/>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Научный руководитель: д.ю.н., доцент Абдухамитов В.А. </w:t>
      </w:r>
    </w:p>
    <w:p w:rsidR="00592BC2" w:rsidRPr="00DA76A7" w:rsidRDefault="00592BC2" w:rsidP="00592BC2">
      <w:pPr>
        <w:ind w:firstLine="567"/>
        <w:jc w:val="both"/>
        <w:rPr>
          <w:rFonts w:ascii="Arial" w:hAnsi="Arial" w:cs="Arial"/>
          <w:b/>
          <w:i/>
          <w:color w:val="000000" w:themeColor="text1"/>
          <w:sz w:val="22"/>
          <w:szCs w:val="22"/>
          <w:shd w:val="clear" w:color="auto" w:fill="FFFFFF"/>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shd w:val="clear" w:color="auto" w:fill="FFFFFF"/>
        </w:rPr>
        <w:t xml:space="preserve">Аннотация. </w:t>
      </w:r>
      <w:r w:rsidRPr="00DA76A7">
        <w:rPr>
          <w:rFonts w:ascii="Arial" w:hAnsi="Arial" w:cs="Arial"/>
          <w:i/>
          <w:color w:val="000000" w:themeColor="text1"/>
          <w:sz w:val="22"/>
          <w:szCs w:val="22"/>
        </w:rPr>
        <w:t>В статье в качестве одного из способов защиты прав и интересов граждан Российской Федерации и лиц, постоянно проживающих на территории Российской Федерации, рассмотрен реальный принцип действия уголовного закона в пространстве. Этот принцип представляет собой правовое средство, позволяющее в полной мере обеспечить охрану интересов России, ее граждан от посягательств на них извне, расширяя возможности экстерриториального применения уголовного закона.</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this article, as a means to protect the rights and interests of the Russian federation's citizens, as well as persons permanently residing on the territory of the Russian Federation, considered the real principle of operation of criminal law. This principle is a legal tool to fully protect the interests of Russia and its citizens against attacks on them from the outside, extending the capabilities of the extraterritorial application of the criminal law.</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уголовный закон, реальный принцип действия, конституционные права, экстерриториальная юрисдикция.</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criminal statute, real principle of operation, constitutional rights, extraterritorial jurisdiction.</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Реальный принцип действия уголовного закона в пространстве представляет собой правовое средство, позволяющее в полной мере обеспечить охрану интересов государства, а также его граждан от посягательств на них извне, расширяя возможности экстерриториального применения уголовного закона. И важно отметить, что эффективность данного средства зависит от его правильного толкования правоприменителем, а также механизма его воплощения в рамках не только национального законодательства, но и международного права.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Несомненно, это не могло не отразиться и на закреплении реального принципа пространственного действия уголовного закона. Эволюция норм уголовного законодательства показывает, что рассматриваемый принцип, изложенный в ч. 3 ст. 12 УК РФ, новым ни для теории, ни для права не является [1, 276].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Лишь в 1996 г. в ст. 12 УК РФ реальный принцип действия уголовного закона в пространстве был законодательно восстановлен, несмотря на то, что такая тенденция возникла еще в период постсоветской реформы. Однако первоначальная редакция ч. 3 ст. 12 УК РФ 1996 г. отличалась от современной: «Иностранные граждане и лица без гражданства, не проживающие постоянно в Российской Федерации, совершившие преступление вне пределов Российской Федерации, подлежат уголовной ответственности по настоящему Кодексу в случаях, если преступление направлено против интересов Российской Федерации, и в случаях, предусмотренных международным договором Российской Федерации, если они не были осуждены в иностранном государстве и привлекаются к уголовной ответственности на территории Российской Федерации». Иными словами, законодатель при изложении данной нормы ограничился понятием «интересы Российской Федерации», что, в свою очередь, вызвало ряд вопросов у исследователей и правоприменителей.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 текста уголовного закона в первоначальной (1996 г.) редакции было неясно, о каких преступлениях, совершенных иностранными гражданами и лицами, постоянно не проживающими на территории России, идет речь. Очевидно, что термин «интересы Российской Федерации» не имеет четко определенных границ. Так, например, В.Ф. Щепельков указывал, что при толковании понятия «интересы Российской Федерации» возникают определенные затруднения: из текста закона неясно, то ли это оценочное понятие, то ли имеющее строгую логическую конструкцию, не допускающую элементов усмотрения правоприменителя [2, 27].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 по-прежнему сохранялся вопрос о том, можно ли в понятие «интересы Российской Федерации» включать и интересы российских граждан.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некоторые исследователи полагали, что под интересами России следует понимать не только государственные интересы, но и интересы личности российских граждан, то, например, Н.Г. Иванов указывал, что декларация политиков на тему «интересы граждан есть интересы России» на практике остается схоластикой и «по существу ничего не выражает». Поэтому на законодательном уровне необходимо «четко различать интересы, касающиеся государства в целом: его экономическая стабильность, вооруженность, экономическая и политическая безопасность и т.п., и интересы, касающиеся конкретного гражданина (его жизнь, здоровье, имущественные и финансовые отношения)» [3, 41].</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Именно новая редакция ст. 12 УК РФ позволила, наконец, говорить о существовании в российском уголовном праве не только реального принципа (в собственном смысле слова), но и пассивного персонального принципа, который предполагает защиту интересов своих граждан от посягательств на них извне.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Пассивный персональный принцип применяется в случае совершения преступления иностранными гражданами или лицами без гражданства, постоянно не проживающими в Российской Федерации, вне пределов Российской Федерации. Определение места совершения преступления «вне пределов Российской Федерации» для действия рассматриваемого принципа является полностью обоснованным. Именно такая формулировка включает как территорию иностранного государства, так и международное пространство, что позволяет распространять уголовно-правовую юрисдикцию России на всех иностранных граждан и лиц без гражданства, постоянно не проживающих в Российской Федерации, за совершение за пределами ее государственных границ любых преступлений, направленных против интересов граждан Российской Федерации [4, 137].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Это означает, что если названные лица окажутся на территории России, то ее правоохранительные органы имеют полное право начать уголовное преследование. Если же указанные лица обнаружены в других государствах, то российская сторона имеет законное право согласно реальному принципу обратиться с официальным запросом о выдаче (при соблюдении всех необходимых условий) данных лиц к государству, где они находятся.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применение реального принципа действия уголовного закона в пространстве реализует экстерриториальную юрисдикцию государства. Однако данная процедура предполагает не только определение места совершения преступления, но и круга лиц, которыми данные общественно опасные деяния совершаются.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п. 2 ст. 2 вышеуказанного Федерального закона, следует отметить, что понятие «иностранный гражданин» включает в себя и понятие «лицо без гражданства», кроме случаев, когда федеральным законом для лиц без гражданства устанавливаются специальные правила, которые в корне отличаются от правил, установленных для иностранных граждан. Таким образом, правовое положение лиц без гражданства в Российской Федерации в целом аналогично положению иностранных граждан.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известно, ст. 12 УК РФ выделяет две категории лиц без гражданства: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постоянно проживающие на территории Российской Федерации;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не проживающие постоянно на территории Российской Федерации.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первому виду относятся лица, которые проживают в Российской Федерации не менее 183 дней в календарном году. При этом документом, подтверждающим право лица без гражданства на постоянное проживание в Российской Федерации и удостоверяющим его личность, служит вид на жительство. С позиций уголовного права, данных лиц следует приравнять к гражданам Российской Федерации, наделенным всем объемом прав и обязанностей (ключевым отличием является лишь экстрадиция, т.к. согласно ст. 13 УК РФ выдаче иностранному государству не подлежит только гражданин Российской Федерации).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 проживающие постоянно на территории Российской Федерации лица без гражданства -это физические лица, не являющиеся гражданами Российской Федерации, при этом не имеющие доказательств наличия гражданства (подданства) иного государства, которые проживают на территории РФ менее 183 календарных дней в году. И в данном случае документом, подтверждающим право временно проживать в Российской Федерации до получения вида на жительство, является разрешение на временное проживание.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определенной ситуации в качестве субъекта преступления может выступить не только иностранный гражданин или постоянно не проживающее на территории Российской Федерации лицо без гражданства, но и также бипатрид и беженец. В таком случае реальный принцип может распространять свое действие на бипатрида при условии, что он не имеет гражданства Российской Федерации. Что же касается беженцев - это лица, которые не являются гражданами Российской Федерации и которые в силу вполне обоснованных опасений стать жертвой преследований по признаку расы, вероисповедания, гражданства, национальности, принадлежности к определенной социальной группе или политических убеждений находятся вне страны своей гражданской принадлежности и не могут пользоваться защитой этой страны или не желают пользоваться такой защитой вследствие таких опасений; или, не имея определенного гражданства и находясь вне страны своего прежнего обычного места жительства в результате подобных событий, не могут или не желают вернуться в нее вследствие таких опасений. Основываясь на данном определении, закрепленном в Законе РФ от 19 февраля 1993 г. № 4528-1 «О беженцах», можно прийти к выводу, что в рассматриваемом нами контексте беженцев можно условно отнести к иностранным гражданам либо лицам без гражданства, постоянно не проживающим на территории Российской Федерации.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реальный принцип распространяется только на деяния иностранцев (в том числе бипатридов), беженцев и лиц без гражданства, постоянно не проживающих в Российской Федерации.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Из сферы действия данного принципа исключены граждане Российской Федерации и лица без гражданства, постоянно проживающие в Российской Федерации. Такое решение до внесенных в 2006 г. изменений в УК РФ было не совсем удачным. Например, за государственную измену, совершенную на территории другого государства, российского гражданина к уголовной ответственности привлечь было нельзя: реальный принцип в таком случае неприменим, оснований для привлечения по УК РФ российского гражданина и в соответствии с принципом гражданства также не было (из-за отсутствия двойной криминальности деяния, т.к. государственная измена российского гражданина не признается преступлением по УК иностранного государства) [5, 45].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Важно также учитывать, что для применения реального принципа необходимо, чтобы лицо за совершенное преступление не осуждалось ранее каким-либо другим судом. Такое положение является реализацией российского и международного уголовно-правового принципа «Non bis in idem» («никто не может быть дважды осужден за одно и то же преступное деяние»).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Данный принцип является фундаментальным и отражает справедливость международного уголовного права, а именно: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никто не может быть привлечен к ответственности и подвергнут наказанию за преступление, если лицо было осуждено или оправдано международным судом;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никто не может быть привлечен к ответственности и подвергнут наказанию за совершение преступления, если лицо было уже осуждено или оправдано. Если национальный суд вынес обвинительный приговор, то требуется условие приведения его в исполнение.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Определяя этот принцип, Комиссия международного права ООН исходила из того факта, что одно преступление может порождать только одно последствие в виде наказания [6, 96].</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3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Модельный уголовный кодекс: общая часть. - М.: Закон и право, 2003. – 143 c.</w:t>
      </w:r>
    </w:p>
    <w:p w:rsidR="00592BC2" w:rsidRPr="00DA76A7" w:rsidRDefault="00592BC2" w:rsidP="00D45D6B">
      <w:pPr>
        <w:pStyle w:val="a6"/>
        <w:numPr>
          <w:ilvl w:val="0"/>
          <w:numId w:val="13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Бойцов А.И. Выдача преступников - М.: »Пресс», - 2004. – 795 с.</w:t>
      </w:r>
    </w:p>
    <w:p w:rsidR="00592BC2" w:rsidRPr="00DA76A7" w:rsidRDefault="00592BC2" w:rsidP="00D45D6B">
      <w:pPr>
        <w:pStyle w:val="a6"/>
        <w:numPr>
          <w:ilvl w:val="0"/>
          <w:numId w:val="13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Кибальник А. Г. Современное международное уголовное право. - М.: »Пресс», 2003. 252 с.</w:t>
      </w:r>
    </w:p>
    <w:p w:rsidR="00592BC2" w:rsidRPr="00DA76A7" w:rsidRDefault="00592BC2" w:rsidP="00D45D6B">
      <w:pPr>
        <w:pStyle w:val="a6"/>
        <w:numPr>
          <w:ilvl w:val="0"/>
          <w:numId w:val="13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Лукашук И.И., Наумов А.В. Выдача обвиняемых и осужденных в международном уголовном праве. - </w:t>
      </w:r>
      <w:r w:rsidRPr="00DA76A7">
        <w:rPr>
          <w:rFonts w:ascii="Arial" w:hAnsi="Arial" w:cs="Arial"/>
          <w:b/>
          <w:bCs/>
          <w:i/>
          <w:iCs/>
          <w:color w:val="000000" w:themeColor="text1"/>
          <w:shd w:val="clear" w:color="auto" w:fill="FFFFFF"/>
        </w:rPr>
        <w:t xml:space="preserve"> </w:t>
      </w:r>
      <w:r w:rsidRPr="00DA76A7">
        <w:rPr>
          <w:rFonts w:ascii="Arial" w:hAnsi="Arial" w:cs="Arial"/>
          <w:color w:val="000000" w:themeColor="text1"/>
        </w:rPr>
        <w:t>М.: Книга, 1998. – 160 с.</w:t>
      </w:r>
    </w:p>
    <w:p w:rsidR="00592BC2" w:rsidRPr="00DA76A7" w:rsidRDefault="00592BC2" w:rsidP="00D45D6B">
      <w:pPr>
        <w:pStyle w:val="a6"/>
        <w:numPr>
          <w:ilvl w:val="0"/>
          <w:numId w:val="13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Шаргородский М.Д. Уголовный закон. - М.: Юрид. лит., 2000 – 311 c.</w:t>
      </w:r>
    </w:p>
    <w:p w:rsidR="00592BC2" w:rsidRPr="00DA76A7" w:rsidRDefault="00592BC2" w:rsidP="00D45D6B">
      <w:pPr>
        <w:pStyle w:val="a6"/>
        <w:numPr>
          <w:ilvl w:val="0"/>
          <w:numId w:val="13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Щепельков В. Ф. Уголовный закон: преодоление противоречий и неполноты. - М.: СПбГУ, 2003. – 416 с.</w:t>
      </w:r>
    </w:p>
    <w:p w:rsidR="00592BC2" w:rsidRPr="00DA76A7" w:rsidRDefault="00592BC2" w:rsidP="00592BC2">
      <w:pPr>
        <w:tabs>
          <w:tab w:val="left" w:pos="851"/>
        </w:tabs>
        <w:ind w:firstLine="567"/>
        <w:jc w:val="both"/>
        <w:rPr>
          <w:rFonts w:ascii="Arial" w:hAnsi="Arial" w:cs="Arial"/>
          <w:color w:val="000000" w:themeColor="text1"/>
          <w:sz w:val="22"/>
          <w:szCs w:val="22"/>
        </w:rPr>
      </w:pPr>
    </w:p>
    <w:p w:rsidR="00CA731A" w:rsidRPr="005D1C4B" w:rsidRDefault="00CA731A"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О НЕКОТОРЫХ ВОПРОСАХ ЛИБЕРАЛИЗАЦИИ ОТВЕТСТВЕННОСТИ ВОЕННОСЛУЖАЩИХ В РЕСПУБЛИКЕ БЕЛАРУСЬ</w:t>
      </w:r>
    </w:p>
    <w:p w:rsidR="00592BC2" w:rsidRPr="00DA76A7" w:rsidRDefault="00592BC2" w:rsidP="00592BC2">
      <w:pPr>
        <w:jc w:val="both"/>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Саковец Игорь Николаевич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факультета внутренних войск</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учреждение образования «Военная академия Республики Беларусь»</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220056, Республика Беларусь, г. Минск, ул. Уручская, 1а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+375-44-762-89-95,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Zetl</w:t>
      </w:r>
      <w:r w:rsidRPr="00DA76A7">
        <w:rPr>
          <w:rFonts w:ascii="Arial" w:hAnsi="Arial" w:cs="Arial"/>
          <w:color w:val="000000" w:themeColor="text1"/>
          <w:sz w:val="22"/>
          <w:szCs w:val="22"/>
        </w:rPr>
        <w:t>68@</w:t>
      </w:r>
      <w:r w:rsidRPr="00DA76A7">
        <w:rPr>
          <w:rFonts w:ascii="Arial" w:hAnsi="Arial" w:cs="Arial"/>
          <w:color w:val="000000" w:themeColor="text1"/>
          <w:sz w:val="22"/>
          <w:szCs w:val="22"/>
          <w:lang w:val="en-US"/>
        </w:rPr>
        <w:t>tut</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by</w:t>
      </w:r>
    </w:p>
    <w:p w:rsidR="00592BC2" w:rsidRPr="00DA76A7" w:rsidRDefault="00592BC2" w:rsidP="00592BC2">
      <w:pPr>
        <w:jc w:val="center"/>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ABOUT SOME QUESTIONS OF LIBERALIZATION OF RESPONSIBILITY OF THE MILITARY PERSONNEL IN REPUBLIC OF BELARUS</w:t>
      </w:r>
    </w:p>
    <w:p w:rsidR="00592BC2" w:rsidRPr="00DA76A7" w:rsidRDefault="00592BC2" w:rsidP="00592BC2">
      <w:pPr>
        <w:jc w:val="both"/>
        <w:rPr>
          <w:rFonts w:ascii="Arial" w:hAnsi="Arial" w:cs="Arial"/>
          <w:color w:val="000000" w:themeColor="text1"/>
          <w:sz w:val="22"/>
          <w:szCs w:val="22"/>
          <w:highlight w:val="yellow"/>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Sackovets Igor Nikolaevich</w:t>
      </w:r>
    </w:p>
    <w:p w:rsidR="00592BC2" w:rsidRPr="00DA76A7" w:rsidRDefault="00592BC2" w:rsidP="00592BC2">
      <w:pPr>
        <w:jc w:val="center"/>
        <w:rPr>
          <w:rFonts w:ascii="Arial" w:hAnsi="Arial" w:cs="Arial"/>
          <w:color w:val="000000" w:themeColor="text1"/>
          <w:sz w:val="22"/>
          <w:szCs w:val="22"/>
          <w:highlight w:val="yellow"/>
          <w:lang w:val="en-US"/>
        </w:rPr>
      </w:pPr>
      <w:r w:rsidRPr="00DA76A7">
        <w:rPr>
          <w:rFonts w:ascii="Arial" w:hAnsi="Arial" w:cs="Arial"/>
          <w:color w:val="000000" w:themeColor="text1"/>
          <w:sz w:val="22"/>
          <w:szCs w:val="22"/>
          <w:lang w:val="en-US"/>
        </w:rPr>
        <w:t>undergraduate 2nd year of study of the department of internal troops</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educational establishment «The military academy of the Republic of Belarus”</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220056, Belarus, Minsk, st. Uruchskaya, 1a</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+375-44-762-89-95, e-mail: Zetl68@tut.by</w:t>
      </w:r>
    </w:p>
    <w:p w:rsidR="00592BC2" w:rsidRPr="00DA76A7" w:rsidRDefault="00592BC2" w:rsidP="00592BC2">
      <w:pPr>
        <w:ind w:firstLine="567"/>
        <w:jc w:val="center"/>
        <w:rPr>
          <w:rFonts w:ascii="Arial" w:hAnsi="Arial" w:cs="Arial"/>
          <w:color w:val="000000" w:themeColor="text1"/>
          <w:sz w:val="22"/>
          <w:szCs w:val="22"/>
          <w:highlight w:val="yellow"/>
          <w:lang w:val="en-US"/>
        </w:rPr>
      </w:pPr>
    </w:p>
    <w:p w:rsidR="00592BC2" w:rsidRPr="00DA76A7" w:rsidRDefault="00592BC2" w:rsidP="00592BC2">
      <w:pPr>
        <w:tabs>
          <w:tab w:val="left" w:pos="1134"/>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анализируются правовые нормы, регулирующие уголовную ответственность военнослужащих Республике Беларусь и практика их применения. Обосновывается необходимость либерализации ответственности военнослужащих по части 1 статьи 443 Уголовного кодекса Республике Беларусь. Предлагается введение института дисциплинарной преюдиции в отношении военнослужащих как способ либерализации ответственности военнослужащих.</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article the precepts of law regulating a criminal responsibility of the military personnel to Republic of Belarus and practice of their application are analyzed. Need of liberalization of responsibility of the military personnel as regards 1 article 443 of the Criminal code to Republic of Belarus is proved. Introduction of institute of a disciplinary </w:t>
      </w:r>
      <w:r w:rsidRPr="00DA76A7">
        <w:rPr>
          <w:rStyle w:val="refresult"/>
          <w:rFonts w:ascii="Arial" w:hAnsi="Arial" w:cs="Arial"/>
          <w:i/>
          <w:color w:val="000000" w:themeColor="text1"/>
          <w:sz w:val="22"/>
          <w:szCs w:val="22"/>
          <w:lang w:val="en-US"/>
        </w:rPr>
        <w:t>pre-judiction</w:t>
      </w:r>
      <w:r w:rsidRPr="00DA76A7">
        <w:rPr>
          <w:rFonts w:ascii="Arial" w:hAnsi="Arial" w:cs="Arial"/>
          <w:i/>
          <w:color w:val="000000" w:themeColor="text1"/>
          <w:sz w:val="22"/>
          <w:szCs w:val="22"/>
          <w:lang w:val="en-US"/>
        </w:rPr>
        <w:t xml:space="preserve"> concerning the military personnel as a way of liberalization of responsibility of the military personnel is offered.</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военнослужащий; уголовная ответственность; дисциплинарная ответственность; преюдиция; нарушения уставных правил взаимоотношений.</w:t>
      </w:r>
    </w:p>
    <w:p w:rsidR="00592BC2" w:rsidRPr="00DA76A7" w:rsidRDefault="00592BC2" w:rsidP="00592BC2">
      <w:pPr>
        <w:ind w:firstLine="567"/>
        <w:jc w:val="both"/>
        <w:rPr>
          <w:rFonts w:ascii="Arial" w:hAnsi="Arial" w:cs="Arial"/>
          <w:i/>
          <w:color w:val="000000" w:themeColor="text1"/>
          <w:sz w:val="22"/>
          <w:szCs w:val="22"/>
          <w:highlight w:val="yellow"/>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serviceman; criminal responsibility; disciplinary responsibility; </w:t>
      </w:r>
      <w:r w:rsidRPr="00DA76A7">
        <w:rPr>
          <w:rStyle w:val="refresult"/>
          <w:rFonts w:ascii="Arial" w:hAnsi="Arial" w:cs="Arial"/>
          <w:i/>
          <w:color w:val="000000" w:themeColor="text1"/>
          <w:sz w:val="22"/>
          <w:szCs w:val="22"/>
          <w:lang w:val="en-US"/>
        </w:rPr>
        <w:t>pre-judiction</w:t>
      </w:r>
      <w:r w:rsidRPr="00DA76A7">
        <w:rPr>
          <w:rFonts w:ascii="Arial" w:hAnsi="Arial" w:cs="Arial"/>
          <w:i/>
          <w:color w:val="000000" w:themeColor="text1"/>
          <w:sz w:val="22"/>
          <w:szCs w:val="22"/>
          <w:lang w:val="en-US"/>
        </w:rPr>
        <w:t>; violations of authorized rules of relationship.</w:t>
      </w:r>
    </w:p>
    <w:p w:rsidR="00592BC2" w:rsidRPr="00DA76A7" w:rsidRDefault="00592BC2" w:rsidP="00592BC2">
      <w:pPr>
        <w:ind w:firstLine="567"/>
        <w:jc w:val="both"/>
        <w:rPr>
          <w:rFonts w:ascii="Arial" w:hAnsi="Arial" w:cs="Arial"/>
          <w:b/>
          <w:color w:val="000000" w:themeColor="text1"/>
          <w:sz w:val="22"/>
          <w:szCs w:val="22"/>
          <w:highlight w:val="yellow"/>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Обеспечение защиты личности, общества и государства является важнейшим условием дальнейшего прогрессивного развития Республики Беларусь.</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Состояние воинской дисциплины и законности в Вооруженных Силах и иных воинских формированиях является одним из основных показателей правовой защиты военнослужащих и обеспечивает постоянную боевую готовность и боеспособность подразделений и воинских частей.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современный период развития военной организации государства в связи с совершенствованием ее структуры, увеличением доли комплектования военнослужащими контрактной службы, пристальным вниманием к уровню исполнительской дисциплины, особую роль занимают средства обеспечения дисциплины.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Одним из важнейших средств укрепления законности и воинской дисциплины в Вооруженных Силах, иных воинских формированиях и военизированных организациях Республики Беларусь выступает юридическая ответственность.</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Юридическая ответственность военнослужащих классифицируется на следующие виды: уголовная, дисциплинарная, административная, материальная и гражданско-правовая [5, гл. 6].</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условиях поступательного развития правовой культуры и правосознания в Республике Беларусь становится возможным повышение эффективности применения ответственности не только карательными мерами, но и ее либерализацией и декриминализацией некоторых составов преступлений. В частности, одним из таких примеров может служить предложение Министерства внутренних дел Республики Беларусь о либерализации ответственности по отдельным правонарушениям, которое поддержал и Президент Республики Беларусь, но призвал «к осторожности» в этом вопросе [10].</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обозначенной сфере редко встречаются научные исследования и подходы по либерализации ответственности в отношении военнослужащих.</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Наибольшую опасность в отношении правопорядка и воинской дисциплины представляют преступления против порядка подчиненности, особое место среди которых занимают нарушения уставных правил взаимоотношений между лицами, на которых распространяется статус военнослужащего, при отсутствии отношений подчиненности (далее – НУПВ) [2, ст. 443].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статистическим данным Генеральной прокуратуры Республики Беларусь за 2017 год принято к учету 105 воинских преступлений (за 2016 год – 65), из которых 41 за нарушения уставных правил (за 2016 год – 18), что составляет 39 % (за 2016 год – 29 %) [11]. </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В части первой статьи 443 Уголовного кодекса (далее – УК) Республики Беларусь указано, что за «Насилие, издевательство над лицом, на которое распространяется статус военнослужащего, либо жестокое отношение с ним, либо незаконное лишение его свободы, либо принудительное лишение лица, на которое распространяется статус военнослужащего, в личных интересах, либо вымогательство или отобрание у него предметов военного довольствия, совершенные лицом, на которое распространяется статус военнослужащего, не состоящим в отношении подчиненности с потерпевшим» наказывается «арестом или лишением свободы на срок до четырех лет»</w:t>
      </w:r>
      <w:r w:rsidRPr="00DA76A7">
        <w:rPr>
          <w:rFonts w:eastAsia="Times New Roman"/>
          <w:bCs/>
          <w:color w:val="000000" w:themeColor="text1"/>
          <w:sz w:val="22"/>
          <w:szCs w:val="22"/>
        </w:rPr>
        <w:t xml:space="preserve"> [2, ч. 1 ст. 443]</w:t>
      </w:r>
      <w:r w:rsidRPr="00DA76A7">
        <w:rPr>
          <w:color w:val="000000" w:themeColor="text1"/>
          <w:sz w:val="22"/>
          <w:szCs w:val="22"/>
        </w:rPr>
        <w:t>.</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 xml:space="preserve">Научный интерес представляют квалифицирующие признаки «насилие» и «издевательство». Отсутствие четкого критерия данных признаков приводят к различным подходам в их толковании, поскольку существует причинение телесного повреждения с соответствующей классификацией на: </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тяжкое телесное повреждение;</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менее тяжкое телесное повреждение;</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легкое телесное повреждение;</w:t>
      </w:r>
    </w:p>
    <w:p w:rsidR="00592BC2" w:rsidRPr="00DA76A7" w:rsidRDefault="00592BC2" w:rsidP="00592BC2">
      <w:pPr>
        <w:ind w:firstLine="567"/>
        <w:rPr>
          <w:rFonts w:ascii="Arial" w:hAnsi="Arial" w:cs="Arial"/>
          <w:color w:val="000000" w:themeColor="text1"/>
          <w:sz w:val="22"/>
          <w:szCs w:val="22"/>
        </w:rPr>
      </w:pPr>
      <w:r w:rsidRPr="00DA76A7">
        <w:rPr>
          <w:rFonts w:ascii="Arial" w:hAnsi="Arial" w:cs="Arial"/>
          <w:color w:val="000000" w:themeColor="text1"/>
          <w:sz w:val="22"/>
          <w:szCs w:val="22"/>
        </w:rPr>
        <w:t>телесное повреждение, не повлекшее за собой кратковременного расстройства здоровья или незначительной стойкой утраты трудоспособности [6, п. 5].</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Менее тяжкое и тяжкое телесное повреждение являются квалифицирующими признаками по частям 2 и 3 статьи 443 УК Республики Беларусь соответственно.</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 xml:space="preserve">До середины 2016 года легкие телесные повреждения в свою очередь подразделялись на не повлекшие и повлекшие кратковременное расстройство здоровья </w:t>
      </w:r>
      <w:r w:rsidRPr="00DA76A7">
        <w:rPr>
          <w:rFonts w:eastAsia="Times New Roman"/>
          <w:bCs/>
          <w:color w:val="000000" w:themeColor="text1"/>
          <w:sz w:val="22"/>
          <w:szCs w:val="22"/>
        </w:rPr>
        <w:t>[7]</w:t>
      </w:r>
      <w:r w:rsidRPr="00DA76A7">
        <w:rPr>
          <w:color w:val="000000" w:themeColor="text1"/>
          <w:sz w:val="22"/>
          <w:szCs w:val="22"/>
        </w:rPr>
        <w:t>.</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Следует отметить, что «умышленное причинение пострадавшему легкого телесного повреждения, не повлекшего за собой кратковременного расстройства здоровья или незначительной стойкой утраты трудоспособности» влечет административную ответственность, предусмотренную статьей 9.1 Кодекса Республики Беларусь об административных правонарушениях (далее – КоАП) с возможностью применения таких взысканий как штраф или административный арест [1]. Однако к военнослужащим административный арест не применяется, а к военнослужащим срочной службе – не применяется также штраф.</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Если данное деяние за собой повлекло кратковременное расстройство здоровья либо незначительную стойкую утрату трудоспособности, оно квалифицируется по статье 153 УК Республики Беларусь [2]. В отношении военнослужащих должно присутствовать посягательство на установленный порядок прохождения службы и отличия от статей 153 УК Республики Беларусь и 9.1 КоАП.</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Для анализа обозначенных особенностей необходимо обратиться к судебной практике. Так П., военнослужащий одной из войсковых частей города Минска, обвиняемый в совершении преступления предусмотренного частью 2 статьи 443 УК Республики Беларусь, нанес военнослужащим, не состоявшим с ним в отношениях подчиненности М., Д., М. и М. «не менее двух ударов каждому по ягодицам плотным предметом, изготовленным из скрученных листов бумаги, обмотанных липкой лентой»</w:t>
      </w:r>
      <w:r w:rsidRPr="00DA76A7">
        <w:rPr>
          <w:rFonts w:eastAsia="Times New Roman"/>
          <w:bCs/>
          <w:color w:val="000000" w:themeColor="text1"/>
          <w:sz w:val="22"/>
          <w:szCs w:val="22"/>
        </w:rPr>
        <w:t xml:space="preserve"> [8]</w:t>
      </w:r>
      <w:r w:rsidRPr="00DA76A7">
        <w:rPr>
          <w:color w:val="000000" w:themeColor="text1"/>
          <w:sz w:val="22"/>
          <w:szCs w:val="22"/>
        </w:rPr>
        <w:t xml:space="preserve">. Суд в качестве признака первой части указал «причинение легких телесных повреждений, не повлекших длительное расстройство здоровья, с причинением моральных страданий и унижением чести и достоинства военнослужащих» с присущим квалифицирующим признаком по второй части «в отношении группы лиц» </w:t>
      </w:r>
      <w:r w:rsidRPr="00DA76A7">
        <w:rPr>
          <w:rFonts w:eastAsia="Times New Roman"/>
          <w:bCs/>
          <w:color w:val="000000" w:themeColor="text1"/>
          <w:sz w:val="22"/>
          <w:szCs w:val="22"/>
        </w:rPr>
        <w:t>[8]</w:t>
      </w:r>
      <w:r w:rsidRPr="00DA76A7">
        <w:rPr>
          <w:color w:val="000000" w:themeColor="text1"/>
          <w:sz w:val="22"/>
          <w:szCs w:val="22"/>
        </w:rPr>
        <w:t xml:space="preserve">. Гражданина П. по результатам суда привлекли к наказанию в виде лишения свободы на срок 2 года с применением 1 года испытательного срока по статье 78 Уголовного кодекса. </w:t>
      </w:r>
    </w:p>
    <w:p w:rsidR="00592BC2" w:rsidRPr="00DA76A7" w:rsidRDefault="00592BC2" w:rsidP="00592BC2">
      <w:pPr>
        <w:tabs>
          <w:tab w:val="left" w:pos="0"/>
        </w:tabs>
        <w:ind w:firstLine="567"/>
        <w:jc w:val="both"/>
        <w:rPr>
          <w:rFonts w:ascii="Arial" w:hAnsi="Arial" w:cs="Arial"/>
          <w:bCs/>
          <w:snapToGrid w:val="0"/>
          <w:color w:val="000000" w:themeColor="text1"/>
          <w:sz w:val="22"/>
          <w:szCs w:val="22"/>
        </w:rPr>
      </w:pPr>
      <w:r w:rsidRPr="00DA76A7">
        <w:rPr>
          <w:rFonts w:ascii="Arial" w:hAnsi="Arial" w:cs="Arial"/>
          <w:bCs/>
          <w:snapToGrid w:val="0"/>
          <w:color w:val="000000" w:themeColor="text1"/>
          <w:sz w:val="22"/>
          <w:szCs w:val="22"/>
        </w:rPr>
        <w:t xml:space="preserve">Другой пример: ефрейтор Ж. во время проведения занятия по идеологической подготовке в расположении роты нанес рядовому К. несколько ударов руками в область головы. Уклоняясь от удара, рядовой К. ударился головой о металлическую спинку стула, в результате чего получил легкие телесные повреждения. </w:t>
      </w:r>
      <w:r w:rsidRPr="00DA76A7">
        <w:rPr>
          <w:rFonts w:ascii="Arial" w:hAnsi="Arial" w:cs="Arial"/>
          <w:bCs/>
          <w:color w:val="000000" w:themeColor="text1"/>
          <w:sz w:val="22"/>
          <w:szCs w:val="22"/>
        </w:rPr>
        <w:t xml:space="preserve">На основании ч. 1 ст. 443 </w:t>
      </w:r>
      <w:r w:rsidRPr="00DA76A7">
        <w:rPr>
          <w:rFonts w:ascii="Arial" w:hAnsi="Arial" w:cs="Arial"/>
          <w:color w:val="000000" w:themeColor="text1"/>
          <w:sz w:val="22"/>
          <w:szCs w:val="22"/>
        </w:rPr>
        <w:t>УК Республики Беларусь</w:t>
      </w:r>
      <w:r w:rsidRPr="00DA76A7">
        <w:rPr>
          <w:rFonts w:ascii="Arial" w:hAnsi="Arial" w:cs="Arial"/>
          <w:bCs/>
          <w:color w:val="000000" w:themeColor="text1"/>
          <w:sz w:val="22"/>
          <w:szCs w:val="22"/>
        </w:rPr>
        <w:t xml:space="preserve"> осужден к наказанию в виде лишения свободы на срок 2 года, с </w:t>
      </w:r>
      <w:r w:rsidRPr="00DA76A7">
        <w:rPr>
          <w:rFonts w:ascii="Arial" w:hAnsi="Arial" w:cs="Arial"/>
          <w:color w:val="000000" w:themeColor="text1"/>
          <w:sz w:val="22"/>
          <w:szCs w:val="22"/>
        </w:rPr>
        <w:t xml:space="preserve">применением 1 года испытательного срока по статье 78 УК Республики Беларусь </w:t>
      </w:r>
      <w:r w:rsidRPr="00DA76A7">
        <w:rPr>
          <w:rFonts w:ascii="Arial" w:eastAsia="Calibri" w:hAnsi="Arial" w:cs="Arial"/>
          <w:bCs/>
          <w:color w:val="000000" w:themeColor="text1"/>
          <w:sz w:val="22"/>
          <w:szCs w:val="22"/>
        </w:rPr>
        <w:t>[12].</w:t>
      </w:r>
    </w:p>
    <w:p w:rsidR="00592BC2" w:rsidRPr="00DA76A7" w:rsidRDefault="00592BC2" w:rsidP="00592BC2">
      <w:pPr>
        <w:ind w:firstLine="567"/>
        <w:jc w:val="both"/>
        <w:rPr>
          <w:rFonts w:ascii="Arial" w:eastAsia="Calibri" w:hAnsi="Arial" w:cs="Arial"/>
          <w:bCs/>
          <w:color w:val="000000" w:themeColor="text1"/>
          <w:sz w:val="22"/>
          <w:szCs w:val="22"/>
        </w:rPr>
      </w:pPr>
      <w:r w:rsidRPr="00DA76A7">
        <w:rPr>
          <w:rFonts w:ascii="Arial" w:hAnsi="Arial" w:cs="Arial"/>
          <w:bCs/>
          <w:snapToGrid w:val="0"/>
          <w:color w:val="000000" w:themeColor="text1"/>
          <w:sz w:val="22"/>
          <w:szCs w:val="22"/>
        </w:rPr>
        <w:t xml:space="preserve">Следующий </w:t>
      </w:r>
      <w:r w:rsidRPr="00DA76A7">
        <w:rPr>
          <w:rFonts w:ascii="Arial" w:eastAsia="Calibri" w:hAnsi="Arial" w:cs="Arial"/>
          <w:bCs/>
          <w:color w:val="000000" w:themeColor="text1"/>
          <w:sz w:val="22"/>
          <w:szCs w:val="22"/>
        </w:rPr>
        <w:t xml:space="preserve">пример: младший сержант И. в спортивном уголке в расположении батальона желая показать свое мнимое превосходство над младшим сержантом Л. (не находящимся с ним в отношениях подчиненности) нанес последнему два удара кулаком, причинив телесные повреждения в виде кровоподтеков на груди и плечевом суставе (легкие телесные повреждения, не повлекшие кратковременного расстройства здоровья). По данному факту возбуждено уголовное дело по части 1 статьи 443 </w:t>
      </w:r>
      <w:r w:rsidRPr="00DA76A7">
        <w:rPr>
          <w:rFonts w:ascii="Arial" w:hAnsi="Arial" w:cs="Arial"/>
          <w:color w:val="000000" w:themeColor="text1"/>
          <w:sz w:val="22"/>
          <w:szCs w:val="22"/>
        </w:rPr>
        <w:t xml:space="preserve">УК Республики Беларусь </w:t>
      </w:r>
      <w:r w:rsidRPr="00DA76A7">
        <w:rPr>
          <w:rFonts w:ascii="Arial" w:eastAsia="Calibri" w:hAnsi="Arial" w:cs="Arial"/>
          <w:bCs/>
          <w:color w:val="000000" w:themeColor="text1"/>
          <w:sz w:val="22"/>
          <w:szCs w:val="22"/>
        </w:rPr>
        <w:t>и прекращено п.4 ч.1 ст.29 Уголовно-процессуального кодекса Республики Беларусь (по амнистии) [9].</w:t>
      </w:r>
    </w:p>
    <w:p w:rsidR="00592BC2" w:rsidRPr="00DA76A7" w:rsidRDefault="00592BC2" w:rsidP="00592BC2">
      <w:pPr>
        <w:ind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В этой связи квалифицирующие признаки «насилие» и «издевательство» могут вызывать сомнительное толкование их большой общественной опасности и привлекать к уголовной ответственности людей, которые на современном этапе правового сознания в Республике Беларусь могут быть исправлены в рамках не уголовного производства. Из примеров очевидно, что даже при совершении преступления по данным квалифицирующим признакам реальное наказание не применяется (заменяется отсрочкой исполнения наказания). Привлечение к уголовной ответственности влечет за собой также дополнительные ограничения (например, трудности при трудоустройстве) и сведения об этом деянии заносятся в Единый государственный банк о правонарушениях и хранятся сто лет [3, ст. 11].</w:t>
      </w:r>
    </w:p>
    <w:p w:rsidR="00592BC2" w:rsidRPr="00DA76A7" w:rsidRDefault="00592BC2" w:rsidP="00592BC2">
      <w:pPr>
        <w:pStyle w:val="ConsPlusNormal"/>
        <w:ind w:firstLine="567"/>
        <w:jc w:val="both"/>
        <w:rPr>
          <w:color w:val="000000" w:themeColor="text1"/>
          <w:sz w:val="22"/>
          <w:szCs w:val="22"/>
        </w:rPr>
      </w:pPr>
      <w:r w:rsidRPr="00DA76A7">
        <w:rPr>
          <w:color w:val="000000" w:themeColor="text1"/>
          <w:sz w:val="22"/>
          <w:szCs w:val="22"/>
        </w:rPr>
        <w:t>Таким образом, если субъектами рассматриваемого деяния являются военнослужащие и посягают на установленный порядок прохождения службы, а также причиняются легкие телесные повреждения (повлекшие или не повлекшие кратковременное расстройство здоровья), но и моральные страдания, с унижением чести и достоинства, то такие деяния являются нарушением уставных правил взаимоотношений и влекут за собой уголовную ответственность [2, ст. 443]</w:t>
      </w:r>
      <w:r w:rsidRPr="00DA76A7">
        <w:rPr>
          <w:bCs/>
          <w:color w:val="000000" w:themeColor="text1"/>
          <w:sz w:val="22"/>
          <w:szCs w:val="22"/>
        </w:rPr>
        <w:t>.</w:t>
      </w:r>
    </w:p>
    <w:p w:rsidR="00592BC2" w:rsidRPr="00DA76A7" w:rsidRDefault="00592BC2" w:rsidP="00592BC2">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примечании 4 к главе 37 УК Республики Беларусь присутствует возможность замены уголовной ответственности на дисциплинарную в случае если лицо, совершившее предусмотренное настоящей главой деяние, не представляющее большой общественной опасности, при смягчающих обстоятельствах [2]. Видимо, лицо нанесшее удары нескольким военнослужащим по ягодицам плотным предметом, изготовленным из скрученных листов бумаги, обмотанных липкой лентой представляет большую общественную опасность. По мнению автора возможность замены отдельных случаев таких деяний способно благоприятно воздействовать на воинскую дисциплину [4] и не создавать излишних преступников представляющих «большую общественную опасность» такими действиями.</w:t>
      </w:r>
    </w:p>
    <w:p w:rsidR="00592BC2" w:rsidRPr="00DA76A7" w:rsidRDefault="00592BC2" w:rsidP="00592BC2">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обозначенной причине автор предлагает рассмотреть возможность применения института дисциплинарной ответственности военнослужащих и его соотнесения с уголовной ответственностью. В рассматриваемом случае механизмом может выступить институт дисциплинарной преюдиции. Данный механизм требует дальнейшего научного внимания и изучения, решения следующих задач: порядок привлечения военнослужащих к дисциплинарному аресту только по решению суда; порядок сбора и передачи материалов в суд; пересмотр сроков дисциплинарного ареста в сторону увеличения и др.</w:t>
      </w:r>
    </w:p>
    <w:p w:rsidR="00592BC2" w:rsidRPr="00DA76A7" w:rsidRDefault="00592BC2" w:rsidP="00592BC2">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введение обозначенного института будет являться действенным средством по предупреждению совершения грубых дисциплинарных проступков, поддержанию и укреплению воинской дисциплины. Данная норма позволит оказывать моральное воздействие на военнослужащих воинской части (подразделения) посредством публичного рассмотрения дела (например, выездное судебное заседание), но без применения уголовной ответственности.</w:t>
      </w:r>
    </w:p>
    <w:p w:rsidR="00592BC2" w:rsidRPr="00DA76A7" w:rsidRDefault="00592BC2" w:rsidP="00592BC2">
      <w:pPr>
        <w:pStyle w:val="ConsPlusNormal"/>
        <w:ind w:firstLine="567"/>
        <w:jc w:val="both"/>
        <w:rPr>
          <w:b/>
          <w:color w:val="000000" w:themeColor="text1"/>
          <w:sz w:val="22"/>
          <w:szCs w:val="22"/>
          <w:highlight w:val="yellow"/>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widowControl/>
        <w:numPr>
          <w:ilvl w:val="0"/>
          <w:numId w:val="142"/>
        </w:numPr>
        <w:tabs>
          <w:tab w:val="left" w:pos="851"/>
          <w:tab w:val="left" w:pos="1134"/>
        </w:tabs>
        <w:suppressAutoHyphen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Кодекс Республики Беларусь об административных правонарушениях [Электронный ресурс] : Кодекс Респ. Беларусь, 21 апр. </w:t>
      </w:r>
      <w:smartTag w:uri="urn:schemas-microsoft-com:office:smarttags" w:element="metricconverter">
        <w:smartTagPr>
          <w:attr w:name="ProductID" w:val="2003 г"/>
        </w:smartTagPr>
        <w:r w:rsidRPr="00DA76A7">
          <w:rPr>
            <w:rFonts w:ascii="Arial" w:hAnsi="Arial" w:cs="Arial"/>
            <w:color w:val="000000" w:themeColor="text1"/>
            <w:sz w:val="22"/>
            <w:szCs w:val="22"/>
          </w:rPr>
          <w:t>2003 г</w:t>
        </w:r>
      </w:smartTag>
      <w:r w:rsidRPr="00DA76A7">
        <w:rPr>
          <w:rFonts w:ascii="Arial" w:hAnsi="Arial" w:cs="Arial"/>
          <w:color w:val="000000" w:themeColor="text1"/>
          <w:sz w:val="22"/>
          <w:szCs w:val="22"/>
        </w:rPr>
        <w:t xml:space="preserve">., № 194-З : принят Палатой представителей 17 дек. </w:t>
      </w:r>
      <w:smartTag w:uri="urn:schemas-microsoft-com:office:smarttags" w:element="metricconverter">
        <w:smartTagPr>
          <w:attr w:name="ProductID" w:val="2002 г"/>
        </w:smartTagPr>
        <w:r w:rsidRPr="00DA76A7">
          <w:rPr>
            <w:rFonts w:ascii="Arial" w:hAnsi="Arial" w:cs="Arial"/>
            <w:color w:val="000000" w:themeColor="text1"/>
            <w:sz w:val="22"/>
            <w:szCs w:val="22"/>
          </w:rPr>
          <w:t>2002 г</w:t>
        </w:r>
      </w:smartTag>
      <w:r w:rsidRPr="00DA76A7">
        <w:rPr>
          <w:rFonts w:ascii="Arial" w:hAnsi="Arial" w:cs="Arial"/>
          <w:color w:val="000000" w:themeColor="text1"/>
          <w:sz w:val="22"/>
          <w:szCs w:val="22"/>
        </w:rPr>
        <w:t xml:space="preserve">. : одобр. Советом Респ. 2 апр. </w:t>
      </w:r>
      <w:smartTag w:uri="urn:schemas-microsoft-com:office:smarttags" w:element="metricconverter">
        <w:smartTagPr>
          <w:attr w:name="ProductID" w:val="2003 г"/>
        </w:smartTagPr>
        <w:r w:rsidRPr="00DA76A7">
          <w:rPr>
            <w:rFonts w:ascii="Arial" w:hAnsi="Arial" w:cs="Arial"/>
            <w:color w:val="000000" w:themeColor="text1"/>
            <w:sz w:val="22"/>
            <w:szCs w:val="22"/>
          </w:rPr>
          <w:t>2003 г</w:t>
        </w:r>
      </w:smartTag>
      <w:r w:rsidRPr="00DA76A7">
        <w:rPr>
          <w:rFonts w:ascii="Arial" w:hAnsi="Arial" w:cs="Arial"/>
          <w:color w:val="000000" w:themeColor="text1"/>
          <w:sz w:val="22"/>
          <w:szCs w:val="22"/>
        </w:rPr>
        <w:t>. : в ред. Закона Респ. Беларусь от 08.01.2018 г. // КонсультантПлюс. Беларусь / ООО «ЮрСпектр», Нац. центр правовой информ. Респ. Беларусь. – Минск, 2018.</w:t>
      </w:r>
    </w:p>
    <w:p w:rsidR="00592BC2" w:rsidRPr="00DA76A7" w:rsidRDefault="00592BC2" w:rsidP="00D45D6B">
      <w:pPr>
        <w:widowControl/>
        <w:numPr>
          <w:ilvl w:val="0"/>
          <w:numId w:val="142"/>
        </w:numPr>
        <w:tabs>
          <w:tab w:val="left" w:pos="851"/>
          <w:tab w:val="left" w:pos="1134"/>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Уголовный кодекс Республики Беларусь [Электронный ресурс] : Кодекс Респ. Беларусь, 9 июля </w:t>
      </w:r>
      <w:smartTag w:uri="urn:schemas-microsoft-com:office:smarttags" w:element="metricconverter">
        <w:smartTagPr>
          <w:attr w:name="ProductID" w:val="1999 г"/>
        </w:smartTagPr>
        <w:r w:rsidRPr="00DA76A7">
          <w:rPr>
            <w:rFonts w:ascii="Arial" w:hAnsi="Arial" w:cs="Arial"/>
            <w:color w:val="000000" w:themeColor="text1"/>
            <w:sz w:val="22"/>
            <w:szCs w:val="22"/>
          </w:rPr>
          <w:t>1999 г</w:t>
        </w:r>
      </w:smartTag>
      <w:r w:rsidRPr="00DA76A7">
        <w:rPr>
          <w:rFonts w:ascii="Arial" w:hAnsi="Arial" w:cs="Arial"/>
          <w:color w:val="000000" w:themeColor="text1"/>
          <w:sz w:val="22"/>
          <w:szCs w:val="22"/>
        </w:rPr>
        <w:t xml:space="preserve">., № 275-З : принят Палатой представителей 2 июня </w:t>
      </w:r>
      <w:smartTag w:uri="urn:schemas-microsoft-com:office:smarttags" w:element="metricconverter">
        <w:smartTagPr>
          <w:attr w:name="ProductID" w:val="1999 г"/>
        </w:smartTagPr>
        <w:r w:rsidRPr="00DA76A7">
          <w:rPr>
            <w:rFonts w:ascii="Arial" w:hAnsi="Arial" w:cs="Arial"/>
            <w:color w:val="000000" w:themeColor="text1"/>
            <w:sz w:val="22"/>
            <w:szCs w:val="22"/>
          </w:rPr>
          <w:t>1999 г</w:t>
        </w:r>
      </w:smartTag>
      <w:r w:rsidRPr="00DA76A7">
        <w:rPr>
          <w:rFonts w:ascii="Arial" w:hAnsi="Arial" w:cs="Arial"/>
          <w:color w:val="000000" w:themeColor="text1"/>
          <w:sz w:val="22"/>
          <w:szCs w:val="22"/>
        </w:rPr>
        <w:t xml:space="preserve">. : одобр. Советом Респ. 24 июня </w:t>
      </w:r>
      <w:smartTag w:uri="urn:schemas-microsoft-com:office:smarttags" w:element="metricconverter">
        <w:smartTagPr>
          <w:attr w:name="ProductID" w:val="1999 г"/>
        </w:smartTagPr>
        <w:r w:rsidRPr="00DA76A7">
          <w:rPr>
            <w:rFonts w:ascii="Arial" w:hAnsi="Arial" w:cs="Arial"/>
            <w:color w:val="000000" w:themeColor="text1"/>
            <w:sz w:val="22"/>
            <w:szCs w:val="22"/>
          </w:rPr>
          <w:t>1999 г</w:t>
        </w:r>
      </w:smartTag>
      <w:r w:rsidRPr="00DA76A7">
        <w:rPr>
          <w:rFonts w:ascii="Arial" w:hAnsi="Arial" w:cs="Arial"/>
          <w:color w:val="000000" w:themeColor="text1"/>
          <w:sz w:val="22"/>
          <w:szCs w:val="22"/>
        </w:rPr>
        <w:t>. : в ред. Закона Респ. Беларусь от 18.07.2017 г. // КонсультантПлюс. Беларусь / ООО «ЮрСпектр», Нац. центр правовой информ. Респ. Беларусь. – Минск, 2018.</w:t>
      </w:r>
    </w:p>
    <w:p w:rsidR="00592BC2" w:rsidRPr="00DA76A7" w:rsidRDefault="00592BC2" w:rsidP="00D45D6B">
      <w:pPr>
        <w:widowControl/>
        <w:numPr>
          <w:ilvl w:val="0"/>
          <w:numId w:val="142"/>
        </w:numPr>
        <w:tabs>
          <w:tab w:val="left" w:pos="851"/>
          <w:tab w:val="left" w:pos="1134"/>
        </w:tabs>
        <w:autoSpaceDE/>
        <w:autoSpaceDN/>
        <w:adjustRightInd/>
        <w:ind w:left="0" w:firstLine="567"/>
        <w:jc w:val="both"/>
        <w:rPr>
          <w:rFonts w:ascii="Arial" w:eastAsia="Calibri" w:hAnsi="Arial" w:cs="Arial"/>
          <w:bCs/>
          <w:color w:val="000000" w:themeColor="text1"/>
          <w:sz w:val="22"/>
          <w:szCs w:val="22"/>
        </w:rPr>
      </w:pPr>
      <w:r w:rsidRPr="00DA76A7">
        <w:rPr>
          <w:rFonts w:ascii="Arial" w:eastAsia="Calibri" w:hAnsi="Arial" w:cs="Arial"/>
          <w:bCs/>
          <w:color w:val="000000" w:themeColor="text1"/>
          <w:sz w:val="22"/>
          <w:szCs w:val="22"/>
        </w:rPr>
        <w:t xml:space="preserve">О Единой государственной системе регистрации и учета правонарушений </w:t>
      </w:r>
      <w:r w:rsidRPr="00DA76A7">
        <w:rPr>
          <w:rFonts w:ascii="Arial" w:hAnsi="Arial" w:cs="Arial"/>
          <w:color w:val="000000" w:themeColor="text1"/>
          <w:sz w:val="22"/>
          <w:szCs w:val="22"/>
        </w:rPr>
        <w:t xml:space="preserve">[Электронный ресурс] </w:t>
      </w:r>
      <w:r w:rsidRPr="00DA76A7">
        <w:rPr>
          <w:rFonts w:ascii="Arial" w:eastAsia="Calibri" w:hAnsi="Arial" w:cs="Arial"/>
          <w:bCs/>
          <w:color w:val="000000" w:themeColor="text1"/>
          <w:sz w:val="22"/>
          <w:szCs w:val="22"/>
        </w:rPr>
        <w:t xml:space="preserve">: Закон Респ. Беларусь, 9 янв. </w:t>
      </w:r>
      <w:smartTag w:uri="urn:schemas-microsoft-com:office:smarttags" w:element="metricconverter">
        <w:smartTagPr>
          <w:attr w:name="ProductID" w:val="2006 г"/>
        </w:smartTagPr>
        <w:r w:rsidRPr="00DA76A7">
          <w:rPr>
            <w:rFonts w:ascii="Arial" w:eastAsia="Calibri" w:hAnsi="Arial" w:cs="Arial"/>
            <w:bCs/>
            <w:color w:val="000000" w:themeColor="text1"/>
            <w:sz w:val="22"/>
            <w:szCs w:val="22"/>
          </w:rPr>
          <w:t>2006 г</w:t>
        </w:r>
      </w:smartTag>
      <w:r w:rsidRPr="00DA76A7">
        <w:rPr>
          <w:rFonts w:ascii="Arial" w:eastAsia="Calibri" w:hAnsi="Arial" w:cs="Arial"/>
          <w:bCs/>
          <w:color w:val="000000" w:themeColor="text1"/>
          <w:sz w:val="22"/>
          <w:szCs w:val="22"/>
        </w:rPr>
        <w:t xml:space="preserve">., № 94-З: в ред. Закона Респ. Беларусь от 13.12.2011 г. // </w:t>
      </w:r>
      <w:r w:rsidRPr="00DA76A7">
        <w:rPr>
          <w:rFonts w:ascii="Arial" w:hAnsi="Arial" w:cs="Arial"/>
          <w:color w:val="000000" w:themeColor="text1"/>
          <w:sz w:val="22"/>
          <w:szCs w:val="22"/>
        </w:rPr>
        <w:t>КонсультантПлюс. Беларусь / ООО «ЮрСпектр», Нац. центр правовой информ. Респ. Беларусь. – Минск, 2018</w:t>
      </w:r>
      <w:r w:rsidRPr="00DA76A7">
        <w:rPr>
          <w:rFonts w:ascii="Arial" w:eastAsia="Calibri" w:hAnsi="Arial" w:cs="Arial"/>
          <w:bCs/>
          <w:color w:val="000000" w:themeColor="text1"/>
          <w:sz w:val="22"/>
          <w:szCs w:val="22"/>
        </w:rPr>
        <w:t>.</w:t>
      </w:r>
    </w:p>
    <w:p w:rsidR="00592BC2" w:rsidRPr="00DA76A7" w:rsidRDefault="00592BC2" w:rsidP="00D45D6B">
      <w:pPr>
        <w:widowControl/>
        <w:numPr>
          <w:ilvl w:val="0"/>
          <w:numId w:val="142"/>
        </w:numPr>
        <w:tabs>
          <w:tab w:val="left" w:pos="851"/>
          <w:tab w:val="left" w:pos="1134"/>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Дисциплинарный устав Вооруженных Сил Республики Беларусь [Электронный ресурс] : Указ Президента </w:t>
      </w:r>
      <w:r w:rsidRPr="00DA76A7">
        <w:rPr>
          <w:rFonts w:ascii="Arial" w:eastAsia="Calibri" w:hAnsi="Arial" w:cs="Arial"/>
          <w:bCs/>
          <w:color w:val="000000" w:themeColor="text1"/>
          <w:sz w:val="22"/>
          <w:szCs w:val="22"/>
        </w:rPr>
        <w:t xml:space="preserve">Респ. Беларусь, 26июня 200й г., № 355: в ред. </w:t>
      </w:r>
      <w:r w:rsidRPr="00DA76A7">
        <w:rPr>
          <w:rFonts w:ascii="Arial" w:hAnsi="Arial" w:cs="Arial"/>
          <w:color w:val="000000" w:themeColor="text1"/>
          <w:sz w:val="22"/>
          <w:szCs w:val="22"/>
        </w:rPr>
        <w:t xml:space="preserve">Указа Президента </w:t>
      </w:r>
      <w:r w:rsidRPr="00DA76A7">
        <w:rPr>
          <w:rFonts w:ascii="Arial" w:eastAsia="Calibri" w:hAnsi="Arial" w:cs="Arial"/>
          <w:bCs/>
          <w:color w:val="000000" w:themeColor="text1"/>
          <w:sz w:val="22"/>
          <w:szCs w:val="22"/>
        </w:rPr>
        <w:t xml:space="preserve">Респ. Беларусь от 06.04.2017 г. // </w:t>
      </w:r>
      <w:r w:rsidRPr="00DA76A7">
        <w:rPr>
          <w:rFonts w:ascii="Arial" w:hAnsi="Arial" w:cs="Arial"/>
          <w:color w:val="000000" w:themeColor="text1"/>
          <w:sz w:val="22"/>
          <w:szCs w:val="22"/>
        </w:rPr>
        <w:t>КонсультантПлюс. Беларусь / ООО «ЮрСпектр», Нац. центр правовой информ. Респ. Беларусь. – Минск, 2018.</w:t>
      </w:r>
    </w:p>
    <w:p w:rsidR="00592BC2" w:rsidRPr="00DA76A7" w:rsidRDefault="00592BC2" w:rsidP="00D45D6B">
      <w:pPr>
        <w:widowControl/>
        <w:numPr>
          <w:ilvl w:val="0"/>
          <w:numId w:val="142"/>
        </w:numPr>
        <w:tabs>
          <w:tab w:val="left" w:pos="851"/>
          <w:tab w:val="left" w:pos="1134"/>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Устав внутренней службы Вооруженных Сил Республики Беларусь [Электронный ресурс] : Указ Президента </w:t>
      </w:r>
      <w:r w:rsidRPr="00DA76A7">
        <w:rPr>
          <w:rFonts w:ascii="Arial" w:eastAsia="Calibri" w:hAnsi="Arial" w:cs="Arial"/>
          <w:bCs/>
          <w:color w:val="000000" w:themeColor="text1"/>
          <w:sz w:val="22"/>
          <w:szCs w:val="22"/>
        </w:rPr>
        <w:t xml:space="preserve">Респ. Беларусь, 26июня 2001 г., № 355: в ред. </w:t>
      </w:r>
      <w:r w:rsidRPr="00DA76A7">
        <w:rPr>
          <w:rFonts w:ascii="Arial" w:hAnsi="Arial" w:cs="Arial"/>
          <w:color w:val="000000" w:themeColor="text1"/>
          <w:sz w:val="22"/>
          <w:szCs w:val="22"/>
        </w:rPr>
        <w:t xml:space="preserve">Указа Президента </w:t>
      </w:r>
      <w:r w:rsidRPr="00DA76A7">
        <w:rPr>
          <w:rFonts w:ascii="Arial" w:eastAsia="Calibri" w:hAnsi="Arial" w:cs="Arial"/>
          <w:bCs/>
          <w:color w:val="000000" w:themeColor="text1"/>
          <w:sz w:val="22"/>
          <w:szCs w:val="22"/>
        </w:rPr>
        <w:t xml:space="preserve">Респ. Беларусь от 06.04.2017 г. // </w:t>
      </w:r>
      <w:r w:rsidRPr="00DA76A7">
        <w:rPr>
          <w:rFonts w:ascii="Arial" w:hAnsi="Arial" w:cs="Arial"/>
          <w:color w:val="000000" w:themeColor="text1"/>
          <w:sz w:val="22"/>
          <w:szCs w:val="22"/>
        </w:rPr>
        <w:t>КонсультантПлюс. Беларусь / ООО «ЮрСпектр», Нац. центр правовой информ. Респ. Беларусь. – Минск, 2018.</w:t>
      </w:r>
    </w:p>
    <w:p w:rsidR="00592BC2" w:rsidRPr="00DA76A7" w:rsidRDefault="00592BC2" w:rsidP="00D45D6B">
      <w:pPr>
        <w:widowControl/>
        <w:numPr>
          <w:ilvl w:val="0"/>
          <w:numId w:val="142"/>
        </w:numPr>
        <w:tabs>
          <w:tab w:val="left" w:pos="851"/>
          <w:tab w:val="left" w:pos="1134"/>
        </w:tabs>
        <w:autoSpaceDE/>
        <w:autoSpaceDN/>
        <w:adjustRightInd/>
        <w:ind w:left="0"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 xml:space="preserve">Инструкция о порядке проведения судебно-медицинской экспертизы по определению степени тяжести телесных повреждений </w:t>
      </w:r>
      <w:r w:rsidRPr="00DA76A7">
        <w:rPr>
          <w:rFonts w:ascii="Arial" w:hAnsi="Arial" w:cs="Arial"/>
          <w:color w:val="000000" w:themeColor="text1"/>
          <w:sz w:val="22"/>
          <w:szCs w:val="22"/>
        </w:rPr>
        <w:t>[Электронный ресурс] :</w:t>
      </w:r>
      <w:r w:rsidRPr="00DA76A7">
        <w:rPr>
          <w:rFonts w:ascii="Arial" w:hAnsi="Arial" w:cs="Arial"/>
          <w:bCs/>
          <w:color w:val="000000" w:themeColor="text1"/>
          <w:sz w:val="22"/>
          <w:szCs w:val="22"/>
        </w:rPr>
        <w:t xml:space="preserve"> постановление Государственного комитета судебных экспертиз </w:t>
      </w:r>
      <w:r w:rsidRPr="00DA76A7">
        <w:rPr>
          <w:rFonts w:ascii="Arial" w:hAnsi="Arial" w:cs="Arial"/>
          <w:color w:val="000000" w:themeColor="text1"/>
          <w:sz w:val="22"/>
          <w:szCs w:val="22"/>
        </w:rPr>
        <w:t>Респ. Беларусь,</w:t>
      </w:r>
      <w:r w:rsidRPr="00DA76A7">
        <w:rPr>
          <w:rFonts w:ascii="Arial" w:hAnsi="Arial" w:cs="Arial"/>
          <w:bCs/>
          <w:color w:val="000000" w:themeColor="text1"/>
          <w:sz w:val="22"/>
          <w:szCs w:val="22"/>
        </w:rPr>
        <w:t xml:space="preserve"> 24 мая 2016 г., № 16 </w:t>
      </w:r>
      <w:r w:rsidRPr="00DA76A7">
        <w:rPr>
          <w:rFonts w:ascii="Arial" w:hAnsi="Arial" w:cs="Arial"/>
          <w:color w:val="000000" w:themeColor="text1"/>
          <w:sz w:val="22"/>
          <w:szCs w:val="22"/>
        </w:rPr>
        <w:t>// КонсультантПлюс. Беларусь / ООО «ЮрСпектр», Нац. центр правовой информ. Респ. Беларусь. – Минск, 2018.</w:t>
      </w:r>
    </w:p>
    <w:p w:rsidR="00592BC2" w:rsidRPr="00DA76A7" w:rsidRDefault="00592BC2" w:rsidP="00D45D6B">
      <w:pPr>
        <w:pStyle w:val="ConsPlusNormal"/>
        <w:widowControl/>
        <w:numPr>
          <w:ilvl w:val="0"/>
          <w:numId w:val="142"/>
        </w:numPr>
        <w:tabs>
          <w:tab w:val="left" w:pos="851"/>
          <w:tab w:val="left" w:pos="1134"/>
        </w:tabs>
        <w:ind w:left="0" w:firstLine="567"/>
        <w:jc w:val="both"/>
        <w:rPr>
          <w:rStyle w:val="ab"/>
          <w:color w:val="000000" w:themeColor="text1"/>
          <w:sz w:val="22"/>
          <w:szCs w:val="22"/>
        </w:rPr>
      </w:pPr>
      <w:r w:rsidRPr="00DA76A7">
        <w:rPr>
          <w:color w:val="000000" w:themeColor="text1"/>
          <w:sz w:val="22"/>
          <w:szCs w:val="22"/>
        </w:rPr>
        <w:t xml:space="preserve">Правила судебно-медицинской экспертизы характера и тяжести телесных повреждений в Республике Беларусь [Электронный ресурс] : приказ Белорусской государственной службы судебно-медицинской экспертизы, 1 июля </w:t>
      </w:r>
      <w:smartTag w:uri="urn:schemas-microsoft-com:office:smarttags" w:element="metricconverter">
        <w:smartTagPr>
          <w:attr w:name="ProductID" w:val="1999 г"/>
        </w:smartTagPr>
        <w:r w:rsidRPr="00DA76A7">
          <w:rPr>
            <w:color w:val="000000" w:themeColor="text1"/>
            <w:sz w:val="22"/>
            <w:szCs w:val="22"/>
          </w:rPr>
          <w:t>1999 г</w:t>
        </w:r>
      </w:smartTag>
      <w:r w:rsidRPr="00DA76A7">
        <w:rPr>
          <w:color w:val="000000" w:themeColor="text1"/>
          <w:sz w:val="22"/>
          <w:szCs w:val="22"/>
        </w:rPr>
        <w:t>., № 38-с: в ред. приказа Белгосслужбы судмедэкспертизы от 18.10.2011 № 2</w:t>
      </w:r>
      <w:r w:rsidRPr="00DA76A7">
        <w:rPr>
          <w:color w:val="000000" w:themeColor="text1"/>
          <w:sz w:val="22"/>
          <w:szCs w:val="22"/>
          <w:lang w:val="en-US"/>
        </w:rPr>
        <w:t> </w:t>
      </w:r>
      <w:r w:rsidRPr="00DA76A7">
        <w:rPr>
          <w:rFonts w:eastAsia="Times New Roman"/>
          <w:color w:val="000000" w:themeColor="text1"/>
          <w:sz w:val="22"/>
          <w:szCs w:val="22"/>
        </w:rPr>
        <w:t xml:space="preserve">// </w:t>
      </w:r>
      <w:r w:rsidRPr="00DA76A7">
        <w:rPr>
          <w:color w:val="000000" w:themeColor="text1"/>
          <w:sz w:val="22"/>
          <w:szCs w:val="22"/>
        </w:rPr>
        <w:t>КонсультантПлюс. Беларусь / ООО «ЮрСпектр», Нац. центр правовой информ. Респ. Беларусь. – Минск, 2018.</w:t>
      </w:r>
      <w:r w:rsidRPr="00DA76A7">
        <w:rPr>
          <w:rStyle w:val="ab"/>
          <w:color w:val="000000" w:themeColor="text1"/>
          <w:sz w:val="22"/>
          <w:szCs w:val="22"/>
        </w:rPr>
        <w:t xml:space="preserve"> </w:t>
      </w:r>
    </w:p>
    <w:p w:rsidR="00592BC2" w:rsidRPr="00DA76A7" w:rsidRDefault="00592BC2" w:rsidP="00D45D6B">
      <w:pPr>
        <w:pStyle w:val="ConsPlusNormal"/>
        <w:widowControl/>
        <w:numPr>
          <w:ilvl w:val="0"/>
          <w:numId w:val="142"/>
        </w:numPr>
        <w:tabs>
          <w:tab w:val="left" w:pos="851"/>
          <w:tab w:val="left" w:pos="1134"/>
          <w:tab w:val="left" w:pos="1260"/>
        </w:tabs>
        <w:ind w:left="0" w:firstLine="567"/>
        <w:jc w:val="both"/>
        <w:rPr>
          <w:color w:val="000000" w:themeColor="text1"/>
          <w:sz w:val="22"/>
          <w:szCs w:val="22"/>
        </w:rPr>
      </w:pPr>
      <w:r w:rsidRPr="00DA76A7">
        <w:rPr>
          <w:color w:val="000000" w:themeColor="text1"/>
          <w:sz w:val="22"/>
          <w:szCs w:val="22"/>
        </w:rPr>
        <w:t>Архив Суда Первомайского района города Минска. Дело № 1 – 23/2014.</w:t>
      </w:r>
    </w:p>
    <w:p w:rsidR="00592BC2" w:rsidRPr="00DA76A7" w:rsidRDefault="00592BC2" w:rsidP="00D45D6B">
      <w:pPr>
        <w:pStyle w:val="ConsPlusNormal"/>
        <w:widowControl/>
        <w:numPr>
          <w:ilvl w:val="0"/>
          <w:numId w:val="142"/>
        </w:numPr>
        <w:tabs>
          <w:tab w:val="left" w:pos="851"/>
          <w:tab w:val="left" w:pos="1134"/>
          <w:tab w:val="left" w:pos="1260"/>
        </w:tabs>
        <w:ind w:left="0" w:firstLine="567"/>
        <w:jc w:val="both"/>
        <w:rPr>
          <w:color w:val="000000" w:themeColor="text1"/>
          <w:sz w:val="22"/>
          <w:szCs w:val="22"/>
        </w:rPr>
      </w:pPr>
      <w:r w:rsidRPr="00DA76A7">
        <w:rPr>
          <w:color w:val="000000" w:themeColor="text1"/>
          <w:sz w:val="22"/>
          <w:szCs w:val="22"/>
        </w:rPr>
        <w:t>Обзор состояния правового обеспечения служебно-боевой деятельности внутренних войск в 2015 году / Гл. упр. командующего внутр. войсками МВД Респ. Беларусь. – Минск, 2016. – 42 с.</w:t>
      </w:r>
    </w:p>
    <w:p w:rsidR="00592BC2" w:rsidRPr="00DA76A7" w:rsidRDefault="00592BC2" w:rsidP="00D45D6B">
      <w:pPr>
        <w:widowControl/>
        <w:numPr>
          <w:ilvl w:val="0"/>
          <w:numId w:val="142"/>
        </w:numPr>
        <w:tabs>
          <w:tab w:val="left" w:pos="993"/>
          <w:tab w:val="left" w:pos="1134"/>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Президент поддерживает предложения МВД по либерализации ответственности, но призывает к осторожности // </w:t>
      </w:r>
      <w:r w:rsidRPr="00DA76A7">
        <w:rPr>
          <w:rFonts w:ascii="Arial" w:hAnsi="Arial" w:cs="Arial"/>
          <w:color w:val="000000" w:themeColor="text1"/>
          <w:sz w:val="22"/>
          <w:szCs w:val="22"/>
          <w:lang w:val="en-US"/>
        </w:rPr>
        <w:t>TUT</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BY</w:t>
      </w:r>
      <w:r w:rsidRPr="00DA76A7">
        <w:rPr>
          <w:rFonts w:ascii="Arial" w:hAnsi="Arial" w:cs="Arial"/>
          <w:color w:val="000000" w:themeColor="text1"/>
          <w:sz w:val="22"/>
          <w:szCs w:val="22"/>
        </w:rPr>
        <w:t xml:space="preserve"> [Электронный ресурс]. </w:t>
      </w:r>
      <w:r w:rsidRPr="00DA76A7">
        <w:rPr>
          <w:rFonts w:ascii="Arial" w:hAnsi="Arial" w:cs="Arial"/>
          <w:bCs/>
          <w:color w:val="000000" w:themeColor="text1"/>
          <w:spacing w:val="-10"/>
          <w:sz w:val="22"/>
          <w:szCs w:val="22"/>
        </w:rPr>
        <w:t>–</w:t>
      </w:r>
      <w:r w:rsidRPr="00DA76A7">
        <w:rPr>
          <w:rFonts w:ascii="Arial" w:hAnsi="Arial" w:cs="Arial"/>
          <w:color w:val="000000" w:themeColor="text1"/>
          <w:sz w:val="22"/>
          <w:szCs w:val="22"/>
        </w:rPr>
        <w:t xml:space="preserve"> Режим доступа: http://</w:t>
      </w:r>
      <w:r w:rsidRPr="00DA76A7">
        <w:rPr>
          <w:rFonts w:ascii="Arial" w:hAnsi="Arial" w:cs="Arial"/>
          <w:color w:val="000000" w:themeColor="text1"/>
          <w:sz w:val="22"/>
          <w:szCs w:val="22"/>
          <w:lang w:val="en-US"/>
        </w:rPr>
        <w:t>news</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tut</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by</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society</w:t>
      </w:r>
      <w:r w:rsidRPr="00DA76A7">
        <w:rPr>
          <w:rFonts w:ascii="Arial" w:hAnsi="Arial" w:cs="Arial"/>
          <w:color w:val="000000" w:themeColor="text1"/>
          <w:sz w:val="22"/>
          <w:szCs w:val="22"/>
        </w:rPr>
        <w:t>/482550.</w:t>
      </w:r>
      <w:r w:rsidRPr="00DA76A7">
        <w:rPr>
          <w:rFonts w:ascii="Arial" w:hAnsi="Arial" w:cs="Arial"/>
          <w:color w:val="000000" w:themeColor="text1"/>
          <w:sz w:val="22"/>
          <w:szCs w:val="22"/>
          <w:lang w:val="en-US"/>
        </w:rPr>
        <w:t>html</w:t>
      </w:r>
      <w:r w:rsidRPr="00DA76A7">
        <w:rPr>
          <w:rFonts w:ascii="Arial" w:hAnsi="Arial" w:cs="Arial"/>
          <w:color w:val="000000" w:themeColor="text1"/>
          <w:sz w:val="22"/>
          <w:szCs w:val="22"/>
        </w:rPr>
        <w:t xml:space="preserve">. </w:t>
      </w:r>
      <w:r w:rsidRPr="00DA76A7">
        <w:rPr>
          <w:rFonts w:ascii="Arial" w:hAnsi="Arial" w:cs="Arial"/>
          <w:bCs/>
          <w:color w:val="000000" w:themeColor="text1"/>
          <w:spacing w:val="-10"/>
          <w:sz w:val="22"/>
          <w:szCs w:val="22"/>
        </w:rPr>
        <w:t>–</w:t>
      </w:r>
      <w:r w:rsidRPr="00DA76A7">
        <w:rPr>
          <w:rFonts w:ascii="Arial" w:hAnsi="Arial" w:cs="Arial"/>
          <w:color w:val="000000" w:themeColor="text1"/>
          <w:sz w:val="22"/>
          <w:szCs w:val="22"/>
        </w:rPr>
        <w:t xml:space="preserve"> Дата доступа: 27.02.2018.</w:t>
      </w:r>
    </w:p>
    <w:p w:rsidR="00592BC2" w:rsidRPr="00DA76A7" w:rsidRDefault="00592BC2" w:rsidP="00D45D6B">
      <w:pPr>
        <w:pStyle w:val="ConsPlusNormal"/>
        <w:widowControl/>
        <w:numPr>
          <w:ilvl w:val="0"/>
          <w:numId w:val="142"/>
        </w:numPr>
        <w:tabs>
          <w:tab w:val="left" w:pos="993"/>
          <w:tab w:val="left" w:pos="1134"/>
          <w:tab w:val="left" w:pos="1260"/>
        </w:tabs>
        <w:ind w:left="0" w:firstLine="567"/>
        <w:jc w:val="both"/>
        <w:rPr>
          <w:color w:val="000000" w:themeColor="text1"/>
          <w:sz w:val="22"/>
          <w:szCs w:val="22"/>
        </w:rPr>
      </w:pPr>
      <w:r w:rsidRPr="00DA76A7">
        <w:rPr>
          <w:color w:val="000000" w:themeColor="text1"/>
          <w:sz w:val="22"/>
          <w:szCs w:val="22"/>
        </w:rPr>
        <w:t>Сведения о состоянии преступности в войсках за январь-декабрь 2017 года. – Минск : Генеральная прокуратура Республики Беларусь, 2018. – 14 с.</w:t>
      </w:r>
    </w:p>
    <w:p w:rsidR="00592BC2" w:rsidRPr="00DA76A7" w:rsidRDefault="00592BC2" w:rsidP="00D45D6B">
      <w:pPr>
        <w:pStyle w:val="ConsPlusNormal"/>
        <w:widowControl/>
        <w:numPr>
          <w:ilvl w:val="0"/>
          <w:numId w:val="142"/>
        </w:numPr>
        <w:tabs>
          <w:tab w:val="left" w:pos="993"/>
          <w:tab w:val="left" w:pos="1134"/>
          <w:tab w:val="left" w:pos="1260"/>
        </w:tabs>
        <w:ind w:left="0" w:firstLine="567"/>
        <w:jc w:val="both"/>
        <w:rPr>
          <w:color w:val="000000" w:themeColor="text1"/>
          <w:sz w:val="22"/>
          <w:szCs w:val="22"/>
        </w:rPr>
      </w:pPr>
      <w:r w:rsidRPr="00DA76A7">
        <w:rPr>
          <w:color w:val="000000" w:themeColor="text1"/>
          <w:sz w:val="22"/>
          <w:szCs w:val="22"/>
        </w:rPr>
        <w:t xml:space="preserve">Справка о состоянии воинской дисциплины в соединениях и воинских частях внутренних войск за </w:t>
      </w:r>
      <w:r w:rsidRPr="00DA76A7">
        <w:rPr>
          <w:color w:val="000000" w:themeColor="text1"/>
          <w:sz w:val="22"/>
          <w:szCs w:val="22"/>
          <w:lang w:val="en-US"/>
        </w:rPr>
        <w:t>I</w:t>
      </w:r>
      <w:r w:rsidRPr="00DA76A7">
        <w:rPr>
          <w:color w:val="000000" w:themeColor="text1"/>
          <w:sz w:val="22"/>
          <w:szCs w:val="22"/>
        </w:rPr>
        <w:t xml:space="preserve"> квартал 2016 года / Гл. упр. командующего внутр. войсками МВД Респ. Беларусь. – Минск, 2016. – 5 с.</w:t>
      </w:r>
    </w:p>
    <w:p w:rsidR="00592BC2" w:rsidRPr="00DA76A7" w:rsidRDefault="00592BC2" w:rsidP="00592BC2">
      <w:pPr>
        <w:pStyle w:val="a7"/>
        <w:shd w:val="clear" w:color="auto" w:fill="FFFFFF"/>
        <w:tabs>
          <w:tab w:val="left" w:pos="851"/>
        </w:tabs>
        <w:spacing w:before="0" w:beforeAutospacing="0" w:after="0" w:afterAutospacing="0"/>
        <w:ind w:firstLine="567"/>
        <w:jc w:val="center"/>
        <w:rPr>
          <w:rFonts w:ascii="Arial" w:hAnsi="Arial" w:cs="Arial"/>
          <w:color w:val="000000" w:themeColor="text1"/>
          <w:sz w:val="22"/>
          <w:szCs w:val="22"/>
        </w:rPr>
      </w:pPr>
    </w:p>
    <w:p w:rsidR="00592BC2" w:rsidRPr="00DA76A7" w:rsidRDefault="00592BC2" w:rsidP="00592BC2">
      <w:pPr>
        <w:pStyle w:val="a7"/>
        <w:shd w:val="clear" w:color="auto" w:fill="FFFFFF"/>
        <w:spacing w:before="0" w:beforeAutospacing="0" w:after="0" w:afterAutospacing="0"/>
        <w:ind w:firstLine="567"/>
        <w:jc w:val="center"/>
        <w:rPr>
          <w:rFonts w:ascii="Arial" w:hAnsi="Arial" w:cs="Arial"/>
          <w:b/>
          <w:color w:val="000000" w:themeColor="text1"/>
          <w:sz w:val="22"/>
          <w:szCs w:val="22"/>
        </w:rPr>
      </w:pPr>
    </w:p>
    <w:p w:rsidR="00592BC2" w:rsidRPr="00DA76A7" w:rsidRDefault="00592BC2" w:rsidP="00592BC2">
      <w:pPr>
        <w:pStyle w:val="a7"/>
        <w:shd w:val="clear" w:color="auto" w:fill="FFFFFF"/>
        <w:spacing w:before="0" w:beforeAutospacing="0" w:after="0" w:afterAutospacing="0"/>
        <w:jc w:val="center"/>
        <w:rPr>
          <w:rFonts w:ascii="Arial" w:hAnsi="Arial" w:cs="Arial"/>
          <w:b/>
          <w:color w:val="000000" w:themeColor="text1"/>
          <w:sz w:val="22"/>
          <w:szCs w:val="22"/>
        </w:rPr>
      </w:pPr>
      <w:r w:rsidRPr="00DA76A7">
        <w:rPr>
          <w:rFonts w:ascii="Arial" w:hAnsi="Arial" w:cs="Arial"/>
          <w:b/>
          <w:color w:val="000000" w:themeColor="text1"/>
          <w:sz w:val="22"/>
          <w:szCs w:val="22"/>
        </w:rPr>
        <w:t>ХАРАКТЕРИСТИКА СЛУЖБЫ В ОРГАНАХ ПРОКУРАТУРЫ РОССИЙСКОЙ ФЕДЕРАЦИИ</w:t>
      </w:r>
    </w:p>
    <w:p w:rsidR="00592BC2" w:rsidRPr="00DA76A7" w:rsidRDefault="00592BC2" w:rsidP="00592BC2">
      <w:pPr>
        <w:pStyle w:val="a7"/>
        <w:shd w:val="clear" w:color="auto" w:fill="FFFFFF"/>
        <w:spacing w:before="0" w:beforeAutospacing="0" w:after="0" w:afterAutospacing="0"/>
        <w:jc w:val="center"/>
        <w:rPr>
          <w:rFonts w:ascii="Arial" w:hAnsi="Arial" w:cs="Arial"/>
          <w:b/>
          <w:color w:val="000000" w:themeColor="text1"/>
          <w:sz w:val="22"/>
          <w:szCs w:val="22"/>
        </w:rPr>
      </w:pPr>
    </w:p>
    <w:p w:rsidR="00592BC2" w:rsidRPr="00DA76A7" w:rsidRDefault="00592BC2" w:rsidP="00592BC2">
      <w:pPr>
        <w:pStyle w:val="a7"/>
        <w:shd w:val="clear" w:color="auto" w:fill="FFFFFF"/>
        <w:spacing w:before="0" w:beforeAutospacing="0" w:after="0" w:afterAutospacing="0"/>
        <w:jc w:val="center"/>
        <w:rPr>
          <w:rFonts w:ascii="Arial" w:hAnsi="Arial" w:cs="Arial"/>
          <w:b/>
          <w:color w:val="000000" w:themeColor="text1"/>
          <w:sz w:val="22"/>
          <w:szCs w:val="22"/>
        </w:rPr>
      </w:pPr>
      <w:r w:rsidRPr="00DA76A7">
        <w:rPr>
          <w:rFonts w:ascii="Arial" w:hAnsi="Arial" w:cs="Arial"/>
          <w:b/>
          <w:color w:val="000000" w:themeColor="text1"/>
          <w:sz w:val="22"/>
          <w:szCs w:val="22"/>
        </w:rPr>
        <w:t>Сангов Хусрав Рамазанович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DA76A7" w:rsidRDefault="00592BC2" w:rsidP="00592BC2">
      <w:pPr>
        <w:pStyle w:val="a7"/>
        <w:spacing w:before="0" w:beforeAutospacing="0" w:after="0" w:afterAutospacing="0"/>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906-44-44-24,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sanhuram</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gmail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com</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rPr>
      </w:pP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CHARACTERISTICS OF SERVICE IN THE PROSECUTOR'S OFFICE: THE CONCEPT, SIGNS</w:t>
      </w:r>
    </w:p>
    <w:p w:rsidR="00592BC2" w:rsidRPr="00DA76A7" w:rsidRDefault="00592BC2" w:rsidP="00592BC2">
      <w:pPr>
        <w:pStyle w:val="HTML"/>
        <w:shd w:val="clear" w:color="auto" w:fill="FFFFFF"/>
        <w:jc w:val="center"/>
        <w:rPr>
          <w:rFonts w:ascii="Arial" w:hAnsi="Arial" w:cs="Arial"/>
          <w:b/>
          <w:color w:val="000000" w:themeColor="text1"/>
          <w:sz w:val="22"/>
          <w:szCs w:val="22"/>
          <w:lang w:val="en-US"/>
        </w:rPr>
      </w:pPr>
    </w:p>
    <w:p w:rsidR="00592BC2" w:rsidRPr="00DA76A7" w:rsidRDefault="00592BC2" w:rsidP="00592BC2">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Sangov Khusraw Ramazanovich</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the second year of correspondence department of the faculty of law</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color w:val="000000" w:themeColor="text1"/>
          <w:sz w:val="22"/>
          <w:szCs w:val="22"/>
          <w:shd w:val="clear" w:color="auto" w:fill="FFFFFF"/>
          <w:lang w:val="en-US"/>
        </w:rPr>
        <w:t xml:space="preserve">tel.:. 906-44-44-24, </w:t>
      </w:r>
      <w:r w:rsidRPr="00DA76A7">
        <w:rPr>
          <w:rFonts w:ascii="Arial" w:hAnsi="Arial" w:cs="Arial"/>
          <w:color w:val="000000" w:themeColor="text1"/>
          <w:sz w:val="22"/>
          <w:szCs w:val="22"/>
          <w:lang w:val="en-US"/>
        </w:rPr>
        <w:t xml:space="preserve">e-mail: </w:t>
      </w:r>
      <w:r w:rsidRPr="00DA76A7">
        <w:rPr>
          <w:rFonts w:ascii="Arial" w:hAnsi="Arial" w:cs="Arial"/>
          <w:color w:val="000000" w:themeColor="text1"/>
          <w:sz w:val="22"/>
          <w:szCs w:val="22"/>
          <w:shd w:val="clear" w:color="auto" w:fill="FFFFFF"/>
          <w:lang w:val="en-US"/>
        </w:rPr>
        <w:t>sanhuram@gmail.com</w:t>
      </w:r>
    </w:p>
    <w:p w:rsidR="00592BC2" w:rsidRPr="00DA76A7" w:rsidRDefault="00592BC2" w:rsidP="00592BC2">
      <w:pPr>
        <w:ind w:firstLine="567"/>
        <w:jc w:val="right"/>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Хамроев Ш.С.</w:t>
      </w:r>
    </w:p>
    <w:p w:rsidR="00592BC2" w:rsidRPr="00DA76A7" w:rsidRDefault="00592BC2" w:rsidP="00592BC2">
      <w:pPr>
        <w:pStyle w:val="a7"/>
        <w:spacing w:before="0" w:beforeAutospacing="0" w:after="0" w:afterAutospacing="0"/>
        <w:ind w:firstLine="567"/>
        <w:jc w:val="both"/>
        <w:textAlignment w:val="top"/>
        <w:rPr>
          <w:rFonts w:ascii="Arial" w:hAnsi="Arial" w:cs="Arial"/>
          <w:b/>
          <w:i/>
          <w:color w:val="000000" w:themeColor="text1"/>
          <w:sz w:val="22"/>
          <w:szCs w:val="22"/>
        </w:rPr>
      </w:pPr>
    </w:p>
    <w:p w:rsidR="00592BC2" w:rsidRPr="00DA76A7" w:rsidRDefault="00592BC2" w:rsidP="00592BC2">
      <w:pPr>
        <w:pStyle w:val="a7"/>
        <w:spacing w:before="0" w:beforeAutospacing="0" w:after="0" w:afterAutospacing="0"/>
        <w:ind w:firstLine="567"/>
        <w:jc w:val="both"/>
        <w:textAlignment w:val="top"/>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Выявляются пробелы и противоречия в правовом регулировании службы в системе прокуратуры Российской Федерации, предлагаются пути их решения. Исследуется правовой статус прокурорских работников. Обосновывается вывод, что прокурорская служба является самостоятельным видом федеральной государственной службы. </w:t>
      </w:r>
    </w:p>
    <w:p w:rsidR="00592BC2" w:rsidRPr="00DA76A7" w:rsidRDefault="00592BC2" w:rsidP="00592BC2">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 xml:space="preserve">Gaps and contradictions in the legal regulation of public prosecution service of the Russian Federation are revealed, and ways for their solution are suggested. The legal status of prosecutors is investigated. The conclusion is substantiated that the prosecutor's service is an independent type of the federal public service. </w:t>
      </w:r>
    </w:p>
    <w:p w:rsidR="00592BC2" w:rsidRPr="00DA76A7" w:rsidRDefault="00592BC2" w:rsidP="00592BC2">
      <w:pPr>
        <w:pStyle w:val="HTML"/>
        <w:shd w:val="clear" w:color="auto" w:fill="FFFFFF"/>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Закон о прокуратуре, прокурорская служба, статус прокурора, совершенствование законодательства, государственная служба.</w:t>
      </w:r>
    </w:p>
    <w:p w:rsidR="00592BC2" w:rsidRPr="00DA76A7" w:rsidRDefault="00592BC2" w:rsidP="00592BC2">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Law on the Prosecutor's Service, prosecution service, status of the prosecutor, legislation improvement, public service.</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Прокуратура Российской Федерации представляет собой федеральную систему органов государственных власти. Поэтому Служба в органах и учреждениях прокуратуры является видом федеральной государственной службы.</w:t>
      </w:r>
    </w:p>
    <w:p w:rsidR="00592BC2" w:rsidRPr="008C23AD" w:rsidRDefault="00592BC2" w:rsidP="00592BC2">
      <w:pPr>
        <w:pStyle w:val="a7"/>
        <w:shd w:val="clear" w:color="auto" w:fill="FFFFFF"/>
        <w:spacing w:before="0" w:beforeAutospacing="0" w:after="0" w:afterAutospacing="0"/>
        <w:ind w:firstLine="567"/>
        <w:jc w:val="both"/>
        <w:rPr>
          <w:rFonts w:ascii="Arial" w:hAnsi="Arial" w:cs="Arial"/>
          <w:color w:val="000000" w:themeColor="text1"/>
          <w:spacing w:val="-6"/>
          <w:sz w:val="22"/>
          <w:szCs w:val="22"/>
        </w:rPr>
      </w:pPr>
      <w:r w:rsidRPr="008C23AD">
        <w:rPr>
          <w:rFonts w:ascii="Arial" w:hAnsi="Arial" w:cs="Arial"/>
          <w:color w:val="000000" w:themeColor="text1"/>
          <w:spacing w:val="-6"/>
          <w:sz w:val="22"/>
          <w:szCs w:val="22"/>
        </w:rPr>
        <w:t>Работники органов прокуратуры являются государственными служащими Российской Федерации, которые исполняют обязанности государственной должности в федеральной государственной службы с учетом тех требований которые предусмотрены в законе.</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Сегодня рассмотрение любого вида службы невозможно без теоретико-правовых основ исследования. </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в словаре Ожегова С.И. понятие «служить» определяется как «выполняя чью-нибудь волю, делать что-нибудь,  работать в пользу чего-нибудь приказания,» [2, 9].  </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изучению этого вопроса в теоретическом плане в современной юриспруденции прежде всего обращаются ученые-административисты, рассматривая в целом в качестве служебной такую социально значимую деятельность, которая выражает непосредственную связь с конкретным человеком, направлена на его пользу и с его ведома.</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В.М. Манохин дает наиболее удачную дефиницию: это профессиональная деятельность определенного контингента лиц - служащих - по организации исполнения и практической реализации полномочий государственных, общественных и иных социальных структур. Будучи представителем науки административного права, В.М.Манохин настаивает на формировании в России особой отрасли законодательства - законодательства о службе, высказывается о необходимости разработки служебного права [1, 675]. </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Термин «государственная служба» имеет много значений как в социальном, так и в правовом плане. По мнению видного русского государствоведа Н.М. Коркунова, службой государству в широком смысле слова можно назвать всякую деятельность на пользу государству. Конкретизируя свою позицию, он определял государственную службу как особое публично-правовое отношение служащего к государству, основанное на подчинении и имеющее своим содержанием обязательную деятельность, совершаемую от лица государства и направленную к осуществлению определенной задачи государственной деятельности Коркунов Н.М [3, 271]. С развитием в нашем обществе юридической науки ее содержание существенно менялось. В настоящее время в отечественном правоведении специалисты отказались от понимания государственной службы как деятельности лиц, занимающихся исключительно интеллектуальным трудом в противоположность к труду физическому.</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 есть, конституционное регулирование статуса прокуратуры ограничено лишь вопросами организационного характера (за исключением вопроса о лишении депутата неприкосновенности, носящего процессуальный характер) и не затрагивает принципиальных моментов, связанных с определением места, роли и назначения прокуратуры в Российском государстве.</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Работники прокуратуры, выполняя свои профессиональные обязанности, направленные на обеспечение защиты законных прав и интересов граждан и общества, применяют предусмотренные законодательством меры воздействия к нарушителям законов, к устранению допущенных нарушений. Таким образом, их деятельность оказывается непосредственно обращенной к конкретным лицам, как к тем, которые пострадали (претерпели) от правонарушения, так и к тем, которые виновны в их совершении. Поэтому она справедливо может рассматриваться как служебная. Осуществляя свои полномочия по защите и восстановлению чьих-либо нарушенных прав, работники прокуратуры реализуют прежде всего волю государства.</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Деятельность органов прокуратуры, безусловно, по своей сути является правоохранительной, поскольку они осуществляют надзор за точным исполнением законов в России, принимают необходимые правовые меры, направленные на защиту интересов государства, общества и граждан.</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Служба в органах и учреждениях прокуратуры относится к видам федеральной государственной службы. Из этого можно сделать справедливый вывод о том, что служащие прокуратуры являются федеральными государственными служащими. В статье 40 Федерального закона РФ «О прокуратуре Российской Федерации» указано, что прокурорские работники являются государственными служащими государственной службы Российской Федерации, исполняющими обязанности по государственной должности федеральной государственной службы.</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Система органов прокуратуры закреплена в Законе «О прокуратуре РФ» и представляет собой разветвленную сеть территориальных, военных и иных специализированных прокуратур, научных и образовательных учреждений, других организаций, являющихся юридическими лицами, организационно между собой взаимосвязанных и взаимообусловленных единством решаемых задач по обеспечению режима законности и правопорядка.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Служба в органах прокуратуры, как и иная государственная служба, строится и функционирует на основе общих принципов, установленных законодательством о государственной службе в Российской Федерации, с учетом особенностей, предусмотренных Законом о прокуратуре.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w:t>
      </w:r>
      <w:r w:rsidRPr="00DA76A7">
        <w:rPr>
          <w:rStyle w:val="apple-converted-space"/>
          <w:rFonts w:ascii="Arial" w:hAnsi="Arial" w:cs="Arial"/>
          <w:color w:val="000000" w:themeColor="text1"/>
          <w:sz w:val="22"/>
          <w:szCs w:val="22"/>
        </w:rPr>
        <w:t> </w:t>
      </w:r>
      <w:r w:rsidRPr="00DA76A7">
        <w:rPr>
          <w:rStyle w:val="ab"/>
          <w:rFonts w:ascii="Arial" w:hAnsi="Arial" w:cs="Arial"/>
          <w:b w:val="0"/>
          <w:iCs/>
          <w:color w:val="000000" w:themeColor="text1"/>
          <w:sz w:val="22"/>
          <w:szCs w:val="22"/>
        </w:rPr>
        <w:t>принципам службы в органах прокуратуры</w:t>
      </w:r>
      <w:r w:rsidRPr="00DA76A7">
        <w:rPr>
          <w:rStyle w:val="apple-converted-space"/>
          <w:rFonts w:ascii="Arial" w:hAnsi="Arial" w:cs="Arial"/>
          <w:bCs/>
          <w:iCs/>
          <w:color w:val="000000" w:themeColor="text1"/>
          <w:sz w:val="22"/>
          <w:szCs w:val="22"/>
        </w:rPr>
        <w:t> </w:t>
      </w:r>
      <w:r w:rsidRPr="00DA76A7">
        <w:rPr>
          <w:rFonts w:ascii="Arial" w:hAnsi="Arial" w:cs="Arial"/>
          <w:color w:val="000000" w:themeColor="text1"/>
          <w:sz w:val="22"/>
          <w:szCs w:val="22"/>
        </w:rPr>
        <w:t>следует отнести: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законность;</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приоритет прав и свобод человека и гражданина;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равный доступ граждан Российской Федерации к службе в органах и учреждениях прокуратуры с учетом профессиональных, деловых и моральных качеств, повышенных требований к состоянию здоровья;</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профессионализм и компетентность работников прокурорских;</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гласность в той мере, в какой это не противоречит требованиям законодательства РФ и РТ об охране прав и свобод граждан, а также государственной и иной охраняемой законом тайны;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защищенность прокурорских работников от неправомерного вмешательства в их профессиональную служебную деятельность;</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представление прокурорским работникам материального и социального обеспечения, соответствующего их статусу.</w:t>
      </w:r>
    </w:p>
    <w:p w:rsidR="00592BC2" w:rsidRPr="00DA76A7" w:rsidRDefault="00592BC2" w:rsidP="00592BC2">
      <w:pPr>
        <w:ind w:firstLine="567"/>
        <w:jc w:val="both"/>
        <w:rPr>
          <w:rFonts w:ascii="Arial" w:hAnsi="Arial" w:cs="Arial"/>
          <w:color w:val="000000" w:themeColor="text1"/>
          <w:sz w:val="22"/>
          <w:szCs w:val="22"/>
        </w:rPr>
      </w:pPr>
      <w:r w:rsidRPr="00DA76A7">
        <w:rPr>
          <w:rStyle w:val="ab"/>
          <w:rFonts w:ascii="Arial" w:hAnsi="Arial" w:cs="Arial"/>
          <w:b w:val="0"/>
          <w:iCs/>
          <w:color w:val="000000" w:themeColor="text1"/>
          <w:sz w:val="22"/>
          <w:szCs w:val="22"/>
        </w:rPr>
        <w:t>Содержание службы в органах и учреждениях прокуратуры</w:t>
      </w:r>
      <w:r w:rsidRPr="00DA76A7">
        <w:rPr>
          <w:rStyle w:val="apple-converted-space"/>
          <w:rFonts w:ascii="Arial" w:hAnsi="Arial" w:cs="Arial"/>
          <w:bCs/>
          <w:iCs/>
          <w:color w:val="000000" w:themeColor="text1"/>
          <w:sz w:val="22"/>
          <w:szCs w:val="22"/>
        </w:rPr>
        <w:t> </w:t>
      </w:r>
      <w:r w:rsidRPr="00DA76A7">
        <w:rPr>
          <w:rFonts w:ascii="Arial" w:hAnsi="Arial" w:cs="Arial"/>
          <w:color w:val="000000" w:themeColor="text1"/>
          <w:sz w:val="22"/>
          <w:szCs w:val="22"/>
        </w:rPr>
        <w:t>определяется совокупностью правил и процедур, установленных законом, которые определяют:</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условия и порядок приема на службу в органы прокуратуры;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требования, предъявляемые к кандидатам на должность прокуроров;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порядок прохождения службы;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меры стимулирования и ответственности прокурорских работников, их правовую, социальную и материальную защищенность;</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основание и порядок прекращения службы в органах и учреждениях прокуратуры и другие вопросы [4].</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Российская прокуратура представляет собой систему федеральных государственных органов власти. Поэтому служба в органах и учреждениях прокуратуры является видом федеральной государственной службы.</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Органы прокуратуры не относятся к законодательной, исполнительной, судебной ветвям власти и представляют собой отдельно стоящий государственный орган, который имеет свои специфические цели и задачи, предназначение и организационную структуру. В связи с этим служба в органах прокуратуры являет собой особый вид федеральной государственной службы, имеющей свои специфические черты.</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w:t>
      </w:r>
      <w:r w:rsidRPr="00DA76A7">
        <w:rPr>
          <w:rStyle w:val="apple-converted-space"/>
          <w:rFonts w:ascii="Arial" w:hAnsi="Arial" w:cs="Arial"/>
          <w:color w:val="000000" w:themeColor="text1"/>
          <w:sz w:val="22"/>
          <w:szCs w:val="22"/>
        </w:rPr>
        <w:t> </w:t>
      </w:r>
      <w:r w:rsidRPr="00DA76A7">
        <w:rPr>
          <w:rFonts w:ascii="Arial" w:hAnsi="Arial" w:cs="Arial"/>
          <w:bCs/>
          <w:color w:val="000000" w:themeColor="text1"/>
          <w:sz w:val="22"/>
          <w:szCs w:val="22"/>
        </w:rPr>
        <w:t>содержание организации работы</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можно представить</w:t>
      </w:r>
      <w:r w:rsidRPr="00DA76A7">
        <w:rPr>
          <w:rStyle w:val="apple-converted-space"/>
          <w:rFonts w:ascii="Arial" w:hAnsi="Arial" w:cs="Arial"/>
          <w:color w:val="000000" w:themeColor="text1"/>
          <w:sz w:val="22"/>
          <w:szCs w:val="22"/>
        </w:rPr>
        <w:t> </w:t>
      </w:r>
      <w:r w:rsidRPr="00DA76A7">
        <w:rPr>
          <w:rFonts w:ascii="Arial" w:hAnsi="Arial" w:cs="Arial"/>
          <w:bCs/>
          <w:color w:val="000000" w:themeColor="text1"/>
          <w:sz w:val="22"/>
          <w:szCs w:val="22"/>
        </w:rPr>
        <w:t>в виде трех подсистем</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действий, мер, объединенных в единую систему.</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первую, внутрифункциональную, подсистему входят: анализ деятельности того или иного органа прокуратуры; распределение обязанностей между прокурорскими работниками; организация труда; анализ состояния законности и правопорядка, борьбы с преступностью, прокурорской и следственной практики, прогнозирование и планирование работы; работа с кадрами; контроль и проверка исполнения; оценка работы прокурорских работников; взаимодействие и координация деятельности структурных единиц; руководство; принятие и реализация управленческих решений.</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w:t>
      </w:r>
      <w:r w:rsidRPr="00DA76A7">
        <w:rPr>
          <w:rStyle w:val="apple-converted-space"/>
          <w:rFonts w:ascii="Arial" w:hAnsi="Arial" w:cs="Arial"/>
          <w:color w:val="000000" w:themeColor="text1"/>
          <w:sz w:val="22"/>
          <w:szCs w:val="22"/>
        </w:rPr>
        <w:t> </w:t>
      </w:r>
      <w:r w:rsidRPr="00DA76A7">
        <w:rPr>
          <w:rFonts w:ascii="Arial" w:hAnsi="Arial" w:cs="Arial"/>
          <w:color w:val="000000" w:themeColor="text1"/>
          <w:sz w:val="22"/>
          <w:szCs w:val="22"/>
        </w:rPr>
        <w:t>второй, внешнефункциональной, подсистеме относятся: организация надзора за соблюдением Конституции РФ, исполнением законов и законностью правовых актов, соблюдением прав и свобод человека и гражданина, исполнением законов органами, осуществляющими оперативно - розыскную деятельность, дознание и предварительное следствие, исполнением уголовного наказания, исполнением законов судебными приставами, участия прокурора в рассмотрении дел судами, расследования преступлений, взаимодействия с другими органами, координации деятельности правоохранительных органов по борьбе с преступностью, участия в правотворческой деятельности, международного сотрудничества, работы с обращениями граждан и работы по предупреждению преступлений и иных правонарушений.</w:t>
      </w:r>
    </w:p>
    <w:p w:rsidR="00592BC2" w:rsidRPr="00DA76A7" w:rsidRDefault="00592BC2" w:rsidP="00592BC2">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Третью, вспомогательную, подсистему составляют: делопроизводство, организация и ведение учета, отчетности, систематизации законодательства, материально-технического и финансового обеспечения.</w:t>
      </w:r>
    </w:p>
    <w:p w:rsidR="00592BC2" w:rsidRPr="008C23AD" w:rsidRDefault="00592BC2" w:rsidP="008C23AD">
      <w:pPr>
        <w:pStyle w:val="a7"/>
        <w:shd w:val="clear" w:color="auto" w:fill="FFFFFF"/>
        <w:spacing w:before="0" w:beforeAutospacing="0" w:after="0" w:afterAutospacing="0"/>
        <w:ind w:firstLine="567"/>
        <w:jc w:val="both"/>
        <w:rPr>
          <w:rFonts w:ascii="Arial" w:hAnsi="Arial" w:cs="Arial"/>
          <w:color w:val="000000" w:themeColor="text1"/>
          <w:spacing w:val="-6"/>
          <w:sz w:val="22"/>
          <w:szCs w:val="22"/>
        </w:rPr>
      </w:pPr>
      <w:r w:rsidRPr="008C23AD">
        <w:rPr>
          <w:rFonts w:ascii="Arial" w:hAnsi="Arial" w:cs="Arial"/>
          <w:color w:val="000000" w:themeColor="text1"/>
          <w:spacing w:val="-6"/>
          <w:sz w:val="22"/>
          <w:szCs w:val="22"/>
        </w:rPr>
        <w:t>Возникновение организационных отношений и регулирование процесса организации работы в органах прокуратуры связано с управлением. Сущность управления в прокуратуре состоит в волевом воздействии вышестоящих органов прокуратуры и прокуроров на нижестоящих (подчиненных) прокурорских работников с целью достижения надлежащего выполнения возложенных задач, указанных на них Законом о прокуратуре и другими федеральными законами, и повышение эффективнос</w:t>
      </w:r>
      <w:r w:rsidR="008C23AD" w:rsidRPr="008C23AD">
        <w:rPr>
          <w:rFonts w:ascii="Arial" w:hAnsi="Arial" w:cs="Arial"/>
          <w:color w:val="000000" w:themeColor="text1"/>
          <w:spacing w:val="-6"/>
          <w:sz w:val="22"/>
          <w:szCs w:val="22"/>
        </w:rPr>
        <w:t>ти их деятельности на практике.</w:t>
      </w:r>
    </w:p>
    <w:p w:rsidR="008C23AD" w:rsidRDefault="008C23AD"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7"/>
        <w:numPr>
          <w:ilvl w:val="0"/>
          <w:numId w:val="135"/>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Манохин В.М. Служба и служащие в Российской Федерации: правовое регулирование. - М.: СПбГУ, 2000. – 236 с.</w:t>
      </w:r>
    </w:p>
    <w:p w:rsidR="00592BC2" w:rsidRPr="00DA76A7" w:rsidRDefault="00592BC2" w:rsidP="00D45D6B">
      <w:pPr>
        <w:pStyle w:val="a6"/>
        <w:numPr>
          <w:ilvl w:val="0"/>
          <w:numId w:val="135"/>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Ожегов С.И. Словарь русского языка. - М.: МИР, 1982. – 1200 с.</w:t>
      </w:r>
    </w:p>
    <w:p w:rsidR="00592BC2" w:rsidRPr="00DA76A7" w:rsidRDefault="00592BC2" w:rsidP="00D45D6B">
      <w:pPr>
        <w:pStyle w:val="a7"/>
        <w:numPr>
          <w:ilvl w:val="0"/>
          <w:numId w:val="135"/>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Русское государственное право. Т.1. - М.: Эльбрус, 2000. – 545 с.</w:t>
      </w:r>
    </w:p>
    <w:p w:rsidR="00592BC2" w:rsidRPr="00DA76A7" w:rsidRDefault="00592BC2" w:rsidP="00D45D6B">
      <w:pPr>
        <w:pStyle w:val="a7"/>
        <w:numPr>
          <w:ilvl w:val="0"/>
          <w:numId w:val="135"/>
        </w:numPr>
        <w:shd w:val="clear" w:color="auto" w:fill="FFFFFF"/>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Федеральный закон «О прокуратуре Российской Федерации» от 17.01.1992г.</w:t>
      </w:r>
      <w:r w:rsidRPr="00DA76A7">
        <w:rPr>
          <w:rFonts w:ascii="Arial" w:eastAsia="MS Mincho" w:hAnsi="Arial" w:cs="Arial"/>
          <w:color w:val="000000" w:themeColor="text1"/>
          <w:sz w:val="22"/>
          <w:szCs w:val="22"/>
        </w:rPr>
        <w:t xml:space="preserve"> [Электронный ресурс]. - Режим доступа: </w:t>
      </w:r>
      <w:hyperlink r:id="rId329" w:history="1">
        <w:r w:rsidRPr="00DA76A7">
          <w:rPr>
            <w:rStyle w:val="af0"/>
            <w:rFonts w:ascii="Arial" w:eastAsia="MS Mincho" w:hAnsi="Arial" w:cs="Arial"/>
            <w:color w:val="000000" w:themeColor="text1"/>
            <w:sz w:val="22"/>
            <w:szCs w:val="22"/>
            <w:u w:val="none"/>
          </w:rPr>
          <w:t>http://www.mmk.tj</w:t>
        </w:r>
      </w:hyperlink>
      <w:r w:rsidRPr="00DA76A7">
        <w:rPr>
          <w:rFonts w:ascii="Arial" w:eastAsia="MS Mincho" w:hAnsi="Arial" w:cs="Arial"/>
          <w:color w:val="000000" w:themeColor="text1"/>
          <w:sz w:val="22"/>
          <w:szCs w:val="22"/>
        </w:rPr>
        <w:t xml:space="preserve"> (дата обращения: 20.04.2018 ).  </w:t>
      </w:r>
    </w:p>
    <w:p w:rsidR="00592BC2" w:rsidRPr="00DA76A7" w:rsidRDefault="00592BC2" w:rsidP="008C23AD">
      <w:pP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ПУТИ СОВЕРШЕНСТВОВАНИЯ СИСТЕМЫ ИНСТИТУТОВ УГОЛОВНОГО ПРВА РОССИЙСКОЙ ФЕДЕРАЦИИ И РЕСПУБЛИКИ ТАДЖИКИСТАН</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Сатторов Абдучалол Лолахонович</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992936326497,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30" w:history="1">
        <w:r w:rsidRPr="00DA76A7">
          <w:rPr>
            <w:rStyle w:val="af0"/>
            <w:rFonts w:ascii="Arial" w:hAnsi="Arial" w:cs="Arial"/>
            <w:color w:val="000000" w:themeColor="text1"/>
            <w:sz w:val="22"/>
            <w:szCs w:val="22"/>
            <w:u w:val="none"/>
            <w:lang w:val="en-US"/>
          </w:rPr>
          <w:t>sattorov</w:t>
        </w:r>
        <w:r w:rsidRPr="00DA76A7">
          <w:rPr>
            <w:rStyle w:val="af0"/>
            <w:rFonts w:ascii="Arial" w:hAnsi="Arial" w:cs="Arial"/>
            <w:color w:val="000000" w:themeColor="text1"/>
            <w:sz w:val="22"/>
            <w:szCs w:val="22"/>
            <w:u w:val="none"/>
          </w:rPr>
          <w:t>87@</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r w:rsidRPr="00DA76A7">
        <w:rPr>
          <w:rFonts w:ascii="Arial" w:hAnsi="Arial" w:cs="Arial"/>
          <w:color w:val="000000" w:themeColor="text1"/>
          <w:sz w:val="22"/>
          <w:szCs w:val="22"/>
        </w:rPr>
        <w:t>.</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rPr>
      </w:pP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WAYS OF IMPROVING THE SYSTEM OF INSTITUTIONS OF THE CRIMINAL PROVAIR OF THE RUSSIAN FEDERATION AND THE REPUBLIC OF TAJIKISTAN</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themeColor="text1"/>
          <w:sz w:val="22"/>
          <w:szCs w:val="22"/>
          <w:lang w:val="en-US"/>
        </w:rPr>
      </w:pP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Sattorov Abduchalol Lolakhonovich</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the second year of correspondence department of the faculty of law</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992936326497, e-mail: sattorov87@mail.ru.</w:t>
      </w:r>
    </w:p>
    <w:p w:rsidR="00592BC2" w:rsidRPr="00DA76A7" w:rsidRDefault="00592BC2" w:rsidP="00592BC2">
      <w:pPr>
        <w:jc w:val="both"/>
        <w:rPr>
          <w:rFonts w:ascii="Arial" w:hAnsi="Arial" w:cs="Arial"/>
          <w:color w:val="000000" w:themeColor="text1"/>
          <w:sz w:val="22"/>
          <w:szCs w:val="22"/>
          <w:lang w:val="en-US"/>
        </w:rPr>
      </w:pPr>
    </w:p>
    <w:p w:rsidR="00592BC2" w:rsidRPr="00DA76A7" w:rsidRDefault="00592BC2" w:rsidP="00592BC2">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к.и.н., доцент Ярашев З.М.</w:t>
      </w:r>
    </w:p>
    <w:p w:rsidR="00592BC2" w:rsidRPr="00DA76A7" w:rsidRDefault="00592BC2" w:rsidP="00592BC2">
      <w:pPr>
        <w:ind w:firstLine="567"/>
        <w:jc w:val="right"/>
        <w:rPr>
          <w:rFonts w:ascii="Arial" w:hAnsi="Arial" w:cs="Arial"/>
          <w:color w:val="000000" w:themeColor="text1"/>
          <w:sz w:val="22"/>
          <w:szCs w:val="22"/>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автор констатирует, что работа по совершенствованию УК РФ и РТ не может быть проведена без предварительного теоретического анализа сложившейся ситуации. Система институтов уголовного права нуждается в пересмотре и содержит существенные резервы для ее оптимизации, обеспечения целостности, последовательности и непротиворечивости текущего уголовно-правового регулирования и уголовного нормотворчества.</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i/>
          <w:color w:val="000000" w:themeColor="text1"/>
          <w:sz w:val="22"/>
          <w:szCs w:val="22"/>
        </w:rPr>
        <w:t>В статье излагается авторский взгляд на проблемы совершенствования системы уголовного права.</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color w:val="000000" w:themeColor="text1"/>
          <w:sz w:val="22"/>
          <w:szCs w:val="22"/>
          <w:lang w:val="en-US"/>
        </w:rPr>
        <w:t xml:space="preserve"> </w:t>
      </w:r>
      <w:r w:rsidRPr="00DA76A7">
        <w:rPr>
          <w:rFonts w:ascii="Arial" w:hAnsi="Arial" w:cs="Arial"/>
          <w:i/>
          <w:color w:val="000000" w:themeColor="text1"/>
          <w:sz w:val="22"/>
          <w:szCs w:val="22"/>
          <w:lang w:val="en-US"/>
        </w:rPr>
        <w:t xml:space="preserve">In the article the author states that the work on improving the Criminal Code of the Russian Federation and the Republic of Tajikistan can not be carried out without a preliminary theoretical analysis of the current situation. The system of criminal law institutions needs revision and contains substantial reserves for its optimization, ensuring the integrity, consistency and consistency of the current criminal law regulation and criminal rule-making.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The article sets out the author's view on the problems of improving the criminal law system.</w:t>
      </w:r>
    </w:p>
    <w:p w:rsidR="00592BC2" w:rsidRPr="00DA76A7" w:rsidRDefault="00592BC2" w:rsidP="00592BC2">
      <w:pPr>
        <w:ind w:firstLine="567"/>
        <w:jc w:val="both"/>
        <w:rPr>
          <w:rFonts w:ascii="Arial" w:hAnsi="Arial" w:cs="Arial"/>
          <w:b/>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институты уголовного права, Уголовный кодекс, законодательство, направления совершенствования, система, статья, норма, отрасль, Общая часть, Особенная часть.</w:t>
      </w:r>
      <w:r w:rsidRPr="00DA76A7">
        <w:rPr>
          <w:rFonts w:ascii="Arial" w:hAnsi="Arial" w:cs="Arial"/>
          <w:b/>
          <w:i/>
          <w:color w:val="000000" w:themeColor="text1"/>
          <w:sz w:val="22"/>
          <w:szCs w:val="22"/>
        </w:rPr>
        <w:tab/>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criminal law institutes, Criminal Code, legislation, areas for improvement, system, article, norm, branch, General, Special part.</w:t>
      </w:r>
    </w:p>
    <w:p w:rsidR="00592BC2" w:rsidRPr="00DA76A7" w:rsidRDefault="00592BC2" w:rsidP="00592BC2">
      <w:pPr>
        <w:ind w:firstLine="567"/>
        <w:jc w:val="both"/>
        <w:rPr>
          <w:rFonts w:ascii="Arial" w:hAnsi="Arial" w:cs="Arial"/>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Уголовное право представляет собой «целостную систему, характеризующуюся юридическим своеобразием и внутренней структурой», первичными элементами которой выступают уголовно-правовые нормы и институты. Юридическое своеобразие этих структурных элементов заключается в том, что они обособлены в уголовном законодательстве. «С помощью уголовного закона уголовное право получает внешнее, объективированное, словесное выражение» [1, 50-51].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этой связи необходимо подвергнуть критической оценке ставшую устойчивой научную традицию анализа системы институтов уголовного права исключительно с точки зрения структуры уголовного закона и поглавного изложения в нем нормативного материала. Такой подход, отождествляя систему уголовного права и уголовного закона, не только демонстрирует грубый и примитивный нормативизм, не только нарушает элементарные философские основания, выдавая следствие (структуру закона) за причину (систему права), но и противоречит требованиям системного подхода, не позволяющего анализировать систему институтов уголовного права как замкнутое на законе образование, лишенное связей с внешней средой.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Уголовный кодекс как форма выражения уголовного права не столько формирует, сколько отражает сформированные или формирующиеся институты уголовного права, а потому логика теоретического анализа институтов должна идти не по линии «от кодекса к праву», а наоборот, «от права к кодексу», с тем чтобы оценить степень адекватности содержания и структуры уголовного закона содержанию и структуре уголовного права.</w:t>
      </w:r>
      <w:r w:rsidRPr="00DA76A7">
        <w:rPr>
          <w:rFonts w:ascii="Arial" w:hAnsi="Arial" w:cs="Arial"/>
          <w:color w:val="000000" w:themeColor="text1"/>
          <w:sz w:val="22"/>
          <w:szCs w:val="22"/>
        </w:rPr>
        <w:br/>
        <w:t>Этот путь, вне сомнений, более сложный, поскольку предполагает в некоторой степени изолированное от УК РФ познание уголовного права, что чаще всего вызывает непонимание. Вместе с тем такое изучение не только возможно (до известного предела, разумеется), но и необходимо. Речь идет, в частности, о необходимости познания того, что традиционно называлось «социально-криминологической обусловленностью уголовного закона», а сегодня удачно определено А.Э. Жалинским как «спрос на уголовное право» [2, 197-202].</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Потребность в уголовном праве в идеальном варианте должна быть удовлетворена беспристрастным и компетентным сообществом профессиональных юристов, которые на уровне идей и моделей законодательных (управленческих) решений обязаны предложить оптимальный в конкретно-исторических (социальных, экономических, политических, криминологических и т.д.) условиях вариант уголовно-правового «обслуживания» этой потребности. Моделируемое специалистами решение при этом изначально увязывается ими с существующими уголовно-правовыми предписаниями, вписывается в структуру уголовного права, а через нее - в систему права в целом.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от потребности в уголовном праве до ее нормативного воплощения проходит весьма длительный период разработки и принятия управленческого решения. И именно на этом этапе появляется возможность говорить об уголовном праве как совокупности представлений о должном наборе норм и институтов безотносительно к реально существующему содержанию уголовного закона.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Это подтверждается хотя бы тем, что УК (при всей справедливой критике в адрес его эффективности) в целом справляется с задачей обеспечения порядка и безопасности, удерживая преступность на социально приемлемом уровне, не позволяя ей кардинально дестабилизировать общественную систему и уничтожить основные социальные ценности. Уголовным законом урегулированы все основные проблемы, которые могут возникнуть в процессе правоприменения, охвачены все значимые объекты, а их система, сложившаяся исторически, адаптирована к потребностям текущего момента и не нуждается в коренном, сущностном пересмотре.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Сказанное не означает, что система институтов уголовного права безупречна и не нуждается в определенном пересмотре, напротив, она содержит значительные резервы в части совершенствования. Этот вполне очевидный факт находит признание на всех уровнях: законодательном, доктринальном, правоприменительном.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важно подчеркнуть, что практически все высказываемые предложения об оптимизации уголовного законодательства касаются необходимости корректировки или создания отдельных правовых норм. Не умаляя значимости и объективности такого подхода, напомним, что он таит в себе потенциальную угрозу забвения системных свойств уголовного права, если предлагаемые трансформации не будут органично увязаны с существующими предписаниями. Т.В. Кленова по этому поводу справедливо указывает: «При внесении изменений и дополнений в действующий закон необходимо всякий раз устанавливать соответствие отдельной нормы со всей системой норм, отдельного предписания нормы - со всеми предписаниями, образующими ее содержание» [3, 174]. Такое соответствие, как представляется, может быть установлено лишь на основании системного анализа уголовно-правовых предписаний, предполагающего анализ институциональной принадлежности и институциональной согласованности правовых новаций. В силу этого следует признать разумной мысль о том, чтобы изменения в уголовный закон носили, как правило, комплексный характер.</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наш взгляд, оптимальной формой выражения такого прогноза должен стать соответствующий раздел Концепции уголовного закона или Основ уголовной политики, о необходимости самостоятельной разработки которых уже давно высказываются ученые.</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учетом сказанного представляется возможным в рамках настоящей статьи определить основные перспективные направления совершенствования системы институтов уголовного права без излишней детализации формулируемых предложений, поскольку предметное наполнение каждого из возможных в перспективе уголовно-правовых институтов требует тщательной и самостоятельной проработки.</w:t>
      </w:r>
      <w:r w:rsidRPr="00DA76A7">
        <w:rPr>
          <w:rFonts w:ascii="Arial" w:hAnsi="Arial" w:cs="Arial"/>
          <w:color w:val="000000" w:themeColor="text1"/>
          <w:sz w:val="22"/>
          <w:szCs w:val="22"/>
        </w:rPr>
        <w:br/>
        <w:t xml:space="preserve">При этом в рассуждениях о перспективах развития институтов уголовного права целесообразно заострить внимание на двух основных аспектах: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совершенствовании внутренней структуры и содержания отдельных уголовно-правовых институтов Общей и Особенной частей;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оптимизации самой системы или номенклатуры институтов.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Первое направление связано преимущественно с познанием внутриинституциональных, внутриотраслевых и межотраслевых связей системы уголовно-правовых предписаний. Частные аспекты этой проблемы достаточно исследованы в работах, посвященных анализу отдельных институтов уголовного права, что избавляет нас от необходимости повторения известных истин, а потому укажем лишь некоторые концептуальные позиции, последовательное соблюдение которых должно способствовать укреплению и развитию системных начал отрасли уголовного права.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Поскольку содержание уголовно-правовых норм и институтов изначально определяется предметом уголовно-правового регулирования, то очевидно, что одним из генеральных направлений развития отрасли должно стать обеспечение отраслевой чистоты образующих ее институтов. Ученые уже давно обратили внимание на то, что ряд предусмотренных в УК РФ и РТ положений не являются собственно уголовно-правовыми.</w:t>
      </w:r>
      <w:r w:rsidRPr="00DA76A7">
        <w:rPr>
          <w:rFonts w:ascii="Arial" w:hAnsi="Arial" w:cs="Arial"/>
          <w:color w:val="000000" w:themeColor="text1"/>
          <w:sz w:val="22"/>
          <w:szCs w:val="22"/>
        </w:rPr>
        <w:br/>
        <w:t>В частности, нормы, регламентирующие вопросы условно-досрочного освобождения от отбывания наказания, замены наказания более мягким видом, освобождения от наказания в связи с болезнью, по мнению Б.Т. Разгильдиева, имеют отношение к регулированию уголовно-исполнительных отношений, а потому ст. 79, 93, 80, 81 УК РФ должны быть изъяты из УК РФ и размещены в УИК РФ [4, 337].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Принимая во внимание, что уголовно-правовой институт должен обеспечивать целостное и непротиворечивое воздействие на определенную группу общественных отношений, одним из важнейших направлений развития отрасли следует признать оптимизацию внутренней структуры институтов Особенной части уголовного права за счет обобщения и одновременно детализации образующих их предписаний. Она должна достигаться посредством:</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-увеличения в институтах Особенной части числа дефинитивных и общезакрепительных предписаний;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-последовательного развития института квалифицирующих признаков, в том числе за счет их консолидации для определенных групп преступлений;</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-развития и конкретизации предписаний Особенной части в актах судебного толкования уголовного закона (в частности, в постановлениях Пленума Верховного Суда РФ).</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Изложенные направления совершенствования внутренней структуры и содержания уголовно-правовых институтов, при всей их несомненной значимости, решают преимущественно тактические проблемы совершенствования уголовного права и закона. С точки же зрения стратегии развития отрасли, гораздо важнее исследование вопросов о достаточности имеющихся и возможности конструирования новых институтов уголовного права.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соответствующие рассуждения, ориентированные на перспективу, безусловно, потребуют дальнейшей детальной проработки, согласования возможных вариантов оптимизации системы уголовно-правовых институтов с существующей системой уголовного права, межотраслевого согласования. Их практическое воплощение - дело будущего. И все же именно эти рассуждения определяют концептуальные параметры развития отрасли уголовного права и ее приспособления к динамично меняющимся социальным, политическим, экономическим и иным условиям жизнедеятельности.</w:t>
      </w:r>
      <w:r w:rsidRPr="00DA76A7">
        <w:rPr>
          <w:rFonts w:ascii="Arial" w:hAnsi="Arial" w:cs="Arial"/>
          <w:color w:val="000000" w:themeColor="text1"/>
          <w:sz w:val="22"/>
          <w:szCs w:val="22"/>
        </w:rPr>
        <w:br/>
      </w:r>
    </w:p>
    <w:p w:rsidR="00592BC2" w:rsidRPr="00DA76A7" w:rsidRDefault="00592BC2" w:rsidP="00592BC2">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 литературы</w:t>
      </w:r>
      <w:r w:rsidRPr="00DA76A7">
        <w:rPr>
          <w:rFonts w:ascii="Arial" w:hAnsi="Arial" w:cs="Arial"/>
          <w:b/>
          <w:color w:val="000000" w:themeColor="text1"/>
          <w:sz w:val="22"/>
          <w:szCs w:val="22"/>
          <w:lang w:val="en-US"/>
        </w:rPr>
        <w:t>:</w:t>
      </w:r>
    </w:p>
    <w:p w:rsidR="00592BC2" w:rsidRPr="00DA76A7" w:rsidRDefault="00592BC2" w:rsidP="00D45D6B">
      <w:pPr>
        <w:pStyle w:val="a6"/>
        <w:numPr>
          <w:ilvl w:val="0"/>
          <w:numId w:val="1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Жалинский А.Э. Уголовное право в ожидании перемен: теоретико-инструментальный анализ. - М.: СПбГУ, 2009. - 394 </w:t>
      </w:r>
      <w:r w:rsidRPr="00DA76A7">
        <w:rPr>
          <w:rFonts w:ascii="Arial" w:hAnsi="Arial" w:cs="Arial"/>
          <w:color w:val="000000" w:themeColor="text1"/>
          <w:lang w:val="en-US"/>
        </w:rPr>
        <w:t>c</w:t>
      </w:r>
      <w:r w:rsidRPr="00DA76A7">
        <w:rPr>
          <w:rFonts w:ascii="Arial" w:hAnsi="Arial" w:cs="Arial"/>
          <w:color w:val="000000" w:themeColor="text1"/>
        </w:rPr>
        <w:t>.</w:t>
      </w:r>
    </w:p>
    <w:p w:rsidR="00592BC2" w:rsidRPr="00DA76A7" w:rsidRDefault="00592BC2" w:rsidP="00D45D6B">
      <w:pPr>
        <w:pStyle w:val="a6"/>
        <w:numPr>
          <w:ilvl w:val="0"/>
          <w:numId w:val="1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Кленова Т.В. Основы теории кодификации уголовно-правовых норм. - Самара, 2001. – 443 </w:t>
      </w:r>
      <w:r w:rsidRPr="00DA76A7">
        <w:rPr>
          <w:rFonts w:ascii="Arial" w:hAnsi="Arial" w:cs="Arial"/>
          <w:color w:val="000000" w:themeColor="text1"/>
          <w:lang w:val="en-US"/>
        </w:rPr>
        <w:t>c</w:t>
      </w:r>
      <w:r w:rsidRPr="00DA76A7">
        <w:rPr>
          <w:rFonts w:ascii="Arial" w:hAnsi="Arial" w:cs="Arial"/>
          <w:color w:val="000000" w:themeColor="text1"/>
        </w:rPr>
        <w:t>.</w:t>
      </w:r>
    </w:p>
    <w:p w:rsidR="00592BC2" w:rsidRPr="00DA76A7" w:rsidRDefault="00592BC2" w:rsidP="00D45D6B">
      <w:pPr>
        <w:pStyle w:val="a6"/>
        <w:numPr>
          <w:ilvl w:val="0"/>
          <w:numId w:val="1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Костарева Т.А. Дифференциация уголовной ответственности: теория и практика. - М.: Норма, 2000. – 320 </w:t>
      </w:r>
      <w:r w:rsidRPr="00DA76A7">
        <w:rPr>
          <w:rFonts w:ascii="Arial" w:hAnsi="Arial" w:cs="Arial"/>
          <w:color w:val="000000" w:themeColor="text1"/>
          <w:lang w:val="en-US"/>
        </w:rPr>
        <w:t>c</w:t>
      </w:r>
      <w:r w:rsidRPr="00DA76A7">
        <w:rPr>
          <w:rFonts w:ascii="Arial" w:hAnsi="Arial" w:cs="Arial"/>
          <w:color w:val="000000" w:themeColor="text1"/>
        </w:rPr>
        <w:t>.</w:t>
      </w:r>
    </w:p>
    <w:p w:rsidR="00592BC2" w:rsidRPr="00DA76A7" w:rsidRDefault="00592BC2" w:rsidP="00D45D6B">
      <w:pPr>
        <w:pStyle w:val="a6"/>
        <w:numPr>
          <w:ilvl w:val="0"/>
          <w:numId w:val="13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Разгильдиев Б.Т. Система уголовного права России: понятие и значение. - М.: Проспект, 2007. – 360 </w:t>
      </w:r>
      <w:r w:rsidRPr="00DA76A7">
        <w:rPr>
          <w:rFonts w:ascii="Arial" w:hAnsi="Arial" w:cs="Arial"/>
          <w:color w:val="000000" w:themeColor="text1"/>
          <w:lang w:val="en-US"/>
        </w:rPr>
        <w:t>c</w:t>
      </w:r>
      <w:r w:rsidRPr="00DA76A7">
        <w:rPr>
          <w:rFonts w:ascii="Arial" w:hAnsi="Arial" w:cs="Arial"/>
          <w:color w:val="000000" w:themeColor="text1"/>
        </w:rPr>
        <w:t>.</w:t>
      </w:r>
    </w:p>
    <w:p w:rsidR="00592BC2" w:rsidRPr="00DA76A7" w:rsidRDefault="00592BC2" w:rsidP="00592BC2">
      <w:pPr>
        <w:ind w:firstLine="567"/>
        <w:jc w:val="both"/>
        <w:rPr>
          <w:rFonts w:ascii="Arial" w:hAnsi="Arial" w:cs="Arial"/>
          <w:color w:val="000000" w:themeColor="text1"/>
          <w:sz w:val="22"/>
          <w:szCs w:val="22"/>
        </w:rPr>
      </w:pPr>
    </w:p>
    <w:p w:rsidR="00592BC2" w:rsidRDefault="00592BC2" w:rsidP="00592BC2">
      <w:pPr>
        <w:pStyle w:val="a6"/>
        <w:spacing w:after="0" w:line="240" w:lineRule="auto"/>
        <w:ind w:left="0"/>
        <w:jc w:val="both"/>
        <w:rPr>
          <w:rFonts w:ascii="Arial" w:hAnsi="Arial" w:cs="Arial"/>
          <w:color w:val="000000" w:themeColor="text1"/>
        </w:rPr>
      </w:pPr>
    </w:p>
    <w:p w:rsidR="008C23AD" w:rsidRPr="00DA76A7" w:rsidRDefault="008C23AD" w:rsidP="00592BC2">
      <w:pPr>
        <w:pStyle w:val="a6"/>
        <w:spacing w:after="0" w:line="240" w:lineRule="auto"/>
        <w:ind w:left="0"/>
        <w:jc w:val="both"/>
        <w:rPr>
          <w:rFonts w:ascii="Arial" w:hAnsi="Arial" w:cs="Arial"/>
          <w:color w:val="000000" w:themeColor="text1"/>
        </w:rPr>
      </w:pPr>
    </w:p>
    <w:p w:rsidR="00592BC2" w:rsidRPr="00DA76A7" w:rsidRDefault="00592BC2" w:rsidP="00592BC2">
      <w:pPr>
        <w:pStyle w:val="ae"/>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НАСТУПАТЕЛЬНОСТЬ КАК ФАКТОР РЕАЛИЗАЦИИ ДИСКРЕЦИОНННОЙ ИНИЦИАТИВЫ СТОРОНЫ ОБВИНЕНИЯ В ПРЕОДОЛЕНИИ ПРОТИВОДЕЙСТВИЯ В РАССЛЕДОВАНИИ УГОЛОВНЫХ ДЕЛ О ВЗЯТОЧНЧЕСТВЕ </w:t>
      </w:r>
    </w:p>
    <w:p w:rsidR="00592BC2" w:rsidRDefault="00592BC2" w:rsidP="00592BC2">
      <w:pPr>
        <w:pStyle w:val="ae"/>
        <w:jc w:val="center"/>
        <w:rPr>
          <w:rFonts w:ascii="Arial" w:hAnsi="Arial" w:cs="Arial"/>
          <w:b/>
          <w:color w:val="000000" w:themeColor="text1"/>
          <w:sz w:val="22"/>
          <w:szCs w:val="22"/>
        </w:rPr>
      </w:pPr>
    </w:p>
    <w:p w:rsidR="008C23AD" w:rsidRPr="00DA76A7" w:rsidRDefault="008C23AD" w:rsidP="00592BC2">
      <w:pPr>
        <w:pStyle w:val="ae"/>
        <w:jc w:val="center"/>
        <w:rPr>
          <w:rFonts w:ascii="Arial" w:hAnsi="Arial" w:cs="Arial"/>
          <w:b/>
          <w:color w:val="000000" w:themeColor="text1"/>
          <w:sz w:val="22"/>
          <w:szCs w:val="22"/>
        </w:rPr>
      </w:pPr>
    </w:p>
    <w:p w:rsidR="00592BC2" w:rsidRPr="00DA76A7" w:rsidRDefault="00592BC2" w:rsidP="00592BC2">
      <w:pPr>
        <w:pStyle w:val="ae"/>
        <w:jc w:val="center"/>
        <w:rPr>
          <w:rFonts w:ascii="Arial" w:hAnsi="Arial" w:cs="Arial"/>
          <w:b/>
          <w:color w:val="000000" w:themeColor="text1"/>
          <w:sz w:val="22"/>
          <w:szCs w:val="22"/>
        </w:rPr>
      </w:pPr>
      <w:r w:rsidRPr="00DA76A7">
        <w:rPr>
          <w:rFonts w:ascii="Arial" w:hAnsi="Arial" w:cs="Arial"/>
          <w:b/>
          <w:color w:val="000000" w:themeColor="text1"/>
          <w:sz w:val="22"/>
          <w:szCs w:val="22"/>
        </w:rPr>
        <w:t>Сердюк Александр Александрович</w:t>
      </w:r>
    </w:p>
    <w:p w:rsidR="00592BC2" w:rsidRPr="00DA76A7" w:rsidRDefault="00592BC2" w:rsidP="00592BC2">
      <w:pPr>
        <w:pStyle w:val="ae"/>
        <w:tabs>
          <w:tab w:val="left" w:pos="284"/>
          <w:tab w:val="left" w:pos="5812"/>
        </w:tabs>
        <w:jc w:val="center"/>
        <w:rPr>
          <w:rFonts w:ascii="Arial" w:hAnsi="Arial" w:cs="Arial"/>
          <w:color w:val="000000" w:themeColor="text1"/>
          <w:sz w:val="22"/>
          <w:szCs w:val="22"/>
        </w:rPr>
      </w:pPr>
      <w:r w:rsidRPr="00DA76A7">
        <w:rPr>
          <w:rFonts w:ascii="Arial" w:hAnsi="Arial" w:cs="Arial"/>
          <w:color w:val="000000" w:themeColor="text1"/>
          <w:sz w:val="22"/>
          <w:szCs w:val="22"/>
        </w:rPr>
        <w:t>аспирант юридического факультета Бурятского государственного университета, советник юстиции, прокурор отдела ведомственной статистики и организационно-методического обеспечения управления правовой статистики прокуратуры Новосибирской области</w:t>
      </w:r>
    </w:p>
    <w:p w:rsidR="00592BC2" w:rsidRPr="00DA76A7" w:rsidRDefault="00592BC2" w:rsidP="00592BC2">
      <w:pPr>
        <w:pStyle w:val="ae"/>
        <w:tabs>
          <w:tab w:val="left" w:pos="284"/>
          <w:tab w:val="left" w:pos="5812"/>
        </w:tabs>
        <w:jc w:val="center"/>
        <w:rPr>
          <w:rFonts w:ascii="Arial" w:hAnsi="Arial" w:cs="Arial"/>
          <w:color w:val="000000" w:themeColor="text1"/>
          <w:sz w:val="22"/>
          <w:szCs w:val="22"/>
        </w:rPr>
      </w:pPr>
      <w:r w:rsidRPr="00DA76A7">
        <w:rPr>
          <w:rFonts w:ascii="Arial" w:hAnsi="Arial" w:cs="Arial"/>
          <w:color w:val="000000" w:themeColor="text1"/>
          <w:sz w:val="22"/>
          <w:szCs w:val="22"/>
        </w:rPr>
        <w:t>630099, г. Новосибирск, ул. Каменская, 20 «а»</w:t>
      </w:r>
    </w:p>
    <w:p w:rsidR="00592BC2" w:rsidRPr="00DA76A7" w:rsidRDefault="00592BC2" w:rsidP="00592BC2">
      <w:pPr>
        <w:pStyle w:val="ae"/>
        <w:tabs>
          <w:tab w:val="left" w:pos="284"/>
          <w:tab w:val="left" w:pos="5812"/>
        </w:tabs>
        <w:jc w:val="center"/>
        <w:rPr>
          <w:rFonts w:ascii="Arial" w:hAnsi="Arial" w:cs="Arial"/>
          <w:color w:val="000000" w:themeColor="text1"/>
          <w:sz w:val="22"/>
          <w:szCs w:val="22"/>
        </w:rPr>
      </w:pPr>
      <w:r w:rsidRPr="00DA76A7">
        <w:rPr>
          <w:rFonts w:ascii="Arial" w:hAnsi="Arial" w:cs="Arial"/>
          <w:color w:val="000000" w:themeColor="text1"/>
          <w:sz w:val="22"/>
          <w:szCs w:val="22"/>
        </w:rPr>
        <w:t>тел.: раб 8 (383) 221-01-74, моб. тел.: 8-905-953-0002,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31" w:history="1">
        <w:r w:rsidRPr="00DA76A7">
          <w:rPr>
            <w:rStyle w:val="af0"/>
            <w:rFonts w:ascii="Arial" w:hAnsi="Arial" w:cs="Arial"/>
            <w:color w:val="000000" w:themeColor="text1"/>
            <w:sz w:val="22"/>
            <w:szCs w:val="22"/>
            <w:u w:val="none"/>
          </w:rPr>
          <w:t>lawserd@yandex.ru</w:t>
        </w:r>
      </w:hyperlink>
    </w:p>
    <w:p w:rsidR="00592BC2" w:rsidRDefault="00592BC2" w:rsidP="00592BC2">
      <w:pPr>
        <w:pStyle w:val="ae"/>
        <w:tabs>
          <w:tab w:val="left" w:pos="284"/>
          <w:tab w:val="left" w:pos="5812"/>
        </w:tabs>
        <w:jc w:val="center"/>
        <w:rPr>
          <w:rFonts w:ascii="Arial" w:hAnsi="Arial" w:cs="Arial"/>
          <w:color w:val="000000" w:themeColor="text1"/>
          <w:sz w:val="22"/>
          <w:szCs w:val="22"/>
        </w:rPr>
      </w:pPr>
    </w:p>
    <w:p w:rsidR="008C23AD" w:rsidRDefault="008C23AD" w:rsidP="00592BC2">
      <w:pPr>
        <w:pStyle w:val="ae"/>
        <w:tabs>
          <w:tab w:val="left" w:pos="284"/>
          <w:tab w:val="left" w:pos="5812"/>
        </w:tabs>
        <w:jc w:val="center"/>
        <w:rPr>
          <w:rFonts w:ascii="Arial" w:hAnsi="Arial" w:cs="Arial"/>
          <w:color w:val="000000" w:themeColor="text1"/>
          <w:sz w:val="22"/>
          <w:szCs w:val="22"/>
        </w:rPr>
      </w:pPr>
    </w:p>
    <w:p w:rsidR="008C23AD" w:rsidRPr="00DA76A7" w:rsidRDefault="008C23AD" w:rsidP="00592BC2">
      <w:pPr>
        <w:pStyle w:val="ae"/>
        <w:tabs>
          <w:tab w:val="left" w:pos="284"/>
          <w:tab w:val="left" w:pos="5812"/>
        </w:tabs>
        <w:jc w:val="center"/>
        <w:rPr>
          <w:rFonts w:ascii="Arial" w:hAnsi="Arial" w:cs="Arial"/>
          <w:color w:val="000000" w:themeColor="text1"/>
          <w:sz w:val="22"/>
          <w:szCs w:val="22"/>
        </w:rPr>
      </w:pPr>
    </w:p>
    <w:p w:rsidR="00592BC2" w:rsidRPr="00DA76A7" w:rsidRDefault="00592BC2" w:rsidP="00592BC2">
      <w:pPr>
        <w:pStyle w:val="ae"/>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OFFENSIVENESS AS A FACTOR IN THE INPLEMENTATION DISCRETIONARY INITIATIVE OF THE PROSECUTION TO OVERCOME THE COUNTERACTION </w:t>
      </w:r>
    </w:p>
    <w:p w:rsidR="00592BC2" w:rsidRPr="00DA76A7" w:rsidRDefault="00592BC2" w:rsidP="00592BC2">
      <w:pPr>
        <w:pStyle w:val="ae"/>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 THE INVESTIGATION CRIMINAL CASES OF BRIBERY</w:t>
      </w:r>
    </w:p>
    <w:p w:rsidR="00592BC2" w:rsidRPr="00DA76A7" w:rsidRDefault="00592BC2" w:rsidP="00592BC2">
      <w:pPr>
        <w:pStyle w:val="ae"/>
        <w:tabs>
          <w:tab w:val="left" w:pos="284"/>
          <w:tab w:val="left" w:pos="5812"/>
        </w:tabs>
        <w:jc w:val="both"/>
        <w:rPr>
          <w:rFonts w:ascii="Arial" w:hAnsi="Arial" w:cs="Arial"/>
          <w:b/>
          <w:color w:val="000000" w:themeColor="text1"/>
          <w:sz w:val="22"/>
          <w:szCs w:val="22"/>
          <w:lang w:val="en-US"/>
        </w:rPr>
      </w:pPr>
    </w:p>
    <w:p w:rsidR="00592BC2" w:rsidRPr="00DA76A7" w:rsidRDefault="00592BC2" w:rsidP="00592BC2">
      <w:pPr>
        <w:pStyle w:val="ae"/>
        <w:tabs>
          <w:tab w:val="left" w:pos="284"/>
          <w:tab w:val="left" w:pos="5812"/>
        </w:tabs>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Serdyuk Alexander Alexandrovich</w:t>
      </w:r>
    </w:p>
    <w:p w:rsidR="00592BC2" w:rsidRPr="00DA76A7" w:rsidRDefault="00592BC2" w:rsidP="00592BC2">
      <w:pPr>
        <w:pStyle w:val="ConsPlusNonformat"/>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postgraduate student of faculty of law of Buryat State University, counselor of justice, prosecutor of department departmental statistics and organizational – methodical  management of legal statistics of the Prosecutor s office of the Novosibirsk region</w:t>
      </w:r>
    </w:p>
    <w:p w:rsidR="00592BC2" w:rsidRPr="00DA76A7" w:rsidRDefault="00592BC2" w:rsidP="00592BC2">
      <w:pPr>
        <w:pStyle w:val="ConsPlusNonformat"/>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630099, Novosibirsk, Kamenskaya Street, 20 «</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w:t>
      </w:r>
    </w:p>
    <w:p w:rsidR="00592BC2" w:rsidRPr="00DA76A7" w:rsidRDefault="00592BC2" w:rsidP="00592BC2">
      <w:pPr>
        <w:pStyle w:val="ConsPlusNonformat"/>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work tel.: 8 (383) 221-01-74, mobile tel.:8-905-953-0002,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lawserd@yandex.ru</w:t>
      </w:r>
    </w:p>
    <w:p w:rsidR="00592BC2" w:rsidRPr="00DA76A7" w:rsidRDefault="00592BC2" w:rsidP="00592BC2">
      <w:pPr>
        <w:pStyle w:val="ae"/>
        <w:ind w:firstLine="567"/>
        <w:jc w:val="center"/>
        <w:rPr>
          <w:rFonts w:ascii="Arial" w:hAnsi="Arial" w:cs="Arial"/>
          <w:b/>
          <w:color w:val="000000" w:themeColor="text1"/>
          <w:sz w:val="22"/>
          <w:szCs w:val="22"/>
          <w:lang w:val="en-US"/>
        </w:rPr>
      </w:pPr>
    </w:p>
    <w:p w:rsidR="00592BC2" w:rsidRPr="00DA76A7" w:rsidRDefault="00592BC2" w:rsidP="00592BC2">
      <w:pPr>
        <w:pStyle w:val="ae"/>
        <w:tabs>
          <w:tab w:val="left" w:pos="284"/>
          <w:tab w:val="left" w:pos="5812"/>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рассматриваются практические вопросы использования наступательности как направления реализации стороной обвинения своих дискреционных полномочий в целях успешного преодоления противодействия расследованию уголовных дел о взяточничестве, приводятся примеры, иллюстрирующие возможность эффективного наступательного преодоления противодействия посредством правильного использования дискреционных полномочий стороны обвинения. </w:t>
      </w:r>
    </w:p>
    <w:p w:rsidR="00592BC2" w:rsidRPr="00DA76A7" w:rsidRDefault="00592BC2" w:rsidP="00592BC2">
      <w:pPr>
        <w:pStyle w:val="ae"/>
        <w:tabs>
          <w:tab w:val="left" w:pos="284"/>
          <w:tab w:val="left" w:pos="5812"/>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deals with the practical issues of the use of offensive as a direction of implementation by the prosecution of its discretionary powers in order to successfully overcome the counteraction in the investigation of criminal cases of bribery, provide examples illustrating the possibility of effective offensive of counteraction trough the proper use of discretionary powers by the prosecution.</w:t>
      </w:r>
    </w:p>
    <w:p w:rsidR="00592BC2" w:rsidRPr="00DA76A7" w:rsidRDefault="00592BC2" w:rsidP="00592BC2">
      <w:pPr>
        <w:pStyle w:val="ae"/>
        <w:tabs>
          <w:tab w:val="left" w:pos="284"/>
          <w:tab w:val="left" w:pos="5812"/>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наступательность в преодолении противодействия, взяточничество, дискреционные полномочия.</w:t>
      </w:r>
    </w:p>
    <w:p w:rsidR="00592BC2" w:rsidRPr="00DA76A7" w:rsidRDefault="00592BC2" w:rsidP="00592BC2">
      <w:pPr>
        <w:pStyle w:val="ae"/>
        <w:tabs>
          <w:tab w:val="left" w:pos="284"/>
          <w:tab w:val="left" w:pos="5812"/>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offensiveness in overcoming the counteraction, bribery, discretionary power. </w:t>
      </w:r>
    </w:p>
    <w:p w:rsidR="00592BC2" w:rsidRPr="00DA76A7" w:rsidRDefault="00592BC2" w:rsidP="00592BC2">
      <w:pPr>
        <w:pStyle w:val="ae"/>
        <w:ind w:firstLine="567"/>
        <w:contextualSpacing/>
        <w:jc w:val="right"/>
        <w:rPr>
          <w:rFonts w:ascii="Arial" w:hAnsi="Arial" w:cs="Arial"/>
          <w:i/>
          <w:color w:val="000000" w:themeColor="text1"/>
          <w:sz w:val="22"/>
          <w:szCs w:val="22"/>
          <w:lang w:val="en-US"/>
        </w:rPr>
      </w:pPr>
    </w:p>
    <w:p w:rsidR="00592BC2" w:rsidRPr="00DA76A7" w:rsidRDefault="00592BC2" w:rsidP="00592BC2">
      <w:pPr>
        <w:pStyle w:val="ae"/>
        <w:ind w:firstLine="567"/>
        <w:contextualSpacing/>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Владеть инициативой – значит иметь  </w:t>
      </w:r>
    </w:p>
    <w:p w:rsidR="00592BC2" w:rsidRPr="00DA76A7" w:rsidRDefault="00592BC2" w:rsidP="00592BC2">
      <w:pPr>
        <w:pStyle w:val="ae"/>
        <w:ind w:firstLine="567"/>
        <w:contextualSpacing/>
        <w:jc w:val="right"/>
        <w:rPr>
          <w:rFonts w:ascii="Arial" w:hAnsi="Arial" w:cs="Arial"/>
          <w:color w:val="000000" w:themeColor="text1"/>
          <w:sz w:val="22"/>
          <w:szCs w:val="22"/>
        </w:rPr>
      </w:pPr>
      <w:r w:rsidRPr="00DA76A7">
        <w:rPr>
          <w:rFonts w:ascii="Arial" w:hAnsi="Arial" w:cs="Arial"/>
          <w:color w:val="000000" w:themeColor="text1"/>
          <w:sz w:val="22"/>
          <w:szCs w:val="22"/>
        </w:rPr>
        <w:t xml:space="preserve">определенное преимущество. </w:t>
      </w:r>
    </w:p>
    <w:p w:rsidR="00592BC2" w:rsidRPr="00DA76A7" w:rsidRDefault="00592BC2" w:rsidP="00592BC2">
      <w:pPr>
        <w:pStyle w:val="ae"/>
        <w:ind w:firstLine="567"/>
        <w:contextualSpacing/>
        <w:jc w:val="right"/>
        <w:rPr>
          <w:rFonts w:ascii="Arial" w:hAnsi="Arial" w:cs="Arial"/>
          <w:color w:val="000000" w:themeColor="text1"/>
          <w:sz w:val="22"/>
          <w:szCs w:val="22"/>
        </w:rPr>
      </w:pPr>
    </w:p>
    <w:p w:rsidR="00592BC2" w:rsidRPr="00DA76A7" w:rsidRDefault="001D4D32" w:rsidP="00592BC2">
      <w:pPr>
        <w:pStyle w:val="ae"/>
        <w:tabs>
          <w:tab w:val="left" w:pos="284"/>
          <w:tab w:val="left" w:pos="5812"/>
        </w:tabs>
        <w:ind w:firstLine="567"/>
        <w:jc w:val="right"/>
        <w:rPr>
          <w:rFonts w:ascii="Arial" w:hAnsi="Arial" w:cs="Arial"/>
          <w:b/>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t xml:space="preserve">   </w:t>
      </w:r>
      <w:r w:rsidR="00592BC2" w:rsidRPr="00DA76A7">
        <w:rPr>
          <w:rFonts w:ascii="Arial" w:hAnsi="Arial" w:cs="Arial"/>
          <w:color w:val="000000" w:themeColor="text1"/>
          <w:sz w:val="22"/>
          <w:szCs w:val="22"/>
        </w:rPr>
        <w:t>Хосе Рауль Капабланка</w:t>
      </w:r>
    </w:p>
    <w:p w:rsidR="00592BC2" w:rsidRPr="00DA76A7" w:rsidRDefault="00592BC2" w:rsidP="00592BC2">
      <w:pPr>
        <w:pStyle w:val="ae"/>
        <w:tabs>
          <w:tab w:val="left" w:pos="284"/>
          <w:tab w:val="left" w:pos="5812"/>
        </w:tabs>
        <w:ind w:firstLine="567"/>
        <w:rPr>
          <w:rFonts w:ascii="Arial" w:hAnsi="Arial" w:cs="Arial"/>
          <w:b/>
          <w:color w:val="000000" w:themeColor="text1"/>
          <w:sz w:val="22"/>
          <w:szCs w:val="22"/>
        </w:rPr>
      </w:pPr>
    </w:p>
    <w:p w:rsidR="00592BC2" w:rsidRPr="00DA76A7" w:rsidRDefault="00592BC2" w:rsidP="00592BC2">
      <w:pPr>
        <w:pStyle w:val="ae"/>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Досудебное производство по уголовным делам о взяточничестве, начиная с его первоначального этапа, в большинстве случаев сопровождается сложными следственными ситуациями, обусловленными оказанием стороной защиты серьёзного противодействия, направленного на достижение благоприятного для последней юридически значимого результата. В этой связи А. Ю. Афанасьев и М.Е. Репин отмечают: «...расследование начинается неожиданно для взяточников, и успех определяется неотложностью производства оперативно-разыскных мероприятий, следственных и иных процессуальных действий. Их задачей является обнаружение и изъятие предмета взятки, других доказательств и изобличении преступников» [1, 213]. С самого начального этапа досудебного производства сторона обвинения начинает сталкиваться с активным противодействием подозреваемого и его защитников, которое должно ею своевременно прогнозироваться и упреждающе пресекаться (в рамках дискреции предоставленных законом полномочий) посредством наступательного подхода к выполнению соответствующих следственных действий. </w:t>
      </w:r>
    </w:p>
    <w:p w:rsidR="00592BC2" w:rsidRPr="00DA76A7" w:rsidRDefault="00592BC2" w:rsidP="00592BC2">
      <w:pPr>
        <w:pStyle w:val="ae"/>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Сразу после возбуждения уголовного дела важно рассмотреть вопросы о задержании изобличённого во взяточничестве лица, производстве обысков в его жилище, используя на этом фоне преимущество находящейся на стороне обвинения инициативы и корреспондирующий ей фактор внезапности. Важно своевременно допросить свидетелей, в особенности тех из них, которые так или иначе аффилированы злоумышленнику (родственники, служебно-зависимые лица и т.п.). Необходимо своевременно изъять у преступившего закон должностного лица смартфон, содержащий значимые для его изобличения сведения о переписке в месенджерах «</w:t>
      </w:r>
      <w:r w:rsidRPr="00DA76A7">
        <w:rPr>
          <w:rFonts w:ascii="Arial" w:hAnsi="Arial" w:cs="Arial"/>
          <w:color w:val="000000" w:themeColor="text1"/>
          <w:sz w:val="22"/>
          <w:szCs w:val="22"/>
          <w:lang w:val="en-US"/>
        </w:rPr>
        <w:t>WhatsApp</w:t>
      </w:r>
      <w:r w:rsidRPr="00DA76A7">
        <w:rPr>
          <w:rFonts w:ascii="Arial" w:hAnsi="Arial" w:cs="Arial"/>
          <w:color w:val="000000" w:themeColor="text1"/>
          <w:sz w:val="22"/>
          <w:szCs w:val="22"/>
        </w:rPr>
        <w:t>», «</w:t>
      </w:r>
      <w:r w:rsidRPr="00DA76A7">
        <w:rPr>
          <w:rFonts w:ascii="Arial" w:hAnsi="Arial" w:cs="Arial"/>
          <w:color w:val="000000" w:themeColor="text1"/>
          <w:sz w:val="22"/>
          <w:szCs w:val="22"/>
          <w:lang w:val="en-US"/>
        </w:rPr>
        <w:t>Viber</w:t>
      </w:r>
      <w:r w:rsidRPr="00DA76A7">
        <w:rPr>
          <w:rFonts w:ascii="Arial" w:hAnsi="Arial" w:cs="Arial"/>
          <w:color w:val="000000" w:themeColor="text1"/>
          <w:sz w:val="22"/>
          <w:szCs w:val="22"/>
        </w:rPr>
        <w:t>», «</w:t>
      </w:r>
      <w:r w:rsidRPr="00DA76A7">
        <w:rPr>
          <w:rFonts w:ascii="Arial" w:hAnsi="Arial" w:cs="Arial"/>
          <w:color w:val="000000" w:themeColor="text1"/>
          <w:sz w:val="22"/>
          <w:szCs w:val="22"/>
          <w:lang w:val="en-US"/>
        </w:rPr>
        <w:t>Skype</w:t>
      </w:r>
      <w:r w:rsidRPr="00DA76A7">
        <w:rPr>
          <w:rFonts w:ascii="Arial" w:hAnsi="Arial" w:cs="Arial"/>
          <w:color w:val="000000" w:themeColor="text1"/>
          <w:sz w:val="22"/>
          <w:szCs w:val="22"/>
        </w:rPr>
        <w:t>», «</w:t>
      </w:r>
      <w:r w:rsidRPr="00DA76A7">
        <w:rPr>
          <w:rFonts w:ascii="Arial" w:hAnsi="Arial" w:cs="Arial"/>
          <w:color w:val="000000" w:themeColor="text1"/>
          <w:sz w:val="22"/>
          <w:szCs w:val="22"/>
          <w:lang w:val="en-US"/>
        </w:rPr>
        <w:t>Telegram</w:t>
      </w:r>
      <w:r w:rsidRPr="00DA76A7">
        <w:rPr>
          <w:rFonts w:ascii="Arial" w:hAnsi="Arial" w:cs="Arial"/>
          <w:color w:val="000000" w:themeColor="text1"/>
          <w:sz w:val="22"/>
          <w:szCs w:val="22"/>
        </w:rPr>
        <w:t xml:space="preserve">» и др. (нередки случаи, когда в ходе осмотра таких устройств устанавливаются интересны обстоятельства переписки взяткополучателя с взяткодателем или посредником). Своевременность и наступательность соответствующих следственных действий имеют важнейшее значение в вопросе преодоления последующего противодействия. </w:t>
      </w:r>
    </w:p>
    <w:p w:rsidR="00592BC2" w:rsidRPr="00DA76A7" w:rsidRDefault="00592BC2" w:rsidP="00592BC2">
      <w:pPr>
        <w:pStyle w:val="ae"/>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Преимущественно к уголовной ответственности по делам о взяточничестве привлекаются лица, обладающие значимым социальным статусом в обществе, действенным административным ресурсом, материальным достатком, что позволяет им, с одной стороны, организовать серьёзное противодействие с учётом спектра своих властных возможностей, а с другой – собственно, и уголовно-процессуальное противодействие (ниже на конкретном примере, поясним, что мы подразумеваем под этим понятием) посредством обеспечения не только себя несколькими квалифицированными адвокатами, но и навязывания для достижения нужных целей «своих» адвокатов иным участникам уголовного судопроизводства, находящимся в зависимости от этих должностных лиц (например, свидетелям, которые подчинены им по службе). Как справедливо отмечает И.И. Ординарцев: «…расследование коррупционных преступлений включает в себя нахождение источников информации для доказательств, доказывания, предопределения возможных барьеров и противодействий расследованию и меры их нейтрализации методами криминалистики…»[3, 261-262]. Здесь очень важно вовремя установить вероятные источники противодействия, способы его осуществления и тактически правильно использовать весь наступательный арсенал следственных действий, оперативно-розыскных мероприятий, и в целом комплекса всех организационных дискреционных полномочий, предоставленных законом следователю и его руководителю. При этом нельзя недооценивать процессуального оппонента, поскольку субъекты рассматриваемого нами спектра преступлений отличаются развитым логическим мышлением, способностями быстрой оценки сложившейся ситуации, оперативного принятия конкретных решений, имеют знания и навыки (особенно, если это работник правоохранительных органов) позволяющие им скрывать противоправный характер своей деятельности, её следы. </w:t>
      </w:r>
    </w:p>
    <w:p w:rsidR="00592BC2" w:rsidRPr="00DA76A7" w:rsidRDefault="00592BC2" w:rsidP="00592BC2">
      <w:pPr>
        <w:pStyle w:val="ConsPlusNonformat"/>
        <w:widowControl/>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в практике работы следователя, руководителя следственного органа и надзирающего прокурора автору приходилось сталкиваться с различными ситуациями противодействия, осуществляемого уголовно-процессуальными средствами, в целях сдерживания инициативы следователя на первоначальном этапе расследования взяточничества. В частности, подозреваемым заключалось соглашение с несколькими защитниками из одной коллегии адвокатов, один из которых ежедневно на протяжении двух недель заявлял следователю в день по четыре (пять) объёмных, мотивированных ходатайств различного содержания, а другой по истечении некоторого времени подавал жалобы на действия и решения следователя, тогда как остальные адвокаты, действуя на опережение,  осуществляли опрос потенциальных свидетелей. Тактика, избранная стороной защиты, имела цель процессуально парализовать работу следователя, который должен был все время заниматься разрешением ходатайств, а также вопросами подготовки ответов на жалобы (они, как известно практикующим работникам, de facto «ложатся на плечи следователя») и в итоге, «захлебнувшись» в ворохе бумажной работы, утратить инициативу в сборе доказательств, предоставив «пальму первенства» на этом поприще своим процессуальным оппонентам. Отметим, что ходатайства, а позднее и жалобы были подготовлены на высоком профессиональном уровне, содержали множество доводов,  каждый из которых, подлежал обстоятельной оценке с приведением соответствующих мотивов их опровержения, либо, наоборот, принятия во внимание. Такому уголовно- процессуальному противодействию органом предварительного расследования была противопоставлена правильная реализация ее дискреционных полномочий, регламентированных ст.163 УПК РФ, связанных с организацией расследования, в виде принятия своевременных решений о создании следственных групп, чёткого распределения функциональных обязанностей включённых в её состав следователей, один из которых занимался исключительно разрешением ходатайств и вопросами подготовки проектов постановлений по жалобам (при необходимости подключался ещё один следователь), руководитель готовил ходатайства о производстве обысков, иных следственных действий, отнесённых уголовно-процессуальным законом к его исключительной компетенции, а также с другим следователями одновременно производил обыски по местам жительства, работы и т.п. подозреваемого, допрашивал свидетелей, выполнял иные необходимые на данном этапе следственные действия. Это обусловило нейтрализацию оказанного уголовно-процессуального противодействия и сохранение инициативы и наступательности на стороне следователя.</w:t>
      </w:r>
    </w:p>
    <w:p w:rsidR="00592BC2" w:rsidRPr="00DA76A7" w:rsidRDefault="00592BC2" w:rsidP="00592BC2">
      <w:pPr>
        <w:pStyle w:val="ConsPlusNonformat"/>
        <w:widowControl/>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Согласимся с приводимой и поддерживаемой Ю.П. Гармаевым и другими специалистами позицией ряда авторов, отмечающих, что противодействие предварительному расследованию по делам о коррупционных преступлениях по завершении первоначального этапа расследования и в связи с обретением статуса подозреваемого (обвиняемого) приобретает стратегически выверенный характер [2, 50-51]. Поэтому утрата стороной обвинения наступательности и как итог – инициативы лишает последнюю преимущества, изначально принадлежащего ей на этапе досудебного судопроизводства. Не случайно в качестве пролога к настоящей работе нами приводятся слова знаменитого кубинского шахматиста о сущностном значении инициативы в интеллектуальном игровом поединке, который в своих основополагающих аспектах схож с поединком процессуальным, также ведущимся по жестко регламентированным правилам с ключевой разницей лишь в том, что на кону не фигуры, пусть даже и процессуальные, а права и свободы граждан, интересы общества и государства. Наличие дискреционной инициативы, правильное распоряжение ею посредством обеспечения наступательного темпа расследования, это еще не победа в виде торжества закона и справедливости, но неоспоримое преимущество, предопределяющее ее наступление. </w:t>
      </w:r>
    </w:p>
    <w:p w:rsidR="00592BC2" w:rsidRPr="00DA76A7" w:rsidRDefault="00592BC2" w:rsidP="00592BC2">
      <w:pPr>
        <w:pStyle w:val="ConsPlusNonformat"/>
        <w:widowControl/>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обратим внимание, что при оценке правовых и этических аспектов рассматриваемой проблематики, необходимо избегать подмены понятий. Подчеркнем, что, говоря об инициативной, наступательной деятельности стороны обвинения в вопросах преодоления противодействия при расследовании уголовных дел о взяточничестве, мы считаем недопустимым её отождествление с поспешностью и штурмовщиной, которые также как и пассивность, являясь проявлением непрофессионализма и нарушения норм этики в следственной работе, влекут за собой негативные правовые и общественные последствия, идущие вразрез с установленным ст.6 УПК РФ назначением уголовного судопроизводства.</w:t>
      </w:r>
    </w:p>
    <w:p w:rsidR="00592BC2" w:rsidRPr="00DA76A7" w:rsidRDefault="00592BC2" w:rsidP="00592BC2">
      <w:pPr>
        <w:pStyle w:val="ConsPlusNonformat"/>
        <w:widowControl/>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Чтобы не утратить инициативу и наступательность сторона обвинения должна чувствовать складывающуюся следственную ситуацию, малейшие изменения которой требуют от следователя быстрой оценки и соответствующей криминалистической реакции с использованием всего спектра предоставленных ему законом следственных и оперативных</w:t>
      </w:r>
      <w:r w:rsidRPr="00DA76A7">
        <w:rPr>
          <w:rStyle w:val="af3"/>
          <w:rFonts w:ascii="Arial" w:hAnsi="Arial" w:cs="Arial"/>
          <w:color w:val="000000" w:themeColor="text1"/>
          <w:sz w:val="22"/>
          <w:szCs w:val="22"/>
        </w:rPr>
        <w:footnoteReference w:id="7"/>
      </w:r>
      <w:r w:rsidRPr="00DA76A7">
        <w:rPr>
          <w:rFonts w:ascii="Arial" w:hAnsi="Arial" w:cs="Arial"/>
          <w:color w:val="000000" w:themeColor="text1"/>
          <w:sz w:val="22"/>
          <w:szCs w:val="22"/>
        </w:rPr>
        <w:t xml:space="preserve"> возможностей. Только в этом случае сторона обвинения преодолеет оказанное противодействие и успешно реализует правовой императив, сформулированный в ч. 2 ст.21 УПК РФ (обязанность принятия мер по установлению события преступления, изобличению лица или лиц, виновных в его совершении). </w:t>
      </w:r>
    </w:p>
    <w:p w:rsidR="00592BC2" w:rsidRPr="00DA76A7" w:rsidRDefault="00592BC2" w:rsidP="00592BC2">
      <w:pPr>
        <w:pStyle w:val="ConsPlusNonformat"/>
        <w:widowControl/>
        <w:ind w:firstLine="567"/>
        <w:jc w:val="both"/>
        <w:rPr>
          <w:rFonts w:ascii="Arial" w:hAnsi="Arial" w:cs="Arial"/>
          <w:color w:val="000000" w:themeColor="text1"/>
          <w:sz w:val="22"/>
          <w:szCs w:val="22"/>
        </w:rPr>
      </w:pPr>
    </w:p>
    <w:p w:rsidR="00592BC2" w:rsidRPr="00DA76A7" w:rsidRDefault="00592BC2" w:rsidP="00592BC2">
      <w:pPr>
        <w:pStyle w:val="ConsPlusNonformat"/>
        <w:widowControl/>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ConsPlusNonformat"/>
        <w:numPr>
          <w:ilvl w:val="0"/>
          <w:numId w:val="137"/>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Об оперативно-розыскной деятельности: Федеральный закон от 12.08.1995 № 144-ФЗ (ред. от 29.06.2015) // Российская газета. – 1995. – 18 августа.</w:t>
      </w:r>
      <w:r w:rsidRPr="00DA76A7" w:rsidDel="00967237">
        <w:rPr>
          <w:rFonts w:ascii="Arial" w:hAnsi="Arial" w:cs="Arial"/>
          <w:bCs/>
          <w:color w:val="000000" w:themeColor="text1"/>
          <w:sz w:val="22"/>
          <w:szCs w:val="22"/>
        </w:rPr>
        <w:t xml:space="preserve"> </w:t>
      </w:r>
    </w:p>
    <w:p w:rsidR="00592BC2" w:rsidRPr="00DA76A7" w:rsidRDefault="00592BC2" w:rsidP="00D45D6B">
      <w:pPr>
        <w:pStyle w:val="ConsPlusNonformat"/>
        <w:numPr>
          <w:ilvl w:val="0"/>
          <w:numId w:val="137"/>
        </w:numPr>
        <w:tabs>
          <w:tab w:val="left" w:pos="851"/>
        </w:tabs>
        <w:ind w:left="0" w:firstLine="567"/>
        <w:jc w:val="both"/>
        <w:rPr>
          <w:rFonts w:ascii="Arial" w:hAnsi="Arial" w:cs="Arial"/>
          <w:color w:val="000000" w:themeColor="text1"/>
          <w:sz w:val="22"/>
          <w:szCs w:val="22"/>
        </w:rPr>
      </w:pPr>
      <w:bookmarkStart w:id="115" w:name="_Ref457665330"/>
      <w:r w:rsidRPr="00DA76A7">
        <w:rPr>
          <w:rFonts w:ascii="Arial" w:hAnsi="Arial" w:cs="Arial"/>
          <w:color w:val="000000" w:themeColor="text1"/>
          <w:sz w:val="22"/>
          <w:szCs w:val="22"/>
        </w:rPr>
        <w:t>О судебной практике по делам о взяточничестве и об иных коррупционных преступлениях: Постановление Пленума Верховного Суда РФ от 09.07.2013 № 24 (ред. от 03.12.2013)  // Российская газета. – 2013. – 17 июля.</w:t>
      </w:r>
      <w:bookmarkEnd w:id="115"/>
    </w:p>
    <w:p w:rsidR="00592BC2" w:rsidRPr="00DA76A7" w:rsidRDefault="00592BC2" w:rsidP="00D45D6B">
      <w:pPr>
        <w:pStyle w:val="ConsPlusNonformat"/>
        <w:numPr>
          <w:ilvl w:val="0"/>
          <w:numId w:val="137"/>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Афанасьев А.Ю., Репин М.Е. Особенности расследования коррупционных преступлений на первоначальном этапе // Организация предварительного расследования. Проблемы и перспективы: Материалы международной научно-практической конференции (Москва, 20 ноября 2015 г.) / под ред. А.И. Бастрыкина. – М.: ЮНИТИ-ДАНА, 2015. – 511 с.</w:t>
      </w:r>
    </w:p>
    <w:p w:rsidR="00592BC2" w:rsidRPr="00DA76A7" w:rsidRDefault="00592BC2" w:rsidP="00D45D6B">
      <w:pPr>
        <w:pStyle w:val="ConsPlusNonformat"/>
        <w:numPr>
          <w:ilvl w:val="0"/>
          <w:numId w:val="137"/>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Гармаев Ю.П., Степаненко Д.А., Степаненко Р.А.  Расследование коррупционного посредничества: монография. – М.: Юрлит-информ, 2017. – 208 с.</w:t>
      </w:r>
    </w:p>
    <w:p w:rsidR="00592BC2" w:rsidRPr="00DA76A7" w:rsidRDefault="00592BC2" w:rsidP="00D45D6B">
      <w:pPr>
        <w:pStyle w:val="ConsPlusNonformat"/>
        <w:numPr>
          <w:ilvl w:val="0"/>
          <w:numId w:val="137"/>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Ординарцев И.И. Проблемы методики расследования преступлений коррупционной направленности // Организация предварительного расследования. Проблемы и перспективы: Материалы международной научно-практической конференции (Москва, 20 ноября 2015 г.) / под ред. А.И. Бастрыкина. – М.: ЮНИТИ-ДАНА, 2015. – 511 с.</w:t>
      </w:r>
    </w:p>
    <w:p w:rsidR="00592BC2" w:rsidRPr="00DA76A7" w:rsidRDefault="00592BC2" w:rsidP="00592BC2">
      <w:pPr>
        <w:pStyle w:val="ConsPlusNonformat"/>
        <w:ind w:firstLine="567"/>
        <w:jc w:val="both"/>
        <w:rPr>
          <w:rFonts w:ascii="Arial" w:hAnsi="Arial" w:cs="Arial"/>
          <w:color w:val="000000" w:themeColor="text1"/>
          <w:sz w:val="22"/>
          <w:szCs w:val="22"/>
          <w:highlight w:val="cyan"/>
        </w:rPr>
      </w:pPr>
    </w:p>
    <w:p w:rsidR="001D4D32" w:rsidRDefault="001D4D32" w:rsidP="005A7125">
      <w:pPr>
        <w:pStyle w:val="28"/>
        <w:shd w:val="clear" w:color="auto" w:fill="auto"/>
        <w:spacing w:line="240" w:lineRule="auto"/>
        <w:jc w:val="center"/>
        <w:rPr>
          <w:rFonts w:ascii="Arial" w:hAnsi="Arial" w:cs="Arial"/>
          <w:b/>
          <w:color w:val="000000" w:themeColor="text1"/>
          <w:sz w:val="22"/>
          <w:szCs w:val="22"/>
        </w:rPr>
      </w:pPr>
    </w:p>
    <w:p w:rsidR="005A7125" w:rsidRPr="00DA76A7" w:rsidRDefault="005A7125" w:rsidP="005A7125">
      <w:pPr>
        <w:pStyle w:val="28"/>
        <w:shd w:val="clear" w:color="auto" w:fill="auto"/>
        <w:spacing w:line="240" w:lineRule="auto"/>
        <w:jc w:val="center"/>
        <w:rPr>
          <w:rFonts w:ascii="Arial" w:hAnsi="Arial" w:cs="Arial"/>
          <w:b/>
          <w:color w:val="000000" w:themeColor="text1"/>
          <w:sz w:val="22"/>
          <w:szCs w:val="22"/>
        </w:rPr>
      </w:pPr>
      <w:r w:rsidRPr="00DA76A7">
        <w:rPr>
          <w:rFonts w:ascii="Arial" w:hAnsi="Arial" w:cs="Arial"/>
          <w:b/>
          <w:color w:val="000000" w:themeColor="text1"/>
          <w:sz w:val="22"/>
          <w:szCs w:val="22"/>
        </w:rPr>
        <w:t>ПОЛНОМОЧИЯ ПРАВООХРАНИТЕЛЬНЫХ ОРГАНОВ В ИСПОЛЬЗОВАНИИ ЛИЧНОЙ ЭЛЕКТРОННОЙ ПЕРЕПИСКИ В КАЧЕСТВЕ ДОКАЗАТЕЛЬСТВА</w:t>
      </w:r>
    </w:p>
    <w:p w:rsidR="005A7125" w:rsidRPr="00DA76A7" w:rsidRDefault="005A7125" w:rsidP="005A7125">
      <w:pPr>
        <w:jc w:val="center"/>
        <w:rPr>
          <w:rFonts w:ascii="Arial" w:hAnsi="Arial" w:cs="Arial"/>
          <w:b/>
          <w:color w:val="000000" w:themeColor="text1"/>
        </w:rPr>
      </w:pPr>
    </w:p>
    <w:p w:rsidR="005A7125" w:rsidRPr="00DA76A7" w:rsidRDefault="005A7125" w:rsidP="005A7125">
      <w:pPr>
        <w:jc w:val="center"/>
        <w:rPr>
          <w:rFonts w:ascii="Arial" w:hAnsi="Arial" w:cs="Arial"/>
          <w:b/>
          <w:color w:val="000000" w:themeColor="text1"/>
          <w:sz w:val="22"/>
          <w:szCs w:val="22"/>
        </w:rPr>
      </w:pPr>
      <w:r w:rsidRPr="00DA76A7">
        <w:rPr>
          <w:rFonts w:ascii="Arial" w:hAnsi="Arial" w:cs="Arial"/>
          <w:b/>
          <w:color w:val="000000" w:themeColor="text1"/>
          <w:sz w:val="22"/>
          <w:szCs w:val="22"/>
        </w:rPr>
        <w:t>Турсенканов Дамир</w:t>
      </w:r>
    </w:p>
    <w:p w:rsidR="005A7125" w:rsidRPr="00DA76A7" w:rsidRDefault="005A7125" w:rsidP="005A7125">
      <w:pPr>
        <w:jc w:val="center"/>
        <w:rPr>
          <w:rFonts w:ascii="Arial" w:hAnsi="Arial" w:cs="Arial"/>
          <w:color w:val="000000" w:themeColor="text1"/>
          <w:sz w:val="22"/>
          <w:szCs w:val="22"/>
        </w:rPr>
      </w:pPr>
      <w:r w:rsidRPr="00DA76A7">
        <w:rPr>
          <w:rFonts w:ascii="Arial" w:hAnsi="Arial" w:cs="Arial"/>
          <w:color w:val="000000" w:themeColor="text1"/>
        </w:rPr>
        <w:t>с</w:t>
      </w:r>
      <w:r w:rsidRPr="00DA76A7">
        <w:rPr>
          <w:rFonts w:ascii="Arial" w:hAnsi="Arial" w:cs="Arial"/>
          <w:color w:val="000000" w:themeColor="text1"/>
          <w:sz w:val="22"/>
          <w:szCs w:val="22"/>
        </w:rPr>
        <w:t xml:space="preserve">тудент второго курса </w:t>
      </w:r>
      <w:r w:rsidRPr="00DA76A7">
        <w:rPr>
          <w:rFonts w:ascii="Arial" w:hAnsi="Arial" w:cs="Arial"/>
          <w:color w:val="000000" w:themeColor="text1"/>
        </w:rPr>
        <w:t xml:space="preserve">очного отделения </w:t>
      </w:r>
      <w:r w:rsidRPr="00DA76A7">
        <w:rPr>
          <w:rFonts w:ascii="Arial" w:hAnsi="Arial" w:cs="Arial"/>
          <w:color w:val="000000" w:themeColor="text1"/>
          <w:sz w:val="22"/>
          <w:szCs w:val="22"/>
        </w:rPr>
        <w:t>юридического института</w:t>
      </w:r>
    </w:p>
    <w:p w:rsidR="005A7125" w:rsidRPr="00DA76A7" w:rsidRDefault="005A7125" w:rsidP="005A7125">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w:t>
      </w:r>
      <w:r w:rsidRPr="00DA76A7">
        <w:rPr>
          <w:rFonts w:ascii="Arial" w:hAnsi="Arial" w:cs="Arial"/>
          <w:color w:val="000000" w:themeColor="text1"/>
        </w:rPr>
        <w:t>ий у</w:t>
      </w:r>
      <w:r w:rsidRPr="00DA76A7">
        <w:rPr>
          <w:rFonts w:ascii="Arial" w:hAnsi="Arial" w:cs="Arial"/>
          <w:color w:val="000000" w:themeColor="text1"/>
          <w:sz w:val="22"/>
          <w:szCs w:val="22"/>
        </w:rPr>
        <w:t xml:space="preserve">ниверситет </w:t>
      </w:r>
      <w:r w:rsidRPr="00DA76A7">
        <w:rPr>
          <w:rFonts w:ascii="Arial" w:hAnsi="Arial" w:cs="Arial"/>
          <w:color w:val="000000" w:themeColor="text1"/>
        </w:rPr>
        <w:t>дружбы н</w:t>
      </w:r>
      <w:r w:rsidRPr="00DA76A7">
        <w:rPr>
          <w:rFonts w:ascii="Arial" w:hAnsi="Arial" w:cs="Arial"/>
          <w:color w:val="000000" w:themeColor="text1"/>
          <w:sz w:val="22"/>
          <w:szCs w:val="22"/>
        </w:rPr>
        <w:t>ародов</w:t>
      </w:r>
    </w:p>
    <w:p w:rsidR="005A7125" w:rsidRPr="00DA76A7" w:rsidRDefault="005A7125" w:rsidP="005A7125">
      <w:pPr>
        <w:jc w:val="center"/>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117279</w:t>
      </w:r>
      <w:r w:rsidRPr="00DA76A7">
        <w:rPr>
          <w:rFonts w:ascii="Arial" w:hAnsi="Arial" w:cs="Arial"/>
          <w:color w:val="000000" w:themeColor="text1"/>
          <w:sz w:val="22"/>
          <w:szCs w:val="22"/>
        </w:rPr>
        <w:t>, Российская Федерация, г. Москва, ул. Миклухо-Маклая, 6</w:t>
      </w:r>
    </w:p>
    <w:p w:rsidR="005A7125" w:rsidRPr="00DA76A7" w:rsidRDefault="005A7125" w:rsidP="005A7125">
      <w:pPr>
        <w:jc w:val="center"/>
        <w:rPr>
          <w:rFonts w:ascii="Arial" w:hAnsi="Arial" w:cs="Arial"/>
          <w:color w:val="000000" w:themeColor="text1"/>
          <w:sz w:val="22"/>
          <w:szCs w:val="22"/>
        </w:rPr>
      </w:pPr>
      <w:r w:rsidRPr="00DA76A7">
        <w:rPr>
          <w:rFonts w:ascii="Arial" w:hAnsi="Arial" w:cs="Arial"/>
          <w:color w:val="000000" w:themeColor="text1"/>
        </w:rPr>
        <w:t>т</w:t>
      </w:r>
      <w:r w:rsidRPr="00DA76A7">
        <w:rPr>
          <w:rFonts w:ascii="Arial" w:hAnsi="Arial" w:cs="Arial"/>
          <w:color w:val="000000" w:themeColor="text1"/>
          <w:sz w:val="22"/>
          <w:szCs w:val="22"/>
        </w:rPr>
        <w:t>ел</w:t>
      </w:r>
      <w:r w:rsidRPr="00DA76A7">
        <w:rPr>
          <w:rFonts w:ascii="Arial" w:hAnsi="Arial" w:cs="Arial"/>
          <w:color w:val="000000" w:themeColor="text1"/>
        </w:rPr>
        <w:t>.</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+79160635773</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32" w:history="1">
        <w:r w:rsidRPr="00DA76A7">
          <w:rPr>
            <w:rStyle w:val="af0"/>
            <w:rFonts w:ascii="Arial" w:hAnsi="Arial" w:cs="Arial"/>
            <w:color w:val="000000" w:themeColor="text1"/>
            <w:sz w:val="22"/>
            <w:szCs w:val="22"/>
            <w:u w:val="none"/>
            <w:lang w:val="en-US"/>
          </w:rPr>
          <w:t>tursenkanov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outlook</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com</w:t>
        </w:r>
      </w:hyperlink>
    </w:p>
    <w:p w:rsidR="005A7125" w:rsidRPr="00DA76A7" w:rsidRDefault="005A7125" w:rsidP="005A7125">
      <w:pPr>
        <w:jc w:val="center"/>
        <w:rPr>
          <w:rFonts w:ascii="Arial" w:hAnsi="Arial" w:cs="Arial"/>
          <w:color w:val="000000" w:themeColor="text1"/>
          <w:sz w:val="22"/>
          <w:szCs w:val="22"/>
        </w:rPr>
      </w:pPr>
    </w:p>
    <w:p w:rsidR="005A7125" w:rsidRPr="00DA76A7" w:rsidRDefault="005A7125" w:rsidP="005A7125">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POWERS OF LAW ENFORCEMENT BODIES IN USEOF PERSONAL ELECTRONIC CORRESPONDENCE AS EVIDENCE</w:t>
      </w:r>
    </w:p>
    <w:p w:rsidR="005A7125" w:rsidRPr="00DA76A7" w:rsidRDefault="005A7125" w:rsidP="005A7125">
      <w:pPr>
        <w:jc w:val="center"/>
        <w:rPr>
          <w:rFonts w:ascii="Arial" w:hAnsi="Arial" w:cs="Arial"/>
          <w:b/>
          <w:color w:val="000000" w:themeColor="text1"/>
          <w:lang w:val="en-US"/>
        </w:rPr>
      </w:pPr>
    </w:p>
    <w:p w:rsidR="005A7125" w:rsidRPr="00DA76A7" w:rsidRDefault="005A7125" w:rsidP="005A7125">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Tursenkanov Damir</w:t>
      </w:r>
    </w:p>
    <w:p w:rsidR="005A7125" w:rsidRPr="00DA76A7" w:rsidRDefault="005A7125" w:rsidP="005A7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5D1C4B">
        <w:rPr>
          <w:rFonts w:ascii="Arial" w:hAnsi="Arial" w:cs="Arial"/>
          <w:color w:val="000000" w:themeColor="text1"/>
          <w:sz w:val="22"/>
          <w:szCs w:val="22"/>
          <w:lang w:val="en-US"/>
        </w:rPr>
        <w:t>second year full-time student of the Law Institute</w:t>
      </w:r>
    </w:p>
    <w:p w:rsidR="005A7125" w:rsidRPr="00DA76A7" w:rsidRDefault="005A7125" w:rsidP="005A7125">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Peoples Frienship University of Russia</w:t>
      </w:r>
    </w:p>
    <w:p w:rsidR="005A7125" w:rsidRPr="00DA76A7" w:rsidRDefault="005A7125" w:rsidP="005A7125">
      <w:pPr>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117279</w:t>
      </w:r>
      <w:r w:rsidRPr="00DA76A7">
        <w:rPr>
          <w:rFonts w:ascii="Arial" w:hAnsi="Arial" w:cs="Arial"/>
          <w:color w:val="000000" w:themeColor="text1"/>
          <w:sz w:val="22"/>
          <w:szCs w:val="22"/>
          <w:lang w:val="en-US"/>
        </w:rPr>
        <w:t>, Russian Federation, Moscow, Mikluho-Maklaya str.6</w:t>
      </w:r>
    </w:p>
    <w:p w:rsidR="005A7125" w:rsidRPr="00DA76A7" w:rsidRDefault="005A7125" w:rsidP="005A7125">
      <w:pPr>
        <w:jc w:val="center"/>
        <w:rPr>
          <w:rFonts w:ascii="Arial" w:hAnsi="Arial" w:cs="Arial"/>
          <w:color w:val="000000" w:themeColor="text1"/>
          <w:sz w:val="22"/>
          <w:szCs w:val="22"/>
          <w:lang w:val="en-US"/>
        </w:rPr>
      </w:pPr>
      <w:r w:rsidRPr="00DA76A7">
        <w:rPr>
          <w:rFonts w:ascii="Arial" w:hAnsi="Arial" w:cs="Arial"/>
          <w:color w:val="000000" w:themeColor="text1"/>
          <w:lang w:val="en-US"/>
        </w:rPr>
        <w:t>te</w:t>
      </w:r>
      <w:r w:rsidRPr="00DA76A7">
        <w:rPr>
          <w:rFonts w:ascii="Arial" w:hAnsi="Arial" w:cs="Arial"/>
          <w:color w:val="000000" w:themeColor="text1"/>
          <w:sz w:val="22"/>
          <w:szCs w:val="22"/>
          <w:lang w:val="en-US"/>
        </w:rPr>
        <w:t xml:space="preserve">l.: </w:t>
      </w:r>
      <w:r w:rsidRPr="00DA76A7">
        <w:rPr>
          <w:rFonts w:ascii="Arial" w:hAnsi="Arial" w:cs="Arial"/>
          <w:color w:val="000000" w:themeColor="text1"/>
          <w:sz w:val="22"/>
          <w:szCs w:val="22"/>
          <w:shd w:val="clear" w:color="auto" w:fill="FFFFFF"/>
          <w:lang w:val="en-US"/>
        </w:rPr>
        <w:t>+79160635773</w:t>
      </w:r>
      <w:r w:rsidRPr="00DA76A7">
        <w:rPr>
          <w:rFonts w:ascii="Arial" w:hAnsi="Arial" w:cs="Arial"/>
          <w:color w:val="000000" w:themeColor="text1"/>
          <w:sz w:val="22"/>
          <w:szCs w:val="22"/>
          <w:lang w:val="en-US"/>
        </w:rPr>
        <w:t xml:space="preserve">, e-mail: </w:t>
      </w:r>
      <w:hyperlink r:id="rId333" w:history="1">
        <w:r w:rsidRPr="00DA76A7">
          <w:rPr>
            <w:rStyle w:val="af0"/>
            <w:rFonts w:ascii="Arial" w:hAnsi="Arial" w:cs="Arial"/>
            <w:color w:val="000000" w:themeColor="text1"/>
            <w:sz w:val="22"/>
            <w:szCs w:val="22"/>
            <w:u w:val="none"/>
            <w:lang w:val="en-US"/>
          </w:rPr>
          <w:t>tursenkanov@outlook.com</w:t>
        </w:r>
      </w:hyperlink>
    </w:p>
    <w:p w:rsidR="005A7125" w:rsidRPr="00DA76A7" w:rsidRDefault="005A7125" w:rsidP="005A7125">
      <w:pPr>
        <w:jc w:val="center"/>
        <w:rPr>
          <w:rFonts w:ascii="Arial" w:hAnsi="Arial" w:cs="Arial"/>
          <w:color w:val="000000" w:themeColor="text1"/>
          <w:sz w:val="22"/>
          <w:szCs w:val="22"/>
          <w:lang w:val="en-US"/>
        </w:rPr>
      </w:pPr>
    </w:p>
    <w:p w:rsidR="005A7125" w:rsidRPr="00DA76A7" w:rsidRDefault="005A7125" w:rsidP="005A7125">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данной статье рассматриваются вопросы регулирования деятельности правоохранительных органов в киберпространстве.</w:t>
      </w:r>
    </w:p>
    <w:p w:rsidR="005A7125" w:rsidRPr="00DA76A7" w:rsidRDefault="005A7125" w:rsidP="005A7125">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discusses  with regulation of activities of  powers of law enforcement bodies in cyberspace.</w:t>
      </w:r>
    </w:p>
    <w:p w:rsidR="005A7125" w:rsidRPr="00DA76A7" w:rsidRDefault="005A7125" w:rsidP="005A7125">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киберпространство, электронный ящик, мессенджер, тайна переписки, уголовная ответственность.</w:t>
      </w:r>
    </w:p>
    <w:p w:rsidR="005A7125" w:rsidRPr="00DA76A7" w:rsidRDefault="005A7125" w:rsidP="005A7125">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cyberspace, electronic box,  messenger, secret correspondence, have the lead responsibility.</w:t>
      </w:r>
    </w:p>
    <w:p w:rsidR="005A7125" w:rsidRPr="00DA76A7" w:rsidRDefault="005A7125" w:rsidP="005A7125">
      <w:pPr>
        <w:ind w:firstLine="567"/>
        <w:jc w:val="both"/>
        <w:rPr>
          <w:rFonts w:ascii="Arial" w:hAnsi="Arial" w:cs="Arial"/>
          <w:i/>
          <w:color w:val="000000" w:themeColor="text1"/>
          <w:sz w:val="22"/>
          <w:szCs w:val="22"/>
          <w:lang w:val="en-US"/>
        </w:rPr>
      </w:pPr>
    </w:p>
    <w:p w:rsidR="005A7125" w:rsidRPr="00DA76A7" w:rsidRDefault="005A7125" w:rsidP="005A7125">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Право на тайну переписки, телефонных переговоров, почтовых, телеграфных, а также других сообщений закреплено в ч. 2 ст.ст. 23 Консти</w:t>
      </w:r>
      <w:r w:rsidRPr="00DA76A7">
        <w:rPr>
          <w:rFonts w:ascii="Arial" w:hAnsi="Arial" w:cs="Arial"/>
          <w:color w:val="000000" w:themeColor="text1"/>
          <w:sz w:val="22"/>
          <w:szCs w:val="22"/>
        </w:rPr>
        <w:softHyphen/>
        <w:t>туции Российской Федерации. Там же указано, что ограничение этого права допускается исключительно на основании судебного решения. Согласно со ст. 63 Федерального закона от 07.07.2003 г. № 126-ФЗ «О связи» на территории Российской Федерации гарантируется тайна переписки, телефонных переговоров, почтовых отправлений, теле</w:t>
      </w:r>
      <w:r w:rsidRPr="00DA76A7">
        <w:rPr>
          <w:rFonts w:ascii="Arial" w:hAnsi="Arial" w:cs="Arial"/>
          <w:color w:val="000000" w:themeColor="text1"/>
          <w:sz w:val="22"/>
          <w:szCs w:val="22"/>
        </w:rPr>
        <w:softHyphen/>
        <w:t>графных и иных сообщений, передаваемых по сетям электросвязи и сетям почтовой связи.[1.]</w:t>
      </w:r>
    </w:p>
    <w:p w:rsidR="005A7125" w:rsidRPr="00DA76A7" w:rsidRDefault="005A7125" w:rsidP="005A7125">
      <w:pPr>
        <w:pStyle w:val="28"/>
        <w:shd w:val="clear" w:color="auto" w:fill="auto"/>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Разбирая данную статью Конституции Российской Федерации важно подчеркнуть такие важные моменты заключенные в ней  как:</w:t>
      </w:r>
    </w:p>
    <w:p w:rsidR="005A7125" w:rsidRPr="00DA76A7" w:rsidRDefault="005A7125" w:rsidP="005A7125">
      <w:pPr>
        <w:pStyle w:val="28"/>
        <w:widowControl/>
        <w:numPr>
          <w:ilvl w:val="0"/>
          <w:numId w:val="168"/>
        </w:numPr>
        <w:shd w:val="clear" w:color="auto" w:fill="auto"/>
        <w:tabs>
          <w:tab w:val="left" w:pos="851"/>
        </w:tabs>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Каждый имеет право на неприкосновенность частной жизни, личную и семейную тайну, защиту своей чести и доброго имени.</w:t>
      </w:r>
    </w:p>
    <w:p w:rsidR="005A7125" w:rsidRPr="00DA76A7" w:rsidRDefault="005A7125" w:rsidP="005A7125">
      <w:pPr>
        <w:pStyle w:val="28"/>
        <w:widowControl/>
        <w:numPr>
          <w:ilvl w:val="0"/>
          <w:numId w:val="168"/>
        </w:numPr>
        <w:tabs>
          <w:tab w:val="left" w:pos="851"/>
        </w:tabs>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Каждый имеет право на тайну переписки, телефонных переговоров, почтовых, теле</w:t>
      </w:r>
      <w:r w:rsidRPr="00DA76A7">
        <w:rPr>
          <w:rFonts w:ascii="Arial" w:hAnsi="Arial" w:cs="Arial"/>
          <w:color w:val="000000" w:themeColor="text1"/>
          <w:sz w:val="22"/>
          <w:szCs w:val="22"/>
        </w:rPr>
        <w:softHyphen/>
        <w:t>графных и иных сообщений. Ограничение этого права допускается только на основании судеб</w:t>
      </w:r>
      <w:r w:rsidRPr="00DA76A7">
        <w:rPr>
          <w:rFonts w:ascii="Arial" w:hAnsi="Arial" w:cs="Arial"/>
          <w:color w:val="000000" w:themeColor="text1"/>
          <w:sz w:val="22"/>
          <w:szCs w:val="22"/>
        </w:rPr>
        <w:softHyphen/>
        <w:t>ного решения.</w:t>
      </w:r>
    </w:p>
    <w:p w:rsidR="005A7125" w:rsidRPr="00DA76A7" w:rsidRDefault="005A7125" w:rsidP="005A7125">
      <w:pPr>
        <w:pStyle w:val="28"/>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На сегодняшний день такие виды сообщений, как телеграфные и почтовые в Российской Федерации поль</w:t>
      </w:r>
      <w:r w:rsidRPr="00DA76A7">
        <w:rPr>
          <w:rFonts w:ascii="Arial" w:hAnsi="Arial" w:cs="Arial"/>
          <w:color w:val="000000" w:themeColor="text1"/>
          <w:sz w:val="22"/>
          <w:szCs w:val="22"/>
        </w:rPr>
        <w:softHyphen/>
        <w:t>зуются гораздо меньшей популярностью. Однако параллельно с этим возрастает количество отпра</w:t>
      </w:r>
      <w:r w:rsidRPr="00DA76A7">
        <w:rPr>
          <w:rFonts w:ascii="Arial" w:hAnsi="Arial" w:cs="Arial"/>
          <w:color w:val="000000" w:themeColor="text1"/>
          <w:sz w:val="22"/>
          <w:szCs w:val="22"/>
        </w:rPr>
        <w:softHyphen/>
        <w:t>вителей и получателей электронных сообщений, в том числе при помощи, как и электронных почто</w:t>
      </w:r>
      <w:r w:rsidRPr="00DA76A7">
        <w:rPr>
          <w:rFonts w:ascii="Arial" w:hAnsi="Arial" w:cs="Arial"/>
          <w:color w:val="000000" w:themeColor="text1"/>
          <w:sz w:val="22"/>
          <w:szCs w:val="22"/>
        </w:rPr>
        <w:softHyphen/>
        <w:t>вых ящиков так и различных виртуальных платформ, грубо говоря мессенджеров. Говоря об использовании электронных почтовых ящиков важно отметить что это никак не закреплено в законодательстве Российской Федерации. Отсюда возникает вполне уместный вопрос: подлежат ли защите электронные сообщения граждан, от</w:t>
      </w:r>
      <w:r w:rsidRPr="00DA76A7">
        <w:rPr>
          <w:rFonts w:ascii="Arial" w:hAnsi="Arial" w:cs="Arial"/>
          <w:color w:val="000000" w:themeColor="text1"/>
          <w:sz w:val="22"/>
          <w:szCs w:val="22"/>
        </w:rPr>
        <w:softHyphen/>
        <w:t>правляемые и получаемые при помощи электронных почтовых ящиков. В поиске  ответа на этот вопрос необходимо проанализировать природу и механизм функционирования электронных почтовых ящиков и работу мессенджеров.</w:t>
      </w:r>
    </w:p>
    <w:p w:rsidR="005A7125" w:rsidRPr="00DA76A7" w:rsidRDefault="005A7125" w:rsidP="005A7125">
      <w:pPr>
        <w:pStyle w:val="28"/>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Все электронные почтовые ящики и мессенджеры можно разделить на 2 категории:</w:t>
      </w:r>
    </w:p>
    <w:p w:rsidR="005A7125" w:rsidRPr="00DA76A7" w:rsidRDefault="005A7125" w:rsidP="005A7125">
      <w:pPr>
        <w:pStyle w:val="28"/>
        <w:widowControl/>
        <w:numPr>
          <w:ilvl w:val="1"/>
          <w:numId w:val="168"/>
        </w:numPr>
        <w:tabs>
          <w:tab w:val="left" w:pos="851"/>
        </w:tabs>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Электронные почтовые ящики, и личные странички пользователей, создаваемые пользователями самостоятельно на соб</w:t>
      </w:r>
      <w:r w:rsidRPr="00DA76A7">
        <w:rPr>
          <w:rFonts w:ascii="Arial" w:hAnsi="Arial" w:cs="Arial"/>
          <w:color w:val="000000" w:themeColor="text1"/>
          <w:sz w:val="22"/>
          <w:szCs w:val="22"/>
        </w:rPr>
        <w:softHyphen/>
        <w:t>ственных почтовых сервисах и внутренних виртуальных социальных площадках.</w:t>
      </w:r>
    </w:p>
    <w:p w:rsidR="005A7125" w:rsidRPr="00DA76A7" w:rsidRDefault="005A7125" w:rsidP="005A7125">
      <w:pPr>
        <w:pStyle w:val="28"/>
        <w:widowControl/>
        <w:numPr>
          <w:ilvl w:val="1"/>
          <w:numId w:val="168"/>
        </w:numPr>
        <w:tabs>
          <w:tab w:val="left" w:pos="851"/>
        </w:tabs>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Электронные почтовые ящики и личные странички пользователей, создаваемые на публичных почтовых сервисах и на публичных виртуальных площадках.</w:t>
      </w:r>
    </w:p>
    <w:p w:rsidR="005A7125" w:rsidRPr="00DA76A7" w:rsidRDefault="005A7125" w:rsidP="005A7125">
      <w:pPr>
        <w:pStyle w:val="28"/>
        <w:tabs>
          <w:tab w:val="left" w:pos="851"/>
        </w:tabs>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Электронные почтовые ящики первой и личные странички в социальных сетях категории менее популярны, так как для их созда</w:t>
      </w:r>
      <w:r w:rsidRPr="00DA76A7">
        <w:rPr>
          <w:rFonts w:ascii="Arial" w:hAnsi="Arial" w:cs="Arial"/>
          <w:color w:val="000000" w:themeColor="text1"/>
          <w:sz w:val="22"/>
          <w:szCs w:val="22"/>
        </w:rPr>
        <w:softHyphen/>
        <w:t>ния необходимо обладать специальными познаниями в области интернет-технологий, а также иметь доменное имя, в основном такие ящики создаются для нужд организаций, так как репута</w:t>
      </w:r>
      <w:r w:rsidRPr="00DA76A7">
        <w:rPr>
          <w:rFonts w:ascii="Arial" w:hAnsi="Arial" w:cs="Arial"/>
          <w:color w:val="000000" w:themeColor="text1"/>
          <w:sz w:val="22"/>
          <w:szCs w:val="22"/>
        </w:rPr>
        <w:softHyphen/>
        <w:t>ция приличной фирмы подразумевает наличие электронного почтового ящика на собственном почтовом сервисе.</w:t>
      </w:r>
    </w:p>
    <w:p w:rsidR="005A7125" w:rsidRPr="00DA76A7" w:rsidRDefault="005A7125" w:rsidP="005A7125">
      <w:pPr>
        <w:pStyle w:val="28"/>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Электронные почтовые ящики и страницы пользователей в социальных сетях, относящиеся ко второй категории, более многочисленны, в основном они обслуживают интересы физических лиц, для создания такого ящика какие-либо специальные познания не нужны, необходимо заполнить простую форму на сайте публичного сервиса и получить электроный почтовый ящик либо страничку в свое пользование.</w:t>
      </w:r>
    </w:p>
    <w:p w:rsidR="005A7125" w:rsidRPr="00DA76A7" w:rsidRDefault="005A7125" w:rsidP="005A7125">
      <w:pPr>
        <w:pStyle w:val="28"/>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Если в первом случае вопросов о принадлежности почтового ящика гражданину или орга</w:t>
      </w:r>
      <w:r w:rsidRPr="00DA76A7">
        <w:rPr>
          <w:rFonts w:ascii="Arial" w:hAnsi="Arial" w:cs="Arial"/>
          <w:color w:val="000000" w:themeColor="text1"/>
          <w:sz w:val="22"/>
          <w:szCs w:val="22"/>
        </w:rPr>
        <w:softHyphen/>
        <w:t>низации не возникает, то во втором случае могут возникнуть сомнения, можно ли считать тот или иной электронный почтовый ящик или страницу в социальной сети, созданный на публичном сервисе, принадлежащим гражданину[4.].</w:t>
      </w:r>
    </w:p>
    <w:p w:rsidR="005A7125" w:rsidRPr="00DA76A7" w:rsidRDefault="005A7125" w:rsidP="005A7125">
      <w:pPr>
        <w:pStyle w:val="28"/>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В статье 23 Конституции РФ прямо не сказано, что гражданин имеет право на тайну элек</w:t>
      </w:r>
      <w:r w:rsidRPr="00DA76A7">
        <w:rPr>
          <w:rFonts w:ascii="Arial" w:hAnsi="Arial" w:cs="Arial"/>
          <w:color w:val="000000" w:themeColor="text1"/>
          <w:sz w:val="22"/>
          <w:szCs w:val="22"/>
        </w:rPr>
        <w:softHyphen/>
        <w:t>тронных сообщений, однако совершенно очевидно, что электронные сообщения подпадают под понятие «иные сообщения», о которых в Конституции говорится.</w:t>
      </w:r>
    </w:p>
    <w:p w:rsidR="005A7125" w:rsidRPr="00DA76A7" w:rsidRDefault="005A7125" w:rsidP="005A7125">
      <w:pPr>
        <w:pStyle w:val="28"/>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Уголовную ответственность за нарушение тайны переписки, те</w:t>
      </w:r>
      <w:r w:rsidRPr="00DA76A7">
        <w:rPr>
          <w:rFonts w:ascii="Arial" w:hAnsi="Arial" w:cs="Arial"/>
          <w:color w:val="000000" w:themeColor="text1"/>
          <w:sz w:val="22"/>
          <w:szCs w:val="22"/>
        </w:rPr>
        <w:softHyphen/>
        <w:t>лефонных переговоров, почтовых, телеграфных или иных сообщений устанавливает ст. 138 УК РФ.</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последние годы можно заметить рост чис</w:t>
      </w:r>
      <w:r w:rsidRPr="00DA76A7">
        <w:rPr>
          <w:rFonts w:ascii="Arial" w:hAnsi="Arial" w:cs="Arial"/>
          <w:color w:val="000000" w:themeColor="text1"/>
          <w:sz w:val="22"/>
          <w:szCs w:val="22"/>
        </w:rPr>
        <w:softHyphen/>
        <w:t>ла следственных действий, направленных на сбор электронной доказательственной информации. К примеру, в период 2014-2016 гг. увеличи</w:t>
      </w:r>
      <w:r w:rsidRPr="00DA76A7">
        <w:rPr>
          <w:rFonts w:ascii="Arial" w:hAnsi="Arial" w:cs="Arial"/>
          <w:color w:val="000000" w:themeColor="text1"/>
          <w:sz w:val="22"/>
          <w:szCs w:val="22"/>
        </w:rPr>
        <w:softHyphen/>
        <w:t>лось количество ходатайств о производстве о нало</w:t>
      </w:r>
      <w:r w:rsidRPr="00DA76A7">
        <w:rPr>
          <w:rFonts w:ascii="Arial" w:hAnsi="Arial" w:cs="Arial"/>
          <w:color w:val="000000" w:themeColor="text1"/>
          <w:sz w:val="22"/>
          <w:szCs w:val="22"/>
        </w:rPr>
        <w:softHyphen/>
        <w:t>жении ареста на корреспонденцию, разрешении на ее осмотр и выемку в учреждениях связи (п. 8 ч. 2 ст. 29 УПК РФ) , о контроле и записи телефонных и иных переговоров (п. 11 ч. 2 ст. 29 УПК РФ), о полу</w:t>
      </w:r>
      <w:r w:rsidRPr="00DA76A7">
        <w:rPr>
          <w:rFonts w:ascii="Arial" w:hAnsi="Arial" w:cs="Arial"/>
          <w:color w:val="000000" w:themeColor="text1"/>
          <w:sz w:val="22"/>
          <w:szCs w:val="22"/>
        </w:rPr>
        <w:softHyphen/>
        <w:t>чении информации о соединениях между абонента</w:t>
      </w:r>
      <w:r w:rsidRPr="00DA76A7">
        <w:rPr>
          <w:rFonts w:ascii="Arial" w:hAnsi="Arial" w:cs="Arial"/>
          <w:color w:val="000000" w:themeColor="text1"/>
          <w:sz w:val="22"/>
          <w:szCs w:val="22"/>
        </w:rPr>
        <w:softHyphen/>
        <w:t>ми и (или) абонентскими устройствами (п. 12 ч. 2 ст. 29 УПК РФ), об ограничении конституционных прав граждан на тайну переписки, телефонных пе</w:t>
      </w:r>
      <w:r w:rsidRPr="00DA76A7">
        <w:rPr>
          <w:rFonts w:ascii="Arial" w:hAnsi="Arial" w:cs="Arial"/>
          <w:color w:val="000000" w:themeColor="text1"/>
          <w:sz w:val="22"/>
          <w:szCs w:val="22"/>
        </w:rPr>
        <w:softHyphen/>
        <w:t>реговоров, почтовых, телеграфных и иных сообще</w:t>
      </w:r>
      <w:r w:rsidRPr="00DA76A7">
        <w:rPr>
          <w:rFonts w:ascii="Arial" w:hAnsi="Arial" w:cs="Arial"/>
          <w:color w:val="000000" w:themeColor="text1"/>
          <w:sz w:val="22"/>
          <w:szCs w:val="22"/>
        </w:rPr>
        <w:softHyphen/>
        <w:t>ний, передаваемых по сетям электрической и почто</w:t>
      </w:r>
      <w:r w:rsidRPr="00DA76A7">
        <w:rPr>
          <w:rFonts w:ascii="Arial" w:hAnsi="Arial" w:cs="Arial"/>
          <w:color w:val="000000" w:themeColor="text1"/>
          <w:sz w:val="22"/>
          <w:szCs w:val="22"/>
        </w:rPr>
        <w:softHyphen/>
        <w:t>вой связи на 27 %.</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Федеральным законом от 1 июля 2010 г. № 143- ФЗ была введена в действие ст. 186.1 УПК РФ «Получение информации о соединениях между абонентами и (или) абонентскими устройствами». Согласно с ч. 1 ст. 186.1, закреплен су</w:t>
      </w:r>
      <w:r w:rsidRPr="00DA76A7">
        <w:rPr>
          <w:rFonts w:ascii="Arial" w:hAnsi="Arial" w:cs="Arial"/>
          <w:color w:val="000000" w:themeColor="text1"/>
          <w:sz w:val="22"/>
          <w:szCs w:val="22"/>
        </w:rPr>
        <w:softHyphen/>
        <w:t>дебный контроль за получением информации о со</w:t>
      </w:r>
      <w:r w:rsidRPr="00DA76A7">
        <w:rPr>
          <w:rFonts w:ascii="Arial" w:hAnsi="Arial" w:cs="Arial"/>
          <w:color w:val="000000" w:themeColor="text1"/>
          <w:sz w:val="22"/>
          <w:szCs w:val="22"/>
        </w:rPr>
        <w:softHyphen/>
        <w:t>единениях между абонентами и (или) абонентски</w:t>
      </w:r>
      <w:r w:rsidRPr="00DA76A7">
        <w:rPr>
          <w:rFonts w:ascii="Arial" w:hAnsi="Arial" w:cs="Arial"/>
          <w:color w:val="000000" w:themeColor="text1"/>
          <w:sz w:val="22"/>
          <w:szCs w:val="22"/>
        </w:rPr>
        <w:softHyphen/>
        <w:t>ми устройствами в порядке установленном ст. 165 УПК РФ. Законодателем были приняты во внимание вопросы правовой ре</w:t>
      </w:r>
      <w:r w:rsidRPr="00DA76A7">
        <w:rPr>
          <w:rFonts w:ascii="Arial" w:hAnsi="Arial" w:cs="Arial"/>
          <w:color w:val="000000" w:themeColor="text1"/>
          <w:sz w:val="22"/>
          <w:szCs w:val="22"/>
        </w:rPr>
        <w:softHyphen/>
        <w:t>гламентации процедуры получения фактически и юридически значимой доказательственной инфор</w:t>
      </w:r>
      <w:r w:rsidRPr="00DA76A7">
        <w:rPr>
          <w:rFonts w:ascii="Arial" w:hAnsi="Arial" w:cs="Arial"/>
          <w:color w:val="000000" w:themeColor="text1"/>
          <w:sz w:val="22"/>
          <w:szCs w:val="22"/>
        </w:rPr>
        <w:softHyphen/>
        <w:t>мации об использовании электронных сведений при подготовке, совершении и сокрытии престу</w:t>
      </w:r>
      <w:r w:rsidRPr="00DA76A7">
        <w:rPr>
          <w:rFonts w:ascii="Arial" w:hAnsi="Arial" w:cs="Arial"/>
          <w:color w:val="000000" w:themeColor="text1"/>
          <w:sz w:val="22"/>
          <w:szCs w:val="22"/>
        </w:rPr>
        <w:softHyphen/>
        <w:t>пления в следственных органов. Под информацией о соединениях между абонентами понимается не только детализация входящих и исходящих звонков и данных об або</w:t>
      </w:r>
      <w:r w:rsidRPr="00DA76A7">
        <w:rPr>
          <w:rFonts w:ascii="Arial" w:hAnsi="Arial" w:cs="Arial"/>
          <w:color w:val="000000" w:themeColor="text1"/>
          <w:sz w:val="22"/>
          <w:szCs w:val="22"/>
        </w:rPr>
        <w:softHyphen/>
        <w:t>нентах и их телефонных аппаратах, но и сведения о номерах и месте расположения приемо-передающих базовых станций [2.].</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Важно отметить, что в уголовном судопроизводстве Российской Федерации сложи</w:t>
      </w:r>
      <w:r w:rsidRPr="00DA76A7">
        <w:rPr>
          <w:rFonts w:ascii="Arial" w:hAnsi="Arial" w:cs="Arial"/>
          <w:color w:val="000000" w:themeColor="text1"/>
          <w:sz w:val="22"/>
          <w:szCs w:val="22"/>
        </w:rPr>
        <w:softHyphen/>
        <w:t>лась неоднозначная практика производства изъятия электронной информации. В связи с отсутствием достаточного количества способов регламентации сбора электронной ин</w:t>
      </w:r>
      <w:r w:rsidRPr="00DA76A7">
        <w:rPr>
          <w:rFonts w:ascii="Arial" w:hAnsi="Arial" w:cs="Arial"/>
          <w:color w:val="000000" w:themeColor="text1"/>
          <w:sz w:val="22"/>
          <w:szCs w:val="22"/>
        </w:rPr>
        <w:softHyphen/>
        <w:t>формации возникают проблемы в право применении их.</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Прежде всего, важно отметить, что «киберпространство» или иными словами интернет пространство, определяемое как уникальная среда, которая не имеет расположенная в географическом пространстве, но доступная каждому в любой точке мира посредством доступа через сеть Интернет все чаще используется лицами, осуществляющими криминальную деятельность в преступных целях. Киберпреступность как порождение современной криминальной среды признается серьезной угрозой безопасности на международном уровне. Отмечается, что при совершении преступлений посредством киберпространства меняется его характеристика. За счет того что глобальная сеть обладает уникальными возможностями, изменяется качество преступления, что не может не отразиться на степени его общественной опасности [5, 30]. В современных исследованиях киберпространство рассматривается как средство и как место совершения преступления [3].</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Непосредственный объект преступления, предусмотренного ст. 138 УК РФ образуют общественные отношения, связанные с тайной переписки, телефонных переговоров, почтовых, телеграфных или иных сообщений. Предметом данного преступления, по мнению правоведов, следует признавать письма, бланки телеграмм и т. п.[5, 121]. </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Предметом преступных посягательств на тайну переписки и иных сообщений, совершаемых в киберпространстве, таким образом, являются конфиденциальные сообщения лица, передаваемые с помощью электронной почты или при помощи мессенджеров.</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Обнаружение факта нарушения тайны переписки и иных сооб</w:t>
      </w:r>
      <w:r w:rsidRPr="00DA76A7">
        <w:rPr>
          <w:rFonts w:ascii="Arial" w:hAnsi="Arial" w:cs="Arial"/>
          <w:color w:val="000000" w:themeColor="text1"/>
          <w:sz w:val="22"/>
          <w:szCs w:val="22"/>
        </w:rPr>
        <w:softHyphen/>
        <w:t>щений, передаваемых при помощи электронной почты или при помощи мессенджеров происходит в результате:</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w:t>
      </w:r>
      <w:r w:rsidRPr="00DA76A7">
        <w:rPr>
          <w:rFonts w:ascii="Arial" w:hAnsi="Arial" w:cs="Arial"/>
          <w:color w:val="000000" w:themeColor="text1"/>
        </w:rPr>
        <w:t xml:space="preserve"> </w:t>
      </w:r>
      <w:r w:rsidRPr="00DA76A7">
        <w:rPr>
          <w:rFonts w:ascii="Arial" w:hAnsi="Arial" w:cs="Arial"/>
          <w:color w:val="000000" w:themeColor="text1"/>
          <w:sz w:val="22"/>
          <w:szCs w:val="22"/>
        </w:rPr>
        <w:t>неоднократных неудачных попыток входа пользователя на свой электронный почтовый ящик либо на свою страничку в социальной сети.  В данном случае на экране дисплея мо</w:t>
      </w:r>
      <w:r w:rsidRPr="00DA76A7">
        <w:rPr>
          <w:rFonts w:ascii="Arial" w:hAnsi="Arial" w:cs="Arial"/>
          <w:color w:val="000000" w:themeColor="text1"/>
          <w:sz w:val="22"/>
          <w:szCs w:val="22"/>
        </w:rPr>
        <w:softHyphen/>
        <w:t>жет появляться сообщение системы о том, что вводимый при автори</w:t>
      </w:r>
      <w:r w:rsidRPr="00DA76A7">
        <w:rPr>
          <w:rFonts w:ascii="Arial" w:hAnsi="Arial" w:cs="Arial"/>
          <w:color w:val="000000" w:themeColor="text1"/>
          <w:sz w:val="22"/>
          <w:szCs w:val="22"/>
        </w:rPr>
        <w:softHyphen/>
        <w:t>зации пароль не верен. Попытки восстановить пароль, следуя пошаго</w:t>
      </w:r>
      <w:r w:rsidRPr="00DA76A7">
        <w:rPr>
          <w:rFonts w:ascii="Arial" w:hAnsi="Arial" w:cs="Arial"/>
          <w:color w:val="000000" w:themeColor="text1"/>
          <w:sz w:val="22"/>
          <w:szCs w:val="22"/>
        </w:rPr>
        <w:softHyphen/>
        <w:t>вой инструкции электронного почтового сервера не приносят успеха;</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w:t>
      </w:r>
      <w:r w:rsidRPr="00DA76A7">
        <w:rPr>
          <w:rFonts w:ascii="Arial" w:hAnsi="Arial" w:cs="Arial"/>
          <w:color w:val="000000" w:themeColor="text1"/>
        </w:rPr>
        <w:t xml:space="preserve"> </w:t>
      </w:r>
      <w:r w:rsidRPr="00DA76A7">
        <w:rPr>
          <w:rFonts w:ascii="Arial" w:hAnsi="Arial" w:cs="Arial"/>
          <w:color w:val="000000" w:themeColor="text1"/>
          <w:sz w:val="22"/>
          <w:szCs w:val="22"/>
        </w:rPr>
        <w:t>получения информации от других пользователей о приходящих с почтового ящика либо с социальной странички потерпевшего «неадекватных» сообщениях, иногда содержащих персональные данные, личные фотографии, оскорбитель</w:t>
      </w:r>
      <w:r w:rsidRPr="00DA76A7">
        <w:rPr>
          <w:rFonts w:ascii="Arial" w:hAnsi="Arial" w:cs="Arial"/>
          <w:color w:val="000000" w:themeColor="text1"/>
          <w:sz w:val="22"/>
          <w:szCs w:val="22"/>
        </w:rPr>
        <w:softHyphen/>
        <w:t>ные высказывания, предложения об оказании интимных услуг и т. д.</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данным исследования, обнаружив факт нарушения тайны пе</w:t>
      </w:r>
      <w:r w:rsidRPr="00DA76A7">
        <w:rPr>
          <w:rFonts w:ascii="Arial" w:hAnsi="Arial" w:cs="Arial"/>
          <w:color w:val="000000" w:themeColor="text1"/>
          <w:sz w:val="22"/>
          <w:szCs w:val="22"/>
        </w:rPr>
        <w:softHyphen/>
        <w:t>реписки и иных сообщений, потерпевший может лично пытаться вос</w:t>
      </w:r>
      <w:r w:rsidRPr="00DA76A7">
        <w:rPr>
          <w:rFonts w:ascii="Arial" w:hAnsi="Arial" w:cs="Arial"/>
          <w:color w:val="000000" w:themeColor="text1"/>
          <w:sz w:val="22"/>
          <w:szCs w:val="22"/>
        </w:rPr>
        <w:softHyphen/>
        <w:t>станавливать доступ к принадлежащему ему электронному почтово</w:t>
      </w:r>
      <w:r w:rsidRPr="00DA76A7">
        <w:rPr>
          <w:rFonts w:ascii="Arial" w:hAnsi="Arial" w:cs="Arial"/>
          <w:color w:val="000000" w:themeColor="text1"/>
          <w:sz w:val="22"/>
          <w:szCs w:val="22"/>
        </w:rPr>
        <w:softHyphen/>
        <w:t>му ящику через службу технической поддержки электронного почто</w:t>
      </w:r>
      <w:r w:rsidRPr="00DA76A7">
        <w:rPr>
          <w:rFonts w:ascii="Arial" w:hAnsi="Arial" w:cs="Arial"/>
          <w:color w:val="000000" w:themeColor="text1"/>
          <w:sz w:val="22"/>
          <w:szCs w:val="22"/>
        </w:rPr>
        <w:softHyphen/>
        <w:t>вого сервера, а также обращается в правоохранительные органы с за</w:t>
      </w:r>
      <w:r w:rsidRPr="00DA76A7">
        <w:rPr>
          <w:rFonts w:ascii="Arial" w:hAnsi="Arial" w:cs="Arial"/>
          <w:color w:val="000000" w:themeColor="text1"/>
          <w:sz w:val="22"/>
          <w:szCs w:val="22"/>
        </w:rPr>
        <w:softHyphen/>
        <w:t>явлением о привлечении виновных к уголовной ответственности. Проведением предварительной проверки по фактам нарушения тайны сообщений, совершенных в киберпространстве, занимаются сотруд</w:t>
      </w:r>
      <w:r w:rsidRPr="00DA76A7">
        <w:rPr>
          <w:rFonts w:ascii="Arial" w:hAnsi="Arial" w:cs="Arial"/>
          <w:color w:val="000000" w:themeColor="text1"/>
          <w:sz w:val="22"/>
          <w:szCs w:val="22"/>
        </w:rPr>
        <w:softHyphen/>
        <w:t>ники специализирующегося на выявлении и расследовании преступ</w:t>
      </w:r>
      <w:r w:rsidRPr="00DA76A7">
        <w:rPr>
          <w:rFonts w:ascii="Arial" w:hAnsi="Arial" w:cs="Arial"/>
          <w:color w:val="000000" w:themeColor="text1"/>
          <w:sz w:val="22"/>
          <w:szCs w:val="22"/>
        </w:rPr>
        <w:softHyphen/>
        <w:t>лений в сфере высоких технологий отдела «К» службы технических мероприятий МВД России.</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Учитывая, что в большинстве уголовных дел преступником ока</w:t>
      </w:r>
      <w:r w:rsidRPr="00DA76A7">
        <w:rPr>
          <w:rFonts w:ascii="Arial" w:hAnsi="Arial" w:cs="Arial"/>
          <w:color w:val="000000" w:themeColor="text1"/>
          <w:sz w:val="22"/>
          <w:szCs w:val="22"/>
        </w:rPr>
        <w:softHyphen/>
        <w:t>зывался известный потерпевшему человек (бывший супруг, сожи</w:t>
      </w:r>
      <w:r w:rsidRPr="00DA76A7">
        <w:rPr>
          <w:rFonts w:ascii="Arial" w:hAnsi="Arial" w:cs="Arial"/>
          <w:color w:val="000000" w:themeColor="text1"/>
          <w:sz w:val="22"/>
          <w:szCs w:val="22"/>
        </w:rPr>
        <w:softHyphen/>
        <w:t>тель, знакомый, родственник, коллега по работе и т. д.), в ходе полу</w:t>
      </w:r>
      <w:r w:rsidRPr="00DA76A7">
        <w:rPr>
          <w:rFonts w:ascii="Arial" w:hAnsi="Arial" w:cs="Arial"/>
          <w:color w:val="000000" w:themeColor="text1"/>
          <w:sz w:val="22"/>
          <w:szCs w:val="22"/>
        </w:rPr>
        <w:softHyphen/>
        <w:t>чения первых показаний от потерпевшего можно приблизительно очертить круг подозреваемых. Помочь выявить лиц, причастных к совершению преступления, может установление фактов межличност</w:t>
      </w:r>
      <w:r w:rsidRPr="00DA76A7">
        <w:rPr>
          <w:rFonts w:ascii="Arial" w:hAnsi="Arial" w:cs="Arial"/>
          <w:color w:val="000000" w:themeColor="text1"/>
          <w:sz w:val="22"/>
          <w:szCs w:val="22"/>
        </w:rPr>
        <w:softHyphen/>
        <w:t>ных конфликтов потерпевшего, произошедших в период времени, непосредственно предшествующего совершению преступного пося</w:t>
      </w:r>
      <w:r w:rsidRPr="00DA76A7">
        <w:rPr>
          <w:rFonts w:ascii="Arial" w:hAnsi="Arial" w:cs="Arial"/>
          <w:color w:val="000000" w:themeColor="text1"/>
          <w:sz w:val="22"/>
          <w:szCs w:val="22"/>
        </w:rPr>
        <w:softHyphen/>
        <w:t>гательства в семье, среди знакомых, в трудовом коллективе, а также появление новых контактов.</w:t>
      </w:r>
    </w:p>
    <w:p w:rsidR="005A7125" w:rsidRPr="00DA76A7" w:rsidRDefault="005A7125" w:rsidP="005A7125">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Важно отметить</w:t>
      </w:r>
      <w:r w:rsidRPr="00DA76A7">
        <w:rPr>
          <w:rFonts w:ascii="Arial" w:hAnsi="Arial" w:cs="Arial"/>
          <w:color w:val="000000" w:themeColor="text1"/>
        </w:rPr>
        <w:t>,</w:t>
      </w:r>
      <w:r w:rsidRPr="00DA76A7">
        <w:rPr>
          <w:rFonts w:ascii="Arial" w:hAnsi="Arial" w:cs="Arial"/>
          <w:color w:val="000000" w:themeColor="text1"/>
          <w:sz w:val="22"/>
          <w:szCs w:val="22"/>
        </w:rPr>
        <w:t xml:space="preserve"> что информационные технологии в настоящее время развиваются очень высокими темпами, и законодатели просто не успевают принимать адекватные реальности законы. Однако не стоит забывать, что уже в 2011 г. в России насчитывалось 46 % интернет-пользователей, 33 % из которых являлись активными, и эта цифра постоянно растет [4]. И каждый раз, когда жители России выходят в виртуальную сеть, их права и свободы подвергаются реальным угрозам.</w:t>
      </w:r>
    </w:p>
    <w:p w:rsidR="005A7125" w:rsidRPr="00DA76A7" w:rsidRDefault="005A7125" w:rsidP="005A7125">
      <w:pPr>
        <w:ind w:firstLine="567"/>
        <w:jc w:val="both"/>
        <w:rPr>
          <w:rFonts w:ascii="Arial" w:hAnsi="Arial" w:cs="Arial"/>
          <w:color w:val="000000" w:themeColor="text1"/>
          <w:sz w:val="22"/>
          <w:szCs w:val="22"/>
        </w:rPr>
      </w:pPr>
    </w:p>
    <w:p w:rsidR="005A7125" w:rsidRPr="00DA76A7" w:rsidRDefault="005A7125" w:rsidP="005A7125">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A7125" w:rsidRPr="00DA76A7" w:rsidRDefault="005A7125" w:rsidP="005A7125">
      <w:pPr>
        <w:pStyle w:val="a6"/>
        <w:numPr>
          <w:ilvl w:val="2"/>
          <w:numId w:val="16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Российской Федерации. – М.: Юридическая литература, 1993.  </w:t>
      </w:r>
    </w:p>
    <w:p w:rsidR="005A7125" w:rsidRPr="00DA76A7" w:rsidRDefault="005A7125" w:rsidP="005A7125">
      <w:pPr>
        <w:pStyle w:val="a6"/>
        <w:numPr>
          <w:ilvl w:val="2"/>
          <w:numId w:val="16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Уголовный процессуальный Кодекс Российской Федерации от 18 декабря 2001 года (ред. от 29 июля 2017г.) [Электронный ресурс].- Режим доступа: </w:t>
      </w:r>
      <w:hyperlink r:id="rId334"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consultant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document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w:t>
        </w:r>
        <w:r w:rsidRPr="00DA76A7">
          <w:rPr>
            <w:rStyle w:val="af0"/>
            <w:rFonts w:ascii="Arial" w:hAnsi="Arial" w:cs="Arial"/>
            <w:color w:val="000000" w:themeColor="text1"/>
            <w:u w:val="none"/>
          </w:rPr>
          <w:t>_</w:t>
        </w:r>
        <w:r w:rsidRPr="00DA76A7">
          <w:rPr>
            <w:rStyle w:val="af0"/>
            <w:rFonts w:ascii="Arial" w:hAnsi="Arial" w:cs="Arial"/>
            <w:color w:val="000000" w:themeColor="text1"/>
            <w:u w:val="none"/>
            <w:lang w:val="en-US"/>
          </w:rPr>
          <w:t>doc</w:t>
        </w:r>
        <w:r w:rsidRPr="00DA76A7">
          <w:rPr>
            <w:rStyle w:val="af0"/>
            <w:rFonts w:ascii="Arial" w:hAnsi="Arial" w:cs="Arial"/>
            <w:color w:val="000000" w:themeColor="text1"/>
            <w:u w:val="none"/>
          </w:rPr>
          <w:t>_</w:t>
        </w:r>
        <w:r w:rsidRPr="00DA76A7">
          <w:rPr>
            <w:rStyle w:val="af0"/>
            <w:rFonts w:ascii="Arial" w:hAnsi="Arial" w:cs="Arial"/>
            <w:color w:val="000000" w:themeColor="text1"/>
            <w:u w:val="none"/>
            <w:lang w:val="en-US"/>
          </w:rPr>
          <w:t>LAW</w:t>
        </w:r>
        <w:r w:rsidRPr="00DA76A7">
          <w:rPr>
            <w:rStyle w:val="af0"/>
            <w:rFonts w:ascii="Arial" w:hAnsi="Arial" w:cs="Arial"/>
            <w:color w:val="000000" w:themeColor="text1"/>
            <w:u w:val="none"/>
          </w:rPr>
          <w:t>_34481</w:t>
        </w:r>
      </w:hyperlink>
      <w:r w:rsidRPr="00DA76A7">
        <w:rPr>
          <w:rFonts w:ascii="Arial" w:hAnsi="Arial" w:cs="Arial"/>
          <w:color w:val="000000" w:themeColor="text1"/>
        </w:rPr>
        <w:t xml:space="preserve"> (дата обращения: 17.04.2018г.) </w:t>
      </w:r>
    </w:p>
    <w:p w:rsidR="005A7125" w:rsidRPr="00DA76A7" w:rsidRDefault="005A7125" w:rsidP="005A7125">
      <w:pPr>
        <w:pStyle w:val="a6"/>
        <w:numPr>
          <w:ilvl w:val="2"/>
          <w:numId w:val="16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Гайфутдинов Р.Р. Уголовно-правовая характери</w:t>
      </w:r>
      <w:r w:rsidRPr="00DA76A7">
        <w:rPr>
          <w:rFonts w:ascii="Arial" w:hAnsi="Arial" w:cs="Arial"/>
          <w:color w:val="000000" w:themeColor="text1"/>
        </w:rPr>
        <w:softHyphen/>
        <w:t>стика посягательств на персональные данные, обрабатываемые в автоматизированных систе</w:t>
      </w:r>
      <w:r w:rsidRPr="00DA76A7">
        <w:rPr>
          <w:rFonts w:ascii="Arial" w:hAnsi="Arial" w:cs="Arial"/>
          <w:color w:val="000000" w:themeColor="text1"/>
        </w:rPr>
        <w:softHyphen/>
        <w:t>мах // Учен. зап. Казан. ун-та. Сер. Гуманит. на</w:t>
      </w:r>
      <w:r w:rsidRPr="00DA76A7">
        <w:rPr>
          <w:rFonts w:ascii="Arial" w:hAnsi="Arial" w:cs="Arial"/>
          <w:color w:val="000000" w:themeColor="text1"/>
        </w:rPr>
        <w:softHyphen/>
        <w:t>уки. - 2014. - Т. 156, кн. 4. - С.- 158-165.</w:t>
      </w:r>
    </w:p>
    <w:p w:rsidR="005A7125" w:rsidRPr="00DA76A7" w:rsidRDefault="005A7125" w:rsidP="005A7125">
      <w:pPr>
        <w:pStyle w:val="a6"/>
        <w:numPr>
          <w:ilvl w:val="2"/>
          <w:numId w:val="16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Дремлюга Р. И. Интернет как способ и средство совершения преступления // Информационное право. - 2008. - № 4. - С. -27-31.</w:t>
      </w:r>
    </w:p>
    <w:p w:rsidR="005A7125" w:rsidRPr="00DA76A7" w:rsidRDefault="005A7125" w:rsidP="005A7125">
      <w:pPr>
        <w:pStyle w:val="a6"/>
        <w:numPr>
          <w:ilvl w:val="2"/>
          <w:numId w:val="16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Киберпреступность: криминологический, уголовно-правовой, уголовно-процессуальный и криминалистический анализ / под науч. ред. И. Г. Смирновой. М. : Юрлитинформ, 2016. - 312 с.</w:t>
      </w:r>
    </w:p>
    <w:p w:rsidR="005A7125" w:rsidRPr="00DA76A7" w:rsidRDefault="005A7125" w:rsidP="005A7125">
      <w:pPr>
        <w:pStyle w:val="a6"/>
        <w:tabs>
          <w:tab w:val="left" w:pos="851"/>
        </w:tabs>
        <w:spacing w:after="0" w:line="240" w:lineRule="auto"/>
        <w:ind w:left="0" w:firstLine="567"/>
        <w:jc w:val="both"/>
        <w:rPr>
          <w:rFonts w:ascii="Arial" w:hAnsi="Arial" w:cs="Arial"/>
          <w:color w:val="000000" w:themeColor="text1"/>
        </w:rPr>
      </w:pPr>
    </w:p>
    <w:p w:rsidR="005A7125" w:rsidRPr="00DA76A7" w:rsidRDefault="005A7125" w:rsidP="005A7125">
      <w:pPr>
        <w:pStyle w:val="28"/>
        <w:tabs>
          <w:tab w:val="left" w:pos="851"/>
        </w:tabs>
        <w:spacing w:line="240" w:lineRule="auto"/>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592BC2" w:rsidRPr="00DA76A7" w:rsidRDefault="00592BC2" w:rsidP="00592BC2">
      <w:pPr>
        <w:tabs>
          <w:tab w:val="left" w:pos="142"/>
          <w:tab w:val="left" w:pos="851"/>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СПРАВЕДЛИВОСТЬ КАК УГОЛОВНО-ПРОЦЕССУАЛЬНАЯ КАТЕГОРИЯ В УГОЛОВНО-ПРОЦССУАЛЬНОМ ЗАКОНОДАТЕЛЬСТВЕ РЕСПУБЛИКИ ТАДЖИКИСТАН</w:t>
      </w:r>
    </w:p>
    <w:p w:rsidR="00592BC2" w:rsidRPr="00DA76A7" w:rsidRDefault="00592BC2" w:rsidP="00592BC2">
      <w:pPr>
        <w:tabs>
          <w:tab w:val="left" w:pos="142"/>
          <w:tab w:val="left" w:pos="851"/>
        </w:tabs>
        <w:ind w:firstLine="567"/>
        <w:jc w:val="center"/>
        <w:rPr>
          <w:rFonts w:ascii="Arial" w:hAnsi="Arial" w:cs="Arial"/>
          <w:b/>
          <w:color w:val="000000" w:themeColor="text1"/>
          <w:sz w:val="22"/>
          <w:szCs w:val="22"/>
        </w:rPr>
      </w:pPr>
    </w:p>
    <w:p w:rsidR="00592BC2" w:rsidRPr="00DA76A7" w:rsidRDefault="00592BC2" w:rsidP="00592BC2">
      <w:pPr>
        <w:tabs>
          <w:tab w:val="left" w:pos="142"/>
          <w:tab w:val="left" w:pos="851"/>
        </w:tabs>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Хайдарова Насиба Шарофовна</w:t>
      </w:r>
    </w:p>
    <w:p w:rsidR="00592BC2" w:rsidRPr="00DA76A7" w:rsidRDefault="00592BC2" w:rsidP="00592BC2">
      <w:pPr>
        <w:tabs>
          <w:tab w:val="left" w:pos="142"/>
          <w:tab w:val="left" w:pos="851"/>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студентка 3-го курса юридического факультета </w:t>
      </w:r>
    </w:p>
    <w:p w:rsidR="00592BC2" w:rsidRPr="00DA76A7" w:rsidRDefault="00592BC2" w:rsidP="00592BC2">
      <w:pPr>
        <w:tabs>
          <w:tab w:val="left" w:pos="142"/>
          <w:tab w:val="left" w:pos="851"/>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tabs>
          <w:tab w:val="left" w:pos="851"/>
        </w:tabs>
        <w:ind w:firstLine="567"/>
        <w:jc w:val="center"/>
        <w:rPr>
          <w:rFonts w:ascii="Arial" w:hAnsi="Arial" w:cs="Arial"/>
          <w:color w:val="000000" w:themeColor="text1"/>
          <w:sz w:val="22"/>
          <w:szCs w:val="22"/>
        </w:rPr>
      </w:pPr>
      <w:r w:rsidRPr="00DA76A7">
        <w:rPr>
          <w:rFonts w:ascii="Arial" w:hAnsi="Arial" w:cs="Arial"/>
          <w:bCs/>
          <w:color w:val="000000" w:themeColor="text1"/>
          <w:sz w:val="22"/>
          <w:szCs w:val="22"/>
        </w:rPr>
        <w:t>734025, Республика Таджикистан, г. Душанбе, ул. М. Турсунзаде, 30</w:t>
      </w:r>
    </w:p>
    <w:p w:rsidR="00592BC2" w:rsidRPr="00DA76A7" w:rsidRDefault="00592BC2" w:rsidP="00592BC2">
      <w:pPr>
        <w:tabs>
          <w:tab w:val="left" w:pos="851"/>
        </w:tabs>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 501-03-47-44,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lang w:val="en-US"/>
        </w:rPr>
        <w:t>haidarovanasiba</w:t>
      </w:r>
      <w:r w:rsidRPr="00DA76A7">
        <w:rPr>
          <w:rFonts w:ascii="Arial" w:hAnsi="Arial" w:cs="Arial"/>
          <w:color w:val="000000" w:themeColor="text1"/>
          <w:sz w:val="22"/>
          <w:szCs w:val="22"/>
          <w:shd w:val="clear" w:color="auto" w:fill="FFFFFF"/>
        </w:rPr>
        <w:t>96@</w:t>
      </w:r>
      <w:r w:rsidRPr="00DA76A7">
        <w:rPr>
          <w:rFonts w:ascii="Arial" w:hAnsi="Arial" w:cs="Arial"/>
          <w:color w:val="000000" w:themeColor="text1"/>
          <w:sz w:val="22"/>
          <w:szCs w:val="22"/>
          <w:shd w:val="clear" w:color="auto" w:fill="FFFFFF"/>
          <w:lang w:val="en-US"/>
        </w:rPr>
        <w:t>gmail</w:t>
      </w:r>
      <w:r w:rsidRPr="00DA76A7">
        <w:rPr>
          <w:rFonts w:ascii="Arial" w:hAnsi="Arial" w:cs="Arial"/>
          <w:color w:val="000000" w:themeColor="text1"/>
          <w:sz w:val="22"/>
          <w:szCs w:val="22"/>
          <w:shd w:val="clear" w:color="auto" w:fill="FFFFFF"/>
        </w:rPr>
        <w:t>.</w:t>
      </w:r>
      <w:r w:rsidRPr="00DA76A7">
        <w:rPr>
          <w:rFonts w:ascii="Arial" w:hAnsi="Arial" w:cs="Arial"/>
          <w:color w:val="000000" w:themeColor="text1"/>
          <w:sz w:val="22"/>
          <w:szCs w:val="22"/>
          <w:shd w:val="clear" w:color="auto" w:fill="FFFFFF"/>
          <w:lang w:val="en-US"/>
        </w:rPr>
        <w:t>com</w:t>
      </w:r>
    </w:p>
    <w:p w:rsidR="00592BC2" w:rsidRPr="00DA76A7" w:rsidRDefault="00592BC2" w:rsidP="00592BC2">
      <w:pPr>
        <w:tabs>
          <w:tab w:val="left" w:pos="142"/>
          <w:tab w:val="left" w:pos="851"/>
        </w:tabs>
        <w:ind w:firstLine="567"/>
        <w:jc w:val="center"/>
        <w:rPr>
          <w:rFonts w:ascii="Arial" w:hAnsi="Arial" w:cs="Arial"/>
          <w:color w:val="000000" w:themeColor="text1"/>
          <w:sz w:val="22"/>
          <w:szCs w:val="22"/>
        </w:rPr>
      </w:pP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JUSTICE AS A CRIMINAL PROCEDURAL CATEGORY IN THE CRIMINAL-PROCEDURE LEGISLATION OF THE REPUBLIC OF TAJIKISTAN</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Arial" w:hAnsi="Arial" w:cs="Arial"/>
          <w:b/>
          <w:color w:val="000000" w:themeColor="text1"/>
          <w:sz w:val="22"/>
          <w:szCs w:val="22"/>
          <w:lang w:val="en-US"/>
        </w:rPr>
      </w:pP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Khaidarova Nasiba Sharofovna</w:t>
      </w:r>
    </w:p>
    <w:p w:rsidR="00592BC2" w:rsidRPr="00DA76A7" w:rsidRDefault="00592BC2" w:rsidP="00592BC2">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shd w:val="clear" w:color="auto" w:fill="FFFFFF"/>
          <w:lang w:val="en-US"/>
        </w:rPr>
        <w:t>third-year student</w:t>
      </w:r>
      <w:r w:rsidRPr="00DA76A7">
        <w:rPr>
          <w:rFonts w:ascii="Arial" w:hAnsi="Arial" w:cs="Arial"/>
          <w:color w:val="000000" w:themeColor="text1"/>
          <w:sz w:val="22"/>
          <w:szCs w:val="22"/>
          <w:lang w:val="en-US"/>
        </w:rPr>
        <w:t>of the Faculty of Law</w:t>
      </w:r>
    </w:p>
    <w:p w:rsidR="00592BC2" w:rsidRPr="00DA76A7" w:rsidRDefault="00592BC2" w:rsidP="00592BC2">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592BC2" w:rsidRPr="00DA76A7" w:rsidRDefault="00592BC2" w:rsidP="00592BC2">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592BC2" w:rsidRPr="00DA76A7" w:rsidRDefault="00592BC2" w:rsidP="00592BC2">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(+992) 501-03-47-44, e-mail: </w:t>
      </w:r>
      <w:r w:rsidRPr="00DA76A7">
        <w:rPr>
          <w:rFonts w:ascii="Arial" w:hAnsi="Arial" w:cs="Arial"/>
          <w:color w:val="000000" w:themeColor="text1"/>
          <w:sz w:val="22"/>
          <w:szCs w:val="22"/>
          <w:shd w:val="clear" w:color="auto" w:fill="FFFFFF"/>
          <w:lang w:val="en-US"/>
        </w:rPr>
        <w:t>haidarovanasiba96@gmail.com</w:t>
      </w:r>
    </w:p>
    <w:p w:rsidR="00592BC2" w:rsidRPr="00DA76A7" w:rsidRDefault="00592BC2" w:rsidP="00592BC2">
      <w:pPr>
        <w:tabs>
          <w:tab w:val="left" w:pos="142"/>
          <w:tab w:val="left" w:pos="851"/>
        </w:tabs>
        <w:ind w:firstLine="567"/>
        <w:jc w:val="right"/>
        <w:rPr>
          <w:rFonts w:ascii="Arial" w:hAnsi="Arial" w:cs="Arial"/>
          <w:b/>
          <w:color w:val="000000" w:themeColor="text1"/>
          <w:sz w:val="22"/>
          <w:szCs w:val="22"/>
          <w:lang w:val="en-US"/>
        </w:rPr>
      </w:pPr>
    </w:p>
    <w:p w:rsidR="00592BC2" w:rsidRPr="00DA76A7" w:rsidRDefault="00592BC2" w:rsidP="00592BC2">
      <w:pPr>
        <w:tabs>
          <w:tab w:val="left" w:pos="142"/>
          <w:tab w:val="left" w:pos="851"/>
        </w:tabs>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ст. преподаватель Парфёнов А.А.</w:t>
      </w:r>
    </w:p>
    <w:p w:rsidR="00592BC2" w:rsidRPr="00DA76A7" w:rsidRDefault="00592BC2" w:rsidP="00592BC2">
      <w:pPr>
        <w:tabs>
          <w:tab w:val="left" w:pos="142"/>
          <w:tab w:val="left" w:pos="851"/>
        </w:tabs>
        <w:ind w:firstLine="567"/>
        <w:jc w:val="center"/>
        <w:rPr>
          <w:rFonts w:ascii="Arial" w:hAnsi="Arial" w:cs="Arial"/>
          <w:color w:val="000000" w:themeColor="text1"/>
          <w:sz w:val="22"/>
          <w:szCs w:val="22"/>
        </w:rPr>
      </w:pPr>
    </w:p>
    <w:p w:rsidR="00592BC2" w:rsidRPr="00DA76A7" w:rsidRDefault="00592BC2" w:rsidP="00592BC2">
      <w:pPr>
        <w:tabs>
          <w:tab w:val="left" w:pos="142"/>
          <w:tab w:val="left" w:pos="851"/>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настоящей статье, на основании международных нормативно-правовых актов, а также законодательства Республики Таджикистан и Российской Федерации, и научных работ, проводится анализ понятия справедливости уголовного судопроизводства Республики Таджикистан. В работе, на основании проведенного исследования, делается ряд выводов и предложений по совершенствованию законодательства и практики уголовного судопроизводства.</w:t>
      </w:r>
    </w:p>
    <w:p w:rsidR="00592BC2" w:rsidRPr="00DA76A7" w:rsidRDefault="00592BC2" w:rsidP="00592BC2">
      <w:pPr>
        <w:pStyle w:val="HTML"/>
        <w:shd w:val="clear" w:color="auto" w:fill="FFFFFF"/>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this article, based on international legal acts, as well as the legislation of the Republic of Tajikistan and the Russian Federation and scientific works, an analysis of the concept of fair trial justice of the Republic of Tajikistan is conducted. In the work, on the basis of the conducted research, a number of conclusions and proposals are made to improve the legislation and practice of criminal justice.</w:t>
      </w:r>
    </w:p>
    <w:p w:rsidR="00592BC2" w:rsidRPr="00DA76A7" w:rsidRDefault="00592BC2" w:rsidP="00592BC2">
      <w:pPr>
        <w:tabs>
          <w:tab w:val="left" w:pos="142"/>
          <w:tab w:val="left" w:pos="851"/>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Справедливость, суд, уголовное судопроизводство, правосудие, доказательства. </w:t>
      </w:r>
    </w:p>
    <w:p w:rsidR="00592BC2" w:rsidRPr="00DA76A7" w:rsidRDefault="00592BC2" w:rsidP="00592BC2">
      <w:pPr>
        <w:tabs>
          <w:tab w:val="left" w:pos="142"/>
          <w:tab w:val="left" w:pos="851"/>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shd w:val="clear" w:color="auto" w:fill="FFFFFF"/>
          <w:lang w:val="en-US"/>
        </w:rPr>
        <w:t>Justice, court, criminal justice, justice, evidence.</w:t>
      </w:r>
    </w:p>
    <w:p w:rsidR="00592BC2" w:rsidRPr="00DA76A7" w:rsidRDefault="00592BC2" w:rsidP="00592BC2">
      <w:pPr>
        <w:ind w:firstLine="567"/>
        <w:jc w:val="both"/>
        <w:rPr>
          <w:rFonts w:ascii="Arial" w:hAnsi="Arial" w:cs="Arial"/>
          <w:i/>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Справедливость – это понятие о «должном» морально-правовом и политическом восприятии общества. Правосудие неотъемлемо от справедливости, и потому слово «справедливость» означает у В.И. Даля правду, правосудие, а справедливый – правильный, сделанный законно, по правде; по совести, по правоте [12, 617].</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Требование справедливости приговора формулируется в уголовно-процессуальном законе государства. В частности, в Уголовно-процессуальном кодексе Российской Федерации [9] (далее по тексту – УПК РФ), в ч. 1 ст. 297 регламентировано: «Приговор суда должен быть законным, обоснованным и справедливым». А в Республики Таджикистан, данное требование в Уголовно-процессуальном кодексе Республики Таджикистан [8] (далее по тексту – УПК РТ) не закреплено. При этом, оно закреплено в ч. 2 ст. 4 Конституционного Закона Республики Таджикистан «О Судах Республики Таджикистан» [7], в которой говорится: «Задачей суда в Республике Таджикистан является всемерное укрепление законности и обеспечение социальной справедливости».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 смотря на то что в УПК РТ напрямую не закреплен принцип справедливости судебного разбирательства, мы считаем необходимым отметить то обстоятельство, что он образуется из совокупности общих законодательных принципов уголовного процесса, регламентированных УПК РТ, в частности таких как: осуществление правосудия (ст. 7); судебная защита (ст. 8); законность при производстве по уголовным делам (ст. 9); уважение чести и достоинства личности (ст. 10); неприкосновенность личности (ст. 11); охрана прав и свобод личности при производстве по уголовным делам (ст. 12); неприкосновенность жилища (ст. 13); тайна переписки, телефонных переговоров, почтовых и телеграфных сообщений, личные и семейные тайны (ст. 14); презумпция невиновности (ст. 15); равенство граждан перед законом и судом (ст. 16); независимость судей (ст. 17); язык уголовного судопроизводства (ст. 18); гласность судебного разбирательства (ст. 19); состязательность и равноправие сторон (ст. 20); всестороннее, полное и объективное исследование обстоятельств дела (ст. 21); обеспечение подозреваемому, обвиняемому, подсудимому и осужденному права на защиту (ст. 22); право обжалования процессуальных действий и решений (ст. 23) [8].</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rPr>
        <w:t xml:space="preserve">Мы убеждены, что справедливость представляет собой равноправную и целесообразную защиту каждого человека и гражданина со стороны закона. </w:t>
      </w:r>
      <w:r w:rsidRPr="00DA76A7">
        <w:rPr>
          <w:rFonts w:ascii="Arial" w:hAnsi="Arial" w:cs="Arial"/>
          <w:color w:val="000000" w:themeColor="text1"/>
          <w:sz w:val="22"/>
          <w:szCs w:val="22"/>
          <w:lang w:val="tg-Cyrl-TJ"/>
        </w:rPr>
        <w:t xml:space="preserve">Право каждого человека на свободу и личную неприкосновенность должно обеспечивается тем, что заключение под стражу должно допускаться только по судебному решению.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Но </w:t>
      </w:r>
      <w:r w:rsidRPr="00DA76A7">
        <w:rPr>
          <w:rFonts w:ascii="Arial" w:hAnsi="Arial" w:cs="Arial"/>
          <w:color w:val="000000" w:themeColor="text1"/>
          <w:sz w:val="22"/>
          <w:szCs w:val="22"/>
        </w:rPr>
        <w:t xml:space="preserve">в соответствии с ч. 3 ст. 91 УПК РТ, задержание лица производится только на основании возникшего подозрения в совершении преступления; на основании постановления органа уголовного преследования; на основании постановления (определения) суда, судьи о задержании осужденного до разрешения вопроса об отмене условного неприменения наказания, отсрочки исполнения наказания или условно-досрочного освобождения от отбывания наказания. Исходя из данной нормы закона, можно прийти к выводу, что основанием для задержания является не только постановление (определение) суда, но и возникшее подозрение и постановление органа уголовного преследования. При этом согласно </w:t>
      </w:r>
      <w:r w:rsidRPr="00DA76A7">
        <w:rPr>
          <w:rFonts w:ascii="Arial" w:hAnsi="Arial" w:cs="Arial"/>
          <w:color w:val="000000" w:themeColor="text1"/>
          <w:sz w:val="22"/>
          <w:szCs w:val="22"/>
          <w:lang w:val="tg-Cyrl-TJ"/>
        </w:rPr>
        <w:t>ст. 92 УПК РТ, з</w:t>
      </w:r>
      <w:r w:rsidRPr="00DA76A7">
        <w:rPr>
          <w:rFonts w:ascii="Arial" w:hAnsi="Arial" w:cs="Arial"/>
          <w:color w:val="000000" w:themeColor="text1"/>
          <w:sz w:val="22"/>
          <w:szCs w:val="22"/>
        </w:rPr>
        <w:t xml:space="preserve">задержание лица может осуществляться по таким основаниям, как: совершение преступления или непосредственно после его совершения; если очевидцы происшествия, в том числе и лицо, пострадавшее от преступления, прямо указывают на данное лицо, как на совершившее предусмотренное уголовным законом преступление, захватят его; если на теле, одежде или предметах при нем, используемых им вещах, в его жилище, на рабочем месте или в его транспортном средстве обнаружены явные следы, указывающие на его причастность к совершению преступления; если имеются другие достаточные основания подозревать в совершении преступления лицо при условии, что оно пыталось скрыться с места преступления или от органа уголовного преследования или не имеет постоянного места жительства, или проживает в другой местности, или не установлена его личность, не может длиться свыше 72 часов с момента задержания [8].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Вышеизложенное показывает, что понятие «справедливость» в уголовном процессе Республики Таджикистан, регламентируется немного иначе, нежели в общеправовом понимании. В общеправовом понимании справедливость носит основной образ для уголовно-процессуального права: так как в данной правовой категории совпадают юридический пример соответствующего уголовного судопроизводства и социальные запросы на установления судом правды. Юридическая справедливость является критерием любого легитимного процессуального действия, так как является «источником» правильного понимания закона и его применения.</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Для органов власти и правосудия, справедливость равнозначна законности, но при этом к указанным органам существует и недоверие. И вследствии этого обстоятельства, государствам разных стран, адресованы многочисленные общественные вопросы относящиеся к обеспечинию гарантии гражданских прав и справедливости, снижению уровня насилия и социального неравенства.</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В связи с этим, Президент Российской Федерации В.В. Путин, еще в 2012 году отмечал о том что власть не была изолированной категорией. Только тогда создастся стабильная правдивая основа для утверждения порядка и свободы, морали и гражданского сознания </w:t>
      </w:r>
      <w:r w:rsidRPr="00DA76A7">
        <w:rPr>
          <w:rFonts w:ascii="Arial" w:hAnsi="Arial" w:cs="Arial"/>
          <w:color w:val="000000" w:themeColor="text1"/>
          <w:sz w:val="22"/>
          <w:szCs w:val="22"/>
        </w:rPr>
        <w:t>[10]</w:t>
      </w:r>
      <w:r w:rsidRPr="00DA76A7">
        <w:rPr>
          <w:rFonts w:ascii="Arial" w:hAnsi="Arial" w:cs="Arial"/>
          <w:color w:val="000000" w:themeColor="text1"/>
          <w:sz w:val="22"/>
          <w:szCs w:val="22"/>
          <w:lang w:val="tg-Cyrl-TJ"/>
        </w:rPr>
        <w:t>. Так же необходимо заметить, что главным условием истинного правосудия является независимость и беспристрастность суда.</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С момента возникновения суда основными принципами были независимость судей и подчинение их только закону, и принцип организации и деятельности суда. Мы считаем, что эти принципы должны рассматриваться как единое понятие, так как с одной стороны, судьи только тогда могут быть независимыми, если они подчиняются только закону, а с другой стороны - судьи, подчиняющиеся кому-либо еще, кроме закона, способны творить произвол, подрывая тем самым авторитет суда в глазах общества. Согласно п. 6 Основных принципов независимости судебных органов, одобренных резолюциями Генеральной Ассамблеи ООН № 40/32 от 29 ноября 1985 года и № 40/146 от 13 декабря 1985 года, принцип независимости судебных органов дает судебным органам право и требует от них обеспечения справедливого ведения судебного разбирательства и соблюдения прав сторон </w:t>
      </w:r>
      <w:r w:rsidRPr="00DA76A7">
        <w:rPr>
          <w:rFonts w:ascii="Arial" w:hAnsi="Arial" w:cs="Arial"/>
          <w:color w:val="000000" w:themeColor="text1"/>
          <w:sz w:val="22"/>
          <w:szCs w:val="22"/>
        </w:rPr>
        <w:t>[4]</w:t>
      </w:r>
      <w:r w:rsidRPr="00DA76A7">
        <w:rPr>
          <w:rFonts w:ascii="Arial" w:hAnsi="Arial" w:cs="Arial"/>
          <w:color w:val="000000" w:themeColor="text1"/>
          <w:sz w:val="22"/>
          <w:szCs w:val="22"/>
          <w:lang w:val="tg-Cyrl-TJ"/>
        </w:rPr>
        <w:t>.</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Важным для исследования является положение о том, что независимость судей и состязательность сторон являются основой справедливости. Также как, независимость судей и подчинение их только закону является необходимым условием осуществления правдивого правосудия - важнейшей основой формирования правильного внутреннего убеждения судей по рассматриваемому делу. Как отмечал А.Ф. Кони, судья, решая дело, не имеет право говорить: «Я так хочу», а должен говорить: «Я не могу иначе», «не могу потому, что и логика вещей, и внутреннее чувство, и житейская правда, и смысл закона твердо и неуклонно подсказывает мне мое решение, и против всякого другого заговорит моя совесть, как судьи и человека» </w:t>
      </w:r>
      <w:r w:rsidRPr="00DA76A7">
        <w:rPr>
          <w:rFonts w:ascii="Arial" w:hAnsi="Arial" w:cs="Arial"/>
          <w:color w:val="000000" w:themeColor="text1"/>
          <w:sz w:val="22"/>
          <w:szCs w:val="22"/>
        </w:rPr>
        <w:t>[14, 58]</w:t>
      </w:r>
      <w:r w:rsidRPr="00DA76A7">
        <w:rPr>
          <w:rFonts w:ascii="Arial" w:hAnsi="Arial" w:cs="Arial"/>
          <w:color w:val="000000" w:themeColor="text1"/>
          <w:sz w:val="22"/>
          <w:szCs w:val="22"/>
          <w:lang w:val="tg-Cyrl-TJ"/>
        </w:rPr>
        <w:t xml:space="preserve">.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Придерживаясь, данного положения мы считаем, что такое мировоззрение судей возможно только на основе их подлинной независимости, понимаемой правильно как самими судьями, так и людьми. Независимость судей нельзя воспринимать как состоявшуюся категорию, так как судьи осуществляют государственную деятельность и сами являются признаком государства. В этой категории независимость судей не означает их безосновательного отношения к выполнению своих обязанностей.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Что касается состязательности в уголовном судопроизводстве, то состязательность означает строгое ограничение задачи суда по разрешению дела от функций обвинения и защиты.</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Вынесение приговора суда в условиях состязательности обеспечивает разрешение спорной ситуации, поскольку конфликт, как социально-психологический критерий - это столкновение двух разнонаправленных сторон с целью воплощения своих целей в условиях противодействия и сдерживания противной стороны для того, чтобы спор был решен в их пользу. Так, Ю.Д. Лившиц и С.М. Даровских имеют схожее мнение, которое можно выразить следующим образом: «Противоборство т.е. развивающиеся действия участников процесса, которые являются сторонами обвинения и защиты, возможно, так как участники судебного разбирательства появляются в процессе с противоположными разными целями и задачами» </w:t>
      </w:r>
      <w:r w:rsidRPr="00DA76A7">
        <w:rPr>
          <w:rFonts w:ascii="Arial" w:hAnsi="Arial" w:cs="Arial"/>
          <w:color w:val="000000" w:themeColor="text1"/>
          <w:sz w:val="22"/>
          <w:szCs w:val="22"/>
        </w:rPr>
        <w:t>[13, 7; 15, 64]</w:t>
      </w:r>
      <w:r w:rsidRPr="00DA76A7">
        <w:rPr>
          <w:rFonts w:ascii="Arial" w:hAnsi="Arial" w:cs="Arial"/>
          <w:color w:val="000000" w:themeColor="text1"/>
          <w:sz w:val="22"/>
          <w:szCs w:val="22"/>
          <w:lang w:val="tg-Cyrl-TJ"/>
        </w:rPr>
        <w:t xml:space="preserve">. При этом, А.В. Пиюк отмечает, что единственным основанием для вступления суда в процесс собирания доказательств в состязательном процессе, должны являться ходатайство о том стороны и невозможность или затруднительность для нее самой получить данное доказательство </w:t>
      </w:r>
      <w:r w:rsidRPr="00DA76A7">
        <w:rPr>
          <w:rFonts w:ascii="Arial" w:hAnsi="Arial" w:cs="Arial"/>
          <w:color w:val="000000" w:themeColor="text1"/>
          <w:sz w:val="22"/>
          <w:szCs w:val="22"/>
        </w:rPr>
        <w:t>[17, 43]</w:t>
      </w:r>
      <w:r w:rsidRPr="00DA76A7">
        <w:rPr>
          <w:rFonts w:ascii="Arial" w:hAnsi="Arial" w:cs="Arial"/>
          <w:color w:val="000000" w:themeColor="text1"/>
          <w:sz w:val="22"/>
          <w:szCs w:val="22"/>
          <w:lang w:val="tg-Cyrl-TJ"/>
        </w:rPr>
        <w:t>.</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В современной литературе, посвященной вопросам судебного разбирательства, из всех можно выделить две группы позиций ученых. Так, А.В. Смирнов и К.Б. Калиновский полагают, что в рамках состязательного процесса допустима определенная вспомогательная активность суда в выяснении правды по делу </w:t>
      </w:r>
      <w:r w:rsidRPr="00DA76A7">
        <w:rPr>
          <w:rFonts w:ascii="Arial" w:hAnsi="Arial" w:cs="Arial"/>
          <w:color w:val="000000" w:themeColor="text1"/>
          <w:sz w:val="22"/>
          <w:szCs w:val="22"/>
        </w:rPr>
        <w:t>[19, 120]</w:t>
      </w:r>
      <w:r w:rsidRPr="00DA76A7">
        <w:rPr>
          <w:rFonts w:ascii="Arial" w:hAnsi="Arial" w:cs="Arial"/>
          <w:color w:val="000000" w:themeColor="text1"/>
          <w:sz w:val="22"/>
          <w:szCs w:val="22"/>
          <w:lang w:val="tg-Cyrl-TJ"/>
        </w:rPr>
        <w:t xml:space="preserve">. Поддержия данную позицию, мы считаем, что такого рода активность необходима на восстановление абсалютного равенства сторон в случае, если одна из сторон открыто превышает возможности другой.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Другая позиция ученых ведет речь о восполнительном характере активности суда в уголовном процессе. Так, Г.В. Сафронов полагает, что в новом уголовно-процессуальном законе активность суда приобрела восполнительный характер, что является гарантией разрешения судом вопросов при постановлении приговора </w:t>
      </w:r>
      <w:r w:rsidRPr="00DA76A7">
        <w:rPr>
          <w:rFonts w:ascii="Arial" w:hAnsi="Arial" w:cs="Arial"/>
          <w:color w:val="000000" w:themeColor="text1"/>
          <w:sz w:val="22"/>
          <w:szCs w:val="22"/>
        </w:rPr>
        <w:t>[18, 203]</w:t>
      </w:r>
      <w:r w:rsidRPr="00DA76A7">
        <w:rPr>
          <w:rFonts w:ascii="Arial" w:hAnsi="Arial" w:cs="Arial"/>
          <w:color w:val="000000" w:themeColor="text1"/>
          <w:sz w:val="22"/>
          <w:szCs w:val="22"/>
          <w:lang w:val="tg-Cyrl-TJ"/>
        </w:rPr>
        <w:t xml:space="preserve">.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rPr>
        <w:t>Здесь возникает закономерный вопрос: «Имеется ли различие в предлагаемых определениях активности суда?».</w:t>
      </w:r>
      <w:r w:rsidRPr="00DA76A7">
        <w:rPr>
          <w:rFonts w:ascii="Arial" w:hAnsi="Arial" w:cs="Arial"/>
          <w:color w:val="000000" w:themeColor="text1"/>
          <w:sz w:val="22"/>
          <w:szCs w:val="22"/>
          <w:lang w:val="tg-Cyrl-TJ"/>
        </w:rPr>
        <w:t xml:space="preserve"> Одни судейскую активность понимают как изображение общественной роли суда, состоящей в бережном поддержании справедливого баланса спорящих сторон, при условии которого суд имеет право собирать и исследовать доказательства, всякий раз поддерживая сторону, которая в силу тех или других причин оказалась в несправедливо худшем положении. Остальные связывают ее с восстановлением принципа всесторонности, полноты и объективности судебного следствия и с расширением возможностей суда по активному функциональному исследованию доказательств в той мере, в какой стороны не воспользовались своими преимущественными правами по исследованию доказательств. В связи с этим представляет интерес высказанное в литературе мнение о том, что следует понимать различие активности суда как выражение принципа публичности и как один из элементов состязательности. Так, С.М. Даровских и Ю.Д. Лившиц считают, что допустима активность суда, понимаемая как элемент состязательности, при которой судом восполняются усилия сторон, а активность суда как представление принципа публичности недопустима </w:t>
      </w:r>
      <w:r w:rsidRPr="00DA76A7">
        <w:rPr>
          <w:rFonts w:ascii="Arial" w:hAnsi="Arial" w:cs="Arial"/>
          <w:color w:val="000000" w:themeColor="text1"/>
          <w:sz w:val="22"/>
          <w:szCs w:val="22"/>
        </w:rPr>
        <w:t>[13, 7; 15, 64]</w:t>
      </w:r>
      <w:r w:rsidRPr="00DA76A7">
        <w:rPr>
          <w:rFonts w:ascii="Arial" w:hAnsi="Arial" w:cs="Arial"/>
          <w:color w:val="000000" w:themeColor="text1"/>
          <w:sz w:val="22"/>
          <w:szCs w:val="22"/>
          <w:lang w:val="tg-Cyrl-TJ"/>
        </w:rPr>
        <w:t xml:space="preserve">.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Международно-правовыми актами же закреплено право каждого на справедливое и публичное судебное разбирательство в разумный срок независимым и беспристрастным судом, созданным на основании закона </w:t>
      </w:r>
      <w:r w:rsidRPr="00DA76A7">
        <w:rPr>
          <w:rFonts w:ascii="Arial" w:hAnsi="Arial" w:cs="Arial"/>
          <w:color w:val="000000" w:themeColor="text1"/>
          <w:sz w:val="22"/>
          <w:szCs w:val="22"/>
        </w:rPr>
        <w:t>[1; 2; 3]</w:t>
      </w:r>
      <w:r w:rsidRPr="00DA76A7">
        <w:rPr>
          <w:rFonts w:ascii="Arial" w:hAnsi="Arial" w:cs="Arial"/>
          <w:color w:val="000000" w:themeColor="text1"/>
          <w:sz w:val="22"/>
          <w:szCs w:val="22"/>
          <w:lang w:val="tg-Cyrl-TJ"/>
        </w:rPr>
        <w:t xml:space="preserve">, однако в Конституции Республики Таджикистан </w:t>
      </w:r>
      <w:r w:rsidRPr="00DA76A7">
        <w:rPr>
          <w:rFonts w:ascii="Arial" w:hAnsi="Arial" w:cs="Arial"/>
          <w:color w:val="000000" w:themeColor="text1"/>
          <w:sz w:val="22"/>
          <w:szCs w:val="22"/>
        </w:rPr>
        <w:t>[5]</w:t>
      </w:r>
      <w:r w:rsidRPr="00DA76A7">
        <w:rPr>
          <w:rFonts w:ascii="Arial" w:hAnsi="Arial" w:cs="Arial"/>
          <w:color w:val="000000" w:themeColor="text1"/>
          <w:sz w:val="22"/>
          <w:szCs w:val="22"/>
          <w:lang w:val="tg-Cyrl-TJ"/>
        </w:rPr>
        <w:t xml:space="preserve">, так же как и в Конституции Российской Федерации </w:t>
      </w:r>
      <w:r w:rsidRPr="00DA76A7">
        <w:rPr>
          <w:rFonts w:ascii="Arial" w:hAnsi="Arial" w:cs="Arial"/>
          <w:color w:val="000000" w:themeColor="text1"/>
          <w:sz w:val="22"/>
          <w:szCs w:val="22"/>
        </w:rPr>
        <w:t>[6]</w:t>
      </w:r>
      <w:r w:rsidRPr="00DA76A7">
        <w:rPr>
          <w:rFonts w:ascii="Arial" w:hAnsi="Arial" w:cs="Arial"/>
          <w:color w:val="000000" w:themeColor="text1"/>
          <w:sz w:val="22"/>
          <w:szCs w:val="22"/>
          <w:lang w:val="tg-Cyrl-TJ"/>
        </w:rPr>
        <w:t xml:space="preserve">  данная формулировка отсутствует.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Также вопросы касающиеся справедливого уголовного судопроизводства все время улучшаются благодаря заклчениям Европейского Суда по правам человека. «Справедливость» при рассмотрении</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tg-Cyrl-TJ"/>
        </w:rPr>
        <w:t xml:space="preserve">Европейского Суда по правам человека в контексте Конвенции о защите прав человека и основных свобод 1950 года, подразумевает соблюдение господства права и уважение прав человека, гарантированных и обеспеченных Конвенцией </w:t>
      </w:r>
      <w:r w:rsidRPr="00DA76A7">
        <w:rPr>
          <w:rFonts w:ascii="Arial" w:hAnsi="Arial" w:cs="Arial"/>
          <w:color w:val="000000" w:themeColor="text1"/>
          <w:sz w:val="22"/>
          <w:szCs w:val="22"/>
        </w:rPr>
        <w:t>[2]</w:t>
      </w:r>
      <w:r w:rsidRPr="00DA76A7">
        <w:rPr>
          <w:rFonts w:ascii="Arial" w:hAnsi="Arial" w:cs="Arial"/>
          <w:color w:val="000000" w:themeColor="text1"/>
          <w:sz w:val="22"/>
          <w:szCs w:val="22"/>
          <w:lang w:val="tg-Cyrl-TJ"/>
        </w:rPr>
        <w:t xml:space="preserve">. Европейский Суд не выделяет то, что состязательность является лишь только одной из черт более широкого положения справедливого судопроизводства по уголовным делам, но также важно соблюдение баланса публичного и частного интересов. Производство судебного разбирательства невозможно без справедливости. Интересным и одновременно спорным является сравнительный анализ категорий справедливости и истины в уголовном процессе, особенно в части предложений по законодательному закреплению объективной правды в качестве принципа уголовного процесса.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Европейский Суд выдвигает вопрос о законности доказательств связанных со справедливостью судебного разбирательства. Справедливость выступает критерием оценки доказательств, законности их получения в ходе досудебного производства, а также окончательного решения </w:t>
      </w:r>
      <w:r w:rsidRPr="00DA76A7">
        <w:rPr>
          <w:rFonts w:ascii="Arial" w:hAnsi="Arial" w:cs="Arial"/>
          <w:color w:val="000000" w:themeColor="text1"/>
          <w:sz w:val="22"/>
          <w:szCs w:val="22"/>
        </w:rPr>
        <w:t>[2]</w:t>
      </w:r>
      <w:r w:rsidRPr="00DA76A7">
        <w:rPr>
          <w:rFonts w:ascii="Arial" w:hAnsi="Arial" w:cs="Arial"/>
          <w:color w:val="000000" w:themeColor="text1"/>
          <w:sz w:val="22"/>
          <w:szCs w:val="22"/>
          <w:lang w:val="tg-Cyrl-TJ"/>
        </w:rPr>
        <w:t xml:space="preserve">. Исходя из этого, проблемы судебных доказательств в части справедливости, в настоящий момент являются актуальным научным направлением.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Вместе с тем следует подчеркнуть, что расширение права на справедливое судебное разбирательство - это одна из важнейших задач, поставленных, и перед государством и перед обществом. Согласно статьям 6, 7 и 13 Конвенции о защите прав человека и основных свобод, принятой в 1950 г. и протоколов к ней № 4 статья 1 и № 7 статьи 2, 3,4: «каждый в случае предъявления ему любого уголовного обвинения имеет право на справедливое и публичное судебное разбирательство, определенное национальным законодательством и европейским правом» </w:t>
      </w:r>
      <w:r w:rsidRPr="00DA76A7">
        <w:rPr>
          <w:rFonts w:ascii="Arial" w:hAnsi="Arial" w:cs="Arial"/>
          <w:color w:val="000000" w:themeColor="text1"/>
          <w:sz w:val="22"/>
          <w:szCs w:val="22"/>
        </w:rPr>
        <w:t>[2]</w:t>
      </w:r>
      <w:r w:rsidRPr="00DA76A7">
        <w:rPr>
          <w:rFonts w:ascii="Arial" w:hAnsi="Arial" w:cs="Arial"/>
          <w:color w:val="000000" w:themeColor="text1"/>
          <w:sz w:val="22"/>
          <w:szCs w:val="22"/>
          <w:lang w:val="tg-Cyrl-TJ"/>
        </w:rPr>
        <w:t xml:space="preserve">. По данным статитстики судебная практика показывает, что ежегодно в мире около 1,5 миллиона человек оказываются вовлеченными в судебное производство, поэтому признание и исполнение права на справедливое судебное разбирательство имеет важное значение </w:t>
      </w:r>
      <w:r w:rsidRPr="00DA76A7">
        <w:rPr>
          <w:rFonts w:ascii="Arial" w:hAnsi="Arial" w:cs="Arial"/>
          <w:color w:val="000000" w:themeColor="text1"/>
          <w:sz w:val="22"/>
          <w:szCs w:val="22"/>
        </w:rPr>
        <w:t>[11]</w:t>
      </w:r>
      <w:r w:rsidRPr="00DA76A7">
        <w:rPr>
          <w:rFonts w:ascii="Arial" w:hAnsi="Arial" w:cs="Arial"/>
          <w:color w:val="000000" w:themeColor="text1"/>
          <w:sz w:val="22"/>
          <w:szCs w:val="22"/>
          <w:lang w:val="tg-Cyrl-TJ"/>
        </w:rPr>
        <w:t xml:space="preserve">.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В Европейской конвенции затрагиваются вопросы уголовно-процессуальных гарантий, обеспечивающие права каждого человека на справедливое судебное разбирательство.</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Необходимо также отметить, что в уголовно-процессуальной теории рассматривается узкое и широкое понимание справедливости. Так по мнению профессора </w:t>
      </w:r>
      <w:r w:rsidRPr="00DA76A7">
        <w:rPr>
          <w:rFonts w:ascii="Arial" w:hAnsi="Arial" w:cs="Arial"/>
          <w:color w:val="000000" w:themeColor="text1"/>
          <w:sz w:val="22"/>
          <w:szCs w:val="22"/>
        </w:rPr>
        <w:t>Т.Г. Морщакова, узкое понимание справедливости приговора сводится к соответствию избранной меры наказания тяжести преступления и личности его совершителя. При широком понимании этой части следует понимать под справедливостью приговора, что дело правильно разрешено как по существу, так и по форме» [16, 66-68].</w:t>
      </w:r>
      <w:r w:rsidRPr="00DA76A7">
        <w:rPr>
          <w:rFonts w:ascii="Arial" w:hAnsi="Arial" w:cs="Arial"/>
          <w:color w:val="000000" w:themeColor="text1"/>
          <w:sz w:val="22"/>
          <w:szCs w:val="22"/>
          <w:lang w:val="tg-Cyrl-TJ"/>
        </w:rPr>
        <w:t xml:space="preserve"> Согласно ст. 6 Европейской конвенции о защите прав человека и основных свобод, понятие «справедливого правосудия» включает эффективное постановление в правах правдивой процедуры </w:t>
      </w:r>
      <w:r w:rsidRPr="00DA76A7">
        <w:rPr>
          <w:rFonts w:ascii="Arial" w:hAnsi="Arial" w:cs="Arial"/>
          <w:color w:val="000000" w:themeColor="text1"/>
          <w:sz w:val="22"/>
          <w:szCs w:val="22"/>
        </w:rPr>
        <w:t>[2]</w:t>
      </w:r>
      <w:r w:rsidRPr="00DA76A7">
        <w:rPr>
          <w:rFonts w:ascii="Arial" w:hAnsi="Arial" w:cs="Arial"/>
          <w:color w:val="000000" w:themeColor="text1"/>
          <w:sz w:val="22"/>
          <w:szCs w:val="22"/>
          <w:lang w:val="tg-Cyrl-TJ"/>
        </w:rPr>
        <w:t>.</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Существуют 2 восполняющих друг друга части справедливости:</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 1) равенство перед законом;</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 2) баланс публичного и частного начал делают ее способной для выработки минимума обязательных стандартов проведения досудебных и судебных процедур по уголовному делу. Положения о справедливости распространяются на досудебное производство, и на судебные стадии, причём независимо от особенностей конкретного преступления.</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Из толкования ст. 2 УПК РТ, з</w:t>
      </w:r>
      <w:r w:rsidRPr="00DA76A7">
        <w:rPr>
          <w:rFonts w:ascii="Arial" w:hAnsi="Arial" w:cs="Arial"/>
          <w:color w:val="000000" w:themeColor="text1"/>
          <w:sz w:val="22"/>
          <w:szCs w:val="22"/>
        </w:rPr>
        <w:t>задачами уголовно-процессуального судопроизводства являются: установление порядка производства по уголовным делам; защита прав и свобод человека и гражданина; защита интересов общества, государства и организаций, пострадавших в результате совершения преступления; своевременное и полное раскрытие преступлений; привлечение к уголовной ответственности лица, совершившего преступление; справедливое разрешение  рассматриваемых  вопросов  в суде; соблюдение процессуальных норм при применении уголовного закона; гарантия защиты законных интересов участников уголовного судопроизводства и других лиц [8]. При этом, уголовно-процессуальное судопроизводство Республики Таджикистан направлено на укрепление законности и правопорядка, предупреждение преступлений, уважение к законам, правам и свободам человека и гражданина, осуществление судебной справедливости.</w:t>
      </w:r>
      <w:r w:rsidRPr="00DA76A7">
        <w:rPr>
          <w:rFonts w:ascii="Arial" w:hAnsi="Arial" w:cs="Arial"/>
          <w:color w:val="000000" w:themeColor="text1"/>
          <w:sz w:val="22"/>
          <w:szCs w:val="22"/>
          <w:lang w:val="tg-Cyrl-TJ"/>
        </w:rPr>
        <w:t xml:space="preserve"> Сходие положения существуют и в УПК РФ </w:t>
      </w:r>
      <w:r w:rsidRPr="00DA76A7">
        <w:rPr>
          <w:rFonts w:ascii="Arial" w:hAnsi="Arial" w:cs="Arial"/>
          <w:color w:val="000000" w:themeColor="text1"/>
          <w:sz w:val="22"/>
          <w:szCs w:val="22"/>
        </w:rPr>
        <w:t>[9]</w:t>
      </w:r>
      <w:r w:rsidRPr="00DA76A7">
        <w:rPr>
          <w:rFonts w:ascii="Arial" w:hAnsi="Arial" w:cs="Arial"/>
          <w:color w:val="000000" w:themeColor="text1"/>
          <w:sz w:val="22"/>
          <w:szCs w:val="22"/>
          <w:lang w:val="tg-Cyrl-TJ"/>
        </w:rPr>
        <w:t>, в частности, ст. ст. 6 и 6.1 регламентируют, что уголовное судопроизводство должно быть и скорым, и справедливым. Функция уголовного процесса состоит в том, чтобы в точные, конкретные сроки согласно закону установить истину и правду по уголовному делу и восстановить справедливость. Признаком справедливости является разумность срока предварительного расследования. Срочность предварительного расследования абсурдна и этим приводит к несправедливости. Можно отказаться от регламентации сроков досудебного производства и сопровождающих ему институтов продления, приостановления сроков. Досудебное расследование должно проводиться в «разумный срок» достаточный для формулирования и выдвижения законного обвинения.</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Результаты проведенного нами исследования, позволяют сделать вывод о том, что современное досудебное производство Республики Таджикистан и Российской Федерации не соответствует качествам справедливого процесса как с точки зрения защищенности прав личности (неравенство прав потерпевшего и обвиняемого, неравенство субъектов доказывания и др.), так и с точки зрения обеспечения эффективности расследования (уголовного преследования). Существующая следственная форма не вполне отвечает содержащимся в ней состязательным вопросам (судебным гарантиям прав личности, правовому статусу обвиняемого) и в связи с этим имеет место системное противоречие - источник несправедливостей. Справедливость же, гарантируется возможным доступом к судебной защите. И поэтому необходимо реформировать судопроизводство таким образом, чтобы он от начала и до конца проходил в судебной форме, где стороны и суд через состязание могли бы решать возникшие споры и вопросы.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lang w:val="tg-Cyrl-TJ"/>
        </w:rPr>
        <w:t xml:space="preserve">Мы также предлагаем отказаться от нормативной формулировки доказательства и предмета доказывания, которые на практике порождают неравенство сторон при доказывании и вследствии этого создает несправедливой саму основу досудебного производства по делу. Исследованию должны подлежать любые сведения, которые могут быть получены из документов, лиц, представляемых сторонами. Материально-правовую часть предмета доказывания должны составлять состав преступления, в совершении которого обвиняется подсудимый, а процессуально-правовую - другие обстоятельства. Главным условием в определении допустимости доказательств, должно основываться на отсутствии незаконного принуждения. Уголовный процесс, в котором основу обвинения составляют признания обвиняемого, полученные путем пыток и даже ненадлежащего обращения с лицом, находящимся в распоряжении органов уголовного преследования, является несправедливым, а обвинительные доказательства - недопустимыми. Во время проверки допустимости доказательств сторонам должна быть предоставлена возможность исследования основ доказательств. Каждое доказательство должно быть проверено и оценено в пределах состязательной судебной процедуры, обязательным элементом которой являются судебные допросы: прямой, перекрестный допросы и передопрос. Если судебное разбирательство было несправедливым, то и приговор не может быть справедливым. </w:t>
      </w:r>
    </w:p>
    <w:p w:rsidR="00592BC2" w:rsidRPr="00DA76A7" w:rsidRDefault="00592BC2" w:rsidP="00592BC2">
      <w:pPr>
        <w:ind w:firstLine="567"/>
        <w:jc w:val="both"/>
        <w:rPr>
          <w:rFonts w:ascii="Arial" w:hAnsi="Arial" w:cs="Arial"/>
          <w:color w:val="000000" w:themeColor="text1"/>
          <w:sz w:val="22"/>
          <w:szCs w:val="22"/>
          <w:lang w:val="tg-Cyrl-TJ"/>
        </w:rPr>
      </w:pPr>
      <w:r w:rsidRPr="00DA76A7">
        <w:rPr>
          <w:rFonts w:ascii="Arial" w:hAnsi="Arial" w:cs="Arial"/>
          <w:color w:val="000000" w:themeColor="text1"/>
          <w:sz w:val="22"/>
          <w:szCs w:val="22"/>
        </w:rPr>
        <w:t>Решение суда предполагается справедливым, если оно вынесено с учетом предоставленных суду властных полномочий, при соблюдении положений и норм Конституции и УПК Республики Таджикистан.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Тайное и даже профессиональное общение судьи со стороной обвинения или защиты нарушает законные права подсудимого на рассмотрение его дела гласно, независимым и беспристрастным судом, придерживаясь принципа равноправия сторон.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необходимо отметить, что в век технологий судьи в своей работе активно используют компьютерную технику и технологии. В связи с этим, очень важно, чтобы компьютер или иная техника стали помощником юриста в работе с нормативными материалами и с судебной практикой. На сегодняшний день, в Республике Таджикистан уже имеется несколько правовых справочных баз данных. В таких программах имеются и формы многих процессуальных документов.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Ранее в СМИ было высказано предложение о том, что судьи могут получать у следователя электронный носитель информации с записью обвинительного заключения. Сегодня в практике не редки случаи, когда дела обстоят именно таким образом. В связи с этим, в целях соблюдения принципа справедливости, мы считаем необходимым, разработать систему регламентированной реализации передачи электронных носителей информации, между субъектами уголовного судопроизводства. При этом, мы также считаем необходимым, разработать устройство процессуального укрепления действий субъектов уголовного судопроизводства с информацией, содержащейся на носителях, в целях предотвращения создания препятствий приобщения доказательств к материалам уголовного дела (например, запечатанный прокурором конверт с электронным носителем информации, на котором будет официальный текст обвинительного заключения). Такое же право может иметь защитник.</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результате проведенного нами исследования, был получен материал, анализ которого позволил заключить, что справедливость – это </w:t>
      </w:r>
      <w:r w:rsidRPr="00DA76A7">
        <w:rPr>
          <w:rFonts w:ascii="Arial" w:hAnsi="Arial" w:cs="Arial"/>
          <w:color w:val="000000" w:themeColor="text1"/>
          <w:sz w:val="22"/>
          <w:szCs w:val="22"/>
          <w:lang w:val="tg-Cyrl-TJ"/>
        </w:rPr>
        <w:t>основной</w:t>
      </w:r>
      <w:r w:rsidRPr="00DA76A7">
        <w:rPr>
          <w:rFonts w:ascii="Arial" w:hAnsi="Arial" w:cs="Arial"/>
          <w:color w:val="000000" w:themeColor="text1"/>
          <w:sz w:val="22"/>
          <w:szCs w:val="22"/>
        </w:rPr>
        <w:t xml:space="preserve"> принцип, имеющий общеправовое и общечеловеческое уголовно-процессуальное значение. Справедливость имеет два направления:</w:t>
      </w:r>
      <w:r w:rsidRPr="00DA76A7">
        <w:rPr>
          <w:rFonts w:ascii="Arial" w:hAnsi="Arial" w:cs="Arial"/>
          <w:color w:val="000000" w:themeColor="text1"/>
          <w:sz w:val="22"/>
          <w:szCs w:val="22"/>
          <w:lang w:val="tg-Cyrl-TJ"/>
        </w:rPr>
        <w:t xml:space="preserve"> </w:t>
      </w:r>
      <w:r w:rsidRPr="00DA76A7">
        <w:rPr>
          <w:rFonts w:ascii="Arial" w:hAnsi="Arial" w:cs="Arial"/>
          <w:color w:val="000000" w:themeColor="text1"/>
          <w:sz w:val="22"/>
          <w:szCs w:val="22"/>
        </w:rPr>
        <w:t>юридическое и моральное. И в этом случае надо различить социальную справедливость и юридическую.</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Юридическая справедливость создает основу для принятия общественной справедливости, хотя и не гарантирует этого. Уголовно-процессуальная справедливость, это «справедливость в действии», так как участники процесса должны понимать под этим свои действия под угрозой ответственности. На взгляд обычного гражданина закон может быть несправедлив, но право само по себе уже справедливо. Справедливость является общей частью при рассмотрении доводов в ходе уголовно-процессуального обоснования, касающихся фактических и юридических вопросов. Справедливость уголовного судопроизводства — это общий показатель его «действительности» в том, что касается его отдельных мероприятий. При этом, считаем необходимым отметить, что развитие стран будет возможно только тогда, когда не подвергается сомнению справедливость существующего правопорядка и органов правосудия.</w:t>
      </w:r>
    </w:p>
    <w:p w:rsidR="001D4D32" w:rsidRDefault="001D4D3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Всеобщая декларация прав человека (принята Генеральной Ассамблеей ООН 10 декабря 1948 г.) [Электронный ресурс] // Официальный информационно-правовой портал. – Режим доступа: http://www.consultant.ru (дата обращения: 17.03.2018).</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Конвенция о защите прав человека и основных свобод </w:t>
      </w:r>
      <w:r w:rsidRPr="00DA76A7">
        <w:rPr>
          <w:rFonts w:ascii="Arial" w:hAnsi="Arial" w:cs="Arial"/>
          <w:color w:val="000000" w:themeColor="text1"/>
          <w:sz w:val="22"/>
          <w:szCs w:val="22"/>
          <w:lang w:val="en-US"/>
        </w:rPr>
        <w:t>ETS</w:t>
      </w:r>
      <w:r w:rsidRPr="00DA76A7">
        <w:rPr>
          <w:rFonts w:ascii="Arial" w:hAnsi="Arial" w:cs="Arial"/>
          <w:color w:val="000000" w:themeColor="text1"/>
          <w:sz w:val="22"/>
          <w:szCs w:val="22"/>
        </w:rPr>
        <w:t xml:space="preserve"> № 005 (Рим, 4 ноября 1950 г.) (ред. от 13.09.2004. № 14) [Электронный ресурс] // Официальный информационно-правовой портал. – Режим доступа: http://www.consultant.ru (дата обращения: 17.03.2018).</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Международный пакт о гражданских и политических правах (Нью-Йорк, 16 декабря 1966 г.) [Электронный ресурс] // Официальный информационно-правовой портал. – Режим доступа: http://www.consultant.ru (дата обращения: 17.03.2018).</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Основные принципы независимости судебных органов (приняты седьмым Конгрессом ООН по предупреждению преступности и обращению с правонарушителями, Милан (Италия), 26 августа – 6 сентября 1985 г., одобрены резолюциями Генеральной Ассамблеи ООН от 29 ноября 1985 г. № 40/32 и от 13 декабря 1985 г. № 40/146) [Электронный ресурс] // Официальный информационно-правовой портал. – Режим доступа: http://www.garant.ru (дата обращения: 15.03.2018).</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Конституция Республики Таджикистан от 6 ноября 1994 г. (ред. от 22.09.2016) [Электронный ресурс] // Официальный интернет-портал правовой информации. – Режим доступа: http://www.</w:t>
      </w:r>
      <w:r w:rsidRPr="00DA76A7">
        <w:rPr>
          <w:rFonts w:ascii="Arial" w:hAnsi="Arial" w:cs="Arial"/>
          <w:color w:val="000000" w:themeColor="text1"/>
          <w:sz w:val="22"/>
          <w:szCs w:val="22"/>
          <w:lang w:val="en-US"/>
        </w:rPr>
        <w:t>mmk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tj</w:t>
      </w:r>
      <w:r w:rsidRPr="00DA76A7">
        <w:rPr>
          <w:rFonts w:ascii="Arial" w:hAnsi="Arial" w:cs="Arial"/>
          <w:color w:val="000000" w:themeColor="text1"/>
          <w:sz w:val="22"/>
          <w:szCs w:val="22"/>
        </w:rPr>
        <w:t xml:space="preserve"> (дата обращения: 16.03.2018).</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Конституция Российской Федерации от 12 декабря 1993 г. (ред. от 21.07.2014 № 11-ФКЗ) [Электронный ресурс] // Официальный интернет-портал правовой информации. – Режим доступа: http://www.consultant.ru (дата обращения: 16.03.2018).</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 судах Республики Таджикистан: Конституционный закон Республики Таджикистан от 26 июля 2014 г. № 1084 (ред. от 21.02.2018 № 1509) [Электронный ресурс] // Официальный интернет-портал правовой информации. – Режим доступа: http://www.</w:t>
      </w:r>
      <w:r w:rsidRPr="00DA76A7">
        <w:rPr>
          <w:rFonts w:ascii="Arial" w:hAnsi="Arial" w:cs="Arial"/>
          <w:color w:val="000000" w:themeColor="text1"/>
          <w:sz w:val="22"/>
          <w:szCs w:val="22"/>
          <w:lang w:val="en-US"/>
        </w:rPr>
        <w:t>mmk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tj</w:t>
      </w:r>
      <w:r w:rsidRPr="00DA76A7">
        <w:rPr>
          <w:rFonts w:ascii="Arial" w:hAnsi="Arial" w:cs="Arial"/>
          <w:color w:val="000000" w:themeColor="text1"/>
          <w:sz w:val="22"/>
          <w:szCs w:val="22"/>
        </w:rPr>
        <w:t xml:space="preserve"> (дата обращения: 14.03.2018).</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Уголовно-процессуальный кодекс Республики Таджикистан от 21 мая 1998 г. № 575 (ред. от 02.01.2018 № 1473) [Электронный ресурс] // Официальный интернет-портал правовой информации. – Режим доступа: http://www.</w:t>
      </w:r>
      <w:r w:rsidRPr="00DA76A7">
        <w:rPr>
          <w:rFonts w:ascii="Arial" w:hAnsi="Arial" w:cs="Arial"/>
          <w:color w:val="000000" w:themeColor="text1"/>
          <w:sz w:val="22"/>
          <w:szCs w:val="22"/>
          <w:lang w:val="en-US"/>
        </w:rPr>
        <w:t>mmk</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tj</w:t>
      </w:r>
      <w:r w:rsidRPr="00DA76A7">
        <w:rPr>
          <w:rFonts w:ascii="Arial" w:hAnsi="Arial" w:cs="Arial"/>
          <w:color w:val="000000" w:themeColor="text1"/>
          <w:sz w:val="22"/>
          <w:szCs w:val="22"/>
        </w:rPr>
        <w:t xml:space="preserve"> (дата обращения: 14.03.2018).</w:t>
      </w:r>
    </w:p>
    <w:p w:rsidR="00592BC2" w:rsidRPr="00DA76A7" w:rsidRDefault="00592BC2" w:rsidP="00D45D6B">
      <w:pPr>
        <w:pStyle w:val="af2"/>
        <w:numPr>
          <w:ilvl w:val="0"/>
          <w:numId w:val="141"/>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Уголовно-процессуальный кодекс Российской Федерации от 18 декабря 2001 г. № 174-ФЗ (ред. от 19.02.2018 № 27-ФЗ, № 31-ФЗ) [Электронный ресурс] // Официальный интернет-портал правовой информации. – Режим доступа: http://www.consultant.ru (дата обращения: 14.03.2018).</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Послание Президента Российской Федерации В.В. Путина Федеральному собранию Российской Федерации от 12 декабря 2012 г. [Электронный ресурс] // Официальный информационно-правовой портал. – Режим доступа: http://www.garant.ru (дата обращения: 15.03.2018).</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Доклад Уполномоченного по правам человека в Российской Федерации за 2015 г. [Электронный ресурс] // Официальный информационно-правовой портал. – Режим доступа: http://ombudsmanrf.org (дата обращения: 17.03.2018).</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Даль В.И. Толковый словарь русского языка. Современная версия. - М.: Эксмо-Пресс, 2001. – 736 с.</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Даровких С.М. Принцип состязательности в уголовном процессе России и механизм его реализации: Автореф дисс. канд. юрид. наук. - Челябинск, 2001. - 21 с.</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Кони А.Ф. Нравственные начала в уголовном процессе. Избранные работы. – М.: Юрайт, 2017. – 150 с.</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Лишвиц Ю.Д. Воспитательная функция советского уголовного судопроизводства. Избранные труды. -Челябинск: Книга, 2004. – 216 с.</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Морщакова Т.Г. Показание качества работы судов первой инстанции по рассмотрению уголовных и гражданских дел. - М.: Р.Валент, 1997. – 123 с.</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Пиюк А.В. «Истина» или «доказанная достоверность»? // Российская юстиция. - 1999. - № 5. С. 43-52.</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Сафронов Г.В. Активность суда в судебном следствии. Часть 1. - Екаиеринбург: Изд-во УрПОА, 2004. – 208 с.</w:t>
      </w:r>
    </w:p>
    <w:p w:rsidR="00592BC2" w:rsidRPr="00DA76A7" w:rsidRDefault="00592BC2" w:rsidP="00726D8C">
      <w:pPr>
        <w:pStyle w:val="af2"/>
        <w:numPr>
          <w:ilvl w:val="0"/>
          <w:numId w:val="141"/>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Смирнов А.В., Калиновский К.Б. Уголовный процесс: Учебник для вузов. - Спб: Питер, 2004. - 699 с.</w:t>
      </w:r>
    </w:p>
    <w:p w:rsidR="00592BC2" w:rsidRPr="00DA76A7" w:rsidRDefault="00592BC2" w:rsidP="00592BC2">
      <w:pPr>
        <w:tabs>
          <w:tab w:val="left" w:pos="851"/>
        </w:tabs>
        <w:ind w:firstLine="567"/>
        <w:jc w:val="both"/>
        <w:rPr>
          <w:rFonts w:ascii="Arial" w:hAnsi="Arial" w:cs="Arial"/>
          <w:color w:val="000000" w:themeColor="text1"/>
          <w:sz w:val="22"/>
          <w:szCs w:val="22"/>
        </w:rPr>
      </w:pPr>
    </w:p>
    <w:p w:rsidR="00726D8C" w:rsidRDefault="00726D8C" w:rsidP="00592BC2">
      <w:pPr>
        <w:tabs>
          <w:tab w:val="left" w:pos="851"/>
        </w:tabs>
        <w:ind w:firstLine="567"/>
        <w:jc w:val="both"/>
        <w:rPr>
          <w:rFonts w:ascii="Arial" w:hAnsi="Arial" w:cs="Arial"/>
          <w:color w:val="000000" w:themeColor="text1"/>
          <w:sz w:val="22"/>
          <w:szCs w:val="22"/>
        </w:rPr>
      </w:pPr>
    </w:p>
    <w:p w:rsidR="008C23AD" w:rsidRPr="00DA76A7" w:rsidRDefault="008C23AD" w:rsidP="00592BC2">
      <w:pPr>
        <w:tabs>
          <w:tab w:val="left" w:pos="851"/>
        </w:tabs>
        <w:ind w:firstLine="567"/>
        <w:jc w:val="both"/>
        <w:rPr>
          <w:rFonts w:ascii="Arial" w:hAnsi="Arial" w:cs="Arial"/>
          <w:color w:val="000000" w:themeColor="text1"/>
          <w:sz w:val="22"/>
          <w:szCs w:val="22"/>
        </w:rPr>
      </w:pPr>
    </w:p>
    <w:p w:rsidR="00726D8C" w:rsidRPr="00DA76A7" w:rsidRDefault="00726D8C" w:rsidP="00726D8C">
      <w:pPr>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ПРОКУРОРСКИЙ НАДЗОР В СФЕРЕ СОБЛЮДЕНИЯ ПРАВ И СВОБОД ЧЕЛОВЕКА И ГРАЖДАНИНА</w:t>
      </w:r>
    </w:p>
    <w:p w:rsidR="00726D8C" w:rsidRPr="00DA76A7" w:rsidRDefault="00726D8C" w:rsidP="00726D8C">
      <w:pPr>
        <w:jc w:val="center"/>
        <w:rPr>
          <w:rFonts w:ascii="Arial" w:hAnsi="Arial" w:cs="Arial"/>
          <w:color w:val="000000" w:themeColor="text1"/>
          <w:sz w:val="22"/>
          <w:szCs w:val="22"/>
          <w:shd w:val="clear" w:color="auto" w:fill="FFFFFF"/>
        </w:rPr>
      </w:pPr>
    </w:p>
    <w:p w:rsidR="00726D8C" w:rsidRPr="00DA76A7" w:rsidRDefault="00726D8C" w:rsidP="00726D8C">
      <w:pPr>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Холов Икболжон Бекмуродович</w:t>
      </w:r>
    </w:p>
    <w:p w:rsidR="00726D8C" w:rsidRPr="00DA76A7" w:rsidRDefault="00726D8C" w:rsidP="00726D8C">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726D8C" w:rsidRPr="00DA76A7" w:rsidRDefault="00726D8C" w:rsidP="00726D8C">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726D8C" w:rsidRPr="00DA76A7" w:rsidRDefault="00726D8C" w:rsidP="00726D8C">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726D8C" w:rsidRPr="00DA76A7" w:rsidRDefault="00726D8C" w:rsidP="00726D8C">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992935659644,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holov</w:t>
      </w:r>
      <w:r w:rsidRPr="00DA76A7">
        <w:rPr>
          <w:rFonts w:ascii="Arial" w:hAnsi="Arial" w:cs="Arial"/>
          <w:color w:val="000000" w:themeColor="text1"/>
          <w:sz w:val="22"/>
          <w:szCs w:val="22"/>
        </w:rPr>
        <w:t>90@</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726D8C" w:rsidRPr="00DA76A7" w:rsidRDefault="00726D8C" w:rsidP="00726D8C">
      <w:pPr>
        <w:jc w:val="center"/>
        <w:rPr>
          <w:rFonts w:ascii="Arial" w:hAnsi="Arial" w:cs="Arial"/>
          <w:b/>
          <w:color w:val="000000" w:themeColor="text1"/>
          <w:sz w:val="22"/>
          <w:szCs w:val="22"/>
        </w:rPr>
      </w:pPr>
    </w:p>
    <w:p w:rsidR="00726D8C" w:rsidRPr="00DA76A7" w:rsidRDefault="00726D8C" w:rsidP="00726D8C">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PROSECUTOR'S SUPERVISION IN THE SPHERE OF OBSERVANCE OF HUMAN AND CIVIL RIGHTS AND FREEDOMS</w:t>
      </w:r>
    </w:p>
    <w:p w:rsidR="00726D8C" w:rsidRPr="00DA76A7" w:rsidRDefault="00726D8C" w:rsidP="00726D8C">
      <w:pPr>
        <w:jc w:val="center"/>
        <w:rPr>
          <w:rFonts w:ascii="Arial" w:hAnsi="Arial" w:cs="Arial"/>
          <w:b/>
          <w:color w:val="000000" w:themeColor="text1"/>
          <w:sz w:val="22"/>
          <w:szCs w:val="22"/>
          <w:shd w:val="clear" w:color="auto" w:fill="FFFFFF"/>
          <w:lang w:val="en-US"/>
        </w:rPr>
      </w:pPr>
    </w:p>
    <w:p w:rsidR="00726D8C" w:rsidRPr="00DA76A7" w:rsidRDefault="00726D8C" w:rsidP="00726D8C">
      <w:pPr>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Kholov Ikbolzhon Bekmurodovich</w:t>
      </w:r>
    </w:p>
    <w:p w:rsidR="00726D8C" w:rsidRPr="00DA76A7" w:rsidRDefault="00726D8C" w:rsidP="00726D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the second year of correspondence department of the faculty of law</w:t>
      </w:r>
    </w:p>
    <w:p w:rsidR="00726D8C" w:rsidRPr="00DA76A7" w:rsidRDefault="00726D8C" w:rsidP="00726D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Russian-Tajik (Slavonic) university</w:t>
      </w:r>
    </w:p>
    <w:p w:rsidR="00726D8C" w:rsidRPr="00DA76A7" w:rsidRDefault="00726D8C" w:rsidP="00726D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726D8C" w:rsidRPr="00DA76A7" w:rsidRDefault="00726D8C" w:rsidP="00726D8C">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l.: 992935659644, e-mail: holov90@mail.ru</w:t>
      </w:r>
    </w:p>
    <w:p w:rsidR="00726D8C" w:rsidRPr="00DA76A7" w:rsidRDefault="00726D8C" w:rsidP="00726D8C">
      <w:pPr>
        <w:ind w:firstLine="567"/>
        <w:jc w:val="right"/>
        <w:rPr>
          <w:rFonts w:ascii="Arial" w:hAnsi="Arial" w:cs="Arial"/>
          <w:color w:val="000000" w:themeColor="text1"/>
          <w:sz w:val="22"/>
          <w:szCs w:val="22"/>
          <w:lang w:val="en-US"/>
        </w:rPr>
      </w:pPr>
    </w:p>
    <w:p w:rsidR="00726D8C" w:rsidRPr="00DA76A7" w:rsidRDefault="00726D8C" w:rsidP="00726D8C">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Хамроев Ш.С.</w:t>
      </w:r>
    </w:p>
    <w:p w:rsidR="00726D8C" w:rsidRPr="00DA76A7" w:rsidRDefault="00726D8C" w:rsidP="00726D8C">
      <w:pPr>
        <w:ind w:firstLine="567"/>
        <w:jc w:val="both"/>
        <w:rPr>
          <w:rFonts w:ascii="Arial" w:hAnsi="Arial" w:cs="Arial"/>
          <w:b/>
          <w:i/>
          <w:color w:val="000000" w:themeColor="text1"/>
          <w:sz w:val="22"/>
          <w:szCs w:val="22"/>
          <w:shd w:val="clear" w:color="auto" w:fill="FFFFFF"/>
        </w:rPr>
      </w:pPr>
    </w:p>
    <w:p w:rsidR="00726D8C" w:rsidRPr="00DA76A7" w:rsidRDefault="00726D8C" w:rsidP="00726D8C">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shd w:val="clear" w:color="auto" w:fill="FFFFFF"/>
        </w:rPr>
        <w:t>Аннотация.</w:t>
      </w:r>
      <w:r w:rsidRPr="00DA76A7">
        <w:rPr>
          <w:rFonts w:ascii="Arial" w:hAnsi="Arial" w:cs="Arial"/>
          <w:i/>
          <w:color w:val="000000" w:themeColor="text1"/>
          <w:sz w:val="22"/>
          <w:szCs w:val="22"/>
          <w:shd w:val="clear" w:color="auto" w:fill="FFFFFF"/>
        </w:rPr>
        <w:t xml:space="preserve"> </w:t>
      </w:r>
      <w:r w:rsidRPr="00DA76A7">
        <w:rPr>
          <w:rFonts w:ascii="Arial" w:hAnsi="Arial" w:cs="Arial"/>
          <w:i/>
          <w:color w:val="000000" w:themeColor="text1"/>
          <w:sz w:val="22"/>
          <w:szCs w:val="22"/>
        </w:rPr>
        <w:t>В данной статье рассматриваются общие положения прокурорского надзора за соблюдением прав и свобод человека и гражданина, в частности сущность прокурорского надзора включая его предмет и задачи на современном этапе.</w:t>
      </w:r>
      <w:r w:rsidRPr="00DA76A7">
        <w:rPr>
          <w:rStyle w:val="apple-converted-space"/>
          <w:rFonts w:ascii="Arial" w:hAnsi="Arial" w:cs="Arial"/>
          <w:i/>
          <w:color w:val="000000" w:themeColor="text1"/>
          <w:sz w:val="22"/>
          <w:szCs w:val="22"/>
          <w:shd w:val="clear" w:color="auto" w:fill="FFFFFF"/>
        </w:rPr>
        <w:t> </w:t>
      </w:r>
    </w:p>
    <w:p w:rsidR="00726D8C" w:rsidRPr="00DA76A7" w:rsidRDefault="00726D8C" w:rsidP="00726D8C">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examines the general provisions of the prosecutor's supervision over the observance of human and citizen's rights and freedoms, in particular the essence of prosecutorial supervision, including its subject and tasks at the present stage.</w:t>
      </w:r>
    </w:p>
    <w:p w:rsidR="00726D8C" w:rsidRPr="00DA76A7" w:rsidRDefault="00726D8C" w:rsidP="00726D8C">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прокурорский надзор, прокуратура, полномочия прокурора, соблюдение прав и свобод человека.</w:t>
      </w:r>
    </w:p>
    <w:p w:rsidR="00726D8C" w:rsidRPr="00DA76A7" w:rsidRDefault="00726D8C" w:rsidP="00726D8C">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prosecutor's supervision, prosecutor's office, prosecutor's powers, observance of human rights and freedoms.</w:t>
      </w:r>
    </w:p>
    <w:p w:rsidR="00726D8C" w:rsidRPr="00DA76A7" w:rsidRDefault="00726D8C" w:rsidP="00726D8C">
      <w:pPr>
        <w:ind w:firstLine="567"/>
        <w:jc w:val="both"/>
        <w:rPr>
          <w:rFonts w:ascii="Arial" w:hAnsi="Arial" w:cs="Arial"/>
          <w:color w:val="000000" w:themeColor="text1"/>
          <w:sz w:val="22"/>
          <w:szCs w:val="22"/>
          <w:lang w:val="en-US"/>
        </w:rPr>
      </w:pP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Конституции Российской Федерации и Республики Таджикистан правам и свободам человека и гражданина посвящены отдельные главы. Это подчеркивает особую значимость соблюдения прав и свобод человека и гражданина для государства. Практически каждый гражданин в нашей стране сталкивался с нарушением его законных прав и свобод. Если рассматривать статистику о количестве обращений о нарушениях прав и свобод, поступающих в прокуратуру, с каждым годом возрастает.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Существенно, что права и свободы человека и гражданина признаются и гарантируются не только в соответствии с Конституцией, но и согласно общепризнанным принципам и нормам международного права. Это обстоятельство, с одной стороны, должно подтверждать вхождение нашей страны в цивилизованное общество, а с другой — стимулировать законодательство в сфере прав и свобод человека и гражданина, направленное, в частности, на предупреждение всех форм дискриминации, защиту семьи, детей и молодежи и на улучшение благосостояния народа [1, 146].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Надзор за соблюдением прав и свобод человека и гражданина также предусматривает возможность использования процедуры протеста и представления [2, 725].</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Вся доктрина прав человека основана на одной несомненной гуманистической ценности. Эта ценность — достоинство человека. Оно является исходным началом его прав и свобод. Достоинство как объективная общечеловеческая характеристика, оно персонифицировано, воплощено в конкретных людях. И здесь есть еще два важных аспекта.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Во-первых, достоинство — это оценка конкретного человека со стороны других людей, признание обществом тех нравственных, интеллектуальных, деловых качеств, степени ответственности, которыми этот человек обладает.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Чем больше у человека социально значимых, позитивных качеств, тем выше его достоинство. Точкой отсчета, сравнительной шкалой, по которой мы измеряем достоинство данного человека, является некий идеал достойной личности.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Важно подчеркнуть, что понятие достоинства исторически конкретно, обусловлено социокультурными и ценностными установками социума.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Во-вторых, достоинство есть субъективная нравственная самооценка, самосознание человеком своей связи с обществом, т. е. своего значения, роли, вклада, влияния (чувство собственного достоинства) в этом обществе. В личном достоинстве заложены притязания на определенное отношение к себе, требование (право) на уважение со стороны других, со стороны общества [3, 9–10].</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Задачи прокурорского надзора - это категория по сравнению с целями более частная, более конкретная, ограниченная. Задачи надзора более многочисленны по сравнению с целями. Они существенно различаются между собой по содержанию, по средствам их решения, по кругу субъектов -- органов прокуратуры, ставящих и решающих эти задачи.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соответствие со статьей 4 Конституционного закона Республики Таджикистан «Об органах прокуратуры Республики Таджикистан» основные задачи органов прокуратуры состоят из обеспечения верховенства закона, укрепления законности и правопо</w:t>
      </w:r>
      <w:r w:rsidRPr="00DA76A7">
        <w:rPr>
          <w:rFonts w:ascii="Arial" w:hAnsi="Arial" w:cs="Arial"/>
          <w:color w:val="000000" w:themeColor="text1"/>
          <w:sz w:val="22"/>
          <w:szCs w:val="22"/>
        </w:rPr>
        <w:softHyphen/>
        <w:t>рядка с целью защиты:</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iCs/>
          <w:color w:val="000000" w:themeColor="text1"/>
          <w:sz w:val="22"/>
          <w:szCs w:val="22"/>
        </w:rPr>
        <w:t>– суверенитета, государственной независимости, территориальной целостности и неприкосновенности территории Республики Таджикистан;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социальной, экономической, политической и других прав и свобод человека и гражданина;</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основ демократического строя государственной власти, правового статуса местных органов государствен</w:t>
      </w:r>
      <w:r w:rsidRPr="00DA76A7">
        <w:rPr>
          <w:rFonts w:ascii="Arial" w:hAnsi="Arial" w:cs="Arial"/>
          <w:color w:val="000000" w:themeColor="text1"/>
          <w:sz w:val="22"/>
          <w:szCs w:val="22"/>
        </w:rPr>
        <w:softHyphen/>
        <w:t>ной власти, </w:t>
      </w:r>
      <w:r w:rsidRPr="00DA76A7">
        <w:rPr>
          <w:rFonts w:ascii="Arial" w:hAnsi="Arial" w:cs="Arial"/>
          <w:bCs/>
          <w:iCs/>
          <w:color w:val="000000" w:themeColor="text1"/>
          <w:sz w:val="22"/>
          <w:szCs w:val="22"/>
        </w:rPr>
        <w:t>органов самоуправления посёлков и сёл</w:t>
      </w:r>
      <w:r w:rsidRPr="00DA76A7">
        <w:rPr>
          <w:rFonts w:ascii="Arial" w:hAnsi="Arial" w:cs="Arial"/>
          <w:color w:val="000000" w:themeColor="text1"/>
          <w:sz w:val="22"/>
          <w:szCs w:val="22"/>
        </w:rPr>
        <w:t>, других государственных органов, </w:t>
      </w:r>
      <w:r w:rsidRPr="00DA76A7">
        <w:rPr>
          <w:rFonts w:ascii="Arial" w:hAnsi="Arial" w:cs="Arial"/>
          <w:bCs/>
          <w:iCs/>
          <w:color w:val="000000" w:themeColor="text1"/>
          <w:sz w:val="22"/>
          <w:szCs w:val="22"/>
        </w:rPr>
        <w:t>органами самоуправления посёлков и сёл</w:t>
      </w:r>
      <w:r w:rsidRPr="00DA76A7">
        <w:rPr>
          <w:rFonts w:ascii="Arial" w:hAnsi="Arial" w:cs="Arial"/>
          <w:color w:val="000000" w:themeColor="text1"/>
          <w:sz w:val="22"/>
          <w:szCs w:val="22"/>
        </w:rPr>
        <w:t>, политических партий и других негосударственных структур [4].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Задачи прокурорского надзора могут быть условно разделены на три вида, или уровня, а именно: общие, специальные и частные. Названные уровни задач находятся в иерархической зависимости и подчиненности.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Решение частных задач обусловливает решение специальных задач надзора и подчиненно ему.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Успешное разрешение специальных задач в свою очередь подчинено решению общих задач прокурорского надзора.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Общие задачи прокурорского надзора определяются Конституцией РФ и РТ, Законом о прокуратуре, а также рядом других нормативных актов, например УПКРФ и УПКРТ, ГПКРФ и ГПКРТ. Они заключаются в укреплении законности и охране от всяких посягательств:</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 закрепленного в Конституции РФ и РТ;</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 политических, трудовых, жилищных и других личных и имущественных прав и охраняемых законом интересов граждан РФ и РТ, гарантированных Конституцией;</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прав и охраняемых законом интересов предприятий и организаций, независимо от форм собственности.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Объем и содержание этого вклада определяется специальными задачами, стоящими только перед данным направлением (отраслью) прокурорского надзора. Их суть вытекает из общих задач и определяется компетенцией прокурора в каждом из направлений прокурорского надзора. Подробно специальные задачи каждого направления прокурорского надзора будут рассмотрены ниже в соответствующих разделах. В качестве примера специальных задач можно назвать такие, как:</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обеспечение законности актов, издаваемых перечисленными в ст. 21 Закона о прокуратуре субъектами;</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обеспечение точного исполнения законов теми же субъектами.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Деятельность указанных в ст. 21 Закона о прокуратуре федеральных министерств и ведомств, представительных и исполнительных органов субъектов Федерации, органов местного самоуправления, органов военного управления, органов контроля и их должностных лиц регулируется федеральными и иными законами. Издаваемые ими правовые акты (приказы, распоряжения, инструкции и другие) должны соответствовать этим законам. Специальной задачей прокурорского надзора здесь является обеспечение законности издаваемых актов.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Вторая специальная задача этого направления надзора - обеспечение соблюдения Конституции РФ и точного исполнения законов указанными органами.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Решение общих и специальных задач прокурорского надзора осуществляется в процессе надзорной деятельности прокурора путем применения правовых средств прокурорского надзора. В ходе применения этих средств прокурор ставит определенные конкретные задачи и решает их. </w:t>
      </w:r>
    </w:p>
    <w:p w:rsidR="00726D8C" w:rsidRPr="00DA76A7" w:rsidRDefault="00726D8C" w:rsidP="00726D8C">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внесении представления об устранении правонарушения и обстоятельств, способствовавших его совершению, может быть поставлена задача своевременного выполнения всех изложенных в представлении предложений прокурора и т.д.</w:t>
      </w:r>
    </w:p>
    <w:p w:rsidR="00726D8C" w:rsidRPr="00DA76A7" w:rsidRDefault="00726D8C" w:rsidP="00726D8C">
      <w:pPr>
        <w:ind w:firstLine="567"/>
        <w:rPr>
          <w:rFonts w:ascii="Arial" w:hAnsi="Arial" w:cs="Arial"/>
          <w:color w:val="000000" w:themeColor="text1"/>
          <w:sz w:val="22"/>
          <w:szCs w:val="22"/>
        </w:rPr>
      </w:pPr>
    </w:p>
    <w:p w:rsidR="00592BC2" w:rsidRPr="00DA76A7" w:rsidRDefault="00592BC2" w:rsidP="00592BC2">
      <w:pPr>
        <w:tabs>
          <w:tab w:val="left" w:pos="851"/>
        </w:tabs>
        <w:ind w:firstLine="567"/>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СВЯЗЬ УГОЛОВНОГО ПРАВА С ДРУГИМИ ОТРАСЛЯМИ ЮРИДИЧЕСКОЙ НАУКИ</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Шарипов Нурали Хайбулоевич </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734025, Республика Таджикистан, г. Душанбе, ул. М. Турсунзаде, 30 </w:t>
      </w:r>
    </w:p>
    <w:p w:rsidR="00592BC2" w:rsidRPr="00240D8D"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240D8D">
        <w:rPr>
          <w:rFonts w:ascii="Arial" w:hAnsi="Arial" w:cs="Arial"/>
          <w:color w:val="000000" w:themeColor="text1"/>
          <w:sz w:val="22"/>
          <w:szCs w:val="22"/>
        </w:rPr>
        <w:t xml:space="preserve">.: 9929335061358, </w:t>
      </w:r>
      <w:r w:rsidRPr="00DA76A7">
        <w:rPr>
          <w:rFonts w:ascii="Arial" w:hAnsi="Arial" w:cs="Arial"/>
          <w:color w:val="000000" w:themeColor="text1"/>
          <w:sz w:val="22"/>
          <w:szCs w:val="22"/>
          <w:lang w:val="en-US"/>
        </w:rPr>
        <w:t>e</w:t>
      </w:r>
      <w:r w:rsidRPr="00240D8D">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240D8D">
        <w:rPr>
          <w:rFonts w:ascii="Arial" w:hAnsi="Arial" w:cs="Arial"/>
          <w:color w:val="000000" w:themeColor="text1"/>
          <w:sz w:val="22"/>
          <w:szCs w:val="22"/>
        </w:rPr>
        <w:t xml:space="preserve">: </w:t>
      </w:r>
      <w:hyperlink r:id="rId335" w:history="1">
        <w:r w:rsidRPr="00DA76A7">
          <w:rPr>
            <w:rStyle w:val="af0"/>
            <w:rFonts w:ascii="Arial" w:hAnsi="Arial" w:cs="Arial"/>
            <w:color w:val="000000" w:themeColor="text1"/>
            <w:sz w:val="22"/>
            <w:szCs w:val="22"/>
            <w:u w:val="none"/>
            <w:lang w:val="en-US"/>
          </w:rPr>
          <w:t>sharipov</w:t>
        </w:r>
        <w:r w:rsidRPr="00240D8D">
          <w:rPr>
            <w:rStyle w:val="af0"/>
            <w:rFonts w:ascii="Arial" w:hAnsi="Arial" w:cs="Arial"/>
            <w:color w:val="000000" w:themeColor="text1"/>
            <w:sz w:val="22"/>
            <w:szCs w:val="22"/>
            <w:u w:val="none"/>
          </w:rPr>
          <w:t>93@</w:t>
        </w:r>
        <w:r w:rsidRPr="00DA76A7">
          <w:rPr>
            <w:rStyle w:val="af0"/>
            <w:rFonts w:ascii="Arial" w:hAnsi="Arial" w:cs="Arial"/>
            <w:color w:val="000000" w:themeColor="text1"/>
            <w:sz w:val="22"/>
            <w:szCs w:val="22"/>
            <w:u w:val="none"/>
            <w:lang w:val="en-US"/>
          </w:rPr>
          <w:t>mail</w:t>
        </w:r>
        <w:r w:rsidRPr="00240D8D">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92BC2" w:rsidRPr="00240D8D"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RELATIONSHIP OF CRIMINAL LAW WITH OTHER INDUSTRIES OF LEGAL SCIENCE</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Sharipov Nurali Khaibuloevich</w:t>
      </w:r>
    </w:p>
    <w:p w:rsidR="00592BC2" w:rsidRPr="00DA76A7" w:rsidRDefault="00592BC2" w:rsidP="00592BC2">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rPr>
        <w:t>м</w:t>
      </w:r>
      <w:r w:rsidRPr="00DA76A7">
        <w:rPr>
          <w:rFonts w:ascii="Arial" w:hAnsi="Arial" w:cs="Arial"/>
          <w:color w:val="000000" w:themeColor="text1"/>
          <w:sz w:val="22"/>
          <w:szCs w:val="22"/>
          <w:shd w:val="clear" w:color="auto" w:fill="FFFFFF"/>
          <w:lang w:val="en-US"/>
        </w:rPr>
        <w:t>aster of the 2 st year of studying the correspondence department of the faculty of law</w:t>
      </w:r>
    </w:p>
    <w:p w:rsidR="00592BC2" w:rsidRPr="00DA76A7" w:rsidRDefault="00592BC2" w:rsidP="00592BC2">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Russian-Tajik (Slavonic) university</w:t>
      </w:r>
    </w:p>
    <w:p w:rsidR="00592BC2" w:rsidRPr="00DA76A7" w:rsidRDefault="00592BC2" w:rsidP="00592B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 xml:space="preserve">734025, Republic of Tajikistan, Dushanbe, M. Tursunzade </w:t>
      </w:r>
      <w:r w:rsidRPr="00DA76A7">
        <w:rPr>
          <w:rFonts w:ascii="Arial" w:hAnsi="Arial" w:cs="Arial"/>
          <w:color w:val="000000" w:themeColor="text1"/>
          <w:sz w:val="22"/>
          <w:szCs w:val="22"/>
          <w:lang w:val="en-US"/>
        </w:rPr>
        <w:t xml:space="preserve">str., 30 </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9929335061358, e-mail: </w:t>
      </w:r>
      <w:hyperlink r:id="rId336" w:history="1">
        <w:r w:rsidRPr="00DA76A7">
          <w:rPr>
            <w:rStyle w:val="af0"/>
            <w:rFonts w:ascii="Arial" w:hAnsi="Arial" w:cs="Arial"/>
            <w:color w:val="000000" w:themeColor="text1"/>
            <w:sz w:val="22"/>
            <w:szCs w:val="22"/>
            <w:u w:val="none"/>
            <w:lang w:val="en-US"/>
          </w:rPr>
          <w:t>sharipov93@mail.ru</w:t>
        </w:r>
      </w:hyperlink>
    </w:p>
    <w:p w:rsidR="00592BC2" w:rsidRPr="00DA76A7" w:rsidRDefault="00592BC2" w:rsidP="00592BC2">
      <w:pPr>
        <w:ind w:firstLine="567"/>
        <w:contextualSpacing/>
        <w:jc w:val="right"/>
        <w:rPr>
          <w:rFonts w:ascii="Arial" w:hAnsi="Arial" w:cs="Arial"/>
          <w:color w:val="000000" w:themeColor="text1"/>
          <w:sz w:val="22"/>
          <w:szCs w:val="22"/>
          <w:lang w:val="en-US"/>
        </w:rPr>
      </w:pPr>
    </w:p>
    <w:p w:rsidR="00592BC2" w:rsidRPr="00DA76A7" w:rsidRDefault="00592BC2" w:rsidP="00592BC2">
      <w:pPr>
        <w:ind w:firstLine="567"/>
        <w:contextualSpacing/>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Абдуллаева Р.А.</w:t>
      </w:r>
    </w:p>
    <w:p w:rsidR="00592BC2" w:rsidRPr="00DA76A7" w:rsidRDefault="00592BC2" w:rsidP="00592BC2">
      <w:pPr>
        <w:ind w:firstLine="567"/>
        <w:contextualSpacing/>
        <w:jc w:val="both"/>
        <w:rPr>
          <w:rFonts w:ascii="Arial" w:hAnsi="Arial" w:cs="Arial"/>
          <w:b/>
          <w:i/>
          <w:color w:val="000000" w:themeColor="text1"/>
          <w:sz w:val="22"/>
          <w:szCs w:val="22"/>
        </w:rPr>
      </w:pPr>
    </w:p>
    <w:p w:rsidR="00592BC2" w:rsidRPr="00DA76A7" w:rsidRDefault="00592BC2" w:rsidP="00592BC2">
      <w:pPr>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lang w:val="tg-Cyrl-TJ"/>
        </w:rPr>
        <w:t xml:space="preserve"> В данной стат</w:t>
      </w:r>
      <w:r w:rsidRPr="00DA76A7">
        <w:rPr>
          <w:rFonts w:ascii="Arial" w:hAnsi="Arial" w:cs="Arial"/>
          <w:i/>
          <w:color w:val="000000" w:themeColor="text1"/>
          <w:sz w:val="22"/>
          <w:szCs w:val="22"/>
        </w:rPr>
        <w:t>ь</w:t>
      </w:r>
      <w:r w:rsidRPr="00DA76A7">
        <w:rPr>
          <w:rFonts w:ascii="Arial" w:hAnsi="Arial" w:cs="Arial"/>
          <w:i/>
          <w:color w:val="000000" w:themeColor="text1"/>
          <w:sz w:val="22"/>
          <w:szCs w:val="22"/>
          <w:lang w:val="tg-Cyrl-TJ"/>
        </w:rPr>
        <w:t>е рассматривается</w:t>
      </w:r>
      <w:r w:rsidRPr="00DA76A7">
        <w:rPr>
          <w:rFonts w:ascii="Arial" w:hAnsi="Arial" w:cs="Arial"/>
          <w:i/>
          <w:color w:val="000000" w:themeColor="text1"/>
          <w:sz w:val="22"/>
          <w:szCs w:val="22"/>
        </w:rPr>
        <w:t xml:space="preserve"> места уголовного права в российской правовой системе</w:t>
      </w:r>
      <w:r w:rsidRPr="00DA76A7">
        <w:rPr>
          <w:rFonts w:ascii="Arial" w:hAnsi="Arial" w:cs="Arial"/>
          <w:i/>
          <w:color w:val="000000" w:themeColor="text1"/>
          <w:sz w:val="22"/>
          <w:szCs w:val="22"/>
          <w:lang w:val="tg-Cyrl-TJ"/>
        </w:rPr>
        <w:t>,</w:t>
      </w:r>
      <w:r w:rsidRPr="00DA76A7">
        <w:rPr>
          <w:rFonts w:ascii="Arial" w:hAnsi="Arial" w:cs="Arial"/>
          <w:i/>
          <w:color w:val="000000" w:themeColor="text1"/>
          <w:sz w:val="22"/>
          <w:szCs w:val="22"/>
        </w:rPr>
        <w:t xml:space="preserve"> анализируются характер и содержание взаимосвязей уголовно-правовых отношений с предметом конституционного, административного, уголовно-процессуального и уголовно-исполнительного права.</w:t>
      </w:r>
    </w:p>
    <w:p w:rsidR="00592BC2" w:rsidRPr="00DA76A7" w:rsidRDefault="00592BC2" w:rsidP="00592BC2">
      <w:pPr>
        <w:ind w:firstLine="567"/>
        <w:contextualSpacing/>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tg-Cyrl-TJ"/>
        </w:rPr>
        <w:t xml:space="preserve"> </w:t>
      </w:r>
      <w:r w:rsidRPr="00DA76A7">
        <w:rPr>
          <w:rFonts w:ascii="Arial" w:hAnsi="Arial" w:cs="Arial"/>
          <w:i/>
          <w:color w:val="000000" w:themeColor="text1"/>
          <w:sz w:val="22"/>
          <w:szCs w:val="22"/>
          <w:lang w:val="en-US"/>
        </w:rPr>
        <w:t>This article discusses, the criminal right in russian legal system are analysed nature and contents of the intercoupling criminal-legal relations with subject constitutional, administrative, criminal-remedial and criminal executive right.</w:t>
      </w:r>
    </w:p>
    <w:p w:rsidR="00592BC2" w:rsidRPr="00DA76A7" w:rsidRDefault="00592BC2" w:rsidP="00592BC2">
      <w:pPr>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правоотношения, уголовно-правовые отношения, юридический факт, предмет регулирования, отрасль права, </w:t>
      </w:r>
      <w:r w:rsidRPr="00DA76A7">
        <w:rPr>
          <w:rFonts w:ascii="Arial" w:hAnsi="Arial" w:cs="Arial"/>
          <w:i/>
          <w:color w:val="000000" w:themeColor="text1"/>
          <w:sz w:val="22"/>
          <w:szCs w:val="22"/>
          <w:lang w:val="tg-Cyrl-TJ"/>
        </w:rPr>
        <w:t>праа</w:t>
      </w:r>
      <w:r w:rsidRPr="00DA76A7">
        <w:rPr>
          <w:rFonts w:ascii="Arial" w:hAnsi="Arial" w:cs="Arial"/>
          <w:i/>
          <w:color w:val="000000" w:themeColor="text1"/>
          <w:sz w:val="22"/>
          <w:szCs w:val="22"/>
        </w:rPr>
        <w:t>в</w:t>
      </w:r>
      <w:r w:rsidRPr="00DA76A7">
        <w:rPr>
          <w:rFonts w:ascii="Arial" w:hAnsi="Arial" w:cs="Arial"/>
          <w:i/>
          <w:color w:val="000000" w:themeColor="text1"/>
          <w:sz w:val="22"/>
          <w:szCs w:val="22"/>
          <w:lang w:val="tg-Cyrl-TJ"/>
        </w:rPr>
        <w:t>а</w:t>
      </w:r>
      <w:r w:rsidRPr="00DA76A7">
        <w:rPr>
          <w:rFonts w:ascii="Arial" w:hAnsi="Arial" w:cs="Arial"/>
          <w:i/>
          <w:color w:val="000000" w:themeColor="text1"/>
          <w:sz w:val="22"/>
          <w:szCs w:val="22"/>
        </w:rPr>
        <w:t>вой статус.</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legal relations, criminal-legal relations, legal fact, subject of the regulation, branch of the right, legal status.</w:t>
      </w:r>
    </w:p>
    <w:p w:rsidR="00592BC2" w:rsidRPr="00DA76A7" w:rsidRDefault="00592BC2" w:rsidP="00592BC2">
      <w:pPr>
        <w:ind w:firstLine="567"/>
        <w:contextualSpacing/>
        <w:jc w:val="both"/>
        <w:rPr>
          <w:rFonts w:ascii="Arial" w:hAnsi="Arial" w:cs="Arial"/>
          <w:color w:val="000000" w:themeColor="text1"/>
          <w:sz w:val="22"/>
          <w:szCs w:val="22"/>
          <w:lang w:val="en-US"/>
        </w:rPr>
      </w:pP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Уголовное право является одной из основных отраслей права. Поэтому теоретическое осмысление фундаментальных проблем, связанных с его пониманием, социальным предназначением, сферой регулирования и критериями, на основе которых эта отрасль обособляется в правовой системе в качестве самостоятельной, - все это является одной из наиболее сложных и актуальных задач, стоящих перед уголовно-правовой наукой.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Для того чтоб, раскрыть связь уголовного права с другими отраслями права, нам для начало необходимо дать определение самому понятию «Уголовное право».</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«Простой» вопрос - что такое уголовное право? Для многих людей, не связанных с профессией юриста и не обремененных правовыми познаниями, вопрос в принципе понятный - это свод законов (норм, запретов), устанавливающих определенные наказания за нарушения определенных в нем правил поведения. Вариации такого рода понимания на индивидуальном уровне бесконечны; на уровне массового сознания такое общее представление сегодня достаточно типично, так как, телевидение как средство массовой информации и правовых «знаний» обильно «подкармливает» обывателя рутиной повседневной криминальной жизни.</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Но для юриста-профессионала, особенно для исследователя права, ответ на этот как бы казалось «простой» вопрос представляется куда более сложным, и его сколь-либо единообразного решения до сих пор еще не выработано [1, 67].</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Уголовного права, как наука представляет собой познавательную деятельность, предметом которой является уголовное законодательство, нормы уголовного права, понятия преступления и наказания, практика применения уголовно-правовых норм и, кроме того, все, что связано с социально-экономическими условиями, детерминирующими необходимость существования уголовного права и определяющими, методы, формы и пределы уголовно-правового регулирования. Именно поэтому, в числе методов уголовного нрава не только догматические способы изучения текста закона, но и вся совокупность научных приемов, позволяющих установить социальную обусловленность норм уголовного права, основания и пределы их действия и прогнозы развития общества, которые следует учитывать при решении вопросов криминализации, т.е. объявления их преступными, и декриминализации деяний. Результаты такой научной деятельности находят свое отражение в литературе уголовного права, которая зарождалась в России первоначально в виде эссе государственных деятелей (литературно-критической), в которые посвящались общими вопросами развития права, в том числе и уголовной [2, 131].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Уголовное право и его институты являются неотьемлемой частью юриспруденции и связь этого права с другими правовыми отраслями непосредственно предопределена его сущностными свойствами, что в свою очередь обусловлено системными свойствами предмета и метода регулирования и потому не зависит от воли законодателя, а лишь более или менее точно отражается им в уголовно-правовой норме. Определение  сущности межотраслевых связей уголовного права является ключом к решению многих вопросов [1, 67].</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Специальные проведенные в этой области исследования показывают, что «своеобразие каждой из отраслей права, специфичность их функций детерминирует и особенности возникающих между ними и уголовным правом связей. Но для того чтоб точно сформулировать эту взаимосвязь, все они могут быть разбиты на два вида:</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первый из которых характеризует вертикальные иерархические отношения;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второй -горизонтальные отношения отраслей, не подчиненных друг другу».</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Принимая это утверждение во внимание по существу, заметим, что оно может и должно быть развернуто, поскольку только двумя обобщенными видами связей место уголовного права в системе права описать достаточно сложно; связи эти носят более разнообразный характер. Так, в рамках национальной правовой системы иерархические связи, отражающие зависимость и обусловленность уголовного права, складываются у него с конституционным правом Российской Федерации; с регулятивными отраслями права эта связь носит преимущественно «горизонтальный» координирующий характер; с административно-деликтным правом уголовное право сочетается в горизонтальной плоскости, скорее, по принципу дополнительности; с уголовно-исполнительным и уголовно-процессуальным правом уголовное право имеет генетическую связь. Ниже рассмотрим эти связи подробней [3, 136].</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статье 1 УК РФ говориться, что уголовный закон основывается на Конституции РФ и общепризнанных принципах и нормах международного права, которые в этом смысле также признаются источником уголовного права. Как и любые другие отрасли, нормы уголовного права, находятся в отношении «подчинения» нормам конституционного права, и при расхождении уголовно-правовых предписаний с положениями Конституции РФ, последние могут быть применены непосредственно, об это также говориться в постановление Пленума Верховного Суда РФ от 31.10.1995 №8.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Применение норм Конституции РФ к отношениям, регулируемым уголовным правом, возможно лишь для ограничения или исключения уголовной ответственности, если уголовный закон в этой части противоречит Конституции РФ. Привлечение же к уголовной ответственности на основе непосредственного применения конституционных норм невозможно, поскольку это нарушит принцип, сформулированный на основе конституционных положений в ст. 1 УК РФ [3, 56].</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Уголовно-правовые отношения, по поводу причинения вреда важным общественным отношениям, включающие в свой субъектный состав человека и государства,  имеющим своим основанием в том числе и нормы Конституции России, связанные с оправданной необходимостью ограничения конституционных и иных прав правонарушителя посредством реализации эксклюзивной государственной функции легитимации насилия, самым непосредственным образом связаны с конституционно-правовыми отношениями [3, 35].</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можно сказать, что связь уголовных и конституционных правоотношений реализуется в двух основных направлениях: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-во-первых, в рамках конституционных отношений создается необходимая инфраструктура реализации уголовно-правовых отношений;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-во-вторых, уголовные правоотношения, оставаясь в рамках, заданных Конституцией, детализируют и уточняют права и обязанности личности и государства в весьма специфичной ситуации урегулирования уголовно-правового конфликта [4, 136].</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Уголовное право также взаимосвязана с нормами международного права, но оно является более сложным. Прежде всего, необходимо отметить, что  согласно со статье 15 Конституции РФ общепризнанные нормы и принципы международного права являются составной частью правовой системы РФ.</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 Конституции РФ речь идет также о международных договорах РФ, правила которых применяются непосредственно в случае противоречия между ними и национальным законом. Из часть 2 статьи 1 УК РФ следует, что общепризнанные принципы и нормы международного нрава положены в основу его предписаний, то есть, уже учтены законодателем. В случае подписании и ратификации Российской Федерацией новых международных соглашений, затрагивающих вопросы уголовного права, то они становятся элементами системы норм уголовного права только посредством процедуры внесения соответствующих изменений в УК РФ [4, 153].</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Стоить отметит, что международные договоры, нормы которых предусматривают признаки составов уголовно наказуемых деяний, согласно п 6 постановления Пленума Верховного Суда РФ от 10.10.2003 № 5,  не могут применяться судами непосредственно, поскольку такими договорами прямо устанавливается обязанность государств обеспечить выполнение предусмотренных договором обязательств путем установления наказуемости определенных преступлений внутренним (национальным) законом. Яркими примерами таких договоров являются, Международная конвенция о борьбе с захватом заложников 1979 года, Конвенция о борьбе с незаконным захватом воздушных судов 1970 года, Единая конвенция о наркотических средствах 1961 года, и другие акты.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Принципиально иную связь уголовно-правовые отношения обнаруживают с предметом регулятивных отраслей права (трудового, гражданского, налогового, семейного и т.д.). В этом случае отчетливо видны отличия между, с одной стороны, связью норм уголовного и иного законодательства, влиянием уголовно-правовых норм на поведение людей в рамках иных отраслевых отношений, а с другой стороны -связью собственно предметов регулирования уголовного и иного права  [2, 87].</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Расскрывая первый из этих видов связи, выдающийся исследователь, д.ю.н, профессор Н.И. Пикуров справедливо указывает: «Соединяясь в динамичные системы с нормами практически всех отраслей права, уголовное право не только имплантирует их предписания в свою ткань для определения границ между преступным и непреступным, но и само передает им часть своей юридической энергии, присутствуя в качестве потенциальной силы. Например:</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-охранять стороны от возможных мошеннических действий при заключении гражданско-правовой сделки,;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 процессе применения административно-правовых мер по пресечению нарушений общественного порядка, защищая жизнь, здоровье, честь и достоинство сотрудников правоохранительных органов, и т.п.</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-напоминание о возможности подключения жестких мер государственного принуждения в случае выхода конфликта за пределы регулирования определенной отрасли - одна из функций уголовно-правового запрета, опирающегося при описании признаков состава преступления на регулятивные нормы этих отраслей права. Но именно механизм уголовной репрессии включается лишь при совершении конкретных общественно опасных деяний, признаки которых описаны непосредственно в уголовном законе»[5, 135].</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Исходя из выше изложенного в статье подводим итоги анализа взаимосвязей уголовного права с предметом иных отраслей права, можно сделать выводы, что:</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Уголовное право, составляет необходимую и важную часть правового строя Российской Федерации и служат определенным показателем уровня цивилизованности и культуры в разрешении общественных и межличностных конфликтов. В этом плане они должны рассматриваться, как отношения, требующие сохранения, совершенствования и защиты.</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Взаимоотношения, которые составляют предмет регулирования иных отраслей, выступают в уголовном праве не в качестве предмета регулирования, а в качестве предмета охраны. Между ними возникает вязь в момент совершения преступления, так как требующее уголовно-правового регулирования отношение возникает лишь в случае существенного повреждения или уничтожения иного правового отношения.</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Между уголовно-правовыми и административно-деликтными отношениями складываются особые связи. Являясь составными частями единой охранительной сферы права, имея во многом общую природу и принципы регулирования, они имеют свойство взаимоперетекать друг в друга в случае изменения законодательной оценки порождающего их юридического факта, что открывает большие и перспективные возможности в деле совершенствования механизма уголовно-правового регулирования.</w:t>
      </w:r>
    </w:p>
    <w:p w:rsidR="00592BC2" w:rsidRPr="00DA76A7" w:rsidRDefault="00592BC2" w:rsidP="00592BC2">
      <w:pPr>
        <w:ind w:firstLine="567"/>
        <w:contextualSpacing/>
        <w:jc w:val="center"/>
        <w:rPr>
          <w:rFonts w:ascii="Arial" w:hAnsi="Arial" w:cs="Arial"/>
          <w:color w:val="000000" w:themeColor="text1"/>
          <w:sz w:val="22"/>
          <w:szCs w:val="22"/>
        </w:rPr>
      </w:pPr>
    </w:p>
    <w:p w:rsidR="00592BC2" w:rsidRPr="00DA76A7" w:rsidRDefault="00592BC2" w:rsidP="00592BC2">
      <w:pPr>
        <w:ind w:firstLine="567"/>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3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Малинина В.Б. Место уголовного права в системе российского права. – М.: СПб,  2008. – 410 с.</w:t>
      </w:r>
    </w:p>
    <w:p w:rsidR="00592BC2" w:rsidRPr="00DA76A7" w:rsidRDefault="00592BC2" w:rsidP="00D45D6B">
      <w:pPr>
        <w:pStyle w:val="a6"/>
        <w:numPr>
          <w:ilvl w:val="0"/>
          <w:numId w:val="13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Пикуров Н. И. Теоретические проблемы межотраслевых связей уголовного права. -  М.: Юристь, 2008. – 265 </w:t>
      </w:r>
      <w:r w:rsidRPr="00DA76A7">
        <w:rPr>
          <w:rFonts w:ascii="Arial" w:hAnsi="Arial" w:cs="Arial"/>
          <w:color w:val="000000" w:themeColor="text1"/>
          <w:lang w:val="en-US"/>
        </w:rPr>
        <w:t>c</w:t>
      </w:r>
      <w:r w:rsidRPr="00DA76A7">
        <w:rPr>
          <w:rFonts w:ascii="Arial" w:hAnsi="Arial" w:cs="Arial"/>
          <w:color w:val="000000" w:themeColor="text1"/>
        </w:rPr>
        <w:t>.</w:t>
      </w:r>
    </w:p>
    <w:p w:rsidR="00592BC2" w:rsidRPr="00DA76A7" w:rsidRDefault="00592BC2" w:rsidP="00D45D6B">
      <w:pPr>
        <w:pStyle w:val="a6"/>
        <w:numPr>
          <w:ilvl w:val="0"/>
          <w:numId w:val="13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Рыбушкин  Н. Н. К вопросу об особенностях предмета и метода уголовно-правового регулирования общественных отношений. – М.: Мир,  2008. - 350 с.</w:t>
      </w:r>
    </w:p>
    <w:p w:rsidR="00592BC2" w:rsidRPr="00DA76A7" w:rsidRDefault="00592BC2" w:rsidP="00D45D6B">
      <w:pPr>
        <w:pStyle w:val="a6"/>
        <w:numPr>
          <w:ilvl w:val="0"/>
          <w:numId w:val="139"/>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Тиунова Л. Б. Системные связи правовой действительности: методология и теория.– М.: СПб, 1991. – 452 </w:t>
      </w:r>
      <w:r w:rsidRPr="00DA76A7">
        <w:rPr>
          <w:rFonts w:ascii="Arial" w:hAnsi="Arial" w:cs="Arial"/>
          <w:color w:val="000000" w:themeColor="text1"/>
          <w:lang w:val="en-US"/>
        </w:rPr>
        <w:t>c</w:t>
      </w:r>
      <w:r w:rsidRPr="00DA76A7">
        <w:rPr>
          <w:rFonts w:ascii="Arial" w:hAnsi="Arial" w:cs="Arial"/>
          <w:color w:val="000000" w:themeColor="text1"/>
        </w:rPr>
        <w:t>.</w:t>
      </w:r>
    </w:p>
    <w:p w:rsidR="00592BC2" w:rsidRPr="00DA76A7" w:rsidRDefault="00592BC2" w:rsidP="00592BC2">
      <w:pPr>
        <w:ind w:firstLine="567"/>
        <w:contextualSpacing/>
        <w:jc w:val="center"/>
        <w:rPr>
          <w:rFonts w:ascii="Arial" w:hAnsi="Arial" w:cs="Arial"/>
          <w:b/>
          <w:color w:val="000000" w:themeColor="text1"/>
          <w:sz w:val="22"/>
          <w:szCs w:val="22"/>
        </w:rPr>
      </w:pPr>
    </w:p>
    <w:p w:rsidR="00592BC2" w:rsidRPr="00DA76A7" w:rsidRDefault="00592BC2" w:rsidP="00592BC2">
      <w:pPr>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ДЕТЕРМИНАНТЫ НАСИЛЬСТВЕННЫХ ПРЕСТУПЛЕНИЙ</w:t>
      </w:r>
    </w:p>
    <w:p w:rsidR="00592BC2" w:rsidRPr="00DA76A7" w:rsidRDefault="00592BC2" w:rsidP="00592BC2">
      <w:pPr>
        <w:contextualSpacing/>
        <w:jc w:val="center"/>
        <w:rPr>
          <w:rFonts w:ascii="Arial" w:hAnsi="Arial" w:cs="Arial"/>
          <w:b/>
          <w:color w:val="000000" w:themeColor="text1"/>
          <w:sz w:val="22"/>
          <w:szCs w:val="22"/>
        </w:rPr>
      </w:pPr>
    </w:p>
    <w:p w:rsidR="00592BC2" w:rsidRPr="00DA76A7" w:rsidRDefault="00592BC2" w:rsidP="00592BC2">
      <w:pPr>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Шарипов Фирдавс Рамазонович</w:t>
      </w:r>
    </w:p>
    <w:p w:rsidR="00592BC2" w:rsidRPr="00DA76A7" w:rsidRDefault="00592BC2" w:rsidP="00592BC2">
      <w:pPr>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592BC2" w:rsidRPr="00DA76A7" w:rsidRDefault="00592BC2" w:rsidP="00592BC2">
      <w:pPr>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92BC2" w:rsidRPr="00DA76A7" w:rsidRDefault="00592BC2" w:rsidP="00592BC2">
      <w:pPr>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г.Душанбе, ул.М. Турсунзаде, 30</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988-33-05-89, e-mail: Sharipov_24_24@mail.ru</w:t>
      </w:r>
    </w:p>
    <w:p w:rsidR="00592BC2" w:rsidRPr="00DA76A7" w:rsidRDefault="00592BC2" w:rsidP="00592BC2">
      <w:pPr>
        <w:contextualSpacing/>
        <w:jc w:val="center"/>
        <w:rPr>
          <w:rFonts w:ascii="Arial" w:hAnsi="Arial" w:cs="Arial"/>
          <w:color w:val="000000" w:themeColor="text1"/>
          <w:sz w:val="22"/>
          <w:szCs w:val="22"/>
          <w:lang w:val="en-US"/>
        </w:rPr>
      </w:pPr>
    </w:p>
    <w:p w:rsidR="00592BC2" w:rsidRPr="00DA76A7" w:rsidRDefault="00592BC2" w:rsidP="00592BC2">
      <w:pPr>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DETERMINANTS OF VIOLENT CRIMES</w:t>
      </w:r>
    </w:p>
    <w:p w:rsidR="00592BC2" w:rsidRPr="00DA76A7" w:rsidRDefault="00592BC2" w:rsidP="00592BC2">
      <w:pPr>
        <w:contextualSpacing/>
        <w:jc w:val="center"/>
        <w:rPr>
          <w:rFonts w:ascii="Arial" w:hAnsi="Arial" w:cs="Arial"/>
          <w:b/>
          <w:color w:val="000000" w:themeColor="text1"/>
          <w:sz w:val="22"/>
          <w:szCs w:val="22"/>
          <w:lang w:val="en-US"/>
        </w:rPr>
      </w:pPr>
    </w:p>
    <w:p w:rsidR="00592BC2" w:rsidRPr="00DA76A7" w:rsidRDefault="00592BC2" w:rsidP="00592BC2">
      <w:pPr>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Sharipov Firdavs Ramazonovich</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2nd year of training full-time law faculty</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592BC2" w:rsidRPr="00DA76A7" w:rsidRDefault="00592BC2" w:rsidP="00592BC2">
      <w:pPr>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988-33-05-89, e-mail: Sharipov_24_24@mail.ru</w:t>
      </w:r>
    </w:p>
    <w:p w:rsidR="00592BC2" w:rsidRPr="00DA76A7" w:rsidRDefault="00592BC2" w:rsidP="00592BC2">
      <w:pPr>
        <w:contextualSpacing/>
        <w:jc w:val="center"/>
        <w:rPr>
          <w:rFonts w:ascii="Arial" w:hAnsi="Arial" w:cs="Arial"/>
          <w:color w:val="000000" w:themeColor="text1"/>
          <w:sz w:val="22"/>
          <w:szCs w:val="22"/>
          <w:lang w:val="en-US"/>
        </w:rPr>
      </w:pPr>
    </w:p>
    <w:p w:rsidR="00592BC2" w:rsidRPr="00DA76A7" w:rsidRDefault="00592BC2" w:rsidP="00592BC2">
      <w:pPr>
        <w:ind w:firstLine="567"/>
        <w:contextualSpacing/>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Абдуллаева Р.А.</w:t>
      </w:r>
    </w:p>
    <w:p w:rsidR="00592BC2" w:rsidRPr="00DA76A7" w:rsidRDefault="00592BC2" w:rsidP="00592BC2">
      <w:pPr>
        <w:ind w:firstLine="567"/>
        <w:contextualSpacing/>
        <w:jc w:val="both"/>
        <w:rPr>
          <w:rFonts w:ascii="Arial" w:hAnsi="Arial" w:cs="Arial"/>
          <w:b/>
          <w:i/>
          <w:color w:val="000000" w:themeColor="text1"/>
          <w:sz w:val="22"/>
          <w:szCs w:val="22"/>
        </w:rPr>
      </w:pPr>
    </w:p>
    <w:p w:rsidR="00592BC2" w:rsidRPr="00DA76A7" w:rsidRDefault="00592BC2" w:rsidP="00592BC2">
      <w:pPr>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 </w:t>
      </w:r>
      <w:r w:rsidRPr="00DA76A7">
        <w:rPr>
          <w:rFonts w:ascii="Arial" w:hAnsi="Arial" w:cs="Arial"/>
          <w:i/>
          <w:color w:val="000000" w:themeColor="text1"/>
          <w:sz w:val="22"/>
          <w:szCs w:val="22"/>
        </w:rPr>
        <w:t xml:space="preserve">В данной статье рассматривается причины и факторы способствующие возникновению и совершению насильственных преступлений с криминологической точки зрении. </w:t>
      </w:r>
    </w:p>
    <w:p w:rsidR="00592BC2" w:rsidRPr="00DA76A7" w:rsidRDefault="00592BC2" w:rsidP="00592BC2">
      <w:pPr>
        <w:ind w:firstLine="567"/>
        <w:contextualSpacing/>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this article, the causes  and factors contributing to the emergence and commission of violent crimes from the criminological point of view.</w:t>
      </w:r>
    </w:p>
    <w:p w:rsidR="00592BC2" w:rsidRPr="00DA76A7" w:rsidRDefault="00592BC2" w:rsidP="00592BC2">
      <w:pPr>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детерминанты, насилие, насильственная преступность, криминологическая характеристика насилия.</w:t>
      </w:r>
    </w:p>
    <w:p w:rsidR="00592BC2" w:rsidRPr="00DA76A7" w:rsidRDefault="00592BC2" w:rsidP="00592BC2">
      <w:pPr>
        <w:ind w:firstLine="567"/>
        <w:contextualSpacing/>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determinants, violence, violent crimes, criminological features of violence.</w:t>
      </w:r>
    </w:p>
    <w:p w:rsidR="00592BC2" w:rsidRPr="00DA76A7" w:rsidRDefault="00592BC2" w:rsidP="00592BC2">
      <w:pPr>
        <w:ind w:firstLine="567"/>
        <w:contextualSpacing/>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ab/>
      </w:r>
    </w:p>
    <w:p w:rsidR="00592BC2" w:rsidRPr="00DA76A7" w:rsidRDefault="00592BC2" w:rsidP="00592BC2">
      <w:pPr>
        <w:ind w:firstLine="567"/>
        <w:contextualSpacing/>
        <w:jc w:val="both"/>
        <w:rPr>
          <w:rFonts w:ascii="Arial" w:hAnsi="Arial" w:cs="Arial"/>
          <w:bCs/>
          <w:color w:val="000000" w:themeColor="text1"/>
          <w:sz w:val="22"/>
          <w:szCs w:val="22"/>
        </w:rPr>
      </w:pPr>
      <w:r w:rsidRPr="00DA76A7">
        <w:rPr>
          <w:rFonts w:ascii="Arial" w:hAnsi="Arial" w:cs="Arial"/>
          <w:bCs/>
          <w:color w:val="000000" w:themeColor="text1"/>
          <w:sz w:val="22"/>
          <w:szCs w:val="22"/>
        </w:rPr>
        <w:t>Тема научной статьи «</w:t>
      </w:r>
      <w:r w:rsidRPr="00DA76A7">
        <w:rPr>
          <w:rFonts w:ascii="Arial" w:hAnsi="Arial" w:cs="Arial"/>
          <w:color w:val="000000" w:themeColor="text1"/>
          <w:sz w:val="22"/>
          <w:szCs w:val="22"/>
        </w:rPr>
        <w:t>Детерминанты насильственных преступлений</w:t>
      </w:r>
      <w:r w:rsidRPr="00DA76A7">
        <w:rPr>
          <w:rFonts w:ascii="Arial" w:hAnsi="Arial" w:cs="Arial"/>
          <w:bCs/>
          <w:color w:val="000000" w:themeColor="text1"/>
          <w:sz w:val="22"/>
          <w:szCs w:val="22"/>
        </w:rPr>
        <w:t xml:space="preserve">» весьма интересна и актуальна, так как именно изучив и раскрыв данную тему можно узнать о факторах влияющие на людей для совершение насильственных преступлений.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Начнём с того, что в юриспруденции есть такое понятие как, «Детерминанты преступности»- (от латинского </w:t>
      </w:r>
      <w:r w:rsidRPr="00DA76A7">
        <w:rPr>
          <w:rFonts w:ascii="Arial" w:hAnsi="Arial" w:cs="Arial"/>
          <w:color w:val="000000" w:themeColor="text1"/>
          <w:sz w:val="22"/>
          <w:szCs w:val="22"/>
          <w:lang w:val="en-US"/>
        </w:rPr>
        <w:t>determinare</w:t>
      </w:r>
      <w:r w:rsidRPr="00DA76A7">
        <w:rPr>
          <w:rFonts w:ascii="Arial" w:hAnsi="Arial" w:cs="Arial"/>
          <w:color w:val="000000" w:themeColor="text1"/>
          <w:sz w:val="22"/>
          <w:szCs w:val="22"/>
          <w:lang w:val="tg-Cyrl-TJ"/>
        </w:rPr>
        <w:t xml:space="preserve"> «определят”</w:t>
      </w:r>
      <w:r w:rsidRPr="00DA76A7">
        <w:rPr>
          <w:rFonts w:ascii="Arial" w:hAnsi="Arial" w:cs="Arial"/>
          <w:color w:val="000000" w:themeColor="text1"/>
          <w:sz w:val="22"/>
          <w:szCs w:val="22"/>
        </w:rPr>
        <w:t>)</w:t>
      </w:r>
      <w:r w:rsidRPr="00DA76A7">
        <w:rPr>
          <w:rFonts w:ascii="Arial" w:hAnsi="Arial" w:cs="Arial"/>
          <w:color w:val="000000" w:themeColor="text1"/>
          <w:sz w:val="22"/>
          <w:szCs w:val="22"/>
          <w:lang w:val="tg-Cyrl-TJ"/>
        </w:rPr>
        <w:t xml:space="preserve"> </w:t>
      </w:r>
      <w:r w:rsidRPr="00DA76A7">
        <w:rPr>
          <w:rFonts w:ascii="Arial" w:hAnsi="Arial" w:cs="Arial"/>
          <w:color w:val="000000" w:themeColor="text1"/>
          <w:sz w:val="22"/>
          <w:szCs w:val="22"/>
        </w:rPr>
        <w:t>называются комплексы социальных явлений, совместное действие которых порождает преступность. Изучение детерминант преступности является одной из составляющих предмета криминологии [2, 56].</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Насильственные преступления, как и другие рода преступления имеет комплексы причин и условий, изучение которых раскроет всю сущность данного рода преступления.</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color w:val="000000" w:themeColor="text1"/>
          <w:sz w:val="22"/>
          <w:szCs w:val="22"/>
        </w:rPr>
        <w:t xml:space="preserve"> </w:t>
      </w:r>
      <w:r w:rsidRPr="00DA76A7">
        <w:rPr>
          <w:rFonts w:ascii="Arial" w:hAnsi="Arial" w:cs="Arial"/>
          <w:bCs/>
          <w:color w:val="000000" w:themeColor="text1"/>
          <w:sz w:val="22"/>
          <w:szCs w:val="22"/>
        </w:rPr>
        <w:t>Существование и воспроизводство криминального насилия определяются в целом теми же причинами и условиями, что и вся преступность. Но круг и интенсивность ряда криминогенных явлений и процессов здесь специфичны, будучи связаны, в частности, сложившимися стереотипами поведения, представлениями о дозволенности насилия в ней.</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xml:space="preserve">Насилие - неотъемлемая часть общественного бытия. Его истоки коренятся в биосоциальной природе человека. Агрессивность со времен раннего человека так же, как и его социальность, служат средством борьбы за выживание. Она в процессе эволюции человека не затухает, а приобретает характер насилия в целях удовлетворения прежде всего надбиологических, социальных потребностей: в статусе, престиже, самоутверждении» </w:t>
      </w:r>
      <w:r w:rsidRPr="00DA76A7">
        <w:rPr>
          <w:rFonts w:ascii="Arial" w:hAnsi="Arial" w:cs="Arial"/>
          <w:color w:val="000000" w:themeColor="text1"/>
          <w:sz w:val="22"/>
          <w:szCs w:val="22"/>
        </w:rPr>
        <w:t>[3, 126].</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xml:space="preserve">Общесоциальные истоки насилия коренятся прежде всего в неравенстве положения отдельных групп и индивидов в стратификационной структуре общества, связанной с их местом в системе общественного производства и распределением социальных благ. Именно социальное неравенство порождает экстремистские формы поведения, в том числе и акты криминального насилия </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xml:space="preserve">Криминальное насилие существенно не превышает средний уровень, пока расслоенная система общества находится в относительном равновесии,. Однако нарушение такого равновесия ведет к росту насилия. Вызывается оно двумя основными причинами: резким ухудшением социального статуса тех или иных групп или прерванной социальной мобильностью </w:t>
      </w:r>
      <w:r w:rsidRPr="00DA76A7">
        <w:rPr>
          <w:rFonts w:ascii="Arial" w:hAnsi="Arial" w:cs="Arial"/>
          <w:color w:val="000000" w:themeColor="text1"/>
          <w:sz w:val="22"/>
          <w:szCs w:val="22"/>
        </w:rPr>
        <w:t>[4, 76].</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Снижение статуса ведет к разрыву между притязаниями и реальными возможностями их осуществления, к росту массовых негативных настроений, что создает почву для резкого увеличения числа криминогенных конфликтов, разрешаемых насильственным путем. Блокирование же восходящей социальной мобильности также создает почву для недовольства и фрустрационных разрядок насильственного характера.</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xml:space="preserve">В годах начале </w:t>
      </w:r>
      <w:r w:rsidRPr="00DA76A7">
        <w:rPr>
          <w:rFonts w:ascii="Arial" w:hAnsi="Arial" w:cs="Arial"/>
          <w:bCs/>
          <w:color w:val="000000" w:themeColor="text1"/>
          <w:sz w:val="22"/>
          <w:szCs w:val="22"/>
          <w:lang w:val="en-US"/>
        </w:rPr>
        <w:t>XXI</w:t>
      </w:r>
      <w:r w:rsidRPr="00DA76A7">
        <w:rPr>
          <w:rFonts w:ascii="Arial" w:hAnsi="Arial" w:cs="Arial"/>
          <w:bCs/>
          <w:color w:val="000000" w:themeColor="text1"/>
          <w:sz w:val="22"/>
          <w:szCs w:val="22"/>
        </w:rPr>
        <w:t xml:space="preserve"> </w:t>
      </w:r>
      <w:r w:rsidRPr="00DA76A7">
        <w:rPr>
          <w:rFonts w:ascii="Arial" w:hAnsi="Arial" w:cs="Arial"/>
          <w:bCs/>
          <w:color w:val="000000" w:themeColor="text1"/>
          <w:sz w:val="22"/>
          <w:szCs w:val="22"/>
          <w:lang w:val="tg-Cyrl-TJ"/>
        </w:rPr>
        <w:t>века</w:t>
      </w:r>
      <w:r w:rsidRPr="00DA76A7">
        <w:rPr>
          <w:rFonts w:ascii="Arial" w:hAnsi="Arial" w:cs="Arial"/>
          <w:bCs/>
          <w:color w:val="000000" w:themeColor="text1"/>
          <w:sz w:val="22"/>
          <w:szCs w:val="22"/>
        </w:rPr>
        <w:t xml:space="preserve"> наше общество оказалось в условиях глубокого экономического, социально-политического и духовного кризиса, обострения множества противоречий. Это вызвало нарастание социальной напряженности, девальвацию многих традиционных культурных, нравственных, гуманистических ценностей резкое снижение уровня законопослушания, дестабилизацию общественного порядка во многих регионах. В обществе переходного периода резко возросли конфликтность, ожесточенность нравов, произошло обесценивание человеческой жизни. Падение реальных доходов большей части населения, рост социального расслоения, абсолютное снижение показателей их жизненного уровня, появление новых привилегированных слоев, невиданный ранее имущественный диспаритет, интенсивные процессы маргинализации и люмпенизации значительных слоев граждан, безработица, инфляция, падение производства, критическая задолженность работникам бюджетных отраслей, обострение межнациональных отношений и вынужденная в связи с этим миграция, рост национализма и национальной нетерпимости, политического и религиозного экстремизма, значительное ослабление социального контроля - все это сыграло существенную криминогенную роль и в детерминации насильственной преступности </w:t>
      </w:r>
      <w:r w:rsidRPr="00DA76A7">
        <w:rPr>
          <w:rFonts w:ascii="Arial" w:hAnsi="Arial" w:cs="Arial"/>
          <w:color w:val="000000" w:themeColor="text1"/>
          <w:sz w:val="22"/>
          <w:szCs w:val="22"/>
        </w:rPr>
        <w:t>[3, 184].</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xml:space="preserve">К основным криминогенным детерминантам убийств, причинения вреда здоровью, хулиганства и другим преступлениям насильственного характера следует отнести: </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ориентацию и направленность значительной части населения на любые, не останавливающиеся ни перед чем, средства достижения жизненно важных целей;</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применение неординарных мер, и иногда довольно ожесточенную конкурентную борьбу в экономической и политической сферах;</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утрату многими людьми личной перспективы, неблагоприятные материальные и жилищные условия, крах их надежд, постоянное состояние тревоги и безысходности, провоцирующие на агрессивную «разрядку»;</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повышенную распространенность среди отдельных групп населения представления о допустимости насильственных действий, стереотипов агрессивно-насильственного поведения в конфликтных ситуациях;</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xml:space="preserve">- интенсивную алкоголизацию и наркотизацию населения, обусловливающую значительную распространенность «пьяных» эксцессов и связанного с ними агрессивно-насильственного поведения (согласно данным российских исследований 2014 года случаи злокачественного злокачественного алкоголизма возросло в два раза, что привело к росту совершении тяжелых преступлений на почве алкоголизма, к ним еще надо добавить примерно 3 млн человек, употребляющих наркотики);  </w:t>
      </w:r>
      <w:r w:rsidRPr="00DA76A7">
        <w:rPr>
          <w:rFonts w:ascii="Arial" w:hAnsi="Arial" w:cs="Arial"/>
          <w:color w:val="000000" w:themeColor="text1"/>
          <w:sz w:val="22"/>
          <w:szCs w:val="22"/>
        </w:rPr>
        <w:t>[4, 79].</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xml:space="preserve">- нереагирование соответствующих должностных лиц и общественных организаций на антиобщественные поступки в сферах досуга, быта и трудовой деятельности; </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виктимное (безнравственное, легкомысленное, противоправное) поведение потерпевших, послуживших поводом для преступления;</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влияние преступной среды; криминальное «заражение» в экстремистской или хулиганствующей микросреде; вовлечение в организованные, «заказные» и тому подобные преступления;</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провоцирующие на конфликт взаимоотношения в семье, с соседями, сослуживцами (оскорбления, скандалы, ссоры, издевательства, драки);</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несвоевременное выявление правоохранительными органами и общественностью криминогенных семейно-бытовых ситуаций; неудовлетворительное реагирование на бытовые конфликты;</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нереагирование на предшествующие насильственным преступлениям угрозы физической расправой в отношении потерпевшего и других лиц, нанесения телесных повреждений, факты побоев, хулиганских поступков, истязаний;</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латентность и безнаказанность значительной части преступлений против личности, обусловленные низким профессионализмом правоохранительных органов;</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xml:space="preserve">- терпимость в трудовом коллективе и бытовой микросреде к нарушителям общественного порядка, пьяницам, наркоманам и токсикоманам, фактам вовлечения несовершеннолетних в пьянство и потребление одурманивающих веществ и прекурсоров; </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недостатки в деятельности органов правоохранения, при борьбе с криминальным рецидивом; необоснованное применение к осужденным амнистии и досрочного освобождения от наказания; обстоятельства, осложнившие процесс их социальной адаптации и pecoциализации (например, незаконный отказ от трудоустройства и регистрации по месту жительства); недостаточный контроль за поведением условно осужденных и досрочно освобожденных, находящихся под, административным надзором со стороны органов внутренних дел и общественности);</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неполнота выявления лиц, страдающих психическими нарушениями, заболеваниями и аномалиями психики; слабая профилактическая работа с данными лицами, непринятие по отношению к ним предусмотренных законом медицинских и других мер общественной безопасности;</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обстоятельства, способствовавшие формированию антиобщественных группировок молодежи с агрессивно-насильственной направленностью (примерами которых являются нацисты, панки, вандалы, скинхеды и т.п.); недостатки в деятельности по разобщению таких группировок;</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существование значительного нелегального «черного рынка» оружия; непринятие мер по пресечению незаконного оборота оружия, его небрежное хранение; взрывчатых веществ, боеприпасов, взрывных устройств, ядов;</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недостатки в охране общественного порядка и безопасности граждан, в организации патрульно-постовой службы милиции, профилактической деятельности органов внутренних дел среди подростков и молодеж;</w:t>
      </w:r>
    </w:p>
    <w:p w:rsidR="00592BC2" w:rsidRPr="00DA76A7" w:rsidRDefault="00592BC2" w:rsidP="00592BC2">
      <w:pPr>
        <w:ind w:firstLine="567"/>
        <w:contextualSpacing/>
        <w:jc w:val="both"/>
        <w:outlineLvl w:val="1"/>
        <w:rPr>
          <w:rFonts w:ascii="Arial" w:hAnsi="Arial" w:cs="Arial"/>
          <w:bCs/>
          <w:color w:val="000000" w:themeColor="text1"/>
          <w:sz w:val="22"/>
          <w:szCs w:val="22"/>
        </w:rPr>
      </w:pPr>
      <w:r w:rsidRPr="00DA76A7">
        <w:rPr>
          <w:rFonts w:ascii="Arial" w:hAnsi="Arial" w:cs="Arial"/>
          <w:bCs/>
          <w:color w:val="000000" w:themeColor="text1"/>
          <w:sz w:val="22"/>
          <w:szCs w:val="22"/>
        </w:rPr>
        <w:t>- нереагирование окружающих на факты применения насилия, хулиганства, иного аморального и противоправного поведения; оставление потерпевшего без помощи в опасной ситуации; непринятие очевидцами мер к пресечению преступления, их невмешательство в конфликт, случаи попустительства, равнодушия и трусости;</w:t>
      </w:r>
    </w:p>
    <w:p w:rsidR="00592BC2" w:rsidRPr="00DA76A7" w:rsidRDefault="00592BC2" w:rsidP="00592BC2">
      <w:pPr>
        <w:ind w:firstLine="567"/>
        <w:contextualSpacing/>
        <w:jc w:val="both"/>
        <w:outlineLvl w:val="1"/>
        <w:rPr>
          <w:rFonts w:ascii="Arial" w:hAnsi="Arial" w:cs="Arial"/>
          <w:color w:val="000000" w:themeColor="text1"/>
          <w:sz w:val="22"/>
          <w:szCs w:val="22"/>
        </w:rPr>
      </w:pPr>
      <w:r w:rsidRPr="00DA76A7">
        <w:rPr>
          <w:rFonts w:ascii="Arial" w:hAnsi="Arial" w:cs="Arial"/>
          <w:bCs/>
          <w:color w:val="000000" w:themeColor="text1"/>
          <w:sz w:val="22"/>
          <w:szCs w:val="22"/>
        </w:rPr>
        <w:t xml:space="preserve">- недостатки в воспитательной работе по месту жительства, работы и учебы, в организации досуга, культурного обслуживания населения, в том числе упущения в воспитательной, культурно-массовой и организационной работе в молодежных общежитиях, нарушения в работе предприятий торговли и общественного питания, создающие условия, способствующие возникновению конфликтных ситуаций, и т.д. </w:t>
      </w:r>
      <w:r w:rsidRPr="00DA76A7">
        <w:rPr>
          <w:rFonts w:ascii="Arial" w:hAnsi="Arial" w:cs="Arial"/>
          <w:color w:val="000000" w:themeColor="text1"/>
          <w:sz w:val="22"/>
          <w:szCs w:val="22"/>
        </w:rPr>
        <w:t>[1, 198].</w:t>
      </w:r>
    </w:p>
    <w:p w:rsidR="00592BC2" w:rsidRPr="00DA76A7" w:rsidRDefault="00592BC2" w:rsidP="00592BC2">
      <w:pPr>
        <w:ind w:firstLine="567"/>
        <w:contextualSpacing/>
        <w:jc w:val="both"/>
        <w:outlineLvl w:val="1"/>
        <w:rPr>
          <w:rFonts w:ascii="Arial" w:hAnsi="Arial" w:cs="Arial"/>
          <w:color w:val="000000" w:themeColor="text1"/>
          <w:sz w:val="22"/>
          <w:szCs w:val="22"/>
        </w:rPr>
      </w:pPr>
      <w:r w:rsidRPr="00DA76A7">
        <w:rPr>
          <w:rFonts w:ascii="Arial" w:hAnsi="Arial" w:cs="Arial"/>
          <w:color w:val="000000" w:themeColor="text1"/>
          <w:sz w:val="22"/>
          <w:szCs w:val="22"/>
        </w:rPr>
        <w:t>Исходя из выше изложенного</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 xml:space="preserve">в статье хотелось бы отметит, что факторы, влияющие на насильственные преступления, постоянно изменяются, некоторые исчезают, появляются новые, ранее не существовавшие. Если исходить из того, что преступность не приходящее явление, то корни преступного насилия нужно искать в общественных отношения, и именно в тех, которые поражают низменные человеческие страсти, социальные противоречия, острые конфликтные ситуации.   </w:t>
      </w:r>
    </w:p>
    <w:p w:rsidR="00592BC2" w:rsidRPr="00DA76A7" w:rsidRDefault="00592BC2" w:rsidP="00592BC2">
      <w:pPr>
        <w:ind w:firstLine="567"/>
        <w:contextualSpacing/>
        <w:jc w:val="center"/>
        <w:outlineLvl w:val="1"/>
        <w:rPr>
          <w:rFonts w:ascii="Arial" w:hAnsi="Arial" w:cs="Arial"/>
          <w:bCs/>
          <w:color w:val="000000" w:themeColor="text1"/>
          <w:sz w:val="22"/>
          <w:szCs w:val="22"/>
        </w:rPr>
      </w:pPr>
    </w:p>
    <w:p w:rsidR="00592BC2" w:rsidRPr="00DA76A7" w:rsidRDefault="00592BC2" w:rsidP="00592BC2">
      <w:pPr>
        <w:ind w:firstLine="567"/>
        <w:contextualSpacing/>
        <w:jc w:val="center"/>
        <w:outlineLvl w:val="1"/>
        <w:rPr>
          <w:rFonts w:ascii="Arial" w:hAnsi="Arial" w:cs="Arial"/>
          <w:b/>
          <w:bCs/>
          <w:color w:val="000000" w:themeColor="text1"/>
          <w:sz w:val="22"/>
          <w:szCs w:val="22"/>
        </w:rPr>
      </w:pPr>
      <w:r w:rsidRPr="00DA76A7">
        <w:rPr>
          <w:rFonts w:ascii="Arial" w:hAnsi="Arial" w:cs="Arial"/>
          <w:b/>
          <w:bCs/>
          <w:color w:val="000000" w:themeColor="text1"/>
          <w:sz w:val="22"/>
          <w:szCs w:val="22"/>
        </w:rPr>
        <w:t>Список литературы:</w:t>
      </w:r>
    </w:p>
    <w:p w:rsidR="00592BC2" w:rsidRPr="00DA76A7" w:rsidRDefault="00592BC2" w:rsidP="00D45D6B">
      <w:pPr>
        <w:pStyle w:val="a6"/>
        <w:numPr>
          <w:ilvl w:val="0"/>
          <w:numId w:val="14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Алексеев А.И. Криминология и профилактика преступлений. - М.: Мир, 2007. - 525 с.</w:t>
      </w:r>
    </w:p>
    <w:p w:rsidR="00592BC2" w:rsidRPr="00DA76A7" w:rsidRDefault="00592BC2" w:rsidP="00D45D6B">
      <w:pPr>
        <w:pStyle w:val="a6"/>
        <w:numPr>
          <w:ilvl w:val="0"/>
          <w:numId w:val="14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Гилинский Я.И. Социология насильственной преступности.  – М.: Мир, 2007. – 290 с. </w:t>
      </w:r>
    </w:p>
    <w:p w:rsidR="00592BC2" w:rsidRPr="00DA76A7" w:rsidRDefault="00592BC2" w:rsidP="00D45D6B">
      <w:pPr>
        <w:pStyle w:val="a6"/>
        <w:numPr>
          <w:ilvl w:val="0"/>
          <w:numId w:val="14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Карпов И.Т. Насильственная преступность: общая характеристика. - М.: Мир, 2007. -  326 с.</w:t>
      </w:r>
    </w:p>
    <w:p w:rsidR="00592BC2" w:rsidRPr="00DA76A7" w:rsidRDefault="00592BC2" w:rsidP="00D45D6B">
      <w:pPr>
        <w:pStyle w:val="a6"/>
        <w:numPr>
          <w:ilvl w:val="0"/>
          <w:numId w:val="14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Статистический сборник. Министерство внутренних дел РФ. – М.:  Юристь, 2014. – 298 с.</w:t>
      </w:r>
    </w:p>
    <w:p w:rsidR="00592BC2" w:rsidRPr="00DA76A7" w:rsidRDefault="00592BC2" w:rsidP="00D45D6B">
      <w:pPr>
        <w:pStyle w:val="a6"/>
        <w:numPr>
          <w:ilvl w:val="0"/>
          <w:numId w:val="14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Теория и практика уголовного права и уголовного процесса. – М.: Пресс, 2004. - 432 с.</w:t>
      </w:r>
    </w:p>
    <w:p w:rsidR="00592BC2" w:rsidRPr="00DA76A7" w:rsidRDefault="00592BC2" w:rsidP="00592BC2">
      <w:pPr>
        <w:ind w:firstLine="567"/>
        <w:contextualSpacing/>
        <w:jc w:val="center"/>
        <w:outlineLvl w:val="1"/>
        <w:rPr>
          <w:rFonts w:ascii="Arial" w:hAnsi="Arial" w:cs="Arial"/>
          <w:b/>
          <w:bCs/>
          <w:color w:val="000000" w:themeColor="text1"/>
          <w:sz w:val="22"/>
          <w:szCs w:val="22"/>
        </w:rPr>
      </w:pPr>
    </w:p>
    <w:p w:rsidR="00592BC2" w:rsidRPr="00DA76A7" w:rsidRDefault="00592BC2" w:rsidP="00726D8C">
      <w:pPr>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КРИМИНОЛОГИЧЕСКАЯ ХАРАКТЕРИСТИКА НАСИЛЬСТВЕННОЙ ПРЕСТУПНОСТИ</w:t>
      </w:r>
    </w:p>
    <w:p w:rsidR="00592BC2" w:rsidRPr="00DA76A7" w:rsidRDefault="00592BC2" w:rsidP="00726D8C">
      <w:pPr>
        <w:contextualSpacing/>
        <w:jc w:val="center"/>
        <w:rPr>
          <w:rFonts w:ascii="Arial" w:hAnsi="Arial" w:cs="Arial"/>
          <w:b/>
          <w:color w:val="000000" w:themeColor="text1"/>
          <w:sz w:val="22"/>
          <w:szCs w:val="22"/>
        </w:rPr>
      </w:pPr>
    </w:p>
    <w:p w:rsidR="00592BC2" w:rsidRPr="00DA76A7" w:rsidRDefault="00592BC2" w:rsidP="00726D8C">
      <w:pPr>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Шарипов Фирдавс Рамазонович</w:t>
      </w:r>
    </w:p>
    <w:p w:rsidR="00592BC2" w:rsidRPr="00DA76A7" w:rsidRDefault="00592BC2" w:rsidP="00726D8C">
      <w:pPr>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592BC2" w:rsidRPr="00DA76A7" w:rsidRDefault="00592BC2" w:rsidP="00726D8C">
      <w:pPr>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 Российско-Таджикский (Славянский) университет, </w:t>
      </w:r>
    </w:p>
    <w:p w:rsidR="00592BC2" w:rsidRPr="00DA76A7" w:rsidRDefault="00592BC2" w:rsidP="00592BC2">
      <w:pPr>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92BC2" w:rsidRPr="00DA76A7" w:rsidRDefault="00592BC2" w:rsidP="00592BC2">
      <w:pPr>
        <w:ind w:firstLine="567"/>
        <w:contextualSpacing/>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988-33-05-89,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Sharipov</w:t>
      </w:r>
      <w:r w:rsidRPr="00DA76A7">
        <w:rPr>
          <w:rFonts w:ascii="Arial" w:hAnsi="Arial" w:cs="Arial"/>
          <w:color w:val="000000" w:themeColor="text1"/>
          <w:sz w:val="22"/>
          <w:szCs w:val="22"/>
        </w:rPr>
        <w:t>_24_24@</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92BC2" w:rsidRPr="00DA76A7" w:rsidRDefault="00592BC2" w:rsidP="00592BC2">
      <w:pPr>
        <w:ind w:firstLine="567"/>
        <w:contextualSpacing/>
        <w:jc w:val="center"/>
        <w:rPr>
          <w:rFonts w:ascii="Arial" w:hAnsi="Arial" w:cs="Arial"/>
          <w:color w:val="000000" w:themeColor="text1"/>
          <w:sz w:val="22"/>
          <w:szCs w:val="22"/>
        </w:rPr>
      </w:pPr>
    </w:p>
    <w:p w:rsidR="00592BC2" w:rsidRPr="00DA76A7" w:rsidRDefault="00592BC2" w:rsidP="00592BC2">
      <w:pPr>
        <w:ind w:firstLine="567"/>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CRIMINOLOGICAL CHARACTERISTICS OF ENFORCED CRIME</w:t>
      </w:r>
    </w:p>
    <w:p w:rsidR="00592BC2" w:rsidRPr="00DA76A7" w:rsidRDefault="00592BC2" w:rsidP="00592BC2">
      <w:pPr>
        <w:ind w:firstLine="567"/>
        <w:contextualSpacing/>
        <w:jc w:val="center"/>
        <w:rPr>
          <w:rFonts w:ascii="Arial" w:hAnsi="Arial" w:cs="Arial"/>
          <w:b/>
          <w:color w:val="000000" w:themeColor="text1"/>
          <w:sz w:val="22"/>
          <w:szCs w:val="22"/>
          <w:lang w:val="en-US"/>
        </w:rPr>
      </w:pPr>
    </w:p>
    <w:p w:rsidR="00592BC2" w:rsidRPr="00DA76A7" w:rsidRDefault="00592BC2" w:rsidP="00592BC2">
      <w:pPr>
        <w:ind w:firstLine="567"/>
        <w:contextualSpacing/>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Sharipov Firdavs Ramazonovich</w:t>
      </w:r>
    </w:p>
    <w:p w:rsidR="00592BC2" w:rsidRPr="00DA76A7" w:rsidRDefault="00592BC2" w:rsidP="00592BC2">
      <w:pPr>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training full-time law faculty</w:t>
      </w:r>
    </w:p>
    <w:p w:rsidR="00592BC2" w:rsidRPr="00DA76A7" w:rsidRDefault="00592BC2" w:rsidP="00592BC2">
      <w:pPr>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Russian-Tajik (Slavonic) university </w:t>
      </w:r>
    </w:p>
    <w:p w:rsidR="00592BC2" w:rsidRPr="00DA76A7" w:rsidRDefault="00592BC2" w:rsidP="00592BC2">
      <w:pPr>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 30</w:t>
      </w:r>
    </w:p>
    <w:p w:rsidR="00592BC2" w:rsidRPr="00DA76A7" w:rsidRDefault="00592BC2" w:rsidP="00592BC2">
      <w:pPr>
        <w:ind w:firstLine="567"/>
        <w:contextualSpacing/>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988-33-05-89, e-mail: Sharipov_24_24@mail.ru</w:t>
      </w:r>
    </w:p>
    <w:p w:rsidR="00592BC2" w:rsidRPr="00DA76A7" w:rsidRDefault="00592BC2" w:rsidP="00592BC2">
      <w:pPr>
        <w:ind w:firstLine="567"/>
        <w:contextualSpacing/>
        <w:jc w:val="center"/>
        <w:rPr>
          <w:rFonts w:ascii="Arial" w:hAnsi="Arial" w:cs="Arial"/>
          <w:color w:val="000000" w:themeColor="text1"/>
          <w:sz w:val="22"/>
          <w:szCs w:val="22"/>
          <w:lang w:val="en-US"/>
        </w:rPr>
      </w:pPr>
    </w:p>
    <w:p w:rsidR="00592BC2" w:rsidRPr="00DA76A7" w:rsidRDefault="00592BC2" w:rsidP="00592BC2">
      <w:pPr>
        <w:ind w:firstLine="567"/>
        <w:contextualSpacing/>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Абдуллаева Р.А.</w:t>
      </w:r>
    </w:p>
    <w:p w:rsidR="00592BC2" w:rsidRPr="00DA76A7" w:rsidRDefault="00592BC2" w:rsidP="00592BC2">
      <w:pPr>
        <w:ind w:firstLine="567"/>
        <w:contextualSpacing/>
        <w:jc w:val="both"/>
        <w:rPr>
          <w:rFonts w:ascii="Arial" w:hAnsi="Arial" w:cs="Arial"/>
          <w:b/>
          <w:i/>
          <w:color w:val="000000" w:themeColor="text1"/>
          <w:sz w:val="22"/>
          <w:szCs w:val="22"/>
        </w:rPr>
      </w:pPr>
    </w:p>
    <w:p w:rsidR="00592BC2" w:rsidRPr="00DA76A7" w:rsidRDefault="00592BC2" w:rsidP="00592BC2">
      <w:pPr>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 В данной статье рассматривается криминологический механизм преступного  насилия: основные элементы данного механизма, их взаимосвязи и связи с внешней средой, а также соотношение насильственных преступлений  в уголовном аспекте. </w:t>
      </w:r>
    </w:p>
    <w:p w:rsidR="00592BC2" w:rsidRPr="00DA76A7" w:rsidRDefault="00592BC2" w:rsidP="00592BC2">
      <w:pPr>
        <w:ind w:firstLine="567"/>
        <w:contextualSpacing/>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 xml:space="preserve">In this article, The criminological mechanism of criminal violence is considered: the elements of this mechanism, their interrelations and connections with the external environment, as well the ratio of violent crimes in the criminal aspect. </w:t>
      </w:r>
    </w:p>
    <w:p w:rsidR="00592BC2" w:rsidRPr="00DA76A7" w:rsidRDefault="00592BC2" w:rsidP="00592BC2">
      <w:pPr>
        <w:ind w:firstLine="567"/>
        <w:contextualSpacing/>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насилие, насильственная преступность, криминологическая характеристика насилия.</w:t>
      </w:r>
    </w:p>
    <w:p w:rsidR="00592BC2" w:rsidRPr="00DA76A7" w:rsidRDefault="00592BC2" w:rsidP="00592BC2">
      <w:pPr>
        <w:ind w:firstLine="567"/>
        <w:contextualSpacing/>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violence, violent crimes, criminological features of violence.</w:t>
      </w:r>
    </w:p>
    <w:p w:rsidR="00592BC2" w:rsidRPr="00DA76A7" w:rsidRDefault="00592BC2" w:rsidP="00592BC2">
      <w:pPr>
        <w:ind w:firstLine="567"/>
        <w:contextualSpacing/>
        <w:jc w:val="both"/>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Насильственная преступность— это совокупность преступлений, совершенных с применением физической силы либо с угрозой применения таковой, имеющих основной непосредственной целью лишение человека жизни либо причинение вреда его здоровью, физической свободе, телесной (в том числе половой) неприкосновенности против его воли, а также совокупность лиц, совершивших насильственные преступления за определенный период на определенной территории [1, 22].</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К насильственным преступлениям относят убийства (ст.105 УК РФ и ст.103 УК РТ), причинение вреда здоровью (ст. 111, 112, 113, 115 УК РФ и ст. 110, 111, 112, 113 УК РТ), изнасилования (ст. 131 УК РФ и ст. 138 УК РТ), хулиганство (ст. 213 УК РФ и ст. 237 УК РТ) и побои (ст. 116 УК РФ и ст. 116 УК РТ). Эти посягательства образуют относительно самостоятельный группу преступлений, характеризующихся внутренним единством, обусловленным прежде всего, социально-психологическим механизмом преступного поведения. В основе этого механизма лежит агрессивно-пренебрежительное отношение к людям, неприкосновенности их жизни, здоровья, чести и достоинства, уродливое проявление преступниками своего «я» вопреки интересам общества [3, 54].</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bCs/>
          <w:color w:val="000000" w:themeColor="text1"/>
          <w:sz w:val="22"/>
          <w:szCs w:val="22"/>
        </w:rPr>
        <w:t>Взятая в целом, насильственная преступность занимает в структуре всей преступности относительное место. На ее долю приходится в среднем всего лишь 3-6% в общей совокупности всех уголовно наказуемых деяний [4, 122].</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Насильственные преступления по степени общественной опасности и тяжести применяемых последствий превосходят многие другие криминальные проявления. Они наносят огромный, порой непоправимый ущерб обществу. Непосредственно потерпевшими от них ежегодно становятся тысячи людей. Лица, совершающие такие преступления, распространяют стереотип агрессивно-насильственного поведения в бытовой и досуговой микросреде. Именно эти преступления наиболее порицаемы с точки зрения общечеловеческой морали. Эскалация криминального насилия вызывает у граждан обоснованную тревогу, подрывает их веру в реальную защищенность от преступных посягательств </w:t>
      </w:r>
      <w:r w:rsidRPr="00DA76A7">
        <w:rPr>
          <w:rFonts w:ascii="Arial" w:hAnsi="Arial" w:cs="Arial"/>
          <w:bCs/>
          <w:color w:val="000000" w:themeColor="text1"/>
          <w:sz w:val="22"/>
          <w:szCs w:val="22"/>
        </w:rPr>
        <w:t>[3, 34].</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Закономерность насильственной преступности наиболее четко просматривается на основе анализа состояния, уровня и других криминологических характеристик, прежде всего, умышленных убийств, посягающих на высшую ценность человеческого общества – жизнь людей. Их удельный вес невелик  (в пределах 1 % всех регистрируемых преступлений). Но именно положение дел с умышленными убийствами является обобщенной, суммирующей характеристикой общей криминогенной обстановки, более того, индикатором всей социальной ситуации в стране. </w:t>
      </w:r>
      <w:r w:rsidRPr="00DA76A7">
        <w:rPr>
          <w:rFonts w:ascii="Arial" w:hAnsi="Arial" w:cs="Arial"/>
          <w:bCs/>
          <w:color w:val="000000" w:themeColor="text1"/>
          <w:sz w:val="22"/>
          <w:szCs w:val="22"/>
        </w:rPr>
        <w:t>[4, 119]</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Определяющими показателями насильственной преступности остаются ее ситуационный характер и распространенность в бытовой и досуговой сферах жизнедеятельности. До 80% насильственных преступлений совершаются на почве конфликтных семейных, личностно-бытовых, общественно-бытовых отношений или при проведении свободного времени </w:t>
      </w:r>
      <w:r w:rsidRPr="00DA76A7">
        <w:rPr>
          <w:rFonts w:ascii="Arial" w:hAnsi="Arial" w:cs="Arial"/>
          <w:bCs/>
          <w:color w:val="000000" w:themeColor="text1"/>
          <w:sz w:val="22"/>
          <w:szCs w:val="22"/>
        </w:rPr>
        <w:t>[5, 34].</w:t>
      </w:r>
      <w:r w:rsidRPr="00DA76A7">
        <w:rPr>
          <w:rFonts w:ascii="Arial" w:hAnsi="Arial" w:cs="Arial"/>
          <w:color w:val="000000" w:themeColor="text1"/>
          <w:sz w:val="22"/>
          <w:szCs w:val="22"/>
        </w:rPr>
        <w:t xml:space="preserve">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на фоне в целом бытового, досугового, ситуативного характера насильственной преступности ее структура претерпевает существенные качественные изменения. Они серьезно повышают общественную опасность отдельных видов преступлений </w:t>
      </w:r>
      <w:r w:rsidRPr="00DA76A7">
        <w:rPr>
          <w:rFonts w:ascii="Arial" w:hAnsi="Arial" w:cs="Arial"/>
          <w:bCs/>
          <w:color w:val="000000" w:themeColor="text1"/>
          <w:sz w:val="22"/>
          <w:szCs w:val="22"/>
        </w:rPr>
        <w:t>[3, 78].</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 структуре насильственной преступности растет доля предумышленных преступлений. Для них характерны планирование преступного акта, осуществление разнообразных подготовительных действий, разработка мероприятий по сокрытию посягательств, его следов или участия в его совершении конкретных лиц.</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Насильственная преступность быстрыми темпами приобретает организованные формы и сращивается с организованной преступностью в сфере экономики. Существуют устойчивые преступные группы, ориентированные на достижение криминальных целей с помощью насилия. Нередко они действуют под прикрытием охранных и иных предприятий, некоторых общественных организаций и движений </w:t>
      </w:r>
      <w:r w:rsidRPr="00DA76A7">
        <w:rPr>
          <w:rFonts w:ascii="Arial" w:hAnsi="Arial" w:cs="Arial"/>
          <w:bCs/>
          <w:color w:val="000000" w:themeColor="text1"/>
          <w:sz w:val="22"/>
          <w:szCs w:val="22"/>
        </w:rPr>
        <w:t>[3, 79].</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Существенный структурный элемент насильственной преступности – молодежные группировки с агрессивным поведением их участников, со склонностью к групповому пьянству, наркомании, нарушениям общественного порядка. С этими группировками связан рост насильственной преступности на улицах, в других общественных местах. Каждое четвертое убийство и причинение тяжкого вреда здоровью совершаются на улицах, площадях, в парках, скверах [2, 67].</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Обращает на себя внимание увеличение доли тяжких преступлений против жизни и здоровья с корыстной мотивацией. Речь идет об убийствах, связанных с завладением автомашиной и другим имуществом </w:t>
      </w:r>
      <w:r w:rsidRPr="00DA76A7">
        <w:rPr>
          <w:rFonts w:ascii="Arial" w:hAnsi="Arial" w:cs="Arial"/>
          <w:bCs/>
          <w:color w:val="000000" w:themeColor="text1"/>
          <w:sz w:val="22"/>
          <w:szCs w:val="22"/>
        </w:rPr>
        <w:t>[3, 82].</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нередки и ситуативные, внезапно возникший умысл посягательства на личность, в основе которых лежат мелкие корыстные мотивы: достать деньги на выпивку, приобрести наркотики и т. д.</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сферах досуга и частично быта распространены преступления против жизни и здоровья, совершаемые из хулиганских побуждений. В них проявляются социальная и психологическая ущербность личности преступников, уродливые средства удовлетворения потребности в самоутверждении, враждебность, цинизм и жестокость по отношению к окружающим. Хулиганские мотивы выражаются в стремлении открыто противопоставить свое поведение общественному порядку, продемонстрировать грубую силу и пьяную «удаль», отомстить за справедливо сделанное замечание и т.п. В настоящее время из хулиганских побуждений совершается около 20% убийств и около 30% случаев умышленного причинения тяжкого вреда здоровью </w:t>
      </w:r>
      <w:r w:rsidRPr="00DA76A7">
        <w:rPr>
          <w:rFonts w:ascii="Arial" w:hAnsi="Arial" w:cs="Arial"/>
          <w:bCs/>
          <w:color w:val="000000" w:themeColor="text1"/>
          <w:sz w:val="22"/>
          <w:szCs w:val="22"/>
        </w:rPr>
        <w:t>[5, 78].</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ab/>
        <w:t xml:space="preserve">Растет число убийств, сопряженных с изнасилованием. Эти преступления свидетельствуют об особой эгоцентрической направленности личности виновных, их крайнем аморализме, чрезмерной жестокости. Нередки случаи совершения таких деяний преступниками-садистами. Именно эти сексуальные маньяки совершают серии убийств и изнасилований, в которых число потерпевших исчисляется десятками. Основным мотивом их совершения является стремление к удовлетворению половой страсти в садистской форме. Нередко сексуальные побуждения виновных в изнасиловании сочетаются с хулиганством, стремлением унизить или опорочить женщину, поглумиться над ней, отомстить ей за что-либо и т.п. Часто ведущим мотивом преступного поведения становится стремление к удовлетворению самой потребности в насилии, агрессии, жестокости </w:t>
      </w:r>
      <w:r w:rsidRPr="00DA76A7">
        <w:rPr>
          <w:rFonts w:ascii="Arial" w:hAnsi="Arial" w:cs="Arial"/>
          <w:bCs/>
          <w:color w:val="000000" w:themeColor="text1"/>
          <w:sz w:val="22"/>
          <w:szCs w:val="22"/>
        </w:rPr>
        <w:t>[3, 85].</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Подавляющее большинство лиц, совершающих насильственные преступления, - мужчины (90-93%). Это вполне объяснимо социальными ролями мужчин и женщин, психофизическими особенностями полов. Для досугового поведения мужчин более характерно времяпрепровождение в случайных компаниях, злоупотребление спиртными напитками, часто создающее конфликтные ситуации, поводы для ссор  и драк </w:t>
      </w:r>
      <w:r w:rsidRPr="00DA76A7">
        <w:rPr>
          <w:rFonts w:ascii="Arial" w:hAnsi="Arial" w:cs="Arial"/>
          <w:bCs/>
          <w:color w:val="000000" w:themeColor="text1"/>
          <w:sz w:val="22"/>
          <w:szCs w:val="22"/>
        </w:rPr>
        <w:t>[5, 67].</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Наблюдаются различия в мотивации насильственных преступлений, совершаемых мужчинами и женщинами. У последних доминируют мотивы ревности, мести, зависти и т. д. Ряд насильственных преступлений совершается женщинами на почве ярко выраженного виктимного поведения  потерпевшего (аморального и противоправного поведения супругов и сожителей) </w:t>
      </w:r>
      <w:r w:rsidRPr="00DA76A7">
        <w:rPr>
          <w:rFonts w:ascii="Arial" w:hAnsi="Arial" w:cs="Arial"/>
          <w:bCs/>
          <w:color w:val="000000" w:themeColor="text1"/>
          <w:sz w:val="22"/>
          <w:szCs w:val="22"/>
        </w:rPr>
        <w:t>[4, 45].</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Основной контингент насильственных преступников и хулиганов составляют лица молодого и среднего возраста (до 40 лет). высокая криминальность насильственных преступников и характерна для представителей возрастной группы 25-29 лет. За ними идут возрастные группы 18-24 года, 30-39 лет, 16-17 лет </w:t>
      </w:r>
      <w:r w:rsidRPr="00DA76A7">
        <w:rPr>
          <w:rFonts w:ascii="Arial" w:hAnsi="Arial" w:cs="Arial"/>
          <w:bCs/>
          <w:color w:val="000000" w:themeColor="text1"/>
          <w:sz w:val="22"/>
          <w:szCs w:val="22"/>
        </w:rPr>
        <w:t>[5, 72].</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Определенное своеобразие наблюдается в возрастной характеристике лиц, совершающих сексуальные преступления. Наиболее высока преступная активность лиц в возрасте от 18 до 24 лет (их 37-38); 26-28% составляют лица в возрасте 30 лет и старше; 20% - в возрасте 25-29 лет и 13-15% приходится на долю несовершеннолетних </w:t>
      </w:r>
      <w:r w:rsidRPr="00DA76A7">
        <w:rPr>
          <w:rFonts w:ascii="Arial" w:hAnsi="Arial" w:cs="Arial"/>
          <w:bCs/>
          <w:color w:val="000000" w:themeColor="text1"/>
          <w:sz w:val="22"/>
          <w:szCs w:val="22"/>
        </w:rPr>
        <w:t>[5, 67].</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Образовательный уровень лиц, совершающих насильственные преступления, ниже уровня образования не только населения в целом, но и лиц, совершающих иные преступления. Исключение составляет образование организаторов и исполнителей убийств по найму. Следует отметить, что лица, не имеющие общего среднего образования, совершают 60-65% хулиганских действий </w:t>
      </w:r>
      <w:r w:rsidRPr="00DA76A7">
        <w:rPr>
          <w:rFonts w:ascii="Arial" w:hAnsi="Arial" w:cs="Arial"/>
          <w:bCs/>
          <w:color w:val="000000" w:themeColor="text1"/>
          <w:sz w:val="22"/>
          <w:szCs w:val="22"/>
        </w:rPr>
        <w:t>[4, 53].</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Коэффициент криминальной активности лиц, отнесенных к категории рабочих, превышает аналогичные коэффициенты активности крестьян и служащих. Но основную массу преступников из числа рабочих составляют при этом лица относительно невысокой квалификации и с небольшим стажем работы.</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Постоянно увеличивается доля лиц, не занимающихся социально полезной деятельностью. Их доля в контингенте насильственных преступников составляет от 20 до 25 %.</w:t>
      </w:r>
    </w:p>
    <w:p w:rsidR="00592BC2" w:rsidRPr="00DA76A7" w:rsidRDefault="00592BC2" w:rsidP="00592BC2">
      <w:pPr>
        <w:ind w:firstLine="567"/>
        <w:contextualSpacing/>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Значительная часть тяжких насильсвтенных преступлений совершается ранее судимыми лицами. На их долю приходится 35% умышленных убийств, 24% тяжкого причинения вреда здоровью, 40% изнасилований, более 20% хулиганств </w:t>
      </w:r>
      <w:r w:rsidRPr="00DA76A7">
        <w:rPr>
          <w:rFonts w:ascii="Arial" w:hAnsi="Arial" w:cs="Arial"/>
          <w:bCs/>
          <w:color w:val="000000" w:themeColor="text1"/>
          <w:sz w:val="22"/>
          <w:szCs w:val="22"/>
        </w:rPr>
        <w:t>[5, 68].</w:t>
      </w:r>
    </w:p>
    <w:p w:rsidR="00592BC2" w:rsidRPr="00DA76A7" w:rsidRDefault="00592BC2" w:rsidP="00592BC2">
      <w:pPr>
        <w:ind w:firstLine="567"/>
        <w:contextualSpacing/>
        <w:jc w:val="both"/>
        <w:rPr>
          <w:rFonts w:ascii="Arial" w:hAnsi="Arial" w:cs="Arial"/>
          <w:bCs/>
          <w:color w:val="000000" w:themeColor="text1"/>
          <w:sz w:val="22"/>
          <w:szCs w:val="22"/>
        </w:rPr>
      </w:pPr>
      <w:r w:rsidRPr="00DA76A7">
        <w:rPr>
          <w:rFonts w:ascii="Arial" w:hAnsi="Arial" w:cs="Arial"/>
          <w:color w:val="000000" w:themeColor="text1"/>
          <w:sz w:val="22"/>
          <w:szCs w:val="22"/>
        </w:rPr>
        <w:t xml:space="preserve">Высокая криминогенная роль пьянства среди совершения насильственных преступлений общеизвестна. Примерно 70% тяжких насильственных деяний против личности (убийств, причинения тяжкого вреда здоровью, изнасилований) и более 90% актов уголовно наказуемого хулиганства совершаются лицами, находящимися в состоянии алкогольного опьянения, значительная часть этих преступлений связана с хроническим алкоголизмом и алкогольной деградацией личности. Растет в них доля наркоманов и токсикоманов </w:t>
      </w:r>
      <w:r w:rsidRPr="00DA76A7">
        <w:rPr>
          <w:rFonts w:ascii="Arial" w:hAnsi="Arial" w:cs="Arial"/>
          <w:bCs/>
          <w:color w:val="000000" w:themeColor="text1"/>
          <w:sz w:val="22"/>
          <w:szCs w:val="22"/>
        </w:rPr>
        <w:t>[4, 92].</w:t>
      </w:r>
    </w:p>
    <w:p w:rsidR="00592BC2" w:rsidRPr="00DA76A7" w:rsidRDefault="00592BC2" w:rsidP="00592BC2">
      <w:pPr>
        <w:ind w:firstLine="567"/>
        <w:contextualSpacing/>
        <w:jc w:val="both"/>
        <w:rPr>
          <w:rFonts w:ascii="Arial" w:hAnsi="Arial" w:cs="Arial"/>
          <w:b/>
          <w:color w:val="000000" w:themeColor="text1"/>
          <w:sz w:val="22"/>
          <w:szCs w:val="22"/>
        </w:rPr>
      </w:pPr>
      <w:r w:rsidRPr="00DA76A7">
        <w:rPr>
          <w:rFonts w:ascii="Arial" w:hAnsi="Arial" w:cs="Arial"/>
          <w:bCs/>
          <w:color w:val="000000" w:themeColor="text1"/>
          <w:sz w:val="22"/>
          <w:szCs w:val="22"/>
        </w:rPr>
        <w:t xml:space="preserve">Исходя из вышеизложенного в данной статье, хотелось бы сказать что, круг насильственных преступлений весьма разнообразен, и по степени общественной опасности и тяжести причиняемых последствий превосходят многие другие. Это наиболее опасная форма преступной деятельности, наносящая вред как нравственным, так и политическим, экономическим устоям общества, которая приводит к распространению стереотипа агрессивно-насильственного поведения. </w:t>
      </w:r>
    </w:p>
    <w:p w:rsidR="00592BC2" w:rsidRPr="00DA76A7" w:rsidRDefault="00592BC2" w:rsidP="00592BC2">
      <w:pPr>
        <w:ind w:firstLine="567"/>
        <w:contextualSpacing/>
        <w:jc w:val="both"/>
        <w:rPr>
          <w:rFonts w:ascii="Arial" w:hAnsi="Arial" w:cs="Arial"/>
          <w:color w:val="000000" w:themeColor="text1"/>
          <w:sz w:val="22"/>
          <w:szCs w:val="22"/>
        </w:rPr>
      </w:pPr>
    </w:p>
    <w:p w:rsidR="00592BC2" w:rsidRPr="00DA76A7" w:rsidRDefault="00592BC2" w:rsidP="00592BC2">
      <w:pPr>
        <w:ind w:firstLine="567"/>
        <w:contextualSpacing/>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4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Алексеев А.И. Криминология и профилактика преступлений. - М.: Мир, 2007. - 525 с.</w:t>
      </w:r>
    </w:p>
    <w:p w:rsidR="00592BC2" w:rsidRPr="00DA76A7" w:rsidRDefault="00592BC2" w:rsidP="00D45D6B">
      <w:pPr>
        <w:pStyle w:val="a6"/>
        <w:numPr>
          <w:ilvl w:val="0"/>
          <w:numId w:val="14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Гилинский Я.И. Социология насильственной преступности.  – М.: Мир, 2007. – 290 с. </w:t>
      </w:r>
    </w:p>
    <w:p w:rsidR="00592BC2" w:rsidRPr="00DA76A7" w:rsidRDefault="00592BC2" w:rsidP="00D45D6B">
      <w:pPr>
        <w:pStyle w:val="a6"/>
        <w:numPr>
          <w:ilvl w:val="0"/>
          <w:numId w:val="14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Карпов И.Т. Насильственная преступность: общая характеристика. - М.: Мир, 2007. -  326 с.</w:t>
      </w:r>
    </w:p>
    <w:p w:rsidR="00592BC2" w:rsidRPr="00DA76A7" w:rsidRDefault="00592BC2" w:rsidP="00D45D6B">
      <w:pPr>
        <w:pStyle w:val="a6"/>
        <w:numPr>
          <w:ilvl w:val="0"/>
          <w:numId w:val="14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Статистический сборник. Министерство внутренних дел РФ. – М.:  Юристь, 2014. – 298 с.</w:t>
      </w:r>
    </w:p>
    <w:p w:rsidR="00592BC2" w:rsidRPr="00DA76A7" w:rsidRDefault="00592BC2" w:rsidP="00D45D6B">
      <w:pPr>
        <w:pStyle w:val="a6"/>
        <w:numPr>
          <w:ilvl w:val="0"/>
          <w:numId w:val="144"/>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Теория и практика уголовного права и уголовного процесса. – М.: Пресс, 2004. - 432 с.</w:t>
      </w:r>
    </w:p>
    <w:p w:rsidR="00592BC2" w:rsidRPr="001D4D32" w:rsidRDefault="00592BC2" w:rsidP="00592BC2">
      <w:pPr>
        <w:keepNext/>
        <w:keepLines/>
        <w:suppressAutoHyphens/>
        <w:kinsoku w:val="0"/>
        <w:overflowPunct w:val="0"/>
        <w:jc w:val="center"/>
        <w:outlineLvl w:val="3"/>
        <w:rPr>
          <w:rFonts w:ascii="Times New Roman Tj" w:hAnsi="Times New Roman Tj" w:cs="Arial"/>
          <w:b/>
          <w:color w:val="000000" w:themeColor="text1"/>
          <w:spacing w:val="-4"/>
          <w:kern w:val="2"/>
          <w:sz w:val="23"/>
          <w:szCs w:val="23"/>
        </w:rPr>
      </w:pPr>
      <w:r w:rsidRPr="001D4D32">
        <w:rPr>
          <w:rFonts w:ascii="Times New Roman Tj" w:hAnsi="Times New Roman Tj" w:cs="Arial"/>
          <w:b/>
          <w:color w:val="000000" w:themeColor="text1"/>
          <w:spacing w:val="-4"/>
          <w:kern w:val="2"/>
          <w:sz w:val="23"/>
          <w:szCs w:val="23"/>
        </w:rPr>
        <w:t>ОИД БА МАФЊУМИ МУРОФИАИ ЉИНОЯТЇ</w:t>
      </w:r>
    </w:p>
    <w:p w:rsidR="00592BC2" w:rsidRPr="001D4D32" w:rsidRDefault="00592BC2" w:rsidP="00592BC2">
      <w:pPr>
        <w:shd w:val="clear" w:color="auto" w:fill="FFFFFF"/>
        <w:jc w:val="center"/>
        <w:rPr>
          <w:rFonts w:ascii="Times New Roman Tj" w:hAnsi="Times New Roman Tj" w:cs="Arial"/>
          <w:b/>
          <w:color w:val="000000" w:themeColor="text1"/>
          <w:sz w:val="23"/>
          <w:szCs w:val="23"/>
        </w:rPr>
      </w:pPr>
    </w:p>
    <w:p w:rsidR="00592BC2" w:rsidRPr="001D4D32" w:rsidRDefault="00592BC2" w:rsidP="00592BC2">
      <w:pPr>
        <w:shd w:val="clear" w:color="auto" w:fill="FFFFFF"/>
        <w:jc w:val="center"/>
        <w:rPr>
          <w:rFonts w:ascii="Times New Roman Tj" w:hAnsi="Times New Roman Tj" w:cs="Arial"/>
          <w:color w:val="000000" w:themeColor="text1"/>
          <w:sz w:val="23"/>
          <w:szCs w:val="23"/>
        </w:rPr>
      </w:pPr>
      <w:r w:rsidRPr="001D4D32">
        <w:rPr>
          <w:rFonts w:ascii="Times New Roman Tj" w:hAnsi="Times New Roman Tj" w:cs="Arial"/>
          <w:b/>
          <w:color w:val="000000" w:themeColor="text1"/>
          <w:sz w:val="23"/>
          <w:szCs w:val="23"/>
        </w:rPr>
        <w:t>Шарипов Шарифљон Алишерљонович</w:t>
      </w:r>
    </w:p>
    <w:p w:rsidR="00592BC2" w:rsidRPr="001D4D32" w:rsidRDefault="00592BC2" w:rsidP="00592BC2">
      <w:pPr>
        <w:shd w:val="clear" w:color="auto" w:fill="FFFFFF"/>
        <w:jc w:val="center"/>
        <w:rPr>
          <w:rFonts w:ascii="Times New Roman Tj" w:hAnsi="Times New Roman Tj" w:cs="Arial"/>
          <w:color w:val="000000" w:themeColor="text1"/>
          <w:sz w:val="23"/>
          <w:szCs w:val="23"/>
        </w:rPr>
      </w:pPr>
      <w:r w:rsidRPr="001D4D32">
        <w:rPr>
          <w:rFonts w:ascii="Times New Roman Tj" w:hAnsi="Times New Roman Tj" w:cs="Arial"/>
          <w:color w:val="000000" w:themeColor="text1"/>
          <w:sz w:val="23"/>
          <w:szCs w:val="23"/>
        </w:rPr>
        <w:t>сержанти хурди милитсия, курсанти курси 4 факултети № 2</w:t>
      </w:r>
    </w:p>
    <w:p w:rsidR="00592BC2" w:rsidRPr="001D4D32" w:rsidRDefault="00592BC2" w:rsidP="00592BC2">
      <w:pPr>
        <w:shd w:val="clear" w:color="auto" w:fill="FFFFFF"/>
        <w:jc w:val="center"/>
        <w:rPr>
          <w:rFonts w:ascii="Times New Roman Tj" w:hAnsi="Times New Roman Tj" w:cs="Arial"/>
          <w:color w:val="000000" w:themeColor="text1"/>
          <w:sz w:val="23"/>
          <w:szCs w:val="23"/>
        </w:rPr>
      </w:pPr>
      <w:r w:rsidRPr="001D4D32">
        <w:rPr>
          <w:rFonts w:ascii="Times New Roman Tj" w:hAnsi="Times New Roman Tj" w:cs="Arial"/>
          <w:color w:val="000000" w:themeColor="text1"/>
          <w:sz w:val="23"/>
          <w:szCs w:val="23"/>
        </w:rPr>
        <w:t>Академияи ВКД Љумњурии Тољикистон,</w:t>
      </w:r>
    </w:p>
    <w:p w:rsidR="00592BC2" w:rsidRPr="001D4D32" w:rsidRDefault="00592BC2" w:rsidP="00592BC2">
      <w:pPr>
        <w:shd w:val="clear" w:color="auto" w:fill="FFFFFF"/>
        <w:jc w:val="center"/>
        <w:rPr>
          <w:rFonts w:ascii="Times New Roman Tj" w:hAnsi="Times New Roman Tj" w:cs="Arial"/>
          <w:color w:val="000000" w:themeColor="text1"/>
          <w:sz w:val="23"/>
          <w:szCs w:val="23"/>
        </w:rPr>
      </w:pPr>
      <w:r w:rsidRPr="001D4D32">
        <w:rPr>
          <w:rFonts w:ascii="Times New Roman Tj" w:hAnsi="Times New Roman Tj" w:cs="Arial"/>
          <w:color w:val="000000" w:themeColor="text1"/>
          <w:sz w:val="23"/>
          <w:szCs w:val="23"/>
          <w:shd w:val="clear" w:color="auto" w:fill="FFFFFF"/>
        </w:rPr>
        <w:t>734024</w:t>
      </w:r>
      <w:r w:rsidRPr="001D4D32">
        <w:rPr>
          <w:rFonts w:ascii="Times New Roman Tj" w:hAnsi="Times New Roman Tj" w:cs="Arial"/>
          <w:color w:val="000000" w:themeColor="text1"/>
          <w:sz w:val="23"/>
          <w:szCs w:val="23"/>
        </w:rPr>
        <w:t xml:space="preserve">, Љумњурии Тољикистон, ш. Душанбе, кучаи </w:t>
      </w:r>
      <w:r w:rsidRPr="001D4D32">
        <w:rPr>
          <w:rFonts w:ascii="Times New Roman Tj" w:hAnsi="Times New Roman Tj" w:cs="Arial"/>
          <w:color w:val="000000" w:themeColor="text1"/>
          <w:sz w:val="23"/>
          <w:szCs w:val="23"/>
          <w:shd w:val="clear" w:color="auto" w:fill="FFFFFF"/>
        </w:rPr>
        <w:t>Мастонгулов 3</w:t>
      </w: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rPr>
        <w:t>тел.: + (992) 918 73 91 33,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37" w:history="1">
        <w:r w:rsidRPr="00DA76A7">
          <w:rPr>
            <w:rFonts w:ascii="Arial" w:hAnsi="Arial" w:cs="Arial"/>
            <w:color w:val="000000" w:themeColor="text1"/>
            <w:sz w:val="22"/>
            <w:szCs w:val="22"/>
            <w:lang w:val="en-US"/>
          </w:rPr>
          <w:t>reefat</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yandex</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hyperlink>
    </w:p>
    <w:p w:rsidR="00592BC2" w:rsidRPr="00DA76A7" w:rsidRDefault="00592BC2" w:rsidP="00592BC2">
      <w:pPr>
        <w:keepNext/>
        <w:keepLines/>
        <w:suppressAutoHyphens/>
        <w:kinsoku w:val="0"/>
        <w:overflowPunct w:val="0"/>
        <w:jc w:val="center"/>
        <w:outlineLvl w:val="3"/>
        <w:rPr>
          <w:rFonts w:ascii="Arial" w:hAnsi="Arial" w:cs="Arial"/>
          <w:b/>
          <w:color w:val="000000" w:themeColor="text1"/>
          <w:spacing w:val="-4"/>
          <w:kern w:val="2"/>
          <w:sz w:val="22"/>
          <w:szCs w:val="22"/>
        </w:rPr>
      </w:pPr>
    </w:p>
    <w:p w:rsidR="00592BC2" w:rsidRPr="00DA76A7" w:rsidRDefault="00592BC2" w:rsidP="00592BC2">
      <w:pPr>
        <w:keepNext/>
        <w:keepLines/>
        <w:suppressAutoHyphens/>
        <w:kinsoku w:val="0"/>
        <w:overflowPunct w:val="0"/>
        <w:jc w:val="center"/>
        <w:outlineLvl w:val="3"/>
        <w:rPr>
          <w:rFonts w:ascii="Arial" w:hAnsi="Arial" w:cs="Arial"/>
          <w:b/>
          <w:color w:val="000000" w:themeColor="text1"/>
          <w:spacing w:val="-4"/>
          <w:kern w:val="2"/>
          <w:sz w:val="22"/>
          <w:szCs w:val="22"/>
        </w:rPr>
      </w:pPr>
      <w:r w:rsidRPr="00DA76A7">
        <w:rPr>
          <w:rFonts w:ascii="Arial" w:hAnsi="Arial" w:cs="Arial"/>
          <w:b/>
          <w:color w:val="000000" w:themeColor="text1"/>
          <w:spacing w:val="-4"/>
          <w:kern w:val="2"/>
          <w:sz w:val="22"/>
          <w:szCs w:val="22"/>
        </w:rPr>
        <w:t>О ПОНЯТИИ УГОЛОВНОГО ПРОЦЕССА</w:t>
      </w:r>
    </w:p>
    <w:p w:rsidR="00592BC2" w:rsidRPr="00DA76A7" w:rsidRDefault="00592BC2" w:rsidP="00592BC2">
      <w:pPr>
        <w:shd w:val="clear" w:color="auto" w:fill="FFFFFF"/>
        <w:jc w:val="center"/>
        <w:rPr>
          <w:rFonts w:ascii="Arial" w:hAnsi="Arial" w:cs="Arial"/>
          <w:b/>
          <w:color w:val="000000" w:themeColor="text1"/>
          <w:spacing w:val="-4"/>
          <w:kern w:val="2"/>
          <w:sz w:val="22"/>
          <w:szCs w:val="22"/>
        </w:rPr>
      </w:pP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b/>
          <w:color w:val="000000" w:themeColor="text1"/>
          <w:sz w:val="22"/>
          <w:szCs w:val="22"/>
        </w:rPr>
        <w:t>Шарипов Шарифджон Алишерджонович</w:t>
      </w: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rPr>
        <w:t>младший сержант милиции, курсант 4-го курса факультета № 2</w:t>
      </w: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rPr>
        <w:t>Академия МВД Республики Таджикистан</w:t>
      </w: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734024, </w:t>
      </w:r>
      <w:r w:rsidRPr="00DA76A7">
        <w:rPr>
          <w:rFonts w:ascii="Arial" w:hAnsi="Arial" w:cs="Arial"/>
          <w:color w:val="000000" w:themeColor="text1"/>
          <w:sz w:val="22"/>
          <w:szCs w:val="22"/>
        </w:rPr>
        <w:t xml:space="preserve">Республика Таджикистан, г. Душанбе, ул. </w:t>
      </w:r>
      <w:r w:rsidRPr="00DA76A7">
        <w:rPr>
          <w:rFonts w:ascii="Arial" w:hAnsi="Arial" w:cs="Arial"/>
          <w:color w:val="000000" w:themeColor="text1"/>
          <w:sz w:val="22"/>
          <w:szCs w:val="22"/>
          <w:shd w:val="clear" w:color="auto" w:fill="FFFFFF"/>
        </w:rPr>
        <w:t>Мастонгулова, 3</w:t>
      </w:r>
    </w:p>
    <w:p w:rsidR="00592BC2" w:rsidRPr="00DA76A7" w:rsidRDefault="00592BC2" w:rsidP="00592BC2">
      <w:pPr>
        <w:shd w:val="clear" w:color="auto" w:fill="FFFFFF"/>
        <w:jc w:val="center"/>
        <w:rPr>
          <w:rFonts w:ascii="Arial" w:hAnsi="Arial" w:cs="Arial"/>
          <w:color w:val="000000" w:themeColor="text1"/>
          <w:sz w:val="22"/>
          <w:szCs w:val="22"/>
        </w:rPr>
      </w:pPr>
    </w:p>
    <w:p w:rsidR="00592BC2" w:rsidRPr="00DA76A7" w:rsidRDefault="00592BC2" w:rsidP="00592BC2">
      <w:pPr>
        <w:shd w:val="clear" w:color="auto" w:fill="FFFFFF"/>
        <w:jc w:val="center"/>
        <w:rPr>
          <w:rFonts w:ascii="Arial" w:hAnsi="Arial" w:cs="Arial"/>
          <w:color w:val="000000" w:themeColor="text1"/>
          <w:sz w:val="22"/>
          <w:szCs w:val="22"/>
        </w:rPr>
      </w:pPr>
      <w:r w:rsidRPr="00DA76A7">
        <w:rPr>
          <w:rFonts w:ascii="Arial" w:hAnsi="Arial" w:cs="Arial"/>
          <w:color w:val="000000" w:themeColor="text1"/>
          <w:sz w:val="22"/>
          <w:szCs w:val="22"/>
        </w:rPr>
        <w:t>тел.: + (992) 918 73 91 33,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38" w:history="1">
        <w:r w:rsidRPr="00DA76A7">
          <w:rPr>
            <w:rFonts w:ascii="Arial" w:hAnsi="Arial" w:cs="Arial"/>
            <w:color w:val="000000" w:themeColor="text1"/>
            <w:sz w:val="22"/>
            <w:szCs w:val="22"/>
            <w:lang w:val="en-US"/>
          </w:rPr>
          <w:t>reefat</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yandex</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hyperlink>
    </w:p>
    <w:p w:rsidR="00592BC2" w:rsidRPr="00DA76A7" w:rsidRDefault="00592BC2" w:rsidP="00592BC2">
      <w:pPr>
        <w:shd w:val="clear" w:color="auto" w:fill="FFFFFF"/>
        <w:jc w:val="center"/>
        <w:rPr>
          <w:rFonts w:ascii="Arial" w:hAnsi="Arial" w:cs="Arial"/>
          <w:color w:val="000000" w:themeColor="text1"/>
          <w:sz w:val="22"/>
          <w:szCs w:val="22"/>
        </w:rPr>
      </w:pPr>
    </w:p>
    <w:p w:rsidR="00592BC2" w:rsidRPr="00DA76A7" w:rsidRDefault="00592BC2" w:rsidP="00592BC2">
      <w:pPr>
        <w:keepNext/>
        <w:keepLines/>
        <w:suppressAutoHyphens/>
        <w:kinsoku w:val="0"/>
        <w:overflowPunct w:val="0"/>
        <w:jc w:val="center"/>
        <w:outlineLvl w:val="3"/>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ON THE CONCEPT OF THE CRIMINAL PROCESS</w:t>
      </w:r>
    </w:p>
    <w:p w:rsidR="00592BC2" w:rsidRPr="00DA76A7" w:rsidRDefault="00592BC2" w:rsidP="00592BC2">
      <w:pPr>
        <w:keepNext/>
        <w:keepLines/>
        <w:suppressAutoHyphens/>
        <w:kinsoku w:val="0"/>
        <w:overflowPunct w:val="0"/>
        <w:jc w:val="center"/>
        <w:outlineLvl w:val="3"/>
        <w:rPr>
          <w:rFonts w:ascii="Arial" w:hAnsi="Arial" w:cs="Arial"/>
          <w:color w:val="000000" w:themeColor="text1"/>
          <w:sz w:val="22"/>
          <w:szCs w:val="22"/>
          <w:lang w:val="en-US"/>
        </w:rPr>
      </w:pPr>
    </w:p>
    <w:p w:rsidR="00592BC2" w:rsidRPr="00DA76A7" w:rsidRDefault="00592BC2" w:rsidP="00592BC2">
      <w:pPr>
        <w:keepNext/>
        <w:keepLines/>
        <w:suppressAutoHyphens/>
        <w:kinsoku w:val="0"/>
        <w:overflowPunct w:val="0"/>
        <w:jc w:val="center"/>
        <w:outlineLvl w:val="3"/>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Sharipov Sharifjon Alisherdzhonovich</w:t>
      </w:r>
    </w:p>
    <w:p w:rsidR="00592BC2" w:rsidRPr="00DA76A7" w:rsidRDefault="00592BC2" w:rsidP="00592BC2">
      <w:pPr>
        <w:keepNext/>
        <w:keepLines/>
        <w:suppressAutoHyphens/>
        <w:kinsoku w:val="0"/>
        <w:overflowPunct w:val="0"/>
        <w:jc w:val="center"/>
        <w:outlineLvl w:val="3"/>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junior sergeant of militia, </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adet 4 th year faculty № 2</w:t>
      </w:r>
    </w:p>
    <w:p w:rsidR="00592BC2" w:rsidRPr="00DA76A7" w:rsidRDefault="00592BC2" w:rsidP="00592BC2">
      <w:pPr>
        <w:keepNext/>
        <w:keepLines/>
        <w:suppressAutoHyphens/>
        <w:kinsoku w:val="0"/>
        <w:overflowPunct w:val="0"/>
        <w:jc w:val="center"/>
        <w:outlineLvl w:val="3"/>
        <w:rPr>
          <w:rFonts w:ascii="Arial" w:hAnsi="Arial" w:cs="Arial"/>
          <w:color w:val="000000" w:themeColor="text1"/>
          <w:sz w:val="22"/>
          <w:szCs w:val="22"/>
          <w:lang w:val="en-US"/>
        </w:rPr>
      </w:pPr>
      <w:r w:rsidRPr="00DA76A7">
        <w:rPr>
          <w:rFonts w:ascii="Arial" w:hAnsi="Arial" w:cs="Arial"/>
          <w:color w:val="000000" w:themeColor="text1"/>
          <w:sz w:val="22"/>
          <w:szCs w:val="22"/>
          <w:lang w:val="en-US"/>
        </w:rPr>
        <w:t>Academy of the Ministry of Internal Affairs of the Republic of Tajikistan</w:t>
      </w:r>
    </w:p>
    <w:p w:rsidR="00592BC2" w:rsidRPr="00DA76A7" w:rsidRDefault="00592BC2" w:rsidP="00592BC2">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734024, Republic of Tajikistan, Dushanbe, Mastongulova str,, 3</w:t>
      </w:r>
    </w:p>
    <w:p w:rsidR="00592BC2" w:rsidRPr="00DA76A7" w:rsidRDefault="00592BC2" w:rsidP="00592BC2">
      <w:pPr>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 (992) 918 73 91 33,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 -mail: </w:t>
      </w:r>
      <w:hyperlink r:id="rId339" w:history="1">
        <w:r w:rsidRPr="00DA76A7">
          <w:rPr>
            <w:rStyle w:val="af0"/>
            <w:rFonts w:ascii="Arial" w:hAnsi="Arial" w:cs="Arial"/>
            <w:color w:val="000000" w:themeColor="text1"/>
            <w:sz w:val="22"/>
            <w:szCs w:val="22"/>
            <w:u w:val="none"/>
            <w:lang w:val="en-US"/>
          </w:rPr>
          <w:t>reefat@yandex.ru</w:t>
        </w:r>
      </w:hyperlink>
    </w:p>
    <w:p w:rsidR="00592BC2" w:rsidRPr="00DA76A7" w:rsidRDefault="00592BC2" w:rsidP="00592BC2">
      <w:pPr>
        <w:shd w:val="clear" w:color="auto" w:fill="FFFFFF"/>
        <w:jc w:val="center"/>
        <w:rPr>
          <w:rFonts w:ascii="Arial" w:hAnsi="Arial" w:cs="Arial"/>
          <w:color w:val="000000" w:themeColor="text1"/>
          <w:sz w:val="22"/>
          <w:szCs w:val="22"/>
          <w:lang w:val="en-US"/>
        </w:rPr>
      </w:pPr>
    </w:p>
    <w:p w:rsidR="00592BC2" w:rsidRPr="00DA76A7" w:rsidRDefault="00592BC2" w:rsidP="00592BC2">
      <w:pPr>
        <w:shd w:val="clear" w:color="auto" w:fill="FFFFFF"/>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Юлдошев Р.Р.</w:t>
      </w:r>
    </w:p>
    <w:p w:rsidR="00592BC2" w:rsidRPr="00DA76A7" w:rsidRDefault="00592BC2" w:rsidP="00592BC2">
      <w:pPr>
        <w:shd w:val="clear" w:color="auto" w:fill="FFFFFF"/>
        <w:jc w:val="center"/>
        <w:rPr>
          <w:rFonts w:ascii="Arial" w:hAnsi="Arial" w:cs="Arial"/>
          <w:color w:val="000000" w:themeColor="text1"/>
          <w:sz w:val="22"/>
          <w:szCs w:val="22"/>
        </w:rPr>
      </w:pPr>
    </w:p>
    <w:p w:rsidR="00592BC2" w:rsidRPr="001D4D32" w:rsidRDefault="00592BC2" w:rsidP="00592BC2">
      <w:pPr>
        <w:tabs>
          <w:tab w:val="center" w:pos="4677"/>
          <w:tab w:val="right" w:pos="9355"/>
        </w:tabs>
        <w:ind w:firstLine="567"/>
        <w:jc w:val="both"/>
        <w:rPr>
          <w:rFonts w:ascii="Times New Roman Tj" w:hAnsi="Times New Roman Tj" w:cs="Arial"/>
          <w:b/>
          <w:i/>
          <w:color w:val="000000" w:themeColor="text1"/>
          <w:sz w:val="23"/>
          <w:szCs w:val="23"/>
        </w:rPr>
      </w:pPr>
      <w:r w:rsidRPr="001D4D32">
        <w:rPr>
          <w:rFonts w:ascii="Times New Roman Tj" w:hAnsi="Times New Roman Tj" w:cs="Arial"/>
          <w:b/>
          <w:i/>
          <w:color w:val="000000" w:themeColor="text1"/>
          <w:sz w:val="23"/>
          <w:szCs w:val="23"/>
        </w:rPr>
        <w:t xml:space="preserve">Аннотатсия. </w:t>
      </w:r>
      <w:r w:rsidRPr="001D4D32">
        <w:rPr>
          <w:rFonts w:ascii="Times New Roman Tj" w:hAnsi="Times New Roman Tj" w:cs="Arial"/>
          <w:i/>
          <w:color w:val="000000" w:themeColor="text1"/>
          <w:sz w:val="23"/>
          <w:szCs w:val="23"/>
        </w:rPr>
        <w:t>Дар маќола мафњуми мурофиаи љиноятии Љумњурии Тољикистон мавриди тањлил ва баррасї ќарор дода шудааст.</w:t>
      </w:r>
    </w:p>
    <w:p w:rsidR="00592BC2" w:rsidRPr="00DA76A7" w:rsidRDefault="00592BC2" w:rsidP="00592BC2">
      <w:pPr>
        <w:tabs>
          <w:tab w:val="center" w:pos="4677"/>
          <w:tab w:val="right" w:pos="9355"/>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анализируется понятие уголовного процесса Республики Таджикистан.</w:t>
      </w:r>
    </w:p>
    <w:p w:rsidR="00592BC2" w:rsidRPr="00DA76A7" w:rsidRDefault="00592BC2" w:rsidP="00592BC2">
      <w:pPr>
        <w:tabs>
          <w:tab w:val="center" w:pos="4677"/>
          <w:tab w:val="right" w:pos="9355"/>
        </w:tabs>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The article analyzes the concept of the criminal process of the Republic of Tajikistan.</w:t>
      </w:r>
    </w:p>
    <w:p w:rsidR="00592BC2" w:rsidRPr="001D4D32" w:rsidRDefault="00592BC2" w:rsidP="00592BC2">
      <w:pPr>
        <w:tabs>
          <w:tab w:val="center" w:pos="4677"/>
          <w:tab w:val="right" w:pos="9355"/>
        </w:tabs>
        <w:ind w:firstLine="567"/>
        <w:jc w:val="both"/>
        <w:rPr>
          <w:rFonts w:ascii="Times New Roman Tj" w:hAnsi="Times New Roman Tj" w:cs="Arial"/>
          <w:i/>
          <w:color w:val="000000" w:themeColor="text1"/>
          <w:sz w:val="23"/>
          <w:szCs w:val="23"/>
          <w:lang w:val="en-US"/>
        </w:rPr>
      </w:pPr>
      <w:r w:rsidRPr="001D4D32">
        <w:rPr>
          <w:rFonts w:ascii="Times New Roman Tj" w:hAnsi="Times New Roman Tj" w:cs="Arial"/>
          <w:b/>
          <w:i/>
          <w:color w:val="000000" w:themeColor="text1"/>
          <w:sz w:val="23"/>
          <w:szCs w:val="23"/>
        </w:rPr>
        <w:t>Калидвожањо</w:t>
      </w:r>
      <w:r w:rsidRPr="001D4D32">
        <w:rPr>
          <w:rFonts w:ascii="Times New Roman Tj" w:hAnsi="Times New Roman Tj" w:cs="Arial"/>
          <w:b/>
          <w:i/>
          <w:color w:val="000000" w:themeColor="text1"/>
          <w:sz w:val="23"/>
          <w:szCs w:val="23"/>
          <w:lang w:val="en-US"/>
        </w:rPr>
        <w:t xml:space="preserve">. </w:t>
      </w:r>
      <w:r w:rsidRPr="001D4D32">
        <w:rPr>
          <w:rFonts w:ascii="Times New Roman Tj" w:hAnsi="Times New Roman Tj" w:cs="Arial"/>
          <w:i/>
          <w:color w:val="000000" w:themeColor="text1"/>
          <w:sz w:val="23"/>
          <w:szCs w:val="23"/>
        </w:rPr>
        <w:t>Љумњурии</w:t>
      </w:r>
      <w:r w:rsidRPr="001D4D32">
        <w:rPr>
          <w:rFonts w:ascii="Times New Roman Tj" w:hAnsi="Times New Roman Tj" w:cs="Arial"/>
          <w:i/>
          <w:color w:val="000000" w:themeColor="text1"/>
          <w:sz w:val="23"/>
          <w:szCs w:val="23"/>
          <w:lang w:val="en-US"/>
        </w:rPr>
        <w:t xml:space="preserve"> </w:t>
      </w:r>
      <w:r w:rsidRPr="001D4D32">
        <w:rPr>
          <w:rFonts w:ascii="Times New Roman Tj" w:hAnsi="Times New Roman Tj" w:cs="Arial"/>
          <w:i/>
          <w:color w:val="000000" w:themeColor="text1"/>
          <w:sz w:val="23"/>
          <w:szCs w:val="23"/>
        </w:rPr>
        <w:t>Тољикистон</w:t>
      </w:r>
      <w:r w:rsidRPr="001D4D32">
        <w:rPr>
          <w:rFonts w:ascii="Times New Roman Tj" w:hAnsi="Times New Roman Tj" w:cs="Arial"/>
          <w:i/>
          <w:color w:val="000000" w:themeColor="text1"/>
          <w:sz w:val="23"/>
          <w:szCs w:val="23"/>
          <w:lang w:val="en-US"/>
        </w:rPr>
        <w:t xml:space="preserve">, </w:t>
      </w:r>
      <w:r w:rsidRPr="001D4D32">
        <w:rPr>
          <w:rFonts w:ascii="Times New Roman Tj" w:hAnsi="Times New Roman Tj" w:cs="Arial"/>
          <w:i/>
          <w:color w:val="000000" w:themeColor="text1"/>
          <w:sz w:val="23"/>
          <w:szCs w:val="23"/>
        </w:rPr>
        <w:t>мурофиаи</w:t>
      </w:r>
      <w:r w:rsidRPr="001D4D32">
        <w:rPr>
          <w:rFonts w:ascii="Times New Roman Tj" w:hAnsi="Times New Roman Tj" w:cs="Arial"/>
          <w:i/>
          <w:color w:val="000000" w:themeColor="text1"/>
          <w:sz w:val="23"/>
          <w:szCs w:val="23"/>
          <w:lang w:val="en-US"/>
        </w:rPr>
        <w:t xml:space="preserve"> </w:t>
      </w:r>
      <w:r w:rsidRPr="001D4D32">
        <w:rPr>
          <w:rFonts w:ascii="Times New Roman Tj" w:hAnsi="Times New Roman Tj" w:cs="Arial"/>
          <w:i/>
          <w:color w:val="000000" w:themeColor="text1"/>
          <w:sz w:val="23"/>
          <w:szCs w:val="23"/>
        </w:rPr>
        <w:t>љиноятї</w:t>
      </w:r>
      <w:r w:rsidRPr="001D4D32">
        <w:rPr>
          <w:rFonts w:ascii="Times New Roman Tj" w:hAnsi="Times New Roman Tj" w:cs="Arial"/>
          <w:i/>
          <w:color w:val="000000" w:themeColor="text1"/>
          <w:sz w:val="23"/>
          <w:szCs w:val="23"/>
          <w:lang w:val="en-US"/>
        </w:rPr>
        <w:t xml:space="preserve">, </w:t>
      </w:r>
      <w:r w:rsidRPr="001D4D32">
        <w:rPr>
          <w:rFonts w:ascii="Times New Roman Tj" w:hAnsi="Times New Roman Tj" w:cs="Arial"/>
          <w:i/>
          <w:color w:val="000000" w:themeColor="text1"/>
          <w:sz w:val="23"/>
          <w:szCs w:val="23"/>
        </w:rPr>
        <w:t>мафњум</w:t>
      </w:r>
      <w:r w:rsidRPr="001D4D32">
        <w:rPr>
          <w:rFonts w:ascii="Times New Roman Tj" w:hAnsi="Times New Roman Tj" w:cs="Arial"/>
          <w:i/>
          <w:color w:val="000000" w:themeColor="text1"/>
          <w:sz w:val="23"/>
          <w:szCs w:val="23"/>
          <w:lang w:val="en-US"/>
        </w:rPr>
        <w:t xml:space="preserve">, </w:t>
      </w:r>
      <w:r w:rsidRPr="001D4D32">
        <w:rPr>
          <w:rFonts w:ascii="Times New Roman Tj" w:hAnsi="Times New Roman Tj" w:cs="Arial"/>
          <w:i/>
          <w:color w:val="000000" w:themeColor="text1"/>
          <w:sz w:val="23"/>
          <w:szCs w:val="23"/>
        </w:rPr>
        <w:t>фикру</w:t>
      </w:r>
      <w:r w:rsidRPr="001D4D32">
        <w:rPr>
          <w:rFonts w:ascii="Times New Roman Tj" w:hAnsi="Times New Roman Tj" w:cs="Arial"/>
          <w:i/>
          <w:color w:val="000000" w:themeColor="text1"/>
          <w:sz w:val="23"/>
          <w:szCs w:val="23"/>
          <w:lang w:val="en-US"/>
        </w:rPr>
        <w:t xml:space="preserve"> </w:t>
      </w:r>
      <w:r w:rsidRPr="001D4D32">
        <w:rPr>
          <w:rFonts w:ascii="Times New Roman Tj" w:hAnsi="Times New Roman Tj" w:cs="Arial"/>
          <w:i/>
          <w:color w:val="000000" w:themeColor="text1"/>
          <w:sz w:val="23"/>
          <w:szCs w:val="23"/>
        </w:rPr>
        <w:t>аќидањо</w:t>
      </w:r>
      <w:r w:rsidRPr="001D4D32">
        <w:rPr>
          <w:rFonts w:ascii="Times New Roman Tj" w:hAnsi="Times New Roman Tj" w:cs="Arial"/>
          <w:i/>
          <w:color w:val="000000" w:themeColor="text1"/>
          <w:sz w:val="23"/>
          <w:szCs w:val="23"/>
          <w:lang w:val="en-US"/>
        </w:rPr>
        <w:t>.</w:t>
      </w:r>
    </w:p>
    <w:p w:rsidR="00592BC2" w:rsidRPr="00DA76A7" w:rsidRDefault="00592BC2" w:rsidP="00592BC2">
      <w:pPr>
        <w:tabs>
          <w:tab w:val="center" w:pos="4677"/>
          <w:tab w:val="right" w:pos="9355"/>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Республика Таджикистан, уголовный процесс, понятие, выводы и мнения.</w:t>
      </w:r>
    </w:p>
    <w:p w:rsidR="00592BC2" w:rsidRPr="00DA76A7" w:rsidRDefault="00592BC2" w:rsidP="00592BC2">
      <w:pPr>
        <w:keepNext/>
        <w:keepLines/>
        <w:suppressAutoHyphens/>
        <w:kinsoku w:val="0"/>
        <w:overflowPunct w:val="0"/>
        <w:ind w:firstLine="567"/>
        <w:jc w:val="both"/>
        <w:outlineLvl w:val="3"/>
        <w:rPr>
          <w:rFonts w:ascii="Arial" w:hAnsi="Arial" w:cs="Arial"/>
          <w:b/>
          <w:i/>
          <w:color w:val="000000" w:themeColor="text1"/>
          <w:spacing w:val="-4"/>
          <w:kern w:val="2"/>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Republic of Tajikistan, criminal process, concept, conclusions and opinions.</w:t>
      </w:r>
    </w:p>
    <w:p w:rsidR="00592BC2" w:rsidRPr="00DA76A7" w:rsidRDefault="00592BC2" w:rsidP="00592BC2">
      <w:pPr>
        <w:kinsoku w:val="0"/>
        <w:overflowPunct w:val="0"/>
        <w:ind w:firstLine="567"/>
        <w:jc w:val="both"/>
        <w:rPr>
          <w:rFonts w:ascii="Arial" w:hAnsi="Arial" w:cs="Arial"/>
          <w:i/>
          <w:color w:val="000000" w:themeColor="text1"/>
          <w:spacing w:val="-4"/>
          <w:kern w:val="2"/>
          <w:sz w:val="22"/>
          <w:szCs w:val="22"/>
          <w:lang w:val="en-US"/>
        </w:rPr>
      </w:pP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Љинояткорї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зуњуроти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њаёти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иљтимої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сатњи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доимо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таѓйир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меёбад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тавассути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дахлдор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ањли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љомеа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метавонад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муборизаро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алайњи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љинояткорї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пурзўр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сатњи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паст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намояд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Вазъи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љинояткорї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наметавонад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як</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шањрванди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мамлакатро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ташвиш</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наорад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Љинояткорї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метавонад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рушди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муътадили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љомеа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монеаи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љиддї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бошад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kern w:val="2"/>
          <w:sz w:val="23"/>
          <w:szCs w:val="23"/>
          <w:lang w:val="en-US"/>
        </w:rPr>
      </w:pPr>
      <w:r w:rsidRPr="001D4D32">
        <w:rPr>
          <w:rFonts w:ascii="Times New Roman Tj" w:hAnsi="Times New Roman Tj" w:cs="Arial"/>
          <w:color w:val="000000" w:themeColor="text1"/>
          <w:kern w:val="2"/>
          <w:sz w:val="23"/>
          <w:szCs w:val="23"/>
        </w:rPr>
        <w:t>Аз</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лињоз</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давлат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уњдадор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аст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дар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муќовимат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љинояткорї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чорањо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роњу</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усулњои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заруриро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андешад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чорањои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иќтисодї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сиёсї</w:t>
      </w:r>
      <w:r w:rsidRPr="001D4D32">
        <w:rPr>
          <w:rFonts w:ascii="Times New Roman Tj" w:hAnsi="Times New Roman Tj" w:cs="Arial"/>
          <w:color w:val="000000" w:themeColor="text1"/>
          <w:kern w:val="2"/>
          <w:sz w:val="23"/>
          <w:szCs w:val="23"/>
          <w:lang w:val="en-US"/>
        </w:rPr>
        <w:t>-</w:t>
      </w:r>
      <w:r w:rsidRPr="001D4D32">
        <w:rPr>
          <w:rFonts w:ascii="Times New Roman Tj" w:hAnsi="Times New Roman Tj" w:cs="Arial"/>
          <w:color w:val="000000" w:themeColor="text1"/>
          <w:kern w:val="2"/>
          <w:sz w:val="23"/>
          <w:szCs w:val="23"/>
        </w:rPr>
        <w:t>иљтимої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њуќуќї</w:t>
      </w:r>
      <w:r w:rsidRPr="001D4D32">
        <w:rPr>
          <w:rFonts w:ascii="Times New Roman Tj" w:hAnsi="Times New Roman Tj" w:cs="Arial"/>
          <w:color w:val="000000" w:themeColor="text1"/>
          <w:kern w:val="2"/>
          <w:sz w:val="23"/>
          <w:szCs w:val="23"/>
          <w:lang w:val="en-US"/>
        </w:rPr>
        <w:t>-</w:t>
      </w:r>
      <w:r w:rsidRPr="001D4D32">
        <w:rPr>
          <w:rFonts w:ascii="Times New Roman Tj" w:hAnsi="Times New Roman Tj" w:cs="Arial"/>
          <w:color w:val="000000" w:themeColor="text1"/>
          <w:kern w:val="2"/>
          <w:sz w:val="23"/>
          <w:szCs w:val="23"/>
        </w:rPr>
        <w:t>судї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шуда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метавонанд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Дар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байни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чорањои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њуќуќї</w:t>
      </w:r>
      <w:r w:rsidRPr="001D4D32">
        <w:rPr>
          <w:rFonts w:ascii="Times New Roman Tj" w:hAnsi="Times New Roman Tj" w:cs="Arial"/>
          <w:color w:val="000000" w:themeColor="text1"/>
          <w:kern w:val="2"/>
          <w:sz w:val="23"/>
          <w:szCs w:val="23"/>
          <w:lang w:val="en-US"/>
        </w:rPr>
        <w:t>-</w:t>
      </w:r>
      <w:r w:rsidRPr="001D4D32">
        <w:rPr>
          <w:rFonts w:ascii="Times New Roman Tj" w:hAnsi="Times New Roman Tj" w:cs="Arial"/>
          <w:color w:val="000000" w:themeColor="text1"/>
          <w:kern w:val="2"/>
          <w:sz w:val="23"/>
          <w:szCs w:val="23"/>
        </w:rPr>
        <w:t>судї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љойи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намоён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муњимро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самтњои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њам</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наздику</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пайвасти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њуќуќи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мурофиаи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ишѓол</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менамоянд</w:t>
      </w:r>
      <w:r w:rsidRPr="001D4D32">
        <w:rPr>
          <w:rFonts w:ascii="Times New Roman Tj" w:hAnsi="Times New Roman Tj" w:cs="Arial"/>
          <w:color w:val="000000" w:themeColor="text1"/>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kern w:val="2"/>
          <w:sz w:val="23"/>
          <w:szCs w:val="23"/>
          <w:lang w:val="en-US"/>
        </w:rPr>
      </w:pPr>
      <w:r w:rsidRPr="001D4D32">
        <w:rPr>
          <w:rFonts w:ascii="Times New Roman Tj" w:hAnsi="Times New Roman Tj" w:cs="Arial"/>
          <w:color w:val="000000" w:themeColor="text1"/>
          <w:kern w:val="2"/>
          <w:sz w:val="23"/>
          <w:szCs w:val="23"/>
        </w:rPr>
        <w:t>Вазифаи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њуќуќи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аз</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њифзи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њуќуќу</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озодињои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инсон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шањрванд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амнияти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љамъиятї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саломатии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ањолї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муњити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зист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тартиботи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љамъиятї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ахлоќ</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моликият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њимояи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сохти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конститутсионї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амнияти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Љумњурии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Тољикистон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аз</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таљовузи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таъмини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сулњ</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амнияти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башарият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тарбияи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шањрвандон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дар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рўњияи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риояи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Конститутсия</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ќонунњои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љумњурї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инчунин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пешгирии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љиноятњо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иборат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мебошад</w:t>
      </w:r>
      <w:r w:rsidRPr="001D4D32">
        <w:rPr>
          <w:rFonts w:ascii="Times New Roman Tj" w:hAnsi="Times New Roman Tj" w:cs="Arial"/>
          <w:color w:val="000000" w:themeColor="text1"/>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kern w:val="2"/>
          <w:sz w:val="23"/>
          <w:szCs w:val="23"/>
          <w:lang w:val="en-US"/>
        </w:rPr>
      </w:pPr>
      <w:r w:rsidRPr="001D4D32">
        <w:rPr>
          <w:rFonts w:ascii="Times New Roman Tj" w:hAnsi="Times New Roman Tj" w:cs="Arial"/>
          <w:color w:val="000000" w:themeColor="text1"/>
          <w:kern w:val="2"/>
          <w:sz w:val="23"/>
          <w:szCs w:val="23"/>
        </w:rPr>
        <w:t>Барои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иљрои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ин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вазифањо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Кодекси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асосу</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принсипњои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љавобгарии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љиноятиро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муќаррар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намуда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муайян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менамояд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кадом</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кирдорњои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барои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шахсият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љамъият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ё</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давлат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хавфнок</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эътироф</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мегарданд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намудњои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љазою</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чорањои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дигари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дорои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хусусияти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њуќуќии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љиноятиро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барои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содир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кардани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онњо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муќаррар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менамояд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w:t>
      </w:r>
      <w:r w:rsidRPr="001D4D32">
        <w:rPr>
          <w:rFonts w:ascii="Times New Roman Tj" w:hAnsi="Times New Roman Tj" w:cs="Arial"/>
          <w:color w:val="000000" w:themeColor="text1"/>
          <w:kern w:val="2"/>
          <w:sz w:val="23"/>
          <w:szCs w:val="23"/>
          <w:lang w:val="en-US"/>
        </w:rPr>
        <w:t xml:space="preserve">. 2 </w:t>
      </w:r>
      <w:r w:rsidRPr="001D4D32">
        <w:rPr>
          <w:rFonts w:ascii="Times New Roman Tj" w:hAnsi="Times New Roman Tj" w:cs="Arial"/>
          <w:color w:val="000000" w:themeColor="text1"/>
          <w:kern w:val="2"/>
          <w:sz w:val="23"/>
          <w:szCs w:val="23"/>
        </w:rPr>
        <w:t>КЉ</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Љумњурии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Тољикистон</w:t>
      </w:r>
      <w:r w:rsidRPr="001D4D32">
        <w:rPr>
          <w:rFonts w:ascii="Times New Roman Tj" w:hAnsi="Times New Roman Tj" w:cs="Arial"/>
          <w:color w:val="000000" w:themeColor="text1"/>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bCs/>
          <w:color w:val="000000" w:themeColor="text1"/>
          <w:kern w:val="2"/>
          <w:sz w:val="23"/>
          <w:szCs w:val="23"/>
          <w:lang w:val="en-US"/>
        </w:rPr>
      </w:pPr>
      <w:r w:rsidRPr="001D4D32">
        <w:rPr>
          <w:rFonts w:ascii="Times New Roman Tj" w:hAnsi="Times New Roman Tj" w:cs="Arial"/>
          <w:color w:val="000000" w:themeColor="text1"/>
          <w:kern w:val="2"/>
          <w:sz w:val="23"/>
          <w:szCs w:val="23"/>
        </w:rPr>
        <w:t>Лекин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барои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он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нисбати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шахси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содир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карда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љазои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сазовор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татбиќ</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карда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шавад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бояд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њамаи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њолати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содиршавии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љинояте</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ўро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айбдор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мењисобад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сањењ</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пурра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њаматарафа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љузъиёташ</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кирдор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дараљаи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гунањгории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шахс</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дигар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њолатњое</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парванда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ањамият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доранд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бахусус</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њолатњое</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ки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љазоро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сабук</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ё</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вазнин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мекунанд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аз</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он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љумла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њолатњое</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ки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ба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содир</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шудани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љиноят</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ва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дигар</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ќонуншиканињо</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мусоидат</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мекунанд</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муайян</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ва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исбот</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карда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шаванд</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Дар</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алоќа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бо</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ин</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таљрибаи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пойдори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таърихї</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як</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низоми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фаъолияти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батанзимдаромада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ва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тартиботи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маъруферо</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кашф</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намудааст</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ки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зимни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он</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адолат</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оид</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ба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парвандањои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љиноятї</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муайян</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карда</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мешавад</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ки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инро</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мурофиаи</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љиноятї</w:t>
      </w:r>
      <w:r w:rsidRPr="001D4D32">
        <w:rPr>
          <w:rFonts w:ascii="Times New Roman Tj" w:hAnsi="Times New Roman Tj" w:cs="Arial"/>
          <w:bCs/>
          <w:color w:val="000000" w:themeColor="text1"/>
          <w:kern w:val="2"/>
          <w:sz w:val="23"/>
          <w:szCs w:val="23"/>
          <w:lang w:val="en-US"/>
        </w:rPr>
        <w:t xml:space="preserve"> </w:t>
      </w:r>
      <w:r w:rsidRPr="001D4D32">
        <w:rPr>
          <w:rFonts w:ascii="Times New Roman Tj" w:hAnsi="Times New Roman Tj" w:cs="Arial"/>
          <w:bCs/>
          <w:color w:val="000000" w:themeColor="text1"/>
          <w:kern w:val="2"/>
          <w:sz w:val="23"/>
          <w:szCs w:val="23"/>
        </w:rPr>
        <w:t>меноманд</w:t>
      </w:r>
      <w:r w:rsidRPr="001D4D32">
        <w:rPr>
          <w:rFonts w:ascii="Times New Roman Tj" w:hAnsi="Times New Roman Tj" w:cs="Arial"/>
          <w:bCs/>
          <w:color w:val="000000" w:themeColor="text1"/>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bCs/>
          <w:color w:val="000000" w:themeColor="text1"/>
          <w:spacing w:val="-4"/>
          <w:kern w:val="2"/>
          <w:sz w:val="23"/>
          <w:szCs w:val="23"/>
        </w:rPr>
        <w:t>Ин</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фаъолият</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мушаххасан</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дар</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ќонун</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ба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танзим</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дароварда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шудааст</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ки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тартиби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оѓози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парвандаи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љиноятї</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пешбурди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тафтишоти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пешакї</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тартиби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баррасї</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ва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њалли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парвандаи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љиноятї</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дар</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суд</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инчунин</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иљро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расонидани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њукм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таъинот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ќарорро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мегирад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2"/>
          <w:kern w:val="2"/>
          <w:sz w:val="23"/>
          <w:szCs w:val="23"/>
          <w:lang w:val="en-US"/>
        </w:rPr>
      </w:pPr>
      <w:r w:rsidRPr="001D4D32">
        <w:rPr>
          <w:rFonts w:ascii="Times New Roman Tj" w:hAnsi="Times New Roman Tj" w:cs="Arial"/>
          <w:color w:val="000000" w:themeColor="text1"/>
          <w:spacing w:val="-2"/>
          <w:kern w:val="2"/>
          <w:sz w:val="23"/>
          <w:szCs w:val="23"/>
        </w:rPr>
        <w:t>Аз</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њама</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муњим</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ин</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фаъолиятро</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танњо</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маќомоти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ваколатдори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махсуси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давлатї</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маќомоти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тањќиќ</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муфаттиш</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прокурор</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ва</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суд</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судя</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амалї</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менамоянд</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Танњо</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маќомоти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номбаршуда</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метавонанд</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оид</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ба</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парвандаи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љиноятї</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пешбурдро</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анљом</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дињанд</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Бењтар</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ва</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пурсамар</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гардонидани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фаъолияти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маќомоти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номбаршуда</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доимо</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дар</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мадди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назари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давлат</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ва</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Њукумати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Љумњурии</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Тољикистон</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ќарор</w:t>
      </w:r>
      <w:r w:rsidRPr="001D4D32">
        <w:rPr>
          <w:rFonts w:ascii="Times New Roman Tj" w:hAnsi="Times New Roman Tj" w:cs="Arial"/>
          <w:color w:val="000000" w:themeColor="text1"/>
          <w:spacing w:val="-2"/>
          <w:kern w:val="2"/>
          <w:sz w:val="23"/>
          <w:szCs w:val="23"/>
          <w:lang w:val="en-US"/>
        </w:rPr>
        <w:t xml:space="preserve"> </w:t>
      </w:r>
      <w:r w:rsidRPr="001D4D32">
        <w:rPr>
          <w:rFonts w:ascii="Times New Roman Tj" w:hAnsi="Times New Roman Tj" w:cs="Arial"/>
          <w:color w:val="000000" w:themeColor="text1"/>
          <w:spacing w:val="-2"/>
          <w:kern w:val="2"/>
          <w:sz w:val="23"/>
          <w:szCs w:val="23"/>
        </w:rPr>
        <w:t>дорад</w:t>
      </w:r>
      <w:r w:rsidRPr="001D4D32">
        <w:rPr>
          <w:rFonts w:ascii="Times New Roman Tj" w:hAnsi="Times New Roman Tj" w:cs="Arial"/>
          <w:color w:val="000000" w:themeColor="text1"/>
          <w:spacing w:val="-2"/>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Вобаста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амалишавии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сиёсати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самти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мубориза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љинояту</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љинояткорї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љумњурї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як</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ќатор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барномањои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ислоњоти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w:t>
      </w:r>
      <w:r w:rsidRPr="001D4D32">
        <w:rPr>
          <w:rFonts w:ascii="Times New Roman Tj" w:hAnsi="Times New Roman Tj" w:cs="Arial"/>
          <w:color w:val="000000" w:themeColor="text1"/>
          <w:spacing w:val="-4"/>
          <w:kern w:val="2"/>
          <w:sz w:val="23"/>
          <w:szCs w:val="23"/>
        </w:rPr>
        <w:t>њуќуќї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консепсияњо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дигар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њуљљатњои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расмї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ќабул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гардиданд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ќабили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Ќонунњои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конститутсионии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Љумњурии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Тољикистон</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w:t>
      </w:r>
      <w:r w:rsidRPr="001D4D32">
        <w:rPr>
          <w:rFonts w:ascii="Times New Roman Tj" w:hAnsi="Times New Roman Tj" w:cs="Arial"/>
          <w:color w:val="000000" w:themeColor="text1"/>
          <w:spacing w:val="-4"/>
          <w:kern w:val="2"/>
          <w:sz w:val="23"/>
          <w:szCs w:val="23"/>
        </w:rPr>
        <w:t>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бораи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прокуратураи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Љумњурии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Тољикистон</w:t>
      </w:r>
      <w:r w:rsidRPr="001D4D32">
        <w:rPr>
          <w:rFonts w:ascii="Times New Roman Tj" w:hAnsi="Times New Roman Tj" w:cs="Arial"/>
          <w:color w:val="000000" w:themeColor="text1"/>
          <w:spacing w:val="-4"/>
          <w:kern w:val="2"/>
          <w:sz w:val="23"/>
          <w:szCs w:val="23"/>
          <w:lang w:val="en-US"/>
        </w:rPr>
        <w:t>»,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бораи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Љумњурии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Тољикистон</w:t>
      </w:r>
      <w:r w:rsidRPr="001D4D32">
        <w:rPr>
          <w:rFonts w:ascii="Times New Roman Tj" w:hAnsi="Times New Roman Tj" w:cs="Arial"/>
          <w:color w:val="000000" w:themeColor="text1"/>
          <w:spacing w:val="-4"/>
          <w:kern w:val="2"/>
          <w:sz w:val="23"/>
          <w:szCs w:val="23"/>
          <w:lang w:val="en-US"/>
        </w:rPr>
        <w:t>»,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бораи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конститутсионии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Љумњурии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Тољикистон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Ќонунњои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Љумњурии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Тољикистон</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Дар</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бораи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њимояи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давлатии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иштирокчиёни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мурофиаи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судии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љиноятї</w:t>
      </w:r>
      <w:r w:rsidRPr="001D4D32">
        <w:rPr>
          <w:rFonts w:ascii="Times New Roman Tj" w:hAnsi="Times New Roman Tj" w:cs="Arial"/>
          <w:bCs/>
          <w:color w:val="000000" w:themeColor="text1"/>
          <w:spacing w:val="-4"/>
          <w:kern w:val="2"/>
          <w:sz w:val="23"/>
          <w:szCs w:val="23"/>
          <w:lang w:val="en-US"/>
        </w:rPr>
        <w:t>», «</w:t>
      </w:r>
      <w:r w:rsidRPr="001D4D32">
        <w:rPr>
          <w:rFonts w:ascii="Times New Roman Tj" w:hAnsi="Times New Roman Tj" w:cs="Arial"/>
          <w:bCs/>
          <w:color w:val="000000" w:themeColor="text1"/>
          <w:spacing w:val="-4"/>
          <w:kern w:val="2"/>
          <w:sz w:val="23"/>
          <w:szCs w:val="23"/>
        </w:rPr>
        <w:t>Дар</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бораи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фаъолияти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оперативї</w:t>
      </w:r>
      <w:r w:rsidRPr="001D4D32">
        <w:rPr>
          <w:rFonts w:ascii="Times New Roman Tj" w:hAnsi="Times New Roman Tj" w:cs="Arial"/>
          <w:bCs/>
          <w:color w:val="000000" w:themeColor="text1"/>
          <w:spacing w:val="-4"/>
          <w:kern w:val="2"/>
          <w:sz w:val="23"/>
          <w:szCs w:val="23"/>
          <w:lang w:val="en-US"/>
        </w:rPr>
        <w:t>-</w:t>
      </w:r>
      <w:r w:rsidRPr="001D4D32">
        <w:rPr>
          <w:rFonts w:ascii="Times New Roman Tj" w:hAnsi="Times New Roman Tj" w:cs="Arial"/>
          <w:bCs/>
          <w:color w:val="000000" w:themeColor="text1"/>
          <w:spacing w:val="-4"/>
          <w:kern w:val="2"/>
          <w:sz w:val="23"/>
          <w:szCs w:val="23"/>
        </w:rPr>
        <w:t>љустуљўї</w:t>
      </w:r>
      <w:r w:rsidRPr="001D4D32">
        <w:rPr>
          <w:rFonts w:ascii="Times New Roman Tj" w:hAnsi="Times New Roman Tj" w:cs="Arial"/>
          <w:bCs/>
          <w:color w:val="000000" w:themeColor="text1"/>
          <w:spacing w:val="-4"/>
          <w:kern w:val="2"/>
          <w:sz w:val="23"/>
          <w:szCs w:val="23"/>
          <w:lang w:val="en-US"/>
        </w:rPr>
        <w:t>», «</w:t>
      </w:r>
      <w:r w:rsidRPr="001D4D32">
        <w:rPr>
          <w:rFonts w:ascii="Times New Roman Tj" w:hAnsi="Times New Roman Tj" w:cs="Arial"/>
          <w:bCs/>
          <w:color w:val="000000" w:themeColor="text1"/>
          <w:spacing w:val="-4"/>
          <w:kern w:val="2"/>
          <w:sz w:val="23"/>
          <w:szCs w:val="23"/>
        </w:rPr>
        <w:t>Дар</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бораи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тартиб</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ва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шароити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дар</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њабс</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нигоњ</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доштани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гумонбаршуда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айбдоршаванда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ва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судшаванда</w:t>
      </w:r>
      <w:r w:rsidRPr="001D4D32">
        <w:rPr>
          <w:rFonts w:ascii="Times New Roman Tj" w:hAnsi="Times New Roman Tj" w:cs="Arial"/>
          <w:bCs/>
          <w:color w:val="000000" w:themeColor="text1"/>
          <w:spacing w:val="-4"/>
          <w:kern w:val="2"/>
          <w:sz w:val="23"/>
          <w:szCs w:val="23"/>
          <w:lang w:val="en-US"/>
        </w:rPr>
        <w:t>», «</w:t>
      </w:r>
      <w:r w:rsidRPr="001D4D32">
        <w:rPr>
          <w:rFonts w:ascii="Times New Roman Tj" w:hAnsi="Times New Roman Tj" w:cs="Arial"/>
          <w:bCs/>
          <w:color w:val="000000" w:themeColor="text1"/>
          <w:spacing w:val="-4"/>
          <w:kern w:val="2"/>
          <w:sz w:val="23"/>
          <w:szCs w:val="23"/>
        </w:rPr>
        <w:t>Дар</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бораи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адвокатура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ва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фаъолияти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адвокатї</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ва</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дигар</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санадњои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меъёрии</w:t>
      </w:r>
      <w:r w:rsidRPr="001D4D32">
        <w:rPr>
          <w:rFonts w:ascii="Times New Roman Tj" w:hAnsi="Times New Roman Tj" w:cs="Arial"/>
          <w:bCs/>
          <w:color w:val="000000" w:themeColor="text1"/>
          <w:spacing w:val="-4"/>
          <w:kern w:val="2"/>
          <w:sz w:val="23"/>
          <w:szCs w:val="23"/>
          <w:lang w:val="en-US"/>
        </w:rPr>
        <w:t xml:space="preserve"> </w:t>
      </w:r>
      <w:r w:rsidRPr="001D4D32">
        <w:rPr>
          <w:rFonts w:ascii="Times New Roman Tj" w:hAnsi="Times New Roman Tj" w:cs="Arial"/>
          <w:bCs/>
          <w:color w:val="000000" w:themeColor="text1"/>
          <w:spacing w:val="-4"/>
          <w:kern w:val="2"/>
          <w:sz w:val="23"/>
          <w:szCs w:val="23"/>
        </w:rPr>
        <w:t>њуќуќї</w:t>
      </w:r>
      <w:r w:rsidRPr="001D4D32">
        <w:rPr>
          <w:rFonts w:ascii="Times New Roman Tj" w:hAnsi="Times New Roman Tj" w:cs="Arial"/>
          <w:bCs/>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ќонунгузории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Љумњурии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Тољикистон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мафњумњои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истифода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мафњумњо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њаммаъно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мебошанд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Чун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анъана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мафњумњо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чор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мафњуми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наздик</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алоќаманд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муайян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мурофиаи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љиноятї</w:t>
      </w:r>
      <w:r w:rsidRPr="001D4D32">
        <w:rPr>
          <w:rFonts w:ascii="Times New Roman Tj" w:hAnsi="Times New Roman Tj" w:cs="Arial"/>
          <w:i/>
          <w:color w:val="000000" w:themeColor="text1"/>
          <w:spacing w:val="-4"/>
          <w:kern w:val="2"/>
          <w:sz w:val="23"/>
          <w:szCs w:val="23"/>
          <w:lang w:val="en-US"/>
        </w:rPr>
        <w:t>,</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номбаршударо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мегирад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њуќуќи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мурофиавии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љиноятї</w:t>
      </w:r>
      <w:r w:rsidRPr="001D4D32">
        <w:rPr>
          <w:rFonts w:ascii="Times New Roman Tj" w:hAnsi="Times New Roman Tj" w:cs="Arial"/>
          <w:i/>
          <w:color w:val="000000" w:themeColor="text1"/>
          <w:spacing w:val="-4"/>
          <w:kern w:val="2"/>
          <w:sz w:val="23"/>
          <w:szCs w:val="23"/>
          <w:lang w:val="en-US"/>
        </w:rPr>
        <w:t>,</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соњаи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мустаќили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њисоб</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рафта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тартиби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пешбурди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танзим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медарорад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мурофиаи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љиноятї</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њамчун</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илм</w:t>
      </w:r>
      <w:r w:rsidRPr="001D4D32">
        <w:rPr>
          <w:rFonts w:ascii="Times New Roman Tj" w:hAnsi="Times New Roman Tj" w:cs="Arial"/>
          <w:i/>
          <w:color w:val="000000" w:themeColor="text1"/>
          <w:spacing w:val="-4"/>
          <w:kern w:val="2"/>
          <w:sz w:val="23"/>
          <w:szCs w:val="23"/>
          <w:lang w:val="en-US"/>
        </w:rPr>
        <w:t>,</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соњаи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нигоњи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илмї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ќонунгузорї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масъалањои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мубрами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амалияи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мавриди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тадќиќ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ќарор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медињад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мурофиаи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љиноятї</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њамчун</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фанни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таълимї</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љиноятиро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тартиби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пешбурди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илмї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меомўзад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i/>
          <w:color w:val="000000" w:themeColor="text1"/>
          <w:spacing w:val="-4"/>
          <w:kern w:val="2"/>
          <w:sz w:val="23"/>
          <w:szCs w:val="23"/>
        </w:rPr>
        <w:t>Мурофиаи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махсуси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пешбинишудаи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тањќиќ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пешакї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прокуратура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оид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оѓоз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тањќиќ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баррасї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иљроиши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њукм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байни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иштирокчиён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шакли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муносибатњои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љорї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гашта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маќсади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њаёт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татбиќ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љиноятиро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дорад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i/>
          <w:color w:val="000000" w:themeColor="text1"/>
          <w:spacing w:val="-4"/>
          <w:kern w:val="2"/>
          <w:sz w:val="23"/>
          <w:szCs w:val="23"/>
        </w:rPr>
        <w:t>Мурофиаи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судии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пешбурди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тосудї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яъне</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тањќиќ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пешакї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прокуратура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доир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ошкоркунї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фош</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сохтани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гунањгорон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пешбурди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яъне</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њангоми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баррасї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мебошад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тањкими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ќонуният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тартиботи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пешгирии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эњтироми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њифзи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њуќуќу</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озодињои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инсон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шањрванд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баровардани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адолати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равона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шудааст</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Таърифњои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баёншудаи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тарафи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олимони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дигари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соњаи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низ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дастгирї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ёфта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мафњумњои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маъмул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њисоб</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мераванд</w:t>
      </w:r>
      <w:r w:rsidRPr="001D4D32">
        <w:rPr>
          <w:rFonts w:ascii="Times New Roman Tj" w:hAnsi="Times New Roman Tj" w:cs="Arial"/>
          <w:color w:val="000000" w:themeColor="text1"/>
          <w:spacing w:val="-4"/>
          <w:kern w:val="2"/>
          <w:sz w:val="23"/>
          <w:szCs w:val="23"/>
          <w:lang w:val="en-US"/>
        </w:rPr>
        <w:t xml:space="preserve"> [2. </w:t>
      </w:r>
      <w:r w:rsidRPr="001D4D32">
        <w:rPr>
          <w:rFonts w:ascii="Times New Roman Tj" w:hAnsi="Times New Roman Tj" w:cs="Arial"/>
          <w:color w:val="000000" w:themeColor="text1"/>
          <w:sz w:val="23"/>
          <w:szCs w:val="23"/>
        </w:rPr>
        <w:t>С</w:t>
      </w:r>
      <w:r w:rsidRPr="001D4D32">
        <w:rPr>
          <w:rFonts w:ascii="Times New Roman Tj" w:hAnsi="Times New Roman Tj" w:cs="Arial"/>
          <w:color w:val="000000" w:themeColor="text1"/>
          <w:sz w:val="23"/>
          <w:szCs w:val="23"/>
          <w:lang w:val="en-US"/>
        </w:rPr>
        <w:t>.</w:t>
      </w:r>
      <w:r w:rsidRPr="001D4D32">
        <w:rPr>
          <w:rFonts w:ascii="Times New Roman Tj" w:hAnsi="Times New Roman Tj" w:cs="Arial"/>
          <w:color w:val="000000" w:themeColor="text1"/>
          <w:sz w:val="23"/>
          <w:szCs w:val="23"/>
          <w:lang w:val="en-GB"/>
        </w:rPr>
        <w:t> </w:t>
      </w:r>
      <w:r w:rsidRPr="001D4D32">
        <w:rPr>
          <w:rFonts w:ascii="Times New Roman Tj" w:hAnsi="Times New Roman Tj" w:cs="Arial"/>
          <w:color w:val="000000" w:themeColor="text1"/>
          <w:sz w:val="23"/>
          <w:szCs w:val="23"/>
          <w:lang w:val="en-US"/>
        </w:rPr>
        <w:t xml:space="preserve">34-36; </w:t>
      </w:r>
      <w:r w:rsidRPr="001D4D32">
        <w:rPr>
          <w:rFonts w:ascii="Times New Roman Tj" w:hAnsi="Times New Roman Tj" w:cs="Arial"/>
          <w:color w:val="000000" w:themeColor="text1"/>
          <w:sz w:val="23"/>
          <w:szCs w:val="23"/>
        </w:rPr>
        <w:t>С</w:t>
      </w:r>
      <w:r w:rsidRPr="001D4D32">
        <w:rPr>
          <w:rFonts w:ascii="Times New Roman Tj" w:hAnsi="Times New Roman Tj" w:cs="Arial"/>
          <w:color w:val="000000" w:themeColor="text1"/>
          <w:sz w:val="23"/>
          <w:szCs w:val="23"/>
          <w:lang w:val="en-US"/>
        </w:rPr>
        <w:t>. 6</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баробари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олими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шинохтаи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тољик</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З</w:t>
      </w:r>
      <w:r w:rsidRPr="001D4D32">
        <w:rPr>
          <w:rFonts w:ascii="Times New Roman Tj" w:hAnsi="Times New Roman Tj" w:cs="Arial"/>
          <w:color w:val="000000" w:themeColor="text1"/>
          <w:spacing w:val="-4"/>
          <w:kern w:val="2"/>
          <w:sz w:val="23"/>
          <w:szCs w:val="23"/>
          <w:lang w:val="en-US"/>
        </w:rPr>
        <w:t>.</w:t>
      </w:r>
      <w:r w:rsidRPr="001D4D32">
        <w:rPr>
          <w:rFonts w:ascii="Times New Roman Tj" w:hAnsi="Times New Roman Tj" w:cs="Arial"/>
          <w:color w:val="000000" w:themeColor="text1"/>
          <w:spacing w:val="-4"/>
          <w:kern w:val="2"/>
          <w:sz w:val="23"/>
          <w:szCs w:val="23"/>
        </w:rPr>
        <w:t>Њ</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Искандаров</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ќайд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менамояд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агар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љиноятиро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танњо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њамчун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махсуси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муаррифї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намоем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њамин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иштирокчиёни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дигари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беихтиёр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паст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онњоро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комилан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тањќиќу</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тафтишот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вобаста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менамоем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аќидаи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ў</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тарзи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маъруфи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њимояи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инсон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таљовузњои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љинояткорона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ѓайриќонунї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мањдуд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таъќиботи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беасос</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оид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тибќи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КМЉ</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kern w:val="2"/>
          <w:sz w:val="23"/>
          <w:szCs w:val="23"/>
        </w:rPr>
        <w:t>Љумњурии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Тољикистон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муайян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бањри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таъмин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адолат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осоиши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равона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шудааст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иљроиши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њама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њатмист</w:t>
      </w:r>
      <w:r w:rsidRPr="001D4D32">
        <w:rPr>
          <w:rFonts w:ascii="Times New Roman Tj" w:hAnsi="Times New Roman Tj" w:cs="Arial"/>
          <w:color w:val="000000" w:themeColor="text1"/>
          <w:spacing w:val="-4"/>
          <w:kern w:val="2"/>
          <w:sz w:val="23"/>
          <w:szCs w:val="23"/>
          <w:lang w:val="en-US"/>
        </w:rPr>
        <w:t xml:space="preserve"> [1. </w:t>
      </w:r>
      <w:r w:rsidRPr="001D4D32">
        <w:rPr>
          <w:rFonts w:ascii="Times New Roman Tj" w:hAnsi="Times New Roman Tj" w:cs="Arial"/>
          <w:color w:val="000000" w:themeColor="text1"/>
          <w:sz w:val="23"/>
          <w:szCs w:val="23"/>
        </w:rPr>
        <w:t>С</w:t>
      </w:r>
      <w:r w:rsidRPr="001D4D32">
        <w:rPr>
          <w:rFonts w:ascii="Times New Roman Tj" w:hAnsi="Times New Roman Tj" w:cs="Arial"/>
          <w:color w:val="000000" w:themeColor="text1"/>
          <w:sz w:val="23"/>
          <w:szCs w:val="23"/>
          <w:lang w:val="en-US"/>
        </w:rPr>
        <w:t>.</w:t>
      </w:r>
      <w:r w:rsidRPr="001D4D32">
        <w:rPr>
          <w:rFonts w:ascii="Times New Roman Tj" w:hAnsi="Times New Roman Tj" w:cs="Arial"/>
          <w:color w:val="000000" w:themeColor="text1"/>
          <w:sz w:val="23"/>
          <w:szCs w:val="23"/>
          <w:lang w:val="en-GB"/>
        </w:rPr>
        <w:t> </w:t>
      </w:r>
      <w:r w:rsidRPr="001D4D32">
        <w:rPr>
          <w:rFonts w:ascii="Times New Roman Tj" w:hAnsi="Times New Roman Tj" w:cs="Arial"/>
          <w:color w:val="000000" w:themeColor="text1"/>
          <w:sz w:val="23"/>
          <w:szCs w:val="23"/>
          <w:lang w:val="en-US"/>
        </w:rPr>
        <w:t>22-23</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kern w:val="2"/>
          <w:sz w:val="23"/>
          <w:szCs w:val="23"/>
          <w:lang w:val="en-US"/>
        </w:rPr>
      </w:pPr>
      <w:r w:rsidRPr="001D4D32">
        <w:rPr>
          <w:rFonts w:ascii="Times New Roman Tj" w:hAnsi="Times New Roman Tj" w:cs="Arial"/>
          <w:color w:val="000000" w:themeColor="text1"/>
          <w:kern w:val="2"/>
          <w:sz w:val="23"/>
          <w:szCs w:val="23"/>
        </w:rPr>
        <w:t>Дар</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w:t>
      </w:r>
      <w:r w:rsidRPr="001D4D32">
        <w:rPr>
          <w:rFonts w:ascii="Times New Roman Tj" w:hAnsi="Times New Roman Tj" w:cs="Arial"/>
          <w:color w:val="000000" w:themeColor="text1"/>
          <w:kern w:val="2"/>
          <w:sz w:val="23"/>
          <w:szCs w:val="23"/>
          <w:lang w:val="en-US"/>
        </w:rPr>
        <w:t xml:space="preserve">. 6 </w:t>
      </w:r>
      <w:r w:rsidRPr="001D4D32">
        <w:rPr>
          <w:rFonts w:ascii="Times New Roman Tj" w:hAnsi="Times New Roman Tj" w:cs="Arial"/>
          <w:color w:val="000000" w:themeColor="text1"/>
          <w:kern w:val="2"/>
          <w:sz w:val="23"/>
          <w:szCs w:val="23"/>
        </w:rPr>
        <w:t>КМЉ</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Љумњурии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Тољикистон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мафњуми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мањдуди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мурофиаи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судии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дода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шудааст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Мувофиќи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он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мурофиаи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судии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љиноятї</w:t>
      </w:r>
      <w:r w:rsidRPr="001D4D32">
        <w:rPr>
          <w:rFonts w:ascii="Times New Roman Tj" w:hAnsi="Times New Roman Tj" w:cs="Arial"/>
          <w:color w:val="000000" w:themeColor="text1"/>
          <w:kern w:val="2"/>
          <w:sz w:val="23"/>
          <w:szCs w:val="23"/>
          <w:lang w:val="en-US"/>
        </w:rPr>
        <w:t xml:space="preserve"> – </w:t>
      </w:r>
      <w:r w:rsidRPr="001D4D32">
        <w:rPr>
          <w:rFonts w:ascii="Times New Roman Tj" w:hAnsi="Times New Roman Tj" w:cs="Arial"/>
          <w:color w:val="000000" w:themeColor="text1"/>
          <w:kern w:val="2"/>
          <w:sz w:val="23"/>
          <w:szCs w:val="23"/>
        </w:rPr>
        <w:t>ин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пешбурди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тосудї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мурофиаи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судї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оид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парвандаи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мебошад</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Аз</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мафњуми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додашуда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ду</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ќисми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асосии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мурофиаи</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љиноятиро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људо</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намудан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мумкин</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аст</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i/>
          <w:color w:val="000000" w:themeColor="text1"/>
          <w:kern w:val="2"/>
          <w:sz w:val="23"/>
          <w:szCs w:val="23"/>
        </w:rPr>
        <w:t>пешбурди</w:t>
      </w:r>
      <w:r w:rsidRPr="001D4D32">
        <w:rPr>
          <w:rFonts w:ascii="Times New Roman Tj" w:hAnsi="Times New Roman Tj" w:cs="Arial"/>
          <w:i/>
          <w:color w:val="000000" w:themeColor="text1"/>
          <w:kern w:val="2"/>
          <w:sz w:val="23"/>
          <w:szCs w:val="23"/>
          <w:lang w:val="en-US"/>
        </w:rPr>
        <w:t xml:space="preserve"> </w:t>
      </w:r>
      <w:r w:rsidRPr="001D4D32">
        <w:rPr>
          <w:rFonts w:ascii="Times New Roman Tj" w:hAnsi="Times New Roman Tj" w:cs="Arial"/>
          <w:i/>
          <w:color w:val="000000" w:themeColor="text1"/>
          <w:kern w:val="2"/>
          <w:sz w:val="23"/>
          <w:szCs w:val="23"/>
        </w:rPr>
        <w:t>тосудї</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ва</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color w:val="000000" w:themeColor="text1"/>
          <w:kern w:val="2"/>
          <w:sz w:val="23"/>
          <w:szCs w:val="23"/>
        </w:rPr>
        <w:t>б</w:t>
      </w:r>
      <w:r w:rsidRPr="001D4D32">
        <w:rPr>
          <w:rFonts w:ascii="Times New Roman Tj" w:hAnsi="Times New Roman Tj" w:cs="Arial"/>
          <w:color w:val="000000" w:themeColor="text1"/>
          <w:kern w:val="2"/>
          <w:sz w:val="23"/>
          <w:szCs w:val="23"/>
          <w:lang w:val="en-US"/>
        </w:rPr>
        <w:t xml:space="preserve">) </w:t>
      </w:r>
      <w:r w:rsidRPr="001D4D32">
        <w:rPr>
          <w:rFonts w:ascii="Times New Roman Tj" w:hAnsi="Times New Roman Tj" w:cs="Arial"/>
          <w:i/>
          <w:color w:val="000000" w:themeColor="text1"/>
          <w:kern w:val="2"/>
          <w:sz w:val="23"/>
          <w:szCs w:val="23"/>
        </w:rPr>
        <w:t>пешбурди</w:t>
      </w:r>
      <w:r w:rsidRPr="001D4D32">
        <w:rPr>
          <w:rFonts w:ascii="Times New Roman Tj" w:hAnsi="Times New Roman Tj" w:cs="Arial"/>
          <w:i/>
          <w:color w:val="000000" w:themeColor="text1"/>
          <w:kern w:val="2"/>
          <w:sz w:val="23"/>
          <w:szCs w:val="23"/>
          <w:lang w:val="en-US"/>
        </w:rPr>
        <w:t xml:space="preserve"> </w:t>
      </w:r>
      <w:r w:rsidRPr="001D4D32">
        <w:rPr>
          <w:rFonts w:ascii="Times New Roman Tj" w:hAnsi="Times New Roman Tj" w:cs="Arial"/>
          <w:i/>
          <w:color w:val="000000" w:themeColor="text1"/>
          <w:kern w:val="2"/>
          <w:sz w:val="23"/>
          <w:szCs w:val="23"/>
        </w:rPr>
        <w:t>судї</w:t>
      </w:r>
      <w:r w:rsidRPr="001D4D32">
        <w:rPr>
          <w:rFonts w:ascii="Times New Roman Tj" w:hAnsi="Times New Roman Tj" w:cs="Arial"/>
          <w:i/>
          <w:color w:val="000000" w:themeColor="text1"/>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i/>
          <w:color w:val="000000" w:themeColor="text1"/>
          <w:spacing w:val="-4"/>
          <w:kern w:val="2"/>
          <w:sz w:val="23"/>
          <w:szCs w:val="23"/>
        </w:rPr>
        <w:t>Пешбурди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тосудї</w:t>
      </w:r>
      <w:r w:rsidRPr="001D4D32">
        <w:rPr>
          <w:rFonts w:ascii="Times New Roman Tj" w:hAnsi="Times New Roman Tj" w:cs="Arial"/>
          <w:color w:val="000000" w:themeColor="text1"/>
          <w:spacing w:val="-4"/>
          <w:kern w:val="2"/>
          <w:sz w:val="23"/>
          <w:szCs w:val="23"/>
          <w:lang w:val="en-US"/>
        </w:rPr>
        <w:t xml:space="preserve"> – </w:t>
      </w:r>
      <w:r w:rsidRPr="001D4D32">
        <w:rPr>
          <w:rFonts w:ascii="Times New Roman Tj" w:hAnsi="Times New Roman Tj" w:cs="Arial"/>
          <w:color w:val="000000" w:themeColor="text1"/>
          <w:spacing w:val="-4"/>
          <w:kern w:val="2"/>
          <w:sz w:val="23"/>
          <w:szCs w:val="23"/>
        </w:rPr>
        <w:t>оѓози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ё</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рад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доир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пешбурди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пешакї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љониби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тањќиќ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муфаттиш</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прокурор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мешавад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Пешбурди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тосудї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оид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содиршуда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маќсади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адолати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шароити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мусоид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фароњам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овардан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таъин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шудааст</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i/>
          <w:color w:val="000000" w:themeColor="text1"/>
          <w:spacing w:val="-4"/>
          <w:kern w:val="2"/>
          <w:sz w:val="23"/>
          <w:szCs w:val="23"/>
        </w:rPr>
        <w:t>Пешбурди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омодагї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таъин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муњокимаи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пешакиаш</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анљом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ёфта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гузаронидани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баровардани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њукми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айбдоркунанда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сафедкунанда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нав</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дида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баромадани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њукм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дигар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санадњои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марњилањои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болої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ќабули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ќарорњои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мушаххас</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оид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шароити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мусоид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фароњам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овардан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бањри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иљро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њукм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дигар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санадњои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пас</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эътибори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пайдо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мебошад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татбиќ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чорањои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маљбуркунии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дастгиркунї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кофтуков</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њабс</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нигоњ</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доштан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њабси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амвол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ѓайра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алоќаманд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мебошад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Вобаста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чунин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хусусият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бањри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таъмини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кафолати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инсон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даќиќона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танзим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дароварда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шудааст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Пайдарњамии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ваколатдори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лањзаи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маълум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гардидани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баррасї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уњдадории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шахсони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љалбгардида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шакл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тартиби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гузаронидани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мустањкамкунии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натиљаи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асосњо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шартњои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ќабули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ќарорњои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муайян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шудаанд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Ќайд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зарур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аст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як</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ќатор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хусусиятњое</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хосанд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фарќияти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онро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дигар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муайян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мекунанд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хусусиятњои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њама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дохил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мешаванд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а</w:t>
      </w:r>
      <w:r w:rsidRPr="001D4D32">
        <w:rPr>
          <w:rFonts w:ascii="Times New Roman Tj" w:hAnsi="Times New Roman Tj" w:cs="Arial"/>
          <w:color w:val="000000" w:themeColor="text1"/>
          <w:spacing w:val="-4"/>
          <w:kern w:val="2"/>
          <w:sz w:val="23"/>
          <w:szCs w:val="23"/>
          <w:lang w:val="en-US"/>
        </w:rPr>
        <w:t>)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яке</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мебошад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б</w:t>
      </w:r>
      <w:r w:rsidRPr="001D4D32">
        <w:rPr>
          <w:rFonts w:ascii="Times New Roman Tj" w:hAnsi="Times New Roman Tj" w:cs="Arial"/>
          <w:color w:val="000000" w:themeColor="text1"/>
          <w:spacing w:val="-4"/>
          <w:kern w:val="2"/>
          <w:sz w:val="23"/>
          <w:szCs w:val="23"/>
          <w:lang w:val="en-US"/>
        </w:rPr>
        <w:t>)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љониби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субъектони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махсуси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ваколатдоршуда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прокуратура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тањќиќ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гардидани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давлат</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в</w:t>
      </w:r>
      <w:r w:rsidRPr="001D4D32">
        <w:rPr>
          <w:rFonts w:ascii="Times New Roman Tj" w:hAnsi="Times New Roman Tj" w:cs="Arial"/>
          <w:color w:val="000000" w:themeColor="text1"/>
          <w:spacing w:val="-4"/>
          <w:kern w:val="2"/>
          <w:sz w:val="23"/>
          <w:szCs w:val="23"/>
          <w:lang w:val="en-US"/>
        </w:rPr>
        <w:t>)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пешакї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муайян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гардидани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шаклњои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баровардани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г</w:t>
      </w:r>
      <w:r w:rsidRPr="001D4D32">
        <w:rPr>
          <w:rFonts w:ascii="Times New Roman Tj" w:hAnsi="Times New Roman Tj" w:cs="Arial"/>
          <w:color w:val="000000" w:themeColor="text1"/>
          <w:spacing w:val="-4"/>
          <w:kern w:val="2"/>
          <w:sz w:val="23"/>
          <w:szCs w:val="23"/>
          <w:lang w:val="en-US"/>
        </w:rPr>
        <w:t>) </w:t>
      </w:r>
      <w:r w:rsidRPr="001D4D32">
        <w:rPr>
          <w:rFonts w:ascii="Times New Roman Tj" w:hAnsi="Times New Roman Tj" w:cs="Arial"/>
          <w:color w:val="000000" w:themeColor="text1"/>
          <w:spacing w:val="-4"/>
          <w:kern w:val="2"/>
          <w:sz w:val="23"/>
          <w:szCs w:val="23"/>
        </w:rPr>
        <w:t>хос</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будани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иљрои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вазифањои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муайян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kinsoku w:val="0"/>
        <w:overflowPunct w:val="0"/>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Бояд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ќайд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гардидани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бањри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тањкими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ќонуният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тартиботи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пешгирии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эњтироми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њуќуќу</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озодињои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инсон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шањрванд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амалигардонии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адолати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равона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гардидааст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Тартиби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пешбурди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муќаррар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намудааст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њимояи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инсон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шањрванд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беасос</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айбдоркунї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њимоя</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ѓайриќонунї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мањдуд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њуќуќу</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озодињо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мусоидат</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менамояд</w:t>
      </w:r>
      <w:r w:rsidRPr="001D4D32">
        <w:rPr>
          <w:rFonts w:ascii="Times New Roman Tj" w:hAnsi="Times New Roman Tj" w:cs="Arial"/>
          <w:color w:val="000000" w:themeColor="text1"/>
          <w:spacing w:val="-4"/>
          <w:kern w:val="2"/>
          <w:sz w:val="23"/>
          <w:szCs w:val="23"/>
          <w:lang w:val="en-US"/>
        </w:rPr>
        <w:t>.</w:t>
      </w:r>
    </w:p>
    <w:p w:rsidR="00592BC2" w:rsidRPr="001D4D32" w:rsidRDefault="00592BC2" w:rsidP="00592BC2">
      <w:pPr>
        <w:ind w:firstLine="567"/>
        <w:jc w:val="both"/>
        <w:rPr>
          <w:rFonts w:ascii="Times New Roman Tj" w:hAnsi="Times New Roman Tj" w:cs="Arial"/>
          <w:color w:val="000000" w:themeColor="text1"/>
          <w:spacing w:val="-4"/>
          <w:kern w:val="2"/>
          <w:sz w:val="23"/>
          <w:szCs w:val="23"/>
          <w:lang w:val="en-US"/>
        </w:rPr>
      </w:pPr>
      <w:r w:rsidRPr="001D4D32">
        <w:rPr>
          <w:rFonts w:ascii="Times New Roman Tj" w:hAnsi="Times New Roman Tj" w:cs="Arial"/>
          <w:color w:val="000000" w:themeColor="text1"/>
          <w:spacing w:val="-4"/>
          <w:kern w:val="2"/>
          <w:sz w:val="23"/>
          <w:szCs w:val="23"/>
        </w:rPr>
        <w:t>Њамин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тавр</w:t>
      </w:r>
      <w:r w:rsidRPr="001D4D32">
        <w:rPr>
          <w:rFonts w:ascii="Times New Roman Tj" w:hAnsi="Times New Roman Tj" w:cs="Arial"/>
          <w:color w:val="000000" w:themeColor="text1"/>
          <w:spacing w:val="-4"/>
          <w:kern w:val="2"/>
          <w:sz w:val="23"/>
          <w:szCs w:val="23"/>
          <w:lang w:val="en-US"/>
        </w:rPr>
        <w:t>,</w:t>
      </w:r>
      <w:r w:rsidRPr="001D4D32">
        <w:rPr>
          <w:rFonts w:ascii="Times New Roman Tj" w:hAnsi="Times New Roman Tj" w:cs="Arial"/>
          <w:b/>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мурофиаи</w:t>
      </w:r>
      <w:r w:rsidRPr="001D4D32">
        <w:rPr>
          <w:rFonts w:ascii="Times New Roman Tj" w:hAnsi="Times New Roman Tj" w:cs="Arial"/>
          <w:i/>
          <w:color w:val="000000" w:themeColor="text1"/>
          <w:spacing w:val="-4"/>
          <w:kern w:val="2"/>
          <w:sz w:val="23"/>
          <w:szCs w:val="23"/>
          <w:lang w:val="en-US"/>
        </w:rPr>
        <w:t xml:space="preserve"> </w:t>
      </w:r>
      <w:r w:rsidRPr="001D4D32">
        <w:rPr>
          <w:rFonts w:ascii="Times New Roman Tj" w:hAnsi="Times New Roman Tj" w:cs="Arial"/>
          <w:i/>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 </w:t>
      </w:r>
      <w:r w:rsidRPr="001D4D32">
        <w:rPr>
          <w:rFonts w:ascii="Times New Roman Tj" w:hAnsi="Times New Roman Tj" w:cs="Arial"/>
          <w:color w:val="000000" w:themeColor="text1"/>
          <w:spacing w:val="-4"/>
          <w:kern w:val="2"/>
          <w:sz w:val="23"/>
          <w:szCs w:val="23"/>
        </w:rPr>
        <w:t>ин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фаъолияти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тартиби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махсуси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муќарраргардидаи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маќомоти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тањќиќ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пешакї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прокуратура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суд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доир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њифзи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њуќуќ</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манфиатњои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инсон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аз</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таљовузњои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љинояткорона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ошкоркунї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тафтиши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фош</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сохтани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гунањгорон</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љавобгарии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кашидани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онњо</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баррасї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њалли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парвандањои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мебошад</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дар</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асоси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ќонунгузории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мурофиавии</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љиноятї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танзим</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ва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амалї</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карда</w:t>
      </w:r>
      <w:r w:rsidRPr="001D4D32">
        <w:rPr>
          <w:rFonts w:ascii="Times New Roman Tj" w:hAnsi="Times New Roman Tj" w:cs="Arial"/>
          <w:color w:val="000000" w:themeColor="text1"/>
          <w:spacing w:val="-4"/>
          <w:kern w:val="2"/>
          <w:sz w:val="23"/>
          <w:szCs w:val="23"/>
          <w:lang w:val="en-US"/>
        </w:rPr>
        <w:t xml:space="preserve"> </w:t>
      </w:r>
      <w:r w:rsidRPr="001D4D32">
        <w:rPr>
          <w:rFonts w:ascii="Times New Roman Tj" w:hAnsi="Times New Roman Tj" w:cs="Arial"/>
          <w:color w:val="000000" w:themeColor="text1"/>
          <w:spacing w:val="-4"/>
          <w:kern w:val="2"/>
          <w:sz w:val="23"/>
          <w:szCs w:val="23"/>
        </w:rPr>
        <w:t>мешавад</w:t>
      </w:r>
      <w:r w:rsidRPr="001D4D32">
        <w:rPr>
          <w:rFonts w:ascii="Times New Roman Tj" w:hAnsi="Times New Roman Tj" w:cs="Arial"/>
          <w:color w:val="000000" w:themeColor="text1"/>
          <w:spacing w:val="-4"/>
          <w:kern w:val="2"/>
          <w:sz w:val="23"/>
          <w:szCs w:val="23"/>
          <w:lang w:val="en-US"/>
        </w:rPr>
        <w:t>.</w:t>
      </w:r>
    </w:p>
    <w:p w:rsidR="001D4D32" w:rsidRPr="004052F8" w:rsidRDefault="001D4D32" w:rsidP="008C23AD">
      <w:pPr>
        <w:ind w:firstLine="567"/>
        <w:rPr>
          <w:rFonts w:ascii="Times New Roman Tj" w:hAnsi="Times New Roman Tj" w:cs="Arial"/>
          <w:b/>
          <w:color w:val="000000" w:themeColor="text1"/>
          <w:spacing w:val="-4"/>
          <w:kern w:val="2"/>
          <w:sz w:val="23"/>
          <w:szCs w:val="23"/>
          <w:lang w:val="en-US"/>
        </w:rPr>
      </w:pPr>
    </w:p>
    <w:p w:rsidR="00592BC2" w:rsidRPr="001D4D32" w:rsidRDefault="00592BC2" w:rsidP="00592BC2">
      <w:pPr>
        <w:ind w:firstLine="567"/>
        <w:jc w:val="center"/>
        <w:rPr>
          <w:rFonts w:ascii="Times New Roman Tj" w:hAnsi="Times New Roman Tj" w:cs="Arial"/>
          <w:b/>
          <w:color w:val="000000" w:themeColor="text1"/>
          <w:spacing w:val="-4"/>
          <w:kern w:val="2"/>
          <w:sz w:val="23"/>
          <w:szCs w:val="23"/>
        </w:rPr>
      </w:pPr>
      <w:r w:rsidRPr="001D4D32">
        <w:rPr>
          <w:rFonts w:ascii="Times New Roman Tj" w:hAnsi="Times New Roman Tj" w:cs="Arial"/>
          <w:b/>
          <w:color w:val="000000" w:themeColor="text1"/>
          <w:spacing w:val="-4"/>
          <w:kern w:val="2"/>
          <w:sz w:val="23"/>
          <w:szCs w:val="23"/>
        </w:rPr>
        <w:t>Рўйхати адабиёт:</w:t>
      </w:r>
    </w:p>
    <w:p w:rsidR="00592BC2" w:rsidRPr="00DA76A7" w:rsidRDefault="00592BC2" w:rsidP="00D45D6B">
      <w:pPr>
        <w:widowControl/>
        <w:numPr>
          <w:ilvl w:val="0"/>
          <w:numId w:val="146"/>
        </w:numPr>
        <w:tabs>
          <w:tab w:val="left" w:pos="851"/>
        </w:tabs>
        <w:autoSpaceDE/>
        <w:autoSpaceDN/>
        <w:adjustRightInd/>
        <w:ind w:left="0" w:firstLine="567"/>
        <w:jc w:val="both"/>
        <w:rPr>
          <w:rFonts w:ascii="Arial" w:hAnsi="Arial" w:cs="Arial"/>
          <w:color w:val="000000" w:themeColor="text1"/>
          <w:spacing w:val="-4"/>
          <w:kern w:val="2"/>
          <w:sz w:val="22"/>
          <w:szCs w:val="22"/>
        </w:rPr>
      </w:pPr>
      <w:r w:rsidRPr="001D4D32">
        <w:rPr>
          <w:rFonts w:ascii="Times New Roman Tj" w:hAnsi="Times New Roman Tj" w:cs="Arial"/>
          <w:color w:val="000000" w:themeColor="text1"/>
          <w:sz w:val="23"/>
          <w:szCs w:val="23"/>
        </w:rPr>
        <w:t>Искандаров З.Њ. Оид ба чанд ќоидае, ки мурофиаи љиноятиро дигар намуд! // Масъалањои рўзмарраи њуќуќи судї, фаъолияти прокурорї ва пешгирии љинояткорї дар Љумњурии Тољикистон (маводи конференсияи илмї-назариявї)</w:t>
      </w:r>
      <w:r w:rsidRPr="00DA76A7">
        <w:rPr>
          <w:rFonts w:ascii="Arial" w:hAnsi="Arial" w:cs="Arial"/>
          <w:color w:val="000000" w:themeColor="text1"/>
          <w:sz w:val="22"/>
          <w:szCs w:val="22"/>
        </w:rPr>
        <w:t>. – Душанбе, 2013. – С.</w:t>
      </w:r>
      <w:r w:rsidRPr="00DA76A7">
        <w:rPr>
          <w:rFonts w:ascii="Arial" w:hAnsi="Arial" w:cs="Arial"/>
          <w:color w:val="000000" w:themeColor="text1"/>
          <w:sz w:val="22"/>
          <w:szCs w:val="22"/>
          <w:lang w:val="en-GB"/>
        </w:rPr>
        <w:t> </w:t>
      </w:r>
      <w:r w:rsidRPr="00DA76A7">
        <w:rPr>
          <w:rFonts w:ascii="Arial" w:hAnsi="Arial" w:cs="Arial"/>
          <w:color w:val="000000" w:themeColor="text1"/>
          <w:sz w:val="22"/>
          <w:szCs w:val="22"/>
        </w:rPr>
        <w:t>22-23.</w:t>
      </w:r>
    </w:p>
    <w:p w:rsidR="00592BC2" w:rsidRPr="00DA76A7" w:rsidRDefault="00592BC2" w:rsidP="00D45D6B">
      <w:pPr>
        <w:keepLines/>
        <w:widowControl/>
        <w:numPr>
          <w:ilvl w:val="0"/>
          <w:numId w:val="146"/>
        </w:numPr>
        <w:tabs>
          <w:tab w:val="left" w:pos="851"/>
        </w:tabs>
        <w:kinsoku w:val="0"/>
        <w:overflowPunct w:val="0"/>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Строгович М.С. Курс советского уголовного процесса. В. 2 т. – М., 1968. Т. </w:t>
      </w:r>
      <w:r w:rsidRPr="00DA76A7">
        <w:rPr>
          <w:rFonts w:ascii="Arial" w:hAnsi="Arial" w:cs="Arial"/>
          <w:color w:val="000000" w:themeColor="text1"/>
          <w:sz w:val="22"/>
          <w:szCs w:val="22"/>
          <w:lang w:val="en-GB"/>
        </w:rPr>
        <w:t>I</w:t>
      </w:r>
      <w:r w:rsidRPr="00DA76A7">
        <w:rPr>
          <w:rFonts w:ascii="Arial" w:hAnsi="Arial" w:cs="Arial"/>
          <w:color w:val="000000" w:themeColor="text1"/>
          <w:sz w:val="22"/>
          <w:szCs w:val="22"/>
        </w:rPr>
        <w:t>. – 278 с.</w:t>
      </w:r>
    </w:p>
    <w:p w:rsidR="00592BC2" w:rsidRPr="00DA76A7" w:rsidRDefault="00592BC2" w:rsidP="00D45D6B">
      <w:pPr>
        <w:keepLines/>
        <w:widowControl/>
        <w:numPr>
          <w:ilvl w:val="0"/>
          <w:numId w:val="146"/>
        </w:numPr>
        <w:tabs>
          <w:tab w:val="left" w:pos="851"/>
        </w:tabs>
        <w:kinsoku w:val="0"/>
        <w:overflowPunct w:val="0"/>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Уголовный процесс: учебник / под ред. И.Л. Петрухина. – М., 2001. – 467 с.</w:t>
      </w: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ИНСТИТУТ ЭКСТРАДИЦИИ КАК ФОРМА МЕЖДУНАРОДНО-ПРАВОВОГО СОТРУДНИЧЕСТВА: СОСТОЯНИЕ И ПЕРСПЕКТИВЫ РАЗВИТИЯ</w:t>
      </w:r>
    </w:p>
    <w:p w:rsidR="00592BC2" w:rsidRPr="00DA76A7" w:rsidRDefault="00592BC2" w:rsidP="00592BC2">
      <w:pPr>
        <w:jc w:val="center"/>
        <w:rPr>
          <w:rFonts w:ascii="Arial" w:hAnsi="Arial" w:cs="Arial"/>
          <w:b/>
          <w:color w:val="000000" w:themeColor="text1"/>
          <w:sz w:val="22"/>
          <w:szCs w:val="22"/>
        </w:rPr>
      </w:pPr>
    </w:p>
    <w:p w:rsidR="00592BC2" w:rsidRPr="00DA76A7" w:rsidRDefault="00592BC2" w:rsidP="00592BC2">
      <w:pPr>
        <w:jc w:val="center"/>
        <w:rPr>
          <w:rFonts w:ascii="Arial" w:hAnsi="Arial" w:cs="Arial"/>
          <w:b/>
          <w:color w:val="000000" w:themeColor="text1"/>
          <w:sz w:val="22"/>
          <w:szCs w:val="22"/>
        </w:rPr>
      </w:pPr>
      <w:r w:rsidRPr="00DA76A7">
        <w:rPr>
          <w:rFonts w:ascii="Arial" w:hAnsi="Arial" w:cs="Arial"/>
          <w:b/>
          <w:color w:val="000000" w:themeColor="text1"/>
          <w:sz w:val="22"/>
          <w:szCs w:val="22"/>
        </w:rPr>
        <w:t>Шендель Полина Александровна</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3-го курса очного отделения факультета управления</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Академия управления при Президенте Республики Беларусь</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220007, Республика Беларусь, г. Минск, ул. Московская 17</w:t>
      </w:r>
    </w:p>
    <w:p w:rsidR="00592BC2" w:rsidRPr="00DA76A7" w:rsidRDefault="00592BC2" w:rsidP="00592BC2">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+375295158307,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apollinaria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gebl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gmail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com</w:t>
      </w:r>
    </w:p>
    <w:p w:rsidR="00592BC2" w:rsidRDefault="00592BC2" w:rsidP="00592BC2">
      <w:pPr>
        <w:jc w:val="center"/>
        <w:rPr>
          <w:rFonts w:ascii="Arial" w:hAnsi="Arial" w:cs="Arial"/>
          <w:color w:val="000000" w:themeColor="text1"/>
          <w:sz w:val="22"/>
          <w:szCs w:val="22"/>
        </w:rPr>
      </w:pPr>
    </w:p>
    <w:p w:rsidR="008C23AD" w:rsidRDefault="008C23AD" w:rsidP="00592BC2">
      <w:pPr>
        <w:jc w:val="center"/>
        <w:rPr>
          <w:rFonts w:ascii="Arial" w:hAnsi="Arial" w:cs="Arial"/>
          <w:color w:val="000000" w:themeColor="text1"/>
          <w:sz w:val="22"/>
          <w:szCs w:val="22"/>
        </w:rPr>
      </w:pPr>
    </w:p>
    <w:p w:rsidR="008C23AD" w:rsidRDefault="008C23AD" w:rsidP="00592BC2">
      <w:pPr>
        <w:jc w:val="center"/>
        <w:rPr>
          <w:rFonts w:ascii="Arial" w:hAnsi="Arial" w:cs="Arial"/>
          <w:color w:val="000000" w:themeColor="text1"/>
          <w:sz w:val="22"/>
          <w:szCs w:val="22"/>
        </w:rPr>
      </w:pPr>
    </w:p>
    <w:p w:rsidR="008C23AD" w:rsidRPr="00DA76A7" w:rsidRDefault="008C23AD" w:rsidP="00592BC2">
      <w:pPr>
        <w:jc w:val="center"/>
        <w:rPr>
          <w:rFonts w:ascii="Arial" w:hAnsi="Arial" w:cs="Arial"/>
          <w:color w:val="000000" w:themeColor="text1"/>
          <w:sz w:val="22"/>
          <w:szCs w:val="22"/>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INSTITUTE OF EXTRADITION AS A FORM OF INTERNATIONAL LEGAL COOPERATION: STATUS AND PROSPECTS OF DEVELOPMENT</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Shendel Polina Aleksandrovna</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3d year students of full-time department of the public administration faculty</w:t>
      </w:r>
    </w:p>
    <w:p w:rsidR="00592BC2" w:rsidRPr="00DA76A7" w:rsidRDefault="004D0BA8"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w:t>
      </w:r>
      <w:r w:rsidR="00592BC2" w:rsidRPr="00DA76A7">
        <w:rPr>
          <w:rFonts w:ascii="Arial" w:hAnsi="Arial" w:cs="Arial"/>
          <w:color w:val="000000" w:themeColor="text1"/>
          <w:sz w:val="22"/>
          <w:szCs w:val="22"/>
          <w:lang w:val="en-US"/>
        </w:rPr>
        <w:t>he Academy of Public Administration under the Aegis of the President of the Republic of Belarus</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220007, the Republic of Belarus, Minsk, st. Moskovskaya, 17</w:t>
      </w:r>
    </w:p>
    <w:p w:rsidR="00592BC2" w:rsidRPr="00DA76A7" w:rsidRDefault="00592BC2" w:rsidP="00592BC2">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+375295158307, e-mail: apollinaria.gebl@gmail.com</w:t>
      </w:r>
    </w:p>
    <w:p w:rsidR="00592BC2" w:rsidRPr="00DA76A7" w:rsidRDefault="00592BC2" w:rsidP="00592BC2">
      <w:pPr>
        <w:jc w:val="center"/>
        <w:rPr>
          <w:rFonts w:ascii="Arial" w:hAnsi="Arial" w:cs="Arial"/>
          <w:b/>
          <w:color w:val="000000" w:themeColor="text1"/>
          <w:sz w:val="22"/>
          <w:szCs w:val="22"/>
          <w:lang w:val="en-US"/>
        </w:rPr>
      </w:pP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связи с интенсивно развивающимися процессами глобализации и интеграции от государств требуется более глубокое и рациональное понимание сущности международной правовой помощи по уголовным делам, а именно экстрадиции (выдачи лица, совершившего преступление), а также закрепления данных положений как на внутригосударственном, так и на международном уровне. </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i/>
          <w:color w:val="000000" w:themeColor="text1"/>
          <w:sz w:val="22"/>
          <w:szCs w:val="22"/>
        </w:rPr>
        <w:t xml:space="preserve">В статье исследуется вопросы о месте и роли экстрадиции в международной уголовной юстиции; анализируются международные акты об экстрадиции. В данной статье освящаются принципы международно-правового сотрудничества, составляющие основу экстрадиции.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 xml:space="preserve">In connection with the intensively developing processes of globalization and integration, contemporary realities require states to deeper and more rational understanding of the essence of international legal assistance in criminal matters, in particular extradition (extradition of the person who committed the crime), and to consolidate these provisions both at the domestic and international level. </w:t>
      </w:r>
    </w:p>
    <w:p w:rsidR="00592BC2" w:rsidRPr="00DA76A7" w:rsidRDefault="00592BC2" w:rsidP="00592BC2">
      <w:pPr>
        <w:ind w:firstLine="567"/>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The article is devoted to the study of place and role of the institute for extradition in international criminal justice. The author analyses the international acts on extradition. The article also covers the principles of international legal cooperation, which form the basis of extradition.</w:t>
      </w:r>
    </w:p>
    <w:p w:rsidR="00592BC2" w:rsidRPr="00DA76A7" w:rsidRDefault="00592BC2" w:rsidP="00592BC2">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экстрадиция, уголовный процесс, уголовное право, соглашение, международное сотрудничество по уголовным делам.</w:t>
      </w:r>
    </w:p>
    <w:p w:rsidR="00592BC2" w:rsidRPr="00DA76A7" w:rsidRDefault="00592BC2" w:rsidP="00592BC2">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extradition, criminal procedure, criminal law, agreement, international cooperation in criminal matters.</w:t>
      </w:r>
    </w:p>
    <w:p w:rsidR="00592BC2" w:rsidRPr="00DA76A7" w:rsidRDefault="00592BC2" w:rsidP="00592BC2">
      <w:pPr>
        <w:ind w:firstLine="567"/>
        <w:jc w:val="both"/>
        <w:rPr>
          <w:rFonts w:ascii="Arial" w:hAnsi="Arial" w:cs="Arial"/>
          <w:b/>
          <w:color w:val="000000" w:themeColor="text1"/>
          <w:sz w:val="22"/>
          <w:szCs w:val="22"/>
          <w:lang w:val="en-US"/>
        </w:rPr>
      </w:pP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Одним из важнейших правовых средств, которое используется при сотрудничестве государств в сфере уголовной юстиции, является экстрадиция, которая служит гарантией обеспечения неотвратимости ответственности и наказания лиц, которые совершили преступление. Особое значение приобретает данный правовой институт в современном мире – в связи с развитием международного терроризма и иных общественно опасных деяний, которые в силу объективных причин уже не могут рассматриваться, как «личное» дело какого-либо одного государства. «С помощью такой формы международного сотрудничества, как экстрадиция, на практике достигается практически универсальная система защиты самых значимых ценностей, а также обеспечиваются гарантии того, что лица, которые виновны в совершении тех или иных тяжких преступлений, будут наказаны независимо от того, где они находятся в настоящий момент, а также того, компетентно ли государство, в котором они скрываются, привлечь их к уголовной ответственности» [4, 79].</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Отсутствие легального определения понятия экстрадиции порождает неоднозначность понимания данного термина и споры между правоведами. Однако большинство ученых придерживаются того же мнения, что и В.И. Самарин, и А.А. Данилевич, которые под экстрадицией понимают такой вид правовой помощи по уголовным делам, при котором обвиняемый либо осужденный в одном государстве передается на основании требования этому государству другим для осуществления уголовного преследования, либо исполнения приговора. Целью выдачи преступников является осуществление правосудия в отношении скрывшихся лиц и проведение в жизнь принципа неотвратимости наказания [8, 77–78].</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Говоря об экстрадиции, нужно также отметить, что право различных государств трактует институт выдачи неодинаково. В связи с этим выделяют два основных вида экстрадиции: европейский и англо-американский. Последний присущ государствам так называемого «общего права», а первый характерен для государств романо-германской правовой системы [10, 85]. Каждый из названных видов экстрадиции имеет недостатки и преимущества. Например, англо-американская система предоставляет право суду разрешать дело с учетом конкретных обстоятельств, уменьшая роль общих принципов, тем самым обеспечивая наказание каждого преступника, а вот европейская система, наоборот, иногда дает возможность преступнику уйти от ответственности, что, безусловно, является огромным пробелом. В целях превенции возникновения коллизий в международном уголовном праве необходимо разработать и закрепить единое понятие экстрадиции для всех государств, что позволит улучшить механизм реализации выдачи преступников.</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Нормативная база международного сотрудничества по выдаче лица для осуществления уголовного преследования или исполнения приговора довольно обширна, что обуславливает необходимость классификации правовых актов. Однако в науке нет единой точки зрения, касающейся данной проблемы.</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Н.Н. Мазаева предлагает следующую классификацию межгосударственных договоров, касающихся вопросов международного сотрудничества [6, 105–107]: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многосторонние международные договоры, регламентирующие различные виды международного сотрудничества в сфере уголовного судопроизводства;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международные договоры о борьбе с отдельными видами преступлений, содержащие обязательства государств-участников сотрудничать в вопросах выдачи и оказывать друг другу возможно более широкую правовую помощь в связи с указанными в них преступными деяниями;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двусторонние международные договоры, регулирующие международное сотрудничество в сфере уголовного судопроизводства одного государства с отдельными государствами, обладающие большей детальностью и наилучшим образом отражающие интересы сторон.</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 мнению Ю.В. Францифорова, в нормативную базу правового регулирования международных актов регулирующих международное сотрудничество и институт выдачи необходимо включить [9, 217–218]: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международные договоры соглашения, регламентирующие порядок деятельности правоохранительных органов с соответствующими органами и должностными лицами иностранных государств и международными организациями в сфере уголовного судопроизводства;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двусторонние международные договоры содержацие обязательства государств-участников по вопросам выдачи лица и уголовного преследования или исполнения приговора в отношении отдельных видов преступлений;</w:t>
      </w:r>
      <w:r w:rsidRPr="00DA76A7">
        <w:rPr>
          <w:rFonts w:ascii="Arial" w:hAnsi="Arial" w:cs="Arial"/>
          <w:color w:val="000000" w:themeColor="text1"/>
          <w:sz w:val="22"/>
          <w:szCs w:val="22"/>
        </w:rPr>
        <w:tab/>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межправительственные соглашения регулирующие международное сотрудничество в сфере уголовного судопроизводства с отдельными государствами;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4) межведомственные договоры и соглашения касающиеся взаммодействия судов, прокуроров, следователей и органов дознания с соответствуюциим органами мностранных государств в сфере уголовного судопромзводства;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принципы международного права, регулирующие институт выдачи лица и уголовного преследования или исполнения приговора.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касается Республики Беларусь, то Верховный Суд Республики Беларусь также проводит классификацию нормативных правовых актов в области международной правовой помощи [7]:</w:t>
      </w:r>
    </w:p>
    <w:p w:rsidR="00592BC2" w:rsidRPr="00DA76A7" w:rsidRDefault="00592BC2" w:rsidP="00592BC2">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w:t>
      </w:r>
      <w:r w:rsidRPr="00DA76A7">
        <w:rPr>
          <w:rFonts w:ascii="Arial" w:hAnsi="Arial" w:cs="Arial"/>
          <w:color w:val="000000" w:themeColor="text1"/>
          <w:sz w:val="22"/>
          <w:szCs w:val="22"/>
        </w:rPr>
        <w:tab/>
        <w:t>Региональные многосторонние договоры в рамках СНГ.</w:t>
      </w:r>
    </w:p>
    <w:p w:rsidR="00592BC2" w:rsidRPr="00DA76A7" w:rsidRDefault="00592BC2" w:rsidP="00592BC2">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w:t>
      </w:r>
      <w:r w:rsidRPr="00DA76A7">
        <w:rPr>
          <w:rFonts w:ascii="Arial" w:hAnsi="Arial" w:cs="Arial"/>
          <w:color w:val="000000" w:themeColor="text1"/>
          <w:sz w:val="22"/>
          <w:szCs w:val="22"/>
        </w:rPr>
        <w:tab/>
        <w:t>Многосторонние договоры, регулирующие вопросы сотрудничества в борьбе с преступностью и определенными видами преступлений.</w:t>
      </w:r>
    </w:p>
    <w:p w:rsidR="00592BC2" w:rsidRPr="00DA76A7" w:rsidRDefault="00592BC2" w:rsidP="00592BC2">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w:t>
      </w:r>
      <w:r w:rsidRPr="00DA76A7">
        <w:rPr>
          <w:rFonts w:ascii="Arial" w:hAnsi="Arial" w:cs="Arial"/>
          <w:color w:val="000000" w:themeColor="text1"/>
          <w:sz w:val="22"/>
          <w:szCs w:val="22"/>
        </w:rPr>
        <w:tab/>
        <w:t xml:space="preserve">Многосторонние договоры по гражданским и экономическим делам. </w:t>
      </w:r>
    </w:p>
    <w:p w:rsidR="00592BC2" w:rsidRPr="00DA76A7" w:rsidRDefault="00592BC2" w:rsidP="00592BC2">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w:t>
      </w:r>
      <w:r w:rsidRPr="00DA76A7">
        <w:rPr>
          <w:rFonts w:ascii="Arial" w:hAnsi="Arial" w:cs="Arial"/>
          <w:color w:val="000000" w:themeColor="text1"/>
          <w:sz w:val="22"/>
          <w:szCs w:val="22"/>
        </w:rPr>
        <w:tab/>
        <w:t>Двусторонние договоры.</w:t>
      </w:r>
    </w:p>
    <w:p w:rsidR="00592BC2" w:rsidRPr="00DA76A7" w:rsidRDefault="00592BC2" w:rsidP="00592BC2">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Говоря о нормативном закреплении института экстрадиции, то необходимость в международных соглашениях возникла по нескольким причинам. Во-первых, мировое сообщество столкнулось с высокими темпами роста и распространения некоторых видов международных и транснациональных преступлений. Во-вторых, существование объективной невозможности государств самостоятельно решить проблему борьбы с ними. В-третьих, под угрозой оказалась безопасность не только отдельных людей, но и всего мирового сообщества, так как преступные группировки, в частности террористические формирования, используют все более опасные средства и способы совершения преступлений. В-четвертых, существует необходимость координации действий правоохранительных и иных уполномоченных органов в борьбе с преступлениями. Таким образом, соответствующие уполномоченные органы государств мира не могут эффективно сотрудничать без надлежащей правовой базы, которой и должны были стать указанные международные соглашения [11, 234–235].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государства стали объединять свои усилия по борьбе с преступностью, заключая, прежде всего, двухсторонние договоры о выдаче преступников (Беларусь с Китаем). Международной же конвенции по вопросу выдачи преступников до настоящего момента не существует. Ввиду разнообразия правовых систем государства предпочитают заключать региональные конвенции, например, европейские государства в рамках Совета Европы приняли в 1957 г. Конвенцию о выдаче (Республика Беларусь в отличие от Российской Федерации, Украины, Молдовы и прибалтийских республик не является участницей данной конвенции) [1], в рамках Экономического сообщества западноафриканских государств в 1994 г. также была принята Конвенция о выдаче. В 1990 г. для упрощения двухстороннего переговорного процесса между государствами Генеральная Ассамблея ООН утвердила Типовой договор о выдаче [8, 39–40].</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касается Республики Беларусь, то вопросы экстрадиции урегулированы такими конвенциями, как Конвенция о правовой помощи и правовых отношениях по гражданским, семейным и уголовным делам, заключенная в г. Минске 22 января 1993 г. Вступила в силу для Республики Беларусь 19 мая 1994 г. Применяется в отношениях с Грузией, Туркменистаном, Республикой Узбекистан [2] и Конвенция о правовой помощи и правовых отношениях по гражданским, семейным и уголовным делам, заключенная в г. Кишиневе 7 октября 2002 г. Вступила в силу для Республики Беларусь 27 апреля 2004 г. Применяется в отношениях с Азербайджанской Республикой, Республикой Армения, Республикой Казахстан, Кыргызской Республикой, Республикой Таджикистан [3].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Для всех видов международной правовой помощи по уголовным делам присущи общие начала, которые заключены в принципах ее оказания. Исходя из сущности исследуемой деятельности, а также, учитывая сложившееся в доктрине мнение, принципы международной правовой помощи по уголовным делам можно условно подразделить на три группы [5, 69–72]: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универсальные принципы международного права (принцип межгосударственного сотрудничества, уважение и соблюдение прав и свобод человека, равноправие государств, уважение и соблюдение государственного суверенитета, взаимности, невмешательство во внутренние дела, добросовестное выполнение государствами своих обязательств);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общие принципы национального уголовного права и процесса (законность, обеспечение неотвратимости ответственности за совершенное противоправное деяние, обеспечение подозреваемому, обвиняемому и осужденному права на квалифицированную юридическую помощь, осуществление правосудия на основе состязательности и равенства сторон, стимулирование правопослушного поведения граждан и др.);</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3) специальные принципы (противодействие только общеуголовным преступлениям, принцип двойной наказуемости, принцип конкретности или специальности, тождественности). Для правильного понимания специфики международной правовой помощи по уголовным делам, а именно института экстрадиции, следует подробнее остановиться на последней группе принципов. </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Принцип противодействия только общеуголовным преступлениям, согласно которому общеуголовными преступлениями можно считать виновные общественно опасные деяния, которые подлежат наказанию в соответствии с уголовным законодательством большинства государств и не носят политического характера [8, 22–23].</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Общеуголовные преступления наносят вред общепризнанным защищаемым всеми государствами благам (жизнь человека, половая свобода человека, отношение собственности и т. д.) независимо от государственного строя, господствующей идеологии, религии и тому подобное. Преступления, которые тесно связаны с конкретным государством (политические, воинские, финансовые), в большинстве своем исключены из состава преступлений, в борьбе с которыми сотрудничают государства.</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Взаимодействие по уголовным делам, возбужденным по факту нарушения налогового, валютного или таможенного законодательства, как правило, невозможно в силу необходимости защиты запрашиваемым государством своих законных интересов. Однако в Европейскую конвенцию о выдаче Вторым дополнительным протоколом в 1978 г. были внесены изменения, которые допускают выдачу лица за правонарушения в связи с налогами, сборами, пошлинами и валютными операциями, если такое правонарушение совпадает по характеру в обоих государствах. При этом в выдаче не может быть отказано на том основании, что законодательство запрашиваемого государства не предусматривает таких же по характеру налогов или сборов, или не содержит таких же по характеру положений, касающихся налогов, сборов, пошлин и валютных операций, как и законодательство запрашивающего государства [8, 23–24].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Принцип двойной наказуемости. Для уголовного преследования лица необходимо наличие факта совершения им уголовно наказуемого деяния. При оказании международной правовой помощи по уголовным делам совершенное лицом деяние должно быть предусмотрено в уголовных законах обоих взаимодействующих государств. В запрашивающем государстве уголовная наказуемость есть основание уголовного преследования лица, а в запрашиваемом – основание признания опасности деяния для охраняемых общественных отношений и необходимости взаимодействия с органами другого государства, ведущими уголовный процесс. Данный принцип позволяет также исключить запросы по преступлениям, не представляющим большой общественной опасности. При этом двойная наказуемость не означает полного совпадения законодательных предписаний обоих государств в отношении преступления. Необходимо, чтобы уголовные законы данных государств защищали аналогичные общественные отношения от подобных деяний и не имели различия в субъекте и форме вины [8, 24].</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Принцип специальности. Лицо выдается конкретному государству для привлечения к ответственности или исполнения приговора в связи с конкретным преступлением, после чего оно вправе свободно покинуть территорию государства, которому оно было выдано.</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Принцип тождественности, в соответствии с которым деяния, в связи с которыми производится выдача, являются преступлениями по законодательству обоих государств [8, 24–25].</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положения о выдаче преступников могут содержаться и в договорах о взаимной правовой помощи по уголовным делам. Следует признать недостаточным количество подобных двухсторонних договоров, действующих в отношении Беларуси (они заключены с Вьетнамом, Латвией, Литвой, Польшей, в порядке правопреемства действуют договоры СССР с Венгрией, Республикой Кубой, Чешской Республикой, Словацкой Республикой, Республикой Кипр, Итальянской Республикой). Республика Беларусь также участвует в одной региональной конвенции – Конвенции СНГ 2002 г. о правовой помощи и правовых отношениях по гражданским, семейным и уголовным делам. Нормы о выдаче включаются в конвенции по борьбе с конкретными видами преступлений (например, ст. 16 Конвенции Организации Объединенных Наций против транснациональной организованной преступности).</w:t>
      </w:r>
    </w:p>
    <w:p w:rsidR="00592BC2" w:rsidRPr="00DA76A7" w:rsidRDefault="00592BC2" w:rsidP="00592BC2">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отсутствие единого закрепленного международного акта о выдаче преступников, к сожалению, является благоприятным фактором того, что экстрадиция служит механизмом политической борьбы между странами, находящимися в недружественных отношениях, что позволяет многим преступникам, заранее обладая такими сведениями, скрываться в этих странах, избегая наказания за совершенное преступление.</w:t>
      </w:r>
    </w:p>
    <w:p w:rsidR="00592BC2" w:rsidRDefault="00592BC2" w:rsidP="00592BC2">
      <w:pPr>
        <w:ind w:firstLine="567"/>
        <w:jc w:val="both"/>
        <w:rPr>
          <w:rFonts w:ascii="Arial" w:hAnsi="Arial" w:cs="Arial"/>
          <w:color w:val="000000" w:themeColor="text1"/>
          <w:sz w:val="22"/>
          <w:szCs w:val="22"/>
        </w:rPr>
      </w:pPr>
    </w:p>
    <w:p w:rsidR="008C23AD" w:rsidRPr="00DA76A7" w:rsidRDefault="008C23AD" w:rsidP="00592BC2">
      <w:pPr>
        <w:ind w:firstLine="567"/>
        <w:jc w:val="both"/>
        <w:rPr>
          <w:rFonts w:ascii="Arial" w:hAnsi="Arial" w:cs="Arial"/>
          <w:color w:val="000000" w:themeColor="text1"/>
          <w:sz w:val="22"/>
          <w:szCs w:val="22"/>
        </w:rPr>
      </w:pPr>
    </w:p>
    <w:p w:rsidR="00592BC2" w:rsidRPr="00DA76A7" w:rsidRDefault="00592BC2" w:rsidP="00592BC2">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Европейская Конвенция о выдаче [Электронный ресурс] : [заключена в г. Париже 13.12.1957 г.] // КонсультантПлюс. Россия / ЗАО «КонсультантПлюс». – М., 2018.</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Конвенция о правовой помощи и правовых отношениях по гражданским, семейным и уголовным делам [Электронный ресурс] : [заключена в г. Минске 22.01.1993 г.] // КонсультантПлюс. Беларусь / ООО «ЮрСпектр», Нац. центр правовой информ. Респ. Беларусь. – Минск, 2018. </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Конвенция о правовой помощи и правовых отношениях по гражданским, семейным и уголовным делам [Электронный ресурс] : [заключена в г. Кишиневе 7.10.2002 г.] // КонсультантПлюс. Беларусь / ООО «ЮрСпектр», Нац. центр правовой информ. Респ. Беларусь. – Минск, 2018.</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Велчев Б. Политические преступления в международном уголовном праве // Международная жизнь. – 1999. – № 5. – С. 79–80.</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Волженкина,В. М. Нормы международного права в российском уголовном процессе. – СПб. : Юридич. центр Пресс, 2001. – 359 с.</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Мазаева Н. Н. Международное сотрудничество в сфере уголовного судопроизводства Российской Федерации в стадии предварительного расследования : дис. ... канд. юрид. наук. – М., 2004. – 224 c. </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Международная правовая помощь [Электронный ресурс] // Верховный Суд Республики Беларусь. Официальный портал системы судов общей юрисдикции. – Режим доступа: http://court.gov.by/justice_RB/int_help/ (дата обращения: 15.03.2018)</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Самарин В. И. Международная помощь по уголовным делам: уголовно-процессуальный аспект. – Минск : БГУ, 2009. – 127 с.</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Францифоров, Ю. В. Нормативная база международного сотрудничества по выдаче лица для осуществления уголовного преследования или исполнения приговора // Пробелы в российском законодательстве. – 2014. – № 2. – С. 217–218.</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Хурсевич А. В. Экстрадиция как инструмент международного уголовного права // Вестник БДУ. – 2015. – № 2. – C. 84–88.</w:t>
      </w:r>
    </w:p>
    <w:p w:rsidR="00592BC2" w:rsidRPr="00DA76A7" w:rsidRDefault="00592BC2" w:rsidP="00D45D6B">
      <w:pPr>
        <w:pStyle w:val="a6"/>
        <w:numPr>
          <w:ilvl w:val="0"/>
          <w:numId w:val="140"/>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Щербакова А. В. Некоторые проблемные вопросы института выдачи лиц, совершивших преступление (экстрадиции) и пути решения // Инновационные технологии в науке и образовании: сборник статей VI Международной научно-практической конференции, г. Пенза, 5 ноября 2017 г. – С. 233–236. </w:t>
      </w: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E9771B" w:rsidRPr="00DA76A7" w:rsidRDefault="00E9771B" w:rsidP="007A79EB">
      <w:pPr>
        <w:pStyle w:val="a4"/>
        <w:ind w:hanging="426"/>
        <w:jc w:val="center"/>
        <w:rPr>
          <w:rFonts w:ascii="Arial" w:hAnsi="Arial" w:cs="Arial"/>
          <w:b/>
          <w:color w:val="000000" w:themeColor="text1"/>
          <w:sz w:val="22"/>
          <w:szCs w:val="22"/>
        </w:rPr>
      </w:pPr>
    </w:p>
    <w:p w:rsidR="00592BC2" w:rsidRPr="00DA76A7" w:rsidRDefault="00592BC2" w:rsidP="007A79EB">
      <w:pPr>
        <w:pStyle w:val="a4"/>
        <w:ind w:hanging="426"/>
        <w:jc w:val="center"/>
        <w:rPr>
          <w:rFonts w:ascii="Arial" w:hAnsi="Arial" w:cs="Arial"/>
          <w:b/>
          <w:color w:val="000000" w:themeColor="text1"/>
          <w:sz w:val="68"/>
          <w:szCs w:val="68"/>
        </w:rPr>
      </w:pPr>
    </w:p>
    <w:p w:rsidR="00D32A04" w:rsidRPr="00DA76A7" w:rsidRDefault="00D32A04" w:rsidP="007A79EB">
      <w:pPr>
        <w:pStyle w:val="a4"/>
        <w:ind w:hanging="426"/>
        <w:jc w:val="center"/>
        <w:rPr>
          <w:rFonts w:ascii="Arial" w:hAnsi="Arial" w:cs="Arial"/>
          <w:b/>
          <w:color w:val="000000" w:themeColor="text1"/>
          <w:sz w:val="68"/>
          <w:szCs w:val="68"/>
        </w:rPr>
      </w:pPr>
    </w:p>
    <w:p w:rsidR="00D32A04" w:rsidRPr="00DA76A7" w:rsidRDefault="00D32A04" w:rsidP="007A79EB">
      <w:pPr>
        <w:pStyle w:val="a4"/>
        <w:ind w:hanging="426"/>
        <w:jc w:val="center"/>
        <w:rPr>
          <w:rFonts w:ascii="Arial" w:hAnsi="Arial" w:cs="Arial"/>
          <w:b/>
          <w:color w:val="000000" w:themeColor="text1"/>
          <w:sz w:val="68"/>
          <w:szCs w:val="68"/>
        </w:rPr>
      </w:pPr>
    </w:p>
    <w:p w:rsidR="00D32A04" w:rsidRPr="00DA76A7" w:rsidRDefault="00D32A04" w:rsidP="007A79EB">
      <w:pPr>
        <w:pStyle w:val="a4"/>
        <w:ind w:hanging="426"/>
        <w:jc w:val="center"/>
        <w:rPr>
          <w:rFonts w:ascii="Arial" w:hAnsi="Arial" w:cs="Arial"/>
          <w:b/>
          <w:color w:val="000000" w:themeColor="text1"/>
          <w:sz w:val="68"/>
          <w:szCs w:val="68"/>
        </w:rPr>
      </w:pPr>
    </w:p>
    <w:p w:rsidR="00D32A04" w:rsidRPr="00DA76A7" w:rsidRDefault="00D32A04" w:rsidP="007A79EB">
      <w:pPr>
        <w:pStyle w:val="a4"/>
        <w:ind w:hanging="426"/>
        <w:jc w:val="center"/>
        <w:rPr>
          <w:rFonts w:ascii="Arial" w:hAnsi="Arial" w:cs="Arial"/>
          <w:b/>
          <w:color w:val="000000" w:themeColor="text1"/>
          <w:sz w:val="68"/>
          <w:szCs w:val="68"/>
        </w:rPr>
      </w:pPr>
    </w:p>
    <w:p w:rsidR="00592BC2" w:rsidRPr="00DA76A7" w:rsidRDefault="00592BC2" w:rsidP="007A79EB">
      <w:pPr>
        <w:pStyle w:val="a4"/>
        <w:ind w:hanging="426"/>
        <w:jc w:val="center"/>
        <w:rPr>
          <w:rFonts w:ascii="Arial" w:hAnsi="Arial" w:cs="Arial"/>
          <w:b/>
          <w:color w:val="000000" w:themeColor="text1"/>
          <w:sz w:val="68"/>
          <w:szCs w:val="68"/>
        </w:rPr>
      </w:pPr>
    </w:p>
    <w:p w:rsidR="008C23AD" w:rsidRDefault="008C23AD" w:rsidP="007A79EB">
      <w:pPr>
        <w:pStyle w:val="a4"/>
        <w:ind w:hanging="426"/>
        <w:jc w:val="center"/>
        <w:rPr>
          <w:rFonts w:ascii="Arial" w:hAnsi="Arial" w:cs="Arial"/>
          <w:b/>
          <w:color w:val="000000" w:themeColor="text1"/>
          <w:sz w:val="68"/>
          <w:szCs w:val="68"/>
        </w:rPr>
      </w:pPr>
    </w:p>
    <w:p w:rsidR="008C23AD" w:rsidRDefault="008C23AD" w:rsidP="007A79EB">
      <w:pPr>
        <w:pStyle w:val="a4"/>
        <w:ind w:hanging="426"/>
        <w:jc w:val="center"/>
        <w:rPr>
          <w:rFonts w:ascii="Arial" w:hAnsi="Arial" w:cs="Arial"/>
          <w:b/>
          <w:color w:val="000000" w:themeColor="text1"/>
          <w:sz w:val="68"/>
          <w:szCs w:val="68"/>
        </w:rPr>
      </w:pPr>
    </w:p>
    <w:p w:rsidR="008C23AD" w:rsidRDefault="008C23AD" w:rsidP="007A79EB">
      <w:pPr>
        <w:pStyle w:val="a4"/>
        <w:ind w:hanging="426"/>
        <w:jc w:val="center"/>
        <w:rPr>
          <w:rFonts w:ascii="Arial" w:hAnsi="Arial" w:cs="Arial"/>
          <w:b/>
          <w:color w:val="000000" w:themeColor="text1"/>
          <w:sz w:val="68"/>
          <w:szCs w:val="68"/>
        </w:rPr>
      </w:pPr>
    </w:p>
    <w:p w:rsidR="008C23AD" w:rsidRDefault="008C23AD" w:rsidP="007A79EB">
      <w:pPr>
        <w:pStyle w:val="a4"/>
        <w:ind w:hanging="426"/>
        <w:jc w:val="center"/>
        <w:rPr>
          <w:rFonts w:ascii="Arial" w:hAnsi="Arial" w:cs="Arial"/>
          <w:b/>
          <w:color w:val="000000" w:themeColor="text1"/>
          <w:sz w:val="68"/>
          <w:szCs w:val="68"/>
        </w:rPr>
      </w:pPr>
    </w:p>
    <w:p w:rsidR="008C23AD" w:rsidRDefault="008C23AD" w:rsidP="007A79EB">
      <w:pPr>
        <w:pStyle w:val="a4"/>
        <w:ind w:hanging="426"/>
        <w:jc w:val="center"/>
        <w:rPr>
          <w:rFonts w:ascii="Arial" w:hAnsi="Arial" w:cs="Arial"/>
          <w:b/>
          <w:color w:val="000000" w:themeColor="text1"/>
          <w:sz w:val="68"/>
          <w:szCs w:val="68"/>
        </w:rPr>
      </w:pPr>
    </w:p>
    <w:p w:rsidR="008C23AD" w:rsidRDefault="008C23AD" w:rsidP="007A79EB">
      <w:pPr>
        <w:pStyle w:val="a4"/>
        <w:ind w:hanging="426"/>
        <w:jc w:val="center"/>
        <w:rPr>
          <w:rFonts w:ascii="Arial" w:hAnsi="Arial" w:cs="Arial"/>
          <w:b/>
          <w:color w:val="000000" w:themeColor="text1"/>
          <w:sz w:val="68"/>
          <w:szCs w:val="68"/>
        </w:rPr>
      </w:pPr>
    </w:p>
    <w:p w:rsidR="007A79EB" w:rsidRPr="00DA76A7" w:rsidRDefault="007A79EB" w:rsidP="007A79EB">
      <w:pPr>
        <w:pStyle w:val="a4"/>
        <w:ind w:hanging="426"/>
        <w:jc w:val="center"/>
        <w:rPr>
          <w:rFonts w:ascii="Arial" w:hAnsi="Arial" w:cs="Arial"/>
          <w:b/>
          <w:color w:val="000000" w:themeColor="text1"/>
          <w:sz w:val="68"/>
          <w:szCs w:val="68"/>
        </w:rPr>
      </w:pPr>
      <w:r w:rsidRPr="00DA76A7">
        <w:rPr>
          <w:rFonts w:ascii="Arial" w:hAnsi="Arial" w:cs="Arial"/>
          <w:b/>
          <w:color w:val="000000" w:themeColor="text1"/>
          <w:sz w:val="68"/>
          <w:szCs w:val="68"/>
        </w:rPr>
        <w:t>СЕКЦИЯ АКТУАЛЬНЫЕ ПРОБЛЕМЫ КОНСТИТУЦИОННОГО ПРАВА</w:t>
      </w:r>
    </w:p>
    <w:p w:rsidR="007A79EB" w:rsidRPr="00DA76A7" w:rsidRDefault="007A79EB" w:rsidP="0082759F">
      <w:pPr>
        <w:ind w:firstLine="567"/>
        <w:jc w:val="center"/>
        <w:rPr>
          <w:rFonts w:ascii="Arial" w:hAnsi="Arial" w:cs="Arial"/>
          <w:b/>
          <w:color w:val="000000" w:themeColor="text1"/>
          <w:sz w:val="68"/>
          <w:szCs w:val="68"/>
        </w:rPr>
      </w:pPr>
    </w:p>
    <w:p w:rsidR="007A79EB" w:rsidRPr="00DA76A7" w:rsidRDefault="007A79EB" w:rsidP="0082759F">
      <w:pPr>
        <w:ind w:firstLine="567"/>
        <w:jc w:val="center"/>
        <w:rPr>
          <w:rFonts w:ascii="Arial" w:hAnsi="Arial" w:cs="Arial"/>
          <w:b/>
          <w:color w:val="000000" w:themeColor="text1"/>
          <w:sz w:val="68"/>
          <w:szCs w:val="68"/>
        </w:rPr>
      </w:pPr>
    </w:p>
    <w:p w:rsidR="007A79EB" w:rsidRPr="00DA76A7" w:rsidRDefault="007A79EB" w:rsidP="0082759F">
      <w:pPr>
        <w:ind w:firstLine="567"/>
        <w:jc w:val="center"/>
        <w:rPr>
          <w:rFonts w:ascii="Arial" w:hAnsi="Arial" w:cs="Arial"/>
          <w:b/>
          <w:color w:val="000000" w:themeColor="text1"/>
          <w:sz w:val="68"/>
          <w:szCs w:val="68"/>
        </w:rPr>
      </w:pPr>
    </w:p>
    <w:p w:rsidR="007A79EB" w:rsidRPr="00DA76A7" w:rsidRDefault="007A79EB" w:rsidP="0082759F">
      <w:pPr>
        <w:ind w:firstLine="567"/>
        <w:jc w:val="center"/>
        <w:rPr>
          <w:rFonts w:ascii="Arial" w:hAnsi="Arial" w:cs="Arial"/>
          <w:b/>
          <w:color w:val="000000" w:themeColor="text1"/>
          <w:sz w:val="68"/>
          <w:szCs w:val="68"/>
        </w:rPr>
      </w:pPr>
    </w:p>
    <w:p w:rsidR="007A79EB" w:rsidRDefault="007A79EB" w:rsidP="0082759F">
      <w:pPr>
        <w:ind w:firstLine="567"/>
        <w:jc w:val="center"/>
        <w:rPr>
          <w:rFonts w:ascii="Arial" w:hAnsi="Arial" w:cs="Arial"/>
          <w:b/>
          <w:color w:val="000000" w:themeColor="text1"/>
          <w:sz w:val="68"/>
          <w:szCs w:val="68"/>
        </w:rPr>
      </w:pPr>
    </w:p>
    <w:p w:rsidR="008C23AD" w:rsidRDefault="008C23AD" w:rsidP="0082759F">
      <w:pPr>
        <w:ind w:firstLine="567"/>
        <w:jc w:val="center"/>
        <w:rPr>
          <w:rFonts w:ascii="Arial" w:hAnsi="Arial" w:cs="Arial"/>
          <w:b/>
          <w:color w:val="000000" w:themeColor="text1"/>
          <w:sz w:val="68"/>
          <w:szCs w:val="68"/>
        </w:rPr>
      </w:pPr>
    </w:p>
    <w:p w:rsidR="008C23AD" w:rsidRPr="00DA76A7" w:rsidRDefault="008C23AD" w:rsidP="0082759F">
      <w:pPr>
        <w:ind w:firstLine="567"/>
        <w:jc w:val="center"/>
        <w:rPr>
          <w:rFonts w:ascii="Arial" w:hAnsi="Arial" w:cs="Arial"/>
          <w:b/>
          <w:color w:val="000000" w:themeColor="text1"/>
          <w:sz w:val="68"/>
          <w:szCs w:val="68"/>
        </w:rPr>
      </w:pPr>
    </w:p>
    <w:p w:rsidR="00D32A04" w:rsidRPr="00DA76A7" w:rsidRDefault="00D32A04" w:rsidP="0082759F">
      <w:pPr>
        <w:ind w:firstLine="567"/>
        <w:jc w:val="center"/>
        <w:rPr>
          <w:rFonts w:ascii="Arial" w:hAnsi="Arial" w:cs="Arial"/>
          <w:b/>
          <w:color w:val="000000" w:themeColor="text1"/>
          <w:sz w:val="68"/>
          <w:szCs w:val="68"/>
        </w:rPr>
      </w:pPr>
    </w:p>
    <w:p w:rsidR="005B31C6" w:rsidRPr="00DA76A7" w:rsidRDefault="005B31C6" w:rsidP="00577A7D">
      <w:pPr>
        <w:jc w:val="center"/>
        <w:outlineLvl w:val="1"/>
        <w:rPr>
          <w:rFonts w:ascii="Arial" w:hAnsi="Arial" w:cs="Arial"/>
          <w:b/>
          <w:bCs/>
          <w:color w:val="000000" w:themeColor="text1"/>
          <w:sz w:val="22"/>
          <w:szCs w:val="22"/>
        </w:rPr>
      </w:pPr>
      <w:r w:rsidRPr="00DA76A7">
        <w:rPr>
          <w:rFonts w:ascii="Arial" w:hAnsi="Arial" w:cs="Arial"/>
          <w:b/>
          <w:bCs/>
          <w:color w:val="000000" w:themeColor="text1"/>
          <w:sz w:val="22"/>
          <w:szCs w:val="22"/>
        </w:rPr>
        <w:t>ОБЩИЕ ОСНОВЫ И ПРИНЦИПЫ ЗАКОНОДАТЕЛЬСТВА О ПРАВАХ, СВОБОД ЧЕЛОВЕКА И ГРАЖДАНИНА</w:t>
      </w: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 </w:t>
      </w: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Абдуллоев Фаридун Сухробович</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тел.: 987-16-62-63,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40" w:history="1">
        <w:r w:rsidRPr="00DA76A7">
          <w:rPr>
            <w:rStyle w:val="af0"/>
            <w:rFonts w:ascii="Arial" w:hAnsi="Arial" w:cs="Arial"/>
            <w:color w:val="000000" w:themeColor="text1"/>
            <w:sz w:val="22"/>
            <w:szCs w:val="22"/>
            <w:u w:val="none"/>
            <w:lang w:val="en-US"/>
          </w:rPr>
          <w:t>abdulloev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f</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B31C6" w:rsidRPr="00DA76A7" w:rsidRDefault="005B31C6" w:rsidP="005B31C6">
      <w:pPr>
        <w:jc w:val="center"/>
        <w:outlineLvl w:val="1"/>
        <w:rPr>
          <w:rFonts w:ascii="Arial" w:hAnsi="Arial" w:cs="Arial"/>
          <w:b/>
          <w:color w:val="000000" w:themeColor="text1"/>
          <w:sz w:val="22"/>
          <w:szCs w:val="22"/>
        </w:rPr>
      </w:pPr>
    </w:p>
    <w:p w:rsidR="005B31C6" w:rsidRPr="00DA76A7" w:rsidRDefault="005B31C6" w:rsidP="005B31C6">
      <w:pPr>
        <w:jc w:val="center"/>
        <w:outlineLvl w:val="1"/>
        <w:rPr>
          <w:rFonts w:ascii="Arial" w:hAnsi="Arial" w:cs="Arial"/>
          <w:b/>
          <w:bCs/>
          <w:color w:val="000000" w:themeColor="text1"/>
          <w:sz w:val="22"/>
          <w:szCs w:val="22"/>
          <w:lang w:val="en-US"/>
        </w:rPr>
      </w:pPr>
      <w:r w:rsidRPr="00DA76A7">
        <w:rPr>
          <w:rFonts w:ascii="Arial" w:hAnsi="Arial" w:cs="Arial"/>
          <w:b/>
          <w:color w:val="000000" w:themeColor="text1"/>
          <w:sz w:val="22"/>
          <w:szCs w:val="22"/>
          <w:lang w:val="en-US"/>
        </w:rPr>
        <w:t>GENERAL BASES AND PRINCIPLES OF LEGISLATION ON THE RIGHTS, FREEDOMS OF THE PEOPLE AND THE CITIZEN</w:t>
      </w:r>
    </w:p>
    <w:p w:rsidR="005B31C6" w:rsidRPr="00DA76A7" w:rsidRDefault="005B31C6" w:rsidP="005B31C6">
      <w:pPr>
        <w:jc w:val="center"/>
        <w:outlineLvl w:val="1"/>
        <w:rPr>
          <w:rFonts w:ascii="Arial" w:hAnsi="Arial" w:cs="Arial"/>
          <w:b/>
          <w:bCs/>
          <w:color w:val="000000" w:themeColor="text1"/>
          <w:sz w:val="22"/>
          <w:szCs w:val="22"/>
          <w:lang w:val="en-US"/>
        </w:rPr>
      </w:pPr>
    </w:p>
    <w:p w:rsidR="005B31C6" w:rsidRPr="00DA76A7" w:rsidRDefault="005B31C6" w:rsidP="005B31C6">
      <w:pPr>
        <w:tabs>
          <w:tab w:val="left" w:pos="426"/>
        </w:tabs>
        <w:jc w:val="center"/>
        <w:outlineLvl w:val="1"/>
        <w:rPr>
          <w:rFonts w:ascii="Arial" w:hAnsi="Arial" w:cs="Arial"/>
          <w:bCs/>
          <w:color w:val="000000" w:themeColor="text1"/>
          <w:sz w:val="22"/>
          <w:szCs w:val="22"/>
          <w:lang w:val="en-US"/>
        </w:rPr>
      </w:pPr>
      <w:r w:rsidRPr="00DA76A7">
        <w:rPr>
          <w:rFonts w:ascii="Arial" w:hAnsi="Arial" w:cs="Arial"/>
          <w:b/>
          <w:bCs/>
          <w:color w:val="000000" w:themeColor="text1"/>
          <w:sz w:val="22"/>
          <w:szCs w:val="22"/>
          <w:lang w:val="en-US"/>
        </w:rPr>
        <w:t>Abdulloev Faridun Sukhrobovich</w:t>
      </w:r>
      <w:r w:rsidRPr="00DA76A7">
        <w:rPr>
          <w:rFonts w:ascii="Arial" w:hAnsi="Arial" w:cs="Arial"/>
          <w:bCs/>
          <w:color w:val="000000" w:themeColor="text1"/>
          <w:sz w:val="22"/>
          <w:szCs w:val="22"/>
          <w:lang w:val="en-US"/>
        </w:rPr>
        <w:br/>
      </w:r>
      <w:r w:rsidRPr="00DA76A7">
        <w:rPr>
          <w:rFonts w:ascii="Arial" w:hAnsi="Arial" w:cs="Arial"/>
          <w:color w:val="000000" w:themeColor="text1"/>
          <w:sz w:val="22"/>
          <w:szCs w:val="22"/>
          <w:lang w:val="en-US"/>
        </w:rPr>
        <w:t>graduate student of the second year of correspondence department of the law faculty</w:t>
      </w:r>
    </w:p>
    <w:p w:rsidR="005B31C6" w:rsidRPr="00DA76A7" w:rsidRDefault="005B31C6" w:rsidP="005B31C6">
      <w:pPr>
        <w:jc w:val="center"/>
        <w:outlineLvl w:val="1"/>
        <w:rPr>
          <w:rFonts w:ascii="Arial" w:hAnsi="Arial" w:cs="Arial"/>
          <w:b/>
          <w:bCs/>
          <w:color w:val="000000" w:themeColor="text1"/>
          <w:sz w:val="22"/>
          <w:szCs w:val="22"/>
          <w:lang w:val="en-US"/>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street. M. Tursunzade, 30</w:t>
      </w:r>
      <w:r w:rsidRPr="00DA76A7">
        <w:rPr>
          <w:rFonts w:ascii="Arial" w:hAnsi="Arial" w:cs="Arial"/>
          <w:bCs/>
          <w:color w:val="000000" w:themeColor="text1"/>
          <w:sz w:val="22"/>
          <w:szCs w:val="22"/>
          <w:lang w:val="en-US"/>
        </w:rPr>
        <w:br/>
        <w:t xml:space="preserve">tel.: 987-16-62-63,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341" w:history="1">
        <w:r w:rsidRPr="00DA76A7">
          <w:rPr>
            <w:rStyle w:val="af0"/>
            <w:rFonts w:ascii="Arial" w:hAnsi="Arial" w:cs="Arial"/>
            <w:color w:val="000000" w:themeColor="text1"/>
            <w:sz w:val="22"/>
            <w:szCs w:val="22"/>
            <w:u w:val="none"/>
            <w:lang w:val="en-US"/>
          </w:rPr>
          <w:t>abdulloev.f@mail.ru</w:t>
        </w:r>
      </w:hyperlink>
    </w:p>
    <w:p w:rsidR="005B31C6" w:rsidRPr="00DA76A7" w:rsidRDefault="005B31C6" w:rsidP="005B31C6">
      <w:pPr>
        <w:ind w:firstLine="567"/>
        <w:outlineLvl w:val="1"/>
        <w:rPr>
          <w:rFonts w:ascii="Arial" w:hAnsi="Arial" w:cs="Arial"/>
          <w:b/>
          <w:bCs/>
          <w:color w:val="000000" w:themeColor="text1"/>
          <w:sz w:val="22"/>
          <w:szCs w:val="22"/>
          <w:lang w:val="en-US"/>
        </w:rPr>
      </w:pPr>
    </w:p>
    <w:p w:rsidR="005B31C6" w:rsidRPr="00DA76A7" w:rsidRDefault="005B31C6" w:rsidP="005B31C6">
      <w:pPr>
        <w:ind w:firstLine="567"/>
        <w:jc w:val="right"/>
        <w:outlineLvl w:val="1"/>
        <w:rPr>
          <w:rFonts w:ascii="Arial" w:hAnsi="Arial" w:cs="Arial"/>
          <w:bCs/>
          <w:color w:val="000000" w:themeColor="text1"/>
          <w:sz w:val="22"/>
          <w:szCs w:val="22"/>
          <w:lang w:val="en-US"/>
        </w:rPr>
      </w:pPr>
      <w:r w:rsidRPr="00DA76A7">
        <w:rPr>
          <w:rFonts w:ascii="Arial" w:hAnsi="Arial" w:cs="Arial"/>
          <w:color w:val="000000" w:themeColor="text1"/>
          <w:sz w:val="22"/>
          <w:szCs w:val="22"/>
        </w:rPr>
        <w:t>Научный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руководитель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ю</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профессор</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Диноршох</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 xml:space="preserve">. </w:t>
      </w:r>
    </w:p>
    <w:p w:rsidR="005B31C6" w:rsidRPr="00DA76A7" w:rsidRDefault="005B31C6" w:rsidP="005B31C6">
      <w:pPr>
        <w:ind w:firstLine="567"/>
        <w:jc w:val="right"/>
        <w:outlineLvl w:val="1"/>
        <w:rPr>
          <w:rFonts w:ascii="Arial" w:hAnsi="Arial" w:cs="Arial"/>
          <w:b/>
          <w:bCs/>
          <w:color w:val="000000" w:themeColor="text1"/>
          <w:sz w:val="22"/>
          <w:szCs w:val="22"/>
          <w:lang w:val="en-US"/>
        </w:rPr>
      </w:pPr>
    </w:p>
    <w:p w:rsidR="005B31C6" w:rsidRPr="00DA76A7" w:rsidRDefault="005B31C6" w:rsidP="005B31C6">
      <w:pPr>
        <w:ind w:firstLine="567"/>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bCs/>
          <w:i/>
          <w:color w:val="000000" w:themeColor="text1"/>
          <w:sz w:val="22"/>
          <w:szCs w:val="22"/>
        </w:rPr>
        <w:t xml:space="preserve">В данной статье рассматриваются общие основы и принципы законодательства о правах, свободах человека и гражданина, раскрываются основные принципы законодательства о правах, свободах человека и гражданина. </w:t>
      </w:r>
    </w:p>
    <w:p w:rsidR="005B31C6" w:rsidRPr="00DA76A7" w:rsidRDefault="005B31C6" w:rsidP="005B31C6">
      <w:pPr>
        <w:ind w:firstLine="567"/>
        <w:jc w:val="both"/>
        <w:outlineLvl w:val="1"/>
        <w:rPr>
          <w:rFonts w:ascii="Arial" w:hAnsi="Arial" w:cs="Arial"/>
          <w:b/>
          <w:bCs/>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examines the general principles and principles of legislation on the rights, freedoms of man and citizen, reveals the basic principles of legislation on the rights, freedoms of man and citizen.</w:t>
      </w:r>
      <w:r w:rsidRPr="00DA76A7">
        <w:rPr>
          <w:rFonts w:ascii="Arial" w:hAnsi="Arial" w:cs="Arial"/>
          <w:b/>
          <w:i/>
          <w:color w:val="000000" w:themeColor="text1"/>
          <w:sz w:val="22"/>
          <w:szCs w:val="22"/>
          <w:lang w:val="en-US"/>
        </w:rPr>
        <w:t xml:space="preserve">   </w:t>
      </w:r>
    </w:p>
    <w:p w:rsidR="005B31C6" w:rsidRPr="00DA76A7" w:rsidRDefault="005B31C6" w:rsidP="005B31C6">
      <w:pPr>
        <w:ind w:firstLine="567"/>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Ключевые слова: </w:t>
      </w:r>
      <w:r w:rsidRPr="00DA76A7">
        <w:rPr>
          <w:rFonts w:ascii="Arial" w:hAnsi="Arial" w:cs="Arial"/>
          <w:bCs/>
          <w:i/>
          <w:color w:val="000000" w:themeColor="text1"/>
          <w:sz w:val="22"/>
          <w:szCs w:val="22"/>
        </w:rPr>
        <w:t>права, свободы, конституция, управленческий аппарат, президент, демократия.</w:t>
      </w:r>
    </w:p>
    <w:p w:rsidR="005B31C6" w:rsidRPr="00DA76A7" w:rsidRDefault="005B31C6" w:rsidP="005B31C6">
      <w:pPr>
        <w:ind w:firstLine="567"/>
        <w:jc w:val="both"/>
        <w:outlineLvl w:val="1"/>
        <w:rPr>
          <w:rFonts w:ascii="Arial" w:hAnsi="Arial" w:cs="Arial"/>
          <w:b/>
          <w:bCs/>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rights, freedoms, constitution, administrative apparatus, president, democracy.</w:t>
      </w:r>
    </w:p>
    <w:p w:rsidR="005B31C6" w:rsidRPr="00DA76A7" w:rsidRDefault="005B31C6" w:rsidP="005B31C6">
      <w:pPr>
        <w:ind w:firstLine="567"/>
        <w:jc w:val="center"/>
        <w:outlineLvl w:val="1"/>
        <w:rPr>
          <w:rFonts w:ascii="Arial" w:hAnsi="Arial" w:cs="Arial"/>
          <w:bCs/>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Прежде чем рассмотреть основные принципы законодательства о правах, свободах человека и гражданина следует рассмотреть общие основы и принципы законодательства о правах, свободах человека и гражданина. Вместе с тем вопросы прав, свобод человека и гражданина получили в Основном законе рассматриваемого государства, особенно обширную, глубокую и новаторскую разработку, что имело исключительно главное значение, если учесть их продолжительное историческое авторитарное и тоталитарное прошлое. Между тем на современном этапе Основной закон рассматриваемого государства может служить примером действительно демократического, а также гуманистического решения наиболее главных проблем конституционного права на уровне международных стандартов.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ст. 2 Основного закона рассматриваемого государства при определении основ конституционного строя Российской Федерации формулирует основополагающее, положение о том, что человек, его права и свободы являются главной ценностью, а признание, соблюдение и защита этих прав и свобод непосредственно являются обязанностью рассматриваемого государства. Между тем в конституционном законодательстве рассматриваемого государства впервые наиболее четко выражена его прямая ориентация на общепризнанные принципы и нормы международного права в области прав и свобод человека и признание естественного, прирожденного характера основных прав и свобод человека, к числу которых относятся права на жизнь, свободу, достоинство и личную неприкосновенность, на частную собственность, свободу мысли, неприкосновенность частной жизни, на благоприятную окружающую среду [5, 142-143]. Тем не менее, права человека и гражданина в рассматриваемом государстве носят универсальный характер. Между тем, ни один из субъектов рассматриваемого государства не может отказаться от обязанности признать и гарантировать права человека и гражданина на своей территории. При этом ни один закон или другой правовой акт не может противоречить правам человека и гражданина, закрепленным в Основном законе рассматриваемого государства.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 2 ст. 17 Основного закона устанавливает все права и свободы человека как основные. Вместе с тем подтверждается их равноценность. Между тем здесь же определены два свойства основных прав. При этом одно из них состоит в их неотчуждаемости: ни одно из провозглашенных в Основном законе прав человека и гражданина не может быть исключено государством или ограничено в объеме без указания оснований ограничения. Вместе с тем права и свободы человека могут быть ограничены государством только лишь в жестко определенных случаях на основе Основного закона рассматриваемого государства и закона. Тем не менее, временные ограничения ряда прав и свобод возможны, в частности, в случае введения чрезвычайного положения (ст. 56). Помимо того, в случаях государственной необходимости возможно принудительное отчуждение имущества лица, но только лишь при условии предварительного и равноценного возмещения (ст. 35). Между тем неотчуждаемый характер прав и свобод состоит также в том, что гражданин не может взять на себя обязательство перед кем бы то ни было не пользоваться своим правом или совокупностью прав. Подобные обязательства юридически ничтожны.</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подчеркивая роль и значение конституционных прав и свобод человека и гражданина, ст. 18 Основного закона рассматриваемого государства устанавливает, что они являются непосредственно действующими 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[3, 121-122]. </w:t>
      </w:r>
      <w:r w:rsidRPr="00DA76A7">
        <w:rPr>
          <w:rFonts w:ascii="Arial" w:hAnsi="Arial" w:cs="Arial"/>
          <w:color w:val="000000" w:themeColor="text1"/>
          <w:sz w:val="22"/>
          <w:szCs w:val="22"/>
        </w:rPr>
        <w:tab/>
        <w:t>Вместе с тем положение о непосредственном действии установленных прав и свобод, означает, что они должны реализовывается с непосредственной опорой на Основной закон и вне зависимости от наличия или отсутствия иного законодательства, а в случае нарушения этих прав каждый имеет возможность защищать их в суде, ссылаясь на принцип прямого действия Основного закона рассматриваемого государства. Между тем  Основной закон рассматриваемого государства четко осуществляет и главнейший демократический принцип, а именно принцип гражданского равноправия, что выраженно в следующем «все равны перед законом и судом; государство гарантирует равенство прав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мужчина и женщина имеют равные права и свободы и равные возможности для их реализации» (ст. 19).</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глава рассматриваемого государства обязан уважать и охранять права и свободы человека и гражданина (ст. 82 Основного закона). Вместе с тем управленческий аппарат согласно ст. 2 Федерального закона «Об основах государственной службы» обязан в своей деятельности руководствоваться принципом соблюдения и уважения прав человека и гражданина [5, 143-144]. Между тем весь правоохранительный механизм государства, который в настоящее время реорганизуется и совершенствуется, подчинен этой цели. Тем не менее, обязанность государственной защиты прав и свобод человека осуществляется в деятельности такого органа, как высший орган судебной власти, который осуществляет защиту указанных прав. При этом конституционное судопроизводство обеспечивает применение и толкование конституционных и других нормативно-правовых норм о правах и свободах человека и гражданина, обязательных для органов государственной власти (ст. 30, 125).</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Основной закон рассматриваемого государства в ст. 45 гарантирует государственную защиту прав и свобод человека и гражданина в РФ и указывает, что каждый вправе защищать свои права и свободы всеми способами, не запрещенными законом. Гражданин может использовать все виды обжалования, обращаться в суд, к общественности, использовать средства массовой информации, создать комитет в свою защиту, провести пикетирование. Закон РФ «Об оружии», принятый 20 мая 1993 г., утвердил новое право гражданина на приобретение определенных видов оружия (охотничье оружие, газовый пистолет) ВВС. 1993. № 24. Ст. 860; РГ. 1994. 18 августа. На основании ст. 13 Закона газовое оружие самообороны (аэрозольные устройства и пневматическое оружие) граждане РФ, достигшие 18 лет, вправе приобретать без получения лицензии. Порядок приобретения гражданами иных видов оружия устанавливается ст. 5, 13 Закона. Согласно ст. 24 граждане РФ могут применять оружие для защиты жизни, здоровья и собственности в пределах необходимой обороны или по крайней необходимости.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уголовное право рассматриваемого государства признает за гражданином право на необходимую оборону и действия в состоянии крайней необходимости. Вместе с тем наличие в законе нормы о необходимой обороне содействует предотвращению насильственных посягательств: лицо, намеревающееся совершить преступление, знает, что оно может встретить активное противодействие и что закон считает это противодействие, равно как и причинение вреда нападающему, правомерным [3, 121-122]. Между тем необходимая оборона есть право гражданина на отражение общественно опасного посягательства. Следующим новшеством является то, что обороняющийся не обязан обращаться к кому-либо за помощью, а сам вправе пресечь нападение. Тем не менее, основным условием правомерности необходимой обороны является требование о том, чтобы при защите не было допущено превышения ее пределов. Каждый вправе защищать свои права и свободы и в состоянии крайней необходимости. В этом состоянии, как и при необходимой обороне, человек совершает деяние, внешне схожее с правонарушением, но признаваемое законом правомерным. Такие действия являются общественно полезными, так как направлены на защиту личности, ее прав и свобод, общественных или государственных интересов от угрожающей им опасности. Согласно ст. 39 УК РФ крайняя необходимость заключается в устранении опасности, угрожающей интересам личности и правам данного лица или иных лиц, государства и общества, если эта опасность при данных обстоятельствах не могла быть устранена другими средствами и если причиненный вред является менее значительным, чем предотвращенный вред [3, 121-122].</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Основной закон рассматриваемого государства, признавая гарантию каждого человека на защиту себя и своих близких - никто не обязан свидетельствовать против себя самого, своего супруга и близких родственников, круг которых определяется федеральным законом (ст. 51), внесла поистине революционные изменения в правовой статус лиц, подозреваемых и обвиняемых в совершении преступления. Данное содержание полностью согласуется с Международным пактом о гражданских и политических правах (ст. 14) и фактически заявляет об осуждении тех незаконных методов, которые применялись в нашей стране в годы массовых репрессий, когда органы следствия и суда вынуждали людей из страха или под угрозами оговаривать себя и доносить на своих близких [2]. Данная правовая гарантия должна способствовать воспитанию в обществе новых высоких моральных правил.</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Тем не менее, процесс реализации данного права, особенно в уголовном судопроизводстве идет с большим трудом. Неединичные случаи, когда некоторые суды, а также следственно - прокурорские работники в нарушение требований закона продолжают расценивать отказ допрашиваемого от дачи показаний против себя как признание своей вины, желание избежать таким образом уголовную ответственность, одно из оснований для избрания мерой пресечения ареста, обстоятельство, отягчающее наказание [2]. При разъяснении положений ст. 51 Конституции РФ допускаются различные формы запугивания допрашиваемого относительно наступления для него неблагоприятных последствий в случае отказа от дачи показаний. Н.В. Гаспарян отмечает: «Встречаются факты, когда следователь, получив отказ в даче показаний от подозреваемого (обвиняемого), требует объяснения причин и мотивов такого отказа, надеясь, видимо, что допрашиваемый заявит примерно следующее: «Показания давать не желаю, так как хотя я данное преступление и совершил, но мне стыдно в этом сознаться». Подчеркну, что право не свидетельствовать против себя не требует и не предполагает необходимости в каких-либо объяснениях. Равным образом, согласно ст. 37 Конституции РФ каждый имеет право на социальное обеспечение по возрасту, и перед реализацией этого права гражданин не обязан никому объяснять и мотивировать, зачем ему это право понадобилось [3, 121-122]».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Хочется верить, что все-таки настанут те времена, когда в рассматриваемом государстве будут непосредственно созданы все условия для реализации гарантированных конституционных прав. А пока Основной закон рассматриваемого государства в ч.1 и 3 ст. 46 гарантирует каждому судебную защиту его прав и свобод и закрепляет его право в соответствии с международными договорами РФ обращаться в международные органы по защите прав и свобод человека, если исчерпаны все имеющиеся внутригосударственные средства правовой защиты. Ст. 46 сформулирована в соответствии с международными договорами, в том числе в соответствии со ст. 6 Европейской конвенции о защите прав человека и основных свобод [1].</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 зависимости от характера нарушаемого права защита может осуществляться в порядке уголовного, административного, гражданского и конституционного судопроизводства. Между тем собственно эти виды судопроизводства, через которые реализуется судебная власть в России, зафиксированы в ст. 118 Основного закона рассматриваемого государства.</w:t>
      </w:r>
    </w:p>
    <w:p w:rsidR="005B31C6" w:rsidRPr="00DA76A7" w:rsidRDefault="005B31C6" w:rsidP="005B31C6">
      <w:pPr>
        <w:ind w:firstLine="567"/>
        <w:jc w:val="both"/>
        <w:rPr>
          <w:rFonts w:ascii="Arial" w:hAnsi="Arial" w:cs="Arial"/>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4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Международный пакт об экономических, социальных и культурных правах. - Нью-Йорк. 16.12.1966 г.</w:t>
      </w:r>
    </w:p>
    <w:p w:rsidR="005B31C6" w:rsidRPr="00DA76A7" w:rsidRDefault="005B31C6" w:rsidP="00D45D6B">
      <w:pPr>
        <w:pStyle w:val="a6"/>
        <w:numPr>
          <w:ilvl w:val="0"/>
          <w:numId w:val="14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Конвенция по предупреждению пыток и бесчеловечного или унижающего достоинство обращения или наказания от 1984 г.</w:t>
      </w:r>
    </w:p>
    <w:p w:rsidR="005B31C6" w:rsidRPr="00DA76A7" w:rsidRDefault="005B31C6" w:rsidP="00D45D6B">
      <w:pPr>
        <w:pStyle w:val="a6"/>
        <w:numPr>
          <w:ilvl w:val="0"/>
          <w:numId w:val="148"/>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Гаспарян Н.В. Праву не свидетельствовать против себя, нужны дополнительные гарантии // Российская юстиция. - М., 2000. - № 12. - С. 121-122.</w:t>
      </w:r>
    </w:p>
    <w:p w:rsidR="005B31C6" w:rsidRPr="00DA76A7" w:rsidRDefault="005B31C6" w:rsidP="00D45D6B">
      <w:pPr>
        <w:pStyle w:val="a6"/>
        <w:numPr>
          <w:ilvl w:val="0"/>
          <w:numId w:val="14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Конституционное право зарубежных стран / </w:t>
      </w:r>
      <w:r w:rsidRPr="00DA76A7">
        <w:rPr>
          <w:rFonts w:ascii="Arial" w:hAnsi="Arial" w:cs="Arial"/>
          <w:iCs/>
          <w:color w:val="000000" w:themeColor="text1"/>
        </w:rPr>
        <w:t>Под ред. Баглая М.В., Лейбо Ю.И., Энтина Л.М.</w:t>
      </w:r>
      <w:r w:rsidRPr="00DA76A7">
        <w:rPr>
          <w:rFonts w:ascii="Arial" w:hAnsi="Arial" w:cs="Arial"/>
          <w:color w:val="000000" w:themeColor="text1"/>
        </w:rPr>
        <w:t xml:space="preserve"> - М.: Норма, 2004. - 832 с.</w:t>
      </w:r>
    </w:p>
    <w:p w:rsidR="005B31C6" w:rsidRPr="00DA76A7" w:rsidRDefault="005B31C6" w:rsidP="00D45D6B">
      <w:pPr>
        <w:pStyle w:val="a6"/>
        <w:numPr>
          <w:ilvl w:val="0"/>
          <w:numId w:val="148"/>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Лукашук И.И. Международное право. Особенная часть. Учебник. - М.: Издательство БЕК, 2001. - 345 с.</w:t>
      </w:r>
    </w:p>
    <w:p w:rsidR="005B31C6" w:rsidRPr="00DA76A7" w:rsidRDefault="005B31C6" w:rsidP="005B31C6">
      <w:pPr>
        <w:ind w:firstLine="567"/>
        <w:rPr>
          <w:rFonts w:ascii="Arial" w:hAnsi="Arial" w:cs="Arial"/>
          <w:color w:val="000000" w:themeColor="text1"/>
          <w:sz w:val="22"/>
          <w:szCs w:val="22"/>
        </w:rPr>
      </w:pPr>
    </w:p>
    <w:p w:rsidR="005B31C6" w:rsidRPr="00DA76A7" w:rsidRDefault="005B31C6" w:rsidP="005B31C6">
      <w:pPr>
        <w:pStyle w:val="a6"/>
        <w:spacing w:after="0" w:line="240" w:lineRule="auto"/>
        <w:ind w:left="0" w:firstLine="567"/>
        <w:jc w:val="center"/>
        <w:rPr>
          <w:rFonts w:ascii="Arial" w:hAnsi="Arial" w:cs="Arial"/>
          <w:b/>
          <w:color w:val="000000" w:themeColor="text1"/>
        </w:rPr>
      </w:pPr>
    </w:p>
    <w:p w:rsidR="005B31C6" w:rsidRPr="00DA76A7" w:rsidRDefault="005B31C6" w:rsidP="005B31C6">
      <w:pPr>
        <w:pStyle w:val="a6"/>
        <w:spacing w:after="0" w:line="240" w:lineRule="auto"/>
        <w:ind w:left="0"/>
        <w:jc w:val="center"/>
        <w:rPr>
          <w:rFonts w:ascii="Arial" w:hAnsi="Arial" w:cs="Arial"/>
          <w:b/>
          <w:color w:val="000000" w:themeColor="text1"/>
        </w:rPr>
      </w:pPr>
      <w:r w:rsidRPr="00DA76A7">
        <w:rPr>
          <w:rFonts w:ascii="Arial" w:hAnsi="Arial" w:cs="Arial"/>
          <w:b/>
          <w:color w:val="000000" w:themeColor="text1"/>
        </w:rPr>
        <w:t>ОБЩАЯ ХАРАКТЕРИСТИКА КОНСТИТУЦИЙ ВЕЛИКОБРИТАНИИ И США</w:t>
      </w:r>
    </w:p>
    <w:p w:rsidR="005B31C6" w:rsidRPr="00DA76A7" w:rsidRDefault="005B31C6" w:rsidP="005B31C6">
      <w:pPr>
        <w:pStyle w:val="a6"/>
        <w:spacing w:after="0" w:line="240" w:lineRule="auto"/>
        <w:ind w:left="0"/>
        <w:jc w:val="center"/>
        <w:rPr>
          <w:rFonts w:ascii="Arial" w:hAnsi="Arial" w:cs="Arial"/>
          <w:b/>
          <w:color w:val="000000" w:themeColor="text1"/>
        </w:rPr>
      </w:pPr>
      <w:r w:rsidRPr="00DA76A7">
        <w:rPr>
          <w:rFonts w:ascii="Arial" w:hAnsi="Arial" w:cs="Arial"/>
          <w:b/>
          <w:color w:val="000000" w:themeColor="text1"/>
        </w:rPr>
        <w:t xml:space="preserve"> </w:t>
      </w:r>
    </w:p>
    <w:p w:rsidR="005B31C6" w:rsidRPr="00DA76A7" w:rsidRDefault="005B31C6" w:rsidP="005B31C6">
      <w:pPr>
        <w:pStyle w:val="a6"/>
        <w:spacing w:after="0" w:line="240" w:lineRule="auto"/>
        <w:ind w:left="0"/>
        <w:jc w:val="center"/>
        <w:rPr>
          <w:rFonts w:ascii="Arial" w:hAnsi="Arial" w:cs="Arial"/>
          <w:b/>
          <w:color w:val="000000" w:themeColor="text1"/>
        </w:rPr>
      </w:pPr>
      <w:r w:rsidRPr="00DA76A7">
        <w:rPr>
          <w:rFonts w:ascii="Arial" w:hAnsi="Arial" w:cs="Arial"/>
          <w:b/>
          <w:color w:val="000000" w:themeColor="text1"/>
        </w:rPr>
        <w:t>Алимова Мафтуна Орифовна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2-го  года обучения заочного отделения юридического факультета </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тел.: 988-89-07-07,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42" w:history="1">
        <w:r w:rsidRPr="00DA76A7">
          <w:rPr>
            <w:rStyle w:val="af0"/>
            <w:rFonts w:ascii="Arial" w:hAnsi="Arial" w:cs="Arial"/>
            <w:color w:val="000000" w:themeColor="text1"/>
            <w:sz w:val="22"/>
            <w:szCs w:val="22"/>
            <w:u w:val="none"/>
            <w:lang w:val="en-US"/>
          </w:rPr>
          <w:t>alimova</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B31C6" w:rsidRPr="00DA76A7" w:rsidRDefault="005B31C6" w:rsidP="005B31C6">
      <w:pPr>
        <w:pStyle w:val="a6"/>
        <w:spacing w:after="0" w:line="240" w:lineRule="auto"/>
        <w:ind w:left="0"/>
        <w:jc w:val="center"/>
        <w:rPr>
          <w:rFonts w:ascii="Arial" w:hAnsi="Arial" w:cs="Arial"/>
          <w:color w:val="000000" w:themeColor="text1"/>
        </w:rPr>
      </w:pPr>
    </w:p>
    <w:p w:rsidR="005B31C6" w:rsidRPr="00DA76A7" w:rsidRDefault="005B31C6" w:rsidP="005B31C6">
      <w:pPr>
        <w:pStyle w:val="a6"/>
        <w:spacing w:after="0" w:line="240" w:lineRule="auto"/>
        <w:ind w:left="0"/>
        <w:jc w:val="center"/>
        <w:rPr>
          <w:rFonts w:ascii="Arial" w:hAnsi="Arial" w:cs="Arial"/>
          <w:b/>
          <w:color w:val="000000" w:themeColor="text1"/>
          <w:lang w:val="en-US"/>
        </w:rPr>
      </w:pPr>
      <w:r w:rsidRPr="00DA76A7">
        <w:rPr>
          <w:rFonts w:ascii="Arial" w:hAnsi="Arial" w:cs="Arial"/>
          <w:b/>
          <w:color w:val="000000" w:themeColor="text1"/>
          <w:lang w:val="en-US"/>
        </w:rPr>
        <w:t>GENERAL CHARACTERISTICS OF THE CONSTITUTION OF THE GREAT BRITAIN AND THE USA</w:t>
      </w:r>
    </w:p>
    <w:p w:rsidR="005B31C6" w:rsidRPr="00DA76A7" w:rsidRDefault="005B31C6" w:rsidP="005B31C6">
      <w:pPr>
        <w:pStyle w:val="a6"/>
        <w:spacing w:after="0" w:line="240" w:lineRule="auto"/>
        <w:ind w:left="0"/>
        <w:jc w:val="center"/>
        <w:rPr>
          <w:rFonts w:ascii="Arial" w:hAnsi="Arial" w:cs="Arial"/>
          <w:b/>
          <w:color w:val="000000" w:themeColor="text1"/>
          <w:lang w:val="en-US"/>
        </w:rPr>
      </w:pPr>
    </w:p>
    <w:p w:rsidR="005B31C6" w:rsidRPr="00DA76A7" w:rsidRDefault="005B31C6" w:rsidP="005B31C6">
      <w:pPr>
        <w:jc w:val="center"/>
        <w:outlineLvl w:val="1"/>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Alimova Maftuna Orifovna</w:t>
      </w:r>
    </w:p>
    <w:p w:rsidR="005B31C6" w:rsidRPr="00DA76A7" w:rsidRDefault="005B31C6" w:rsidP="005B31C6">
      <w:pPr>
        <w:tabs>
          <w:tab w:val="left" w:pos="426"/>
        </w:tabs>
        <w:jc w:val="center"/>
        <w:outlineLvl w:val="1"/>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t>graduate student of the second year of correspondence department of the law faculty</w:t>
      </w:r>
    </w:p>
    <w:p w:rsidR="005B31C6" w:rsidRPr="00DA76A7" w:rsidRDefault="005B31C6" w:rsidP="005B31C6">
      <w:pPr>
        <w:jc w:val="center"/>
        <w:rPr>
          <w:rFonts w:ascii="Arial" w:hAnsi="Arial" w:cs="Arial"/>
          <w:bCs/>
          <w:color w:val="000000" w:themeColor="text1"/>
          <w:sz w:val="22"/>
          <w:szCs w:val="22"/>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street. M</w:t>
      </w:r>
      <w:r w:rsidRPr="00DA76A7">
        <w:rPr>
          <w:rFonts w:ascii="Arial" w:hAnsi="Arial" w:cs="Arial"/>
          <w:bCs/>
          <w:color w:val="000000" w:themeColor="text1"/>
          <w:sz w:val="22"/>
          <w:szCs w:val="22"/>
        </w:rPr>
        <w:t xml:space="preserve">. </w:t>
      </w:r>
      <w:r w:rsidRPr="00DA76A7">
        <w:rPr>
          <w:rFonts w:ascii="Arial" w:hAnsi="Arial" w:cs="Arial"/>
          <w:bCs/>
          <w:color w:val="000000" w:themeColor="text1"/>
          <w:sz w:val="22"/>
          <w:szCs w:val="22"/>
          <w:lang w:val="en-US"/>
        </w:rPr>
        <w:t>Tursunzade</w:t>
      </w:r>
      <w:r w:rsidRPr="00DA76A7">
        <w:rPr>
          <w:rFonts w:ascii="Arial" w:hAnsi="Arial" w:cs="Arial"/>
          <w:bCs/>
          <w:color w:val="000000" w:themeColor="text1"/>
          <w:sz w:val="22"/>
          <w:szCs w:val="22"/>
        </w:rPr>
        <w:t>, 30</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bCs/>
          <w:color w:val="000000" w:themeColor="text1"/>
          <w:sz w:val="22"/>
          <w:szCs w:val="22"/>
          <w:lang w:val="en-US"/>
        </w:rPr>
        <w:t>tel</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988-89-07-07,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43" w:history="1">
        <w:r w:rsidRPr="00DA76A7">
          <w:rPr>
            <w:rStyle w:val="af0"/>
            <w:rFonts w:ascii="Arial" w:hAnsi="Arial" w:cs="Arial"/>
            <w:color w:val="000000" w:themeColor="text1"/>
            <w:sz w:val="22"/>
            <w:szCs w:val="22"/>
            <w:u w:val="none"/>
          </w:rPr>
          <w:t>alimova.m@mail.ru</w:t>
        </w:r>
      </w:hyperlink>
      <w:r w:rsidRPr="00DA76A7">
        <w:rPr>
          <w:rFonts w:ascii="Arial" w:hAnsi="Arial" w:cs="Arial"/>
          <w:b/>
          <w:color w:val="000000" w:themeColor="text1"/>
          <w:sz w:val="22"/>
          <w:szCs w:val="22"/>
        </w:rPr>
        <w:t xml:space="preserve"> </w:t>
      </w:r>
    </w:p>
    <w:p w:rsidR="005B31C6" w:rsidRPr="00DA76A7" w:rsidRDefault="005B31C6" w:rsidP="005B31C6">
      <w:pPr>
        <w:pStyle w:val="a6"/>
        <w:spacing w:after="0" w:line="240" w:lineRule="auto"/>
        <w:ind w:left="0" w:firstLine="567"/>
        <w:jc w:val="center"/>
        <w:rPr>
          <w:rFonts w:ascii="Arial" w:hAnsi="Arial" w:cs="Arial"/>
          <w:color w:val="000000" w:themeColor="text1"/>
        </w:rPr>
      </w:pPr>
    </w:p>
    <w:p w:rsidR="005B31C6" w:rsidRPr="00DA76A7" w:rsidRDefault="005B31C6" w:rsidP="005B31C6">
      <w:pPr>
        <w:ind w:firstLine="567"/>
        <w:jc w:val="right"/>
        <w:outlineLvl w:val="1"/>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д.ф.н., профессор Шамолов А.А.</w:t>
      </w:r>
    </w:p>
    <w:p w:rsidR="005B31C6" w:rsidRPr="00DA76A7" w:rsidRDefault="005B31C6" w:rsidP="005B31C6">
      <w:pPr>
        <w:ind w:firstLine="567"/>
        <w:jc w:val="both"/>
        <w:outlineLvl w:val="1"/>
        <w:rPr>
          <w:rFonts w:ascii="Arial" w:hAnsi="Arial" w:cs="Arial"/>
          <w:color w:val="000000" w:themeColor="text1"/>
          <w:sz w:val="22"/>
          <w:szCs w:val="22"/>
          <w:shd w:val="clear" w:color="auto" w:fill="FFFFFF"/>
        </w:rPr>
      </w:pPr>
    </w:p>
    <w:p w:rsidR="005B31C6" w:rsidRPr="00DA76A7" w:rsidRDefault="005B31C6" w:rsidP="005B31C6">
      <w:pPr>
        <w:ind w:firstLine="567"/>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bCs/>
          <w:i/>
          <w:color w:val="000000" w:themeColor="text1"/>
          <w:sz w:val="22"/>
          <w:szCs w:val="22"/>
        </w:rPr>
        <w:t>В данной статье представлена общая характеристика Великобритании и США, раскрывается с</w:t>
      </w:r>
      <w:r w:rsidRPr="00DA76A7">
        <w:rPr>
          <w:rFonts w:ascii="Arial" w:hAnsi="Arial" w:cs="Arial"/>
          <w:i/>
          <w:color w:val="000000" w:themeColor="text1"/>
          <w:sz w:val="22"/>
          <w:szCs w:val="22"/>
          <w:shd w:val="clear" w:color="auto" w:fill="FFFFFF"/>
        </w:rPr>
        <w:t>оциально-политическая сущность конституций рассматриваемых государств</w:t>
      </w:r>
      <w:r w:rsidRPr="00DA76A7">
        <w:rPr>
          <w:rFonts w:ascii="Arial" w:hAnsi="Arial" w:cs="Arial"/>
          <w:bCs/>
          <w:i/>
          <w:color w:val="000000" w:themeColor="text1"/>
          <w:sz w:val="22"/>
          <w:szCs w:val="22"/>
        </w:rPr>
        <w:t>, представлен краткий анализ деятельности парламента, правительства и судов рассматриваемых государств.</w:t>
      </w:r>
    </w:p>
    <w:p w:rsidR="005B31C6" w:rsidRPr="00DA76A7" w:rsidRDefault="005B31C6" w:rsidP="005B31C6">
      <w:pPr>
        <w:ind w:firstLine="567"/>
        <w:jc w:val="both"/>
        <w:outlineLvl w:val="1"/>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presents a general description of the United Kingdom and the United States, reveals the socio-political essence of the constitutions of the states in question, presents a brief analysis of the activities of the parliament, government and the courts of the states in question.</w:t>
      </w:r>
    </w:p>
    <w:p w:rsidR="005B31C6" w:rsidRPr="00DA76A7" w:rsidRDefault="005B31C6" w:rsidP="005B31C6">
      <w:pPr>
        <w:ind w:firstLine="567"/>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Ключевые слова: </w:t>
      </w:r>
      <w:r w:rsidRPr="00DA76A7">
        <w:rPr>
          <w:rFonts w:ascii="Arial" w:hAnsi="Arial" w:cs="Arial"/>
          <w:bCs/>
          <w:i/>
          <w:color w:val="000000" w:themeColor="text1"/>
          <w:sz w:val="22"/>
          <w:szCs w:val="22"/>
        </w:rPr>
        <w:t xml:space="preserve">конституция, парламент, правительство, суд, фиктивность, палата общин, палата лордов, </w:t>
      </w:r>
      <w:r w:rsidRPr="00DA76A7">
        <w:rPr>
          <w:rFonts w:ascii="Arial" w:hAnsi="Arial" w:cs="Arial"/>
          <w:i/>
          <w:color w:val="000000" w:themeColor="text1"/>
          <w:sz w:val="22"/>
          <w:szCs w:val="22"/>
          <w:shd w:val="clear" w:color="auto" w:fill="FFFFFF"/>
        </w:rPr>
        <w:t xml:space="preserve">социально-политическая сущность.  </w:t>
      </w:r>
    </w:p>
    <w:p w:rsidR="005B31C6" w:rsidRPr="00DA76A7" w:rsidRDefault="005B31C6" w:rsidP="005B31C6">
      <w:pPr>
        <w:ind w:firstLine="567"/>
        <w:jc w:val="both"/>
        <w:outlineLvl w:val="1"/>
        <w:rPr>
          <w:rFonts w:ascii="Arial" w:hAnsi="Arial" w:cs="Arial"/>
          <w:b/>
          <w:bCs/>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 xml:space="preserve">constitution, parliament, government, court, fictitiousness, the House of Commons, the House of Lords, the socio-political entity. </w:t>
      </w:r>
    </w:p>
    <w:p w:rsidR="005B31C6" w:rsidRPr="00DA76A7" w:rsidRDefault="005B31C6" w:rsidP="005B31C6">
      <w:pPr>
        <w:ind w:firstLine="567"/>
        <w:jc w:val="both"/>
        <w:outlineLvl w:val="1"/>
        <w:rPr>
          <w:rFonts w:ascii="Arial" w:hAnsi="Arial" w:cs="Arial"/>
          <w:i/>
          <w:color w:val="000000" w:themeColor="text1"/>
          <w:sz w:val="22"/>
          <w:szCs w:val="22"/>
          <w:shd w:val="clear" w:color="auto" w:fill="FFFFFF"/>
          <w:lang w:val="en-US"/>
        </w:rPr>
      </w:pP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Следует отметить, что определение, и вообще понятие конституция сформировалось в процессе буржуазных революций. Вместе с тем данный термин применялся и в период феодализма, однако он имел совершенно иное содержание. В тоже время первыми буржуазными Основными законами в собственном смысле этого слова были Основной закон США 1787 г. и непосредственно Основной закон Франции 1791 г. </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Необходимо отметить, что Основной закон в материальном смысле представляет собой нормативный акт, совокупность нормативных актов либо конституционных обычаев. Тем не менее, в данном смысле слово конституция используется исключительно редко. При этом нередко говорят о конституции в формальном смысле, а именно о законе либо группе законов, имеющих высшею юридическую силу по отношению ко всем иным законам. Основной закон в этом смысле является в своем роде закон всех законов </w:t>
      </w:r>
      <w:r w:rsidRPr="00DA76A7">
        <w:rPr>
          <w:rFonts w:ascii="Arial" w:hAnsi="Arial" w:cs="Arial"/>
          <w:color w:val="000000" w:themeColor="text1"/>
          <w:sz w:val="22"/>
          <w:szCs w:val="22"/>
        </w:rPr>
        <w:t>[4, 132-133].</w:t>
      </w:r>
      <w:r w:rsidRPr="00DA76A7">
        <w:rPr>
          <w:rFonts w:ascii="Arial" w:hAnsi="Arial" w:cs="Arial"/>
          <w:color w:val="000000" w:themeColor="text1"/>
          <w:sz w:val="22"/>
          <w:szCs w:val="22"/>
          <w:shd w:val="clear" w:color="auto" w:fill="FFFFFF"/>
        </w:rPr>
        <w:t xml:space="preserve"> </w:t>
      </w:r>
      <w:r w:rsidRPr="00DA76A7">
        <w:rPr>
          <w:rFonts w:ascii="Arial" w:hAnsi="Arial" w:cs="Arial"/>
          <w:color w:val="000000" w:themeColor="text1"/>
          <w:sz w:val="22"/>
          <w:szCs w:val="22"/>
          <w:shd w:val="clear" w:color="auto" w:fill="FFFFFF"/>
        </w:rPr>
        <w:tab/>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Следует отметить, что материальное и формальное понимание Основного закона находятся в определенном соотношении. Вместе с тем все страны имеют конституции в материальном смысле, однако не у всех у них есть Основной закон в формальном смысле. Так, в частности, Основной закон Англии существует только в материальном смысле. В тоже время к Основному закону в материальном смысле относятся только лишь те правовые нормы, которые регулируют общественные отношения. Между тем Основные законы же в формальном смысле могут содержать такие нормы, которые, казалось бы, регулируют определенные правоотношения, не имеющие конституционного характера, однако обладающих основным политическим значением для современного этапа их развития </w:t>
      </w:r>
      <w:r w:rsidRPr="00DA76A7">
        <w:rPr>
          <w:rFonts w:ascii="Arial" w:hAnsi="Arial" w:cs="Arial"/>
          <w:color w:val="000000" w:themeColor="text1"/>
          <w:sz w:val="22"/>
          <w:szCs w:val="22"/>
        </w:rPr>
        <w:t>[5, 145-146]</w:t>
      </w:r>
      <w:r w:rsidRPr="00DA76A7">
        <w:rPr>
          <w:rFonts w:ascii="Arial" w:hAnsi="Arial" w:cs="Arial"/>
          <w:color w:val="000000" w:themeColor="text1"/>
          <w:sz w:val="22"/>
          <w:szCs w:val="22"/>
          <w:shd w:val="clear" w:color="auto" w:fill="FFFFFF"/>
        </w:rPr>
        <w:t xml:space="preserve">. </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Необходимо отметить, что различают следующие понятия, а именно юридическая и фактическая конституции. Вместе с тем первая это всегда устанавливающая система правовых норм, которая  непосредственно регулирует вышеуказанный выше круг общественных отношений. В тоже время вторая это собственно сами существующие правоотношения, а именно то, что действительно имеется в наличии. Так, в частности, в Основном законе Итальянской республики 1947 г. провозглашенными остаются такие правовые нормы как непосредственно регламентация права на забастовку (ст. 40), организация президиума совета министров (ст. 95) и др. </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Следует отметить, что определенное расхождение между фактической и юридической конституцией, это как правило собственно итог изменения в соотношении политических сил, происходящего после принятия юридической конституции, помимо того это признак того, что часть норм юридической конституции стала фиктивной и нуждается в пересмотре, или возлагать их в рамки юридической конституции </w:t>
      </w:r>
      <w:r w:rsidRPr="00DA76A7">
        <w:rPr>
          <w:rFonts w:ascii="Arial" w:hAnsi="Arial" w:cs="Arial"/>
          <w:color w:val="000000" w:themeColor="text1"/>
          <w:sz w:val="22"/>
          <w:szCs w:val="22"/>
        </w:rPr>
        <w:t>[6, 129-130]</w:t>
      </w:r>
      <w:r w:rsidRPr="00DA76A7">
        <w:rPr>
          <w:rFonts w:ascii="Arial" w:hAnsi="Arial" w:cs="Arial"/>
          <w:color w:val="000000" w:themeColor="text1"/>
          <w:sz w:val="22"/>
          <w:szCs w:val="22"/>
          <w:shd w:val="clear" w:color="auto" w:fill="FFFFFF"/>
        </w:rPr>
        <w:t>. Вместе с тем фиктивность Основного закона, как правило, свойственна государствам с авторитарным и особенно тоталитарным политическим режимом.</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 Необходимо отметить, что суть Основного закона характеризуется непосредственно с двух основных позиций: юридической и социально-политической. Вместе с тем собственно с юридической позиции Основной закон обладает высшей юридической силой. Между тем законы либо подзаконные акты обязаны приниматься предусмотренными в Основном законе государственными органами и по определенной его процедуре. Тем не менее, в материальном смысле высшая юридическая сила Основного закона состоит в том, что нижестоящие по уровню правовые нормы обязаны соответствовать по существу нормам конституции. Следовательно, любой нормативно-правовой акт, противоречащий Основному закону или по сущности, или по форме, должен быть признан недействительным </w:t>
      </w:r>
      <w:r w:rsidRPr="00DA76A7">
        <w:rPr>
          <w:rFonts w:ascii="Arial" w:hAnsi="Arial" w:cs="Arial"/>
          <w:color w:val="000000" w:themeColor="text1"/>
          <w:sz w:val="22"/>
          <w:szCs w:val="22"/>
        </w:rPr>
        <w:t>[3, 119-120]</w:t>
      </w:r>
      <w:r w:rsidRPr="00DA76A7">
        <w:rPr>
          <w:rFonts w:ascii="Arial" w:hAnsi="Arial" w:cs="Arial"/>
          <w:color w:val="000000" w:themeColor="text1"/>
          <w:sz w:val="22"/>
          <w:szCs w:val="22"/>
          <w:shd w:val="clear" w:color="auto" w:fill="FFFFFF"/>
        </w:rPr>
        <w:t xml:space="preserve">. </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Следует отметить, что непосредственно социально-политическая суть проявляется в том, что Основной закон представляет собой как бы определенную запись соотношения политических сил, существовавших на момент ее принятия. Вместе с тем каждый класс, социальный слой, территориальная, национальная или иная общность защищает в политической борьбе свои социальные интересы. При этом в Основном законе находит отражение форма согласованности этих интересов. Между тем без согласованности интересов невозможен порядок в обществе. Следовательно, социально-политическая сущность конституции выражается в том, что она отражает баланс социальных интересов. При этом в итоге этого достигается стабильность общества как сложной системы.</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 Необходимо отметить, что под функциями Основного закона понимают его общественное предназначение и способы реализации. Вместе с тем первая функция Основного закона является юридической. При этом она выражается в том, что это конституция, закон законов. В тоже время Основной закон является основным источником права государства, который лежит в основе всей системы правового регулирования всех общественных отношений. Между тем вторая функция является политическая </w:t>
      </w:r>
      <w:r w:rsidRPr="00DA76A7">
        <w:rPr>
          <w:rFonts w:ascii="Arial" w:hAnsi="Arial" w:cs="Arial"/>
          <w:color w:val="000000" w:themeColor="text1"/>
          <w:sz w:val="22"/>
          <w:szCs w:val="22"/>
        </w:rPr>
        <w:t>[6, 153-154]</w:t>
      </w:r>
      <w:r w:rsidRPr="00DA76A7">
        <w:rPr>
          <w:rFonts w:ascii="Arial" w:hAnsi="Arial" w:cs="Arial"/>
          <w:color w:val="000000" w:themeColor="text1"/>
          <w:sz w:val="22"/>
          <w:szCs w:val="22"/>
          <w:shd w:val="clear" w:color="auto" w:fill="FFFFFF"/>
        </w:rPr>
        <w:t>. Наряду с этим, Основной закон определяет устройство государства, его отношения с отдельными людьми и их группами, служит правовой основой политической системы. При этом все политические силы, взаимодействуя между собой, конкурируя, борются, используя государственную власть на основе правил, определенных в Основном законе. Далее следует третья функция, а именно идеологическая. При этом Основной закон  как самый  авторитетный закон обращается к признанным в обществе ценностям и соответственно убеждает человека: если тебе дороги эти ценности, следуй тому, что написано в конституции. Тем не менее, с другой стороны, если уважаешь закон, уважай и отраженные в нем общественные ценности.</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На современном этапе развития государств во всех странах мира действуют три вида Основных законов, которые различаются по их конструкции и структурным составляющим: консолидированные, неконсолидированные и комбинированные. Вместе с тем консолидированные представляют собой единый документ, принятый как конституция государства. Между тем поправки к ним или собственно включаются в текст конституций путем замены определенных статей, либо в качестве дополнений прилагаются к конституционному тексту при сохранении прежнего, часть которого соответственно не действует, а действуют принятые поправки. Наряду с этим, неконсолидированные состоят из нескольких законов, принятых в разное время, но по правилам принятия и изменения последних. Между тем комбинированные Основные законы состоят из законов, судебных прецедентов и конституционных обычаев. При этом по времени действия конституции разделяют непосредственно на временные и постоянные. В тоже время временные конституции могут приниматься на установленный срок или впредь до наступления определенного события. При этом значительное количество Основных законов являются постоянными. Тем не менее, факт определения неограниченного срока их действия отнюдь не гарантирует их вечности, а лишь указывает на намерения законодателя в момент принятия. </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Следует отметить, что в основе конституции Америки лежит принцип разделения властей между законодательной (конгресс), исполнительной (президент) и судебной (верховный суд и нижестоящие суды) ветвями. Вместе с тем штатам данного государства представляются обширные права в области законодательства. При этом ст. 1 посвящена законодательной власти, которую олицетворяет конгресс данного государства, включающий в себя палату представителей и сенат. В данной статье описаны процедура выборов в каждую из палат, требования к кандидатам, полномочия Конгресса и законодательный процесс. Между тем статья гарантирует иммунитет сенаторов и представителей от преследования за мнения, высказанные в ходе дебатов, и заработную плату на весь срок мандата </w:t>
      </w:r>
      <w:r w:rsidRPr="00DA76A7">
        <w:rPr>
          <w:rFonts w:ascii="Arial" w:hAnsi="Arial" w:cs="Arial"/>
          <w:color w:val="000000" w:themeColor="text1"/>
          <w:sz w:val="22"/>
          <w:szCs w:val="22"/>
        </w:rPr>
        <w:t>[1, 177-178]</w:t>
      </w:r>
      <w:r w:rsidRPr="00DA76A7">
        <w:rPr>
          <w:rFonts w:ascii="Arial" w:hAnsi="Arial" w:cs="Arial"/>
          <w:color w:val="000000" w:themeColor="text1"/>
          <w:sz w:val="22"/>
          <w:szCs w:val="22"/>
          <w:shd w:val="clear" w:color="auto" w:fill="FFFFFF"/>
        </w:rPr>
        <w:t>.</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 Необходимо отметить, что в ст. 2 сказано, что исполнительная власть предоставляется президенту данного государства. Вместе с тем в разделе 2 ст. 2 упоминаются «высшие должностные лица каждого из департаментов исполнительной власти». Тем не менее, фактически это единственное упоминание о кабинете президента данного государства - аналоге правительства </w:t>
      </w:r>
      <w:r w:rsidRPr="00DA76A7">
        <w:rPr>
          <w:rFonts w:ascii="Arial" w:hAnsi="Arial" w:cs="Arial"/>
          <w:color w:val="000000" w:themeColor="text1"/>
          <w:sz w:val="22"/>
          <w:szCs w:val="22"/>
        </w:rPr>
        <w:t>[2, 139-140].</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Следует отметить, что ст. 3 описывает судебную систему США, которая состоит из Верховного суда и нижестоящих судов, которые должны быть учреждены конгрессом. Вместе с тем верховный суд является судом первой инстанции по очень небольшому перечню дел, все остальные дела могут рассматриваться верховным судом в порядке пересмотра. Судьи всех судов несменяемы. В этой же статье установлено обязательное рассмотрение всех уголовных дел судами присяжных и дано определение государственной измены.</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Необходимо отметить, что Основной закон Англии это совокупность законов, прецедентов и конституционных соглашений Великобритании, которые определяют порядок формирования и полномочия органов государства, принципы взаимоотношений государственных органов между собой, а также государственных органов и граждан. Вместе с тем специфической характеристикой британского Основного закона является отсутствие какого-либо единого документа, который можно было бы назвать конституцией государства. Между тем парламент Англии является бикамеральным, а именно основан на двухпалатной системе, и состоит из палаты общин и палаты лордов. Тем не менее, как общенациональный представительный орган парламент являет собой триединое учреждение, включающее в себя не только обе палаты, но и монарха, «королеву-в-Парламенте», так как только наличие всех трех элементов образует в правовом смысле то, что называют британским парламентом. Данная связь определена особенностью принципа разделения властей, которая состоит в том, что в системе государственных органов Великобритании такое разделение и фактически, и формально отсутствует: монарх является неотъемлемой частью каждой из ветвей власти. Так, в частности, одной из политических прерогатив монарха является его право созывать и распускать парламент.</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Следует отметить, что термин парламент, как правило, используется для обозначения обеих палат, но иногда под парламентом подразумевают его основную часть, а именно палату общин. Так, в частности, только члены палаты общин называются «членами парламента». При этом правительство несет ответственность только перед Палатой общин, и эта ответственность называется «парламентской». Следовательно, именно палата общин реализует то, что называют «парламентским контролем». Вместе с тем правительство данного государства подотчетно парламенту. Тем не менее, ни премьер-министр, ни члены правительства не избираются палатой Общин. Между тем парламент контролирует исполнительную власть, принимая или отклоняя её законопроекты и заставляя министров короны отчитываться за свои действия либо во время «времени вопросов», или во время заседаний парламентских комитетов. И в том и в другом случае министрам задают вопросы члены обеих палат, и они обязаны отвечать.</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 Необходимо отметить, что в состав верховных судов входят: высокий суд, суд короны и апелляционный суд. Вместе с тем высокий суд состоит из семидесяти восьми судей и подразделяется на три отделения, а именно: а) королевской скамьи; б) канцелярского, по семейным делам. Между тем распределение дел между отделениями определяется специализацией судей и особенностями процедуры; в принципе, каждое отделение может рассматривать любое дело, входящее в компетенцию этого суда. В тоже время судьи назначаются из числа барристеров. При этом дела, которые слушаются в первой инстанции, рассматривает один судья. Наряду с этим, отделению королевской скамьи подсудны дела, регулируемые нормами общего, торгового права и т. п. При этом канцлерскому отделению подсудны дела, не регулируемые общим правом. Кроме высоких судов в Великобритании действуют всевозможные нижестоящие инстанции, которые рассматривают примерно девяносто процентов всех дел. Между тем главнейшие низшие суды по гражданским делам это непосредственно суды графств.</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 xml:space="preserve"> Таким образом, были рассмотрены структуры парламентов и их взаимоотношения с главой государства, правительством и судами по Основным законам США и Великобритании. </w:t>
      </w:r>
    </w:p>
    <w:p w:rsidR="005B31C6" w:rsidRPr="00DA76A7" w:rsidRDefault="005B31C6" w:rsidP="005B31C6">
      <w:pPr>
        <w:ind w:firstLine="567"/>
        <w:jc w:val="center"/>
        <w:rPr>
          <w:rFonts w:ascii="Arial" w:hAnsi="Arial" w:cs="Arial"/>
          <w:b/>
          <w:color w:val="000000" w:themeColor="text1"/>
          <w:sz w:val="22"/>
          <w:szCs w:val="22"/>
          <w:shd w:val="clear" w:color="auto" w:fill="FFFFFF"/>
        </w:rPr>
      </w:pPr>
    </w:p>
    <w:p w:rsidR="005B31C6" w:rsidRPr="00DA76A7" w:rsidRDefault="005B31C6" w:rsidP="005B31C6">
      <w:pPr>
        <w:ind w:firstLine="567"/>
        <w:jc w:val="center"/>
        <w:rPr>
          <w:rFonts w:ascii="Arial" w:hAnsi="Arial" w:cs="Arial"/>
          <w:b/>
          <w:color w:val="000000" w:themeColor="text1"/>
          <w:sz w:val="22"/>
          <w:szCs w:val="22"/>
          <w:shd w:val="clear" w:color="auto" w:fill="FFFFFF"/>
        </w:rPr>
      </w:pPr>
      <w:r w:rsidRPr="00DA76A7">
        <w:rPr>
          <w:rFonts w:ascii="Arial" w:hAnsi="Arial" w:cs="Arial"/>
          <w:b/>
          <w:color w:val="000000" w:themeColor="text1"/>
          <w:sz w:val="22"/>
          <w:szCs w:val="22"/>
          <w:shd w:val="clear" w:color="auto" w:fill="FFFFFF"/>
        </w:rPr>
        <w:t>Список литературы:</w:t>
      </w:r>
    </w:p>
    <w:p w:rsidR="005B31C6" w:rsidRPr="00DA76A7" w:rsidRDefault="005B31C6" w:rsidP="00D45D6B">
      <w:pPr>
        <w:pStyle w:val="a6"/>
        <w:numPr>
          <w:ilvl w:val="0"/>
          <w:numId w:val="149"/>
        </w:numPr>
        <w:tabs>
          <w:tab w:val="left" w:pos="284"/>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Конституция Соединенных Штатов Америки (1787) // США: Конституция и законодательные акты / Под ред. О.А. Жидкова. - М., 2003. - 326 с.</w:t>
      </w:r>
    </w:p>
    <w:p w:rsidR="005B31C6" w:rsidRPr="00DA76A7" w:rsidRDefault="005B31C6" w:rsidP="00D45D6B">
      <w:pPr>
        <w:pStyle w:val="a6"/>
        <w:numPr>
          <w:ilvl w:val="0"/>
          <w:numId w:val="149"/>
        </w:numPr>
        <w:tabs>
          <w:tab w:val="left" w:pos="284"/>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Конституции зарубежных государств: США. Великобритания. Франция. Германия. Италия. Япония. Бразилия: учебное пособие / Сост. В.В. Маклаков. - М., 2009. - 435 с.</w:t>
      </w:r>
    </w:p>
    <w:p w:rsidR="005B31C6" w:rsidRPr="00DA76A7" w:rsidRDefault="005B31C6" w:rsidP="00D45D6B">
      <w:pPr>
        <w:pStyle w:val="a6"/>
        <w:numPr>
          <w:ilvl w:val="0"/>
          <w:numId w:val="149"/>
        </w:numPr>
        <w:tabs>
          <w:tab w:val="left" w:pos="284"/>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Сборник нормативных правовых актов зарубежного законодательства / Сост. Алебастрова И.А., Маклаков В.В. - М., 2006. - 481 с.</w:t>
      </w:r>
    </w:p>
    <w:p w:rsidR="005B31C6" w:rsidRPr="00DA76A7" w:rsidRDefault="005B31C6" w:rsidP="00D45D6B">
      <w:pPr>
        <w:pStyle w:val="af2"/>
        <w:numPr>
          <w:ilvl w:val="0"/>
          <w:numId w:val="149"/>
        </w:numPr>
        <w:tabs>
          <w:tab w:val="left" w:pos="284"/>
          <w:tab w:val="left" w:pos="851"/>
          <w:tab w:val="left" w:pos="993"/>
        </w:tabs>
        <w:ind w:left="0" w:firstLine="567"/>
        <w:jc w:val="both"/>
        <w:rPr>
          <w:rFonts w:ascii="Arial" w:hAnsi="Arial" w:cs="Arial"/>
          <w:color w:val="000000" w:themeColor="text1"/>
          <w:sz w:val="22"/>
          <w:szCs w:val="22"/>
        </w:rPr>
      </w:pPr>
      <w:r w:rsidRPr="00DA76A7">
        <w:rPr>
          <w:rFonts w:ascii="Arial" w:eastAsia="Times New Roman" w:hAnsi="Arial" w:cs="Arial"/>
          <w:color w:val="000000" w:themeColor="text1"/>
          <w:sz w:val="22"/>
          <w:szCs w:val="22"/>
        </w:rPr>
        <w:t>Алебастрова И.А. Конституционное право зарубежных стран. - М., 2009. - 389 с.</w:t>
      </w:r>
      <w:r w:rsidRPr="00DA76A7">
        <w:rPr>
          <w:rFonts w:ascii="Arial" w:hAnsi="Arial" w:cs="Arial"/>
          <w:color w:val="000000" w:themeColor="text1"/>
          <w:sz w:val="22"/>
          <w:szCs w:val="22"/>
        </w:rPr>
        <w:t xml:space="preserve"> </w:t>
      </w:r>
    </w:p>
    <w:p w:rsidR="005B31C6" w:rsidRPr="00DA76A7" w:rsidRDefault="005B31C6" w:rsidP="00D45D6B">
      <w:pPr>
        <w:widowControl/>
        <w:numPr>
          <w:ilvl w:val="0"/>
          <w:numId w:val="149"/>
        </w:numPr>
        <w:tabs>
          <w:tab w:val="left" w:pos="0"/>
          <w:tab w:val="left" w:pos="284"/>
          <w:tab w:val="left" w:pos="851"/>
          <w:tab w:val="left" w:pos="993"/>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Арбузкин A.M. Конституционное право зарубежных стран. - М., 2008. - 347 с. </w:t>
      </w:r>
    </w:p>
    <w:p w:rsidR="005B31C6" w:rsidRPr="00DA76A7" w:rsidRDefault="005B31C6" w:rsidP="00D45D6B">
      <w:pPr>
        <w:pStyle w:val="afff0"/>
        <w:numPr>
          <w:ilvl w:val="0"/>
          <w:numId w:val="149"/>
        </w:numPr>
        <w:tabs>
          <w:tab w:val="left" w:pos="0"/>
          <w:tab w:val="left" w:pos="142"/>
          <w:tab w:val="left" w:pos="284"/>
          <w:tab w:val="left" w:pos="851"/>
          <w:tab w:val="left" w:pos="993"/>
        </w:tabs>
        <w:spacing w:line="240" w:lineRule="auto"/>
        <w:ind w:left="0"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Баглай М.В., Лейбо Ю.И., Энтин Л.М. Конституционное право зарубежных стран. - М., 2009. - 467 с. </w:t>
      </w:r>
      <w:r w:rsidRPr="00DA76A7">
        <w:rPr>
          <w:rFonts w:ascii="Arial" w:hAnsi="Arial" w:cs="Arial"/>
          <w:color w:val="000000" w:themeColor="text1"/>
          <w:sz w:val="22"/>
          <w:szCs w:val="22"/>
          <w:shd w:val="clear" w:color="auto" w:fill="FFFFFF"/>
          <w:lang w:val="ru-RU"/>
        </w:rPr>
        <w:t xml:space="preserve"> </w:t>
      </w:r>
    </w:p>
    <w:p w:rsidR="00577A7D" w:rsidRPr="00DA76A7" w:rsidRDefault="00577A7D" w:rsidP="005B31C6">
      <w:pPr>
        <w:pStyle w:val="a4"/>
        <w:tabs>
          <w:tab w:val="clear" w:pos="4677"/>
          <w:tab w:val="clear" w:pos="9355"/>
          <w:tab w:val="center" w:pos="0"/>
          <w:tab w:val="right" w:pos="9639"/>
        </w:tabs>
        <w:jc w:val="center"/>
        <w:rPr>
          <w:rFonts w:ascii="Arial" w:hAnsi="Arial" w:cs="Arial"/>
          <w:b/>
          <w:color w:val="000000" w:themeColor="text1"/>
          <w:sz w:val="22"/>
          <w:szCs w:val="22"/>
        </w:rPr>
      </w:pPr>
      <w:bookmarkStart w:id="116" w:name="_Toc500276066"/>
    </w:p>
    <w:p w:rsidR="005B31C6" w:rsidRPr="00DA76A7" w:rsidRDefault="005B31C6" w:rsidP="005B31C6">
      <w:pPr>
        <w:pStyle w:val="a4"/>
        <w:tabs>
          <w:tab w:val="clear" w:pos="4677"/>
          <w:tab w:val="clear" w:pos="9355"/>
          <w:tab w:val="center" w:pos="0"/>
          <w:tab w:val="right" w:pos="9639"/>
        </w:tabs>
        <w:jc w:val="center"/>
        <w:rPr>
          <w:rFonts w:ascii="Arial" w:hAnsi="Arial" w:cs="Arial"/>
          <w:b/>
          <w:color w:val="000000" w:themeColor="text1"/>
          <w:sz w:val="22"/>
          <w:szCs w:val="22"/>
        </w:rPr>
      </w:pPr>
      <w:r w:rsidRPr="00DA76A7">
        <w:rPr>
          <w:rFonts w:ascii="Arial" w:hAnsi="Arial" w:cs="Arial"/>
          <w:b/>
          <w:color w:val="000000" w:themeColor="text1"/>
          <w:sz w:val="22"/>
          <w:szCs w:val="22"/>
        </w:rPr>
        <w:t>АДВОКАТУРА РОССИИ: ПРОШЛОЕ И НАСТОЯЩЕЕ</w:t>
      </w:r>
    </w:p>
    <w:p w:rsidR="005B31C6" w:rsidRPr="00DA76A7" w:rsidRDefault="005B31C6" w:rsidP="005B31C6">
      <w:pPr>
        <w:pStyle w:val="a4"/>
        <w:jc w:val="center"/>
        <w:rPr>
          <w:rFonts w:ascii="Arial" w:hAnsi="Arial" w:cs="Arial"/>
          <w:b/>
          <w:color w:val="000000" w:themeColor="text1"/>
          <w:sz w:val="22"/>
          <w:szCs w:val="22"/>
        </w:rPr>
      </w:pPr>
    </w:p>
    <w:p w:rsidR="005B31C6" w:rsidRPr="00DA76A7" w:rsidRDefault="005B31C6" w:rsidP="005B31C6">
      <w:pPr>
        <w:pStyle w:val="a4"/>
        <w:jc w:val="center"/>
        <w:rPr>
          <w:rFonts w:ascii="Arial" w:hAnsi="Arial" w:cs="Arial"/>
          <w:b/>
          <w:color w:val="000000" w:themeColor="text1"/>
          <w:sz w:val="22"/>
          <w:szCs w:val="22"/>
        </w:rPr>
      </w:pPr>
      <w:r w:rsidRPr="00DA76A7">
        <w:rPr>
          <w:rFonts w:ascii="Arial" w:hAnsi="Arial" w:cs="Arial"/>
          <w:b/>
          <w:color w:val="000000" w:themeColor="text1"/>
          <w:sz w:val="22"/>
          <w:szCs w:val="22"/>
        </w:rPr>
        <w:t>Амандурдыева Карина Ирижеповна</w:t>
      </w:r>
    </w:p>
    <w:p w:rsidR="005B31C6" w:rsidRPr="00DA76A7" w:rsidRDefault="005B31C6" w:rsidP="005B31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2-го курса очного отделения юридического факультета</w:t>
      </w:r>
    </w:p>
    <w:p w:rsidR="005B31C6" w:rsidRPr="00DA76A7" w:rsidRDefault="005B31C6" w:rsidP="005B31C6">
      <w:pPr>
        <w:pStyle w:val="a4"/>
        <w:jc w:val="center"/>
        <w:rPr>
          <w:rFonts w:ascii="Arial" w:hAnsi="Arial" w:cs="Arial"/>
          <w:color w:val="000000" w:themeColor="text1"/>
          <w:sz w:val="22"/>
          <w:szCs w:val="22"/>
        </w:rPr>
      </w:pPr>
      <w:r w:rsidRPr="00DA76A7">
        <w:rPr>
          <w:rFonts w:ascii="Arial" w:hAnsi="Arial" w:cs="Arial"/>
          <w:color w:val="000000" w:themeColor="text1"/>
          <w:sz w:val="22"/>
          <w:szCs w:val="22"/>
        </w:rPr>
        <w:t>Астраханский филиал образовательного частного учреждения высшего образования «Международный юридический институт»</w:t>
      </w:r>
    </w:p>
    <w:p w:rsidR="005B31C6" w:rsidRPr="00DA76A7" w:rsidRDefault="005B31C6" w:rsidP="005B31C6">
      <w:pPr>
        <w:pStyle w:val="Default"/>
        <w:jc w:val="center"/>
        <w:rPr>
          <w:rFonts w:ascii="Arial" w:hAnsi="Arial" w:cs="Arial"/>
          <w:color w:val="000000" w:themeColor="text1"/>
          <w:sz w:val="22"/>
          <w:szCs w:val="22"/>
        </w:rPr>
      </w:pPr>
      <w:r w:rsidRPr="00DA76A7">
        <w:rPr>
          <w:rFonts w:ascii="Arial" w:hAnsi="Arial" w:cs="Arial"/>
          <w:color w:val="000000" w:themeColor="text1"/>
          <w:sz w:val="22"/>
          <w:szCs w:val="22"/>
        </w:rPr>
        <w:t>414000, Россия, Астраханская обл., пос.Кирпичного завода 1, переулок 1 мая, д.6 «а»</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8964-881-23-81,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karishka210997@mail.ru</w:t>
      </w:r>
    </w:p>
    <w:p w:rsidR="005B31C6" w:rsidRPr="00DA76A7" w:rsidRDefault="005B31C6" w:rsidP="005B31C6">
      <w:pPr>
        <w:pStyle w:val="a4"/>
        <w:jc w:val="center"/>
        <w:rPr>
          <w:rFonts w:ascii="Arial" w:hAnsi="Arial" w:cs="Arial"/>
          <w:b/>
          <w:color w:val="000000" w:themeColor="text1"/>
          <w:sz w:val="22"/>
          <w:szCs w:val="22"/>
          <w:lang w:val="en-US"/>
        </w:rPr>
      </w:pPr>
    </w:p>
    <w:p w:rsidR="005B31C6" w:rsidRPr="00DA76A7" w:rsidRDefault="005B31C6" w:rsidP="005B31C6">
      <w:pPr>
        <w:pStyle w:val="a4"/>
        <w:jc w:val="center"/>
        <w:rPr>
          <w:rFonts w:ascii="Arial" w:hAnsi="Arial" w:cs="Arial"/>
          <w:b/>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RUSSIA'S ATTORNEY: PAST AND PRESENT</w:t>
      </w:r>
    </w:p>
    <w:p w:rsidR="005B31C6" w:rsidRPr="00DA76A7" w:rsidRDefault="005B31C6" w:rsidP="005B31C6">
      <w:pPr>
        <w:pStyle w:val="a4"/>
        <w:jc w:val="center"/>
        <w:rPr>
          <w:rFonts w:ascii="Arial" w:hAnsi="Arial" w:cs="Arial"/>
          <w:b/>
          <w:color w:val="000000" w:themeColor="text1"/>
          <w:sz w:val="22"/>
          <w:szCs w:val="22"/>
          <w:shd w:val="clear" w:color="auto" w:fill="FFFFFF"/>
          <w:lang w:val="en-US"/>
        </w:rPr>
      </w:pPr>
    </w:p>
    <w:p w:rsidR="005B31C6" w:rsidRPr="00DA76A7" w:rsidRDefault="005B31C6" w:rsidP="005B31C6">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Amandurdyeva Karina Irizhepovna</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student of the 2 nd year full-time department of the law faculty</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Astrakhan branch of the Educational Private Institution of Higher Education </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«International Law Institute»</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414000, Russia, Astrakhan Region, Kirpichny Plant, 1, Lane 1 May, 6 «a»</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8964-881-23-81, e-mail: karishka210997@mail.ru</w:t>
      </w:r>
    </w:p>
    <w:p w:rsidR="005B31C6" w:rsidRPr="00DA76A7" w:rsidRDefault="005B31C6" w:rsidP="005B31C6">
      <w:pPr>
        <w:pStyle w:val="a4"/>
        <w:jc w:val="center"/>
        <w:rPr>
          <w:rFonts w:ascii="Arial" w:hAnsi="Arial" w:cs="Arial"/>
          <w:color w:val="000000" w:themeColor="text1"/>
          <w:sz w:val="22"/>
          <w:szCs w:val="22"/>
          <w:lang w:val="en-US"/>
        </w:rPr>
      </w:pPr>
    </w:p>
    <w:p w:rsidR="005B31C6" w:rsidRPr="00DA76A7" w:rsidRDefault="005B31C6" w:rsidP="005B31C6">
      <w:pPr>
        <w:pStyle w:val="a4"/>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scientific adviser Usova Ekaterina Vladimirovna</w:t>
      </w:r>
    </w:p>
    <w:p w:rsidR="005B31C6" w:rsidRPr="00DA76A7" w:rsidRDefault="005B31C6" w:rsidP="005B31C6">
      <w:pPr>
        <w:pStyle w:val="a4"/>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candidate of political science, Head of the Department of Civil Law and Process</w:t>
      </w:r>
    </w:p>
    <w:p w:rsidR="005B31C6" w:rsidRPr="00DA76A7" w:rsidRDefault="005B31C6" w:rsidP="005B31C6">
      <w:pPr>
        <w:pStyle w:val="a4"/>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 xml:space="preserve">Astrakhan branch of the Educational Private Institution of Higher Education </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«International Law Institute»</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414041, Russia, Astrakhan, B.Alekseeva st., 20, 4, 77</w:t>
      </w:r>
    </w:p>
    <w:p w:rsidR="005B31C6" w:rsidRPr="00DA76A7" w:rsidRDefault="005B31C6" w:rsidP="005B31C6">
      <w:pPr>
        <w:pStyle w:val="a4"/>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8937-120-66-56,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sevruga81@yandex.ru</w:t>
      </w:r>
    </w:p>
    <w:p w:rsidR="005B31C6" w:rsidRPr="00DA76A7" w:rsidRDefault="005B31C6" w:rsidP="005B31C6">
      <w:pPr>
        <w:pStyle w:val="a4"/>
        <w:jc w:val="right"/>
        <w:rPr>
          <w:rFonts w:ascii="Arial" w:hAnsi="Arial" w:cs="Arial"/>
          <w:b/>
          <w:color w:val="000000" w:themeColor="text1"/>
          <w:sz w:val="22"/>
          <w:szCs w:val="22"/>
          <w:lang w:val="en-US"/>
        </w:rPr>
      </w:pPr>
    </w:p>
    <w:p w:rsidR="005B31C6" w:rsidRPr="00DA76A7" w:rsidRDefault="005B31C6" w:rsidP="005B31C6">
      <w:pPr>
        <w:pStyle w:val="a4"/>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к.п.н. Усова Е.В.</w:t>
      </w:r>
    </w:p>
    <w:p w:rsidR="005B31C6" w:rsidRPr="00DA76A7" w:rsidRDefault="005B31C6" w:rsidP="005B31C6">
      <w:pPr>
        <w:pStyle w:val="a4"/>
        <w:ind w:firstLine="567"/>
        <w:jc w:val="center"/>
        <w:rPr>
          <w:rFonts w:ascii="Arial" w:hAnsi="Arial" w:cs="Arial"/>
          <w:color w:val="000000" w:themeColor="text1"/>
          <w:sz w:val="22"/>
          <w:szCs w:val="22"/>
        </w:rPr>
      </w:pPr>
    </w:p>
    <w:p w:rsidR="005B31C6" w:rsidRPr="00DA76A7" w:rsidRDefault="005B31C6" w:rsidP="005B31C6">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статье рассматривается процесс становления и развития адвокатуры в России, с </w:t>
      </w:r>
      <w:r w:rsidRPr="00DA76A7">
        <w:rPr>
          <w:rFonts w:ascii="Arial" w:hAnsi="Arial" w:cs="Arial"/>
          <w:i/>
          <w:color w:val="000000" w:themeColor="text1"/>
          <w:sz w:val="22"/>
          <w:szCs w:val="22"/>
          <w:lang w:val="en-US"/>
        </w:rPr>
        <w:t>XIX</w:t>
      </w:r>
      <w:r w:rsidRPr="00DA76A7">
        <w:rPr>
          <w:rFonts w:ascii="Arial" w:hAnsi="Arial" w:cs="Arial"/>
          <w:i/>
          <w:color w:val="000000" w:themeColor="text1"/>
          <w:sz w:val="22"/>
          <w:szCs w:val="22"/>
        </w:rPr>
        <w:t xml:space="preserve"> века по настоящее время. Формирование института адвокатуры России предоставило возможность осуществить реализацию прав человека и гражданина на защиту. Определяется статус адвокатуры России в настоящее время как организации, не входящей в систему органов государственной власти.</w:t>
      </w:r>
    </w:p>
    <w:p w:rsidR="005B31C6" w:rsidRPr="00DA76A7" w:rsidRDefault="005B31C6" w:rsidP="005B31C6">
      <w:pPr>
        <w:pStyle w:val="a4"/>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The article deals with the process of formation and development of the Bar in Russia, from the 19th century to the present. The formation of the Institute of the Bar of the Russian Federation provided an opportunity to realize the human and civil rights to protection. The status of the advocacy of Russia is currently defined as an organization that is not part of the system of public authorities.</w:t>
      </w:r>
    </w:p>
    <w:p w:rsidR="005B31C6" w:rsidRPr="00DA76A7" w:rsidRDefault="005B31C6" w:rsidP="005B31C6">
      <w:pPr>
        <w:pStyle w:val="a4"/>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адвокатура; юридическая помощь; адвокат; адвокатская палата; адвокатское образование.</w:t>
      </w:r>
    </w:p>
    <w:p w:rsidR="005B31C6" w:rsidRPr="00DA76A7" w:rsidRDefault="005B31C6" w:rsidP="005B31C6">
      <w:pPr>
        <w:pStyle w:val="a4"/>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advocacy; legal assistance; lawyer; the Bar Association; lawyer education.</w:t>
      </w:r>
    </w:p>
    <w:p w:rsidR="005B31C6" w:rsidRPr="00DA76A7" w:rsidRDefault="005B31C6" w:rsidP="005B31C6">
      <w:pPr>
        <w:pStyle w:val="a4"/>
        <w:ind w:firstLine="567"/>
        <w:jc w:val="both"/>
        <w:rPr>
          <w:rFonts w:ascii="Arial" w:hAnsi="Arial" w:cs="Arial"/>
          <w:b/>
          <w:i/>
          <w:color w:val="000000" w:themeColor="text1"/>
          <w:sz w:val="22"/>
          <w:szCs w:val="22"/>
          <w:lang w:val="en-US"/>
        </w:rPr>
      </w:pPr>
    </w:p>
    <w:bookmarkEnd w:id="116"/>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Благодаря принятым судебным реформам в 1864 году адвокатура получила доступ в судебное производство. Становление и развитие института адвокатуры шло поэтапно. Для адвокатской деятельности самым значительным стал советский этап (период). В данный период адвокатская деятельность претерпела много значительных изменений, что очень сильно сказалось на ее развитии. Институт адвокатуры постепенно изменялся и приобретал все большую значимость.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Что же следует понимать под адвокатурой? В рамках данной статьи под адвокатурой мы понимаем, в первую очередь, адвокатскую деятельность, которая основана на нормативных правовых актах и осуществляется в рамках закона, это квалифицированная юридическая помощь, которая предоставляется гражданам и иным лицам на профессиональной основе. Адвокатская помощь предоставляется адвокатами - лицами, получившими этот статус в соответствии с требованиями закона, целью деятельности которых стала защита прав, свобод и интересов участников общественных отношений в различных сферах жизнедеятельности, а также обеспечения доступа к правосудию.</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Адвокатура сегодня является профессиональным сообществом адвокатов и как институт гражданского общества не входит в систему органов государственной власти и органов местного самоуправления, что определяет ее особое положение, определяет ее правовой статус. Адвокатура сегодня действует на основе принципов законности, независимости, самоуправления, корпоративности, а также принципа равноправия адвокатов.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период с 1940 по 1950 гг. нормативной правовой базой об адвокатуре было положение об адвокатуре 1939 года. В период руководства СССР Н.С. Хрущева положение дел стало меняться. В годы управления Н.С. Хрущева проводились меры по усилению роли права в строительстве социализма, в этом процессе важная роль была отведена также и профессиональным юристам. Юристу, защитнику было предоставлено больше возможностей, например, возможность участвовать на более ранних стадиях уголовного разбирательства по некоторым категориям дел. В ходе предварительного расследования предоставлялась возможность прибегнуть к представительству интересов несовершеннолетних, инвалидов и лиц, не владеющих языком судопроизводства. Законодатель возлагал на защитника права и обязанности, связанные с использованием всех указанных в законе средств и способов защиты при выяснении обстоятельств, способствовавших оправданию обвиняемого или смягчению его ответственности. Адвокат не мог отказаться от принятой защиты. Были внесены изменения в совокупность прав и обязанностей адвокатов, председателя президиума коллегии, заведующего юридической консультацией.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Роль адвокатуры в 60-е годы возросла по сравнению со сталинским режимом. Выразилось это в закреплении в процессуальном законодательстве возрастающей роли адвоката в суде. Адвокат получил возможность участвовать в рассмотрении не только уголовных дел, но и гражданских дел в суде любой инстанции, вплоть до Верховного суда СССР. Были сняты ограничения на допуск в военные трибуналы. Понятие адвокат – помощник суда сменилось понятием адвокат – представитель законных интересов подсудимого.</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Много нового появилось и в объеме работы адвоката. Помимо оказания юридической помощи населению на коллегию адвокатов возлагались обязанности по изучению и обобщению причин преступных проявлений и иных нарушений законности. Было закреплено право адвокатского запроса.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Впервые попытка возвратить былую независимость адвокатуры после ее ликвидации в 1917 году, была предпринята в Положении об адвокатуре 1962 года. Важнейшей нормой общественных организаций посвященной адвокатуре, считалась статья 161 Конституции СССР 1977 года. При этом рассматривая юридическую природу адвокатуры, отмечался условный характер термина «общественная организация», которая подразумевала под собой организацию негосударственного характера, поэтому принято было считать, что адвокатские коллегии являются негосударственными профессиональными объединениями, функционирующие на добровольной основе.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Завершающим этапом развития российской адвокатуры с советский период обусловлен принятием закона «Об адвокатуре СССР» 1979 года и Положения об адвокатуре РСФСР 1980 года. Данное законодательство основывалось на конституционных нормах, а институт адвокатуры был закреплен в отдельной статье Конституции СССР.</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 временем институт адвокатуры креп и приобретал значительный авторитет, вследствие чего адвокатуру даже стали называть организацией, контролирующей состояние законности со стороны интересов конкретного человека. В 1989 году в целях объединения адвокатов СССР для отстаивания интересов адвокатуры на всех уровнях и распространение передового опыта адвокатов был создан Союз адвокатов СССР. Эта структура сыграла огромную роль в объединении адвокатов союзных республик, сохранении ее независимость и самостоятельность. С распадом Советского Союза в 1991 году начался и распада в адвокатуре Союза адвокатов СССР </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2, С.24-38</w:t>
      </w:r>
      <w:r w:rsidRPr="00DA76A7">
        <w:rPr>
          <w:rFonts w:ascii="Arial" w:hAnsi="Arial" w:cs="Arial"/>
          <w:color w:val="000000" w:themeColor="text1"/>
          <w:sz w:val="22"/>
          <w:szCs w:val="22"/>
        </w:rPr>
        <w:sym w:font="Symbol" w:char="F05D"/>
      </w:r>
      <w:r w:rsidRPr="00DA76A7">
        <w:rPr>
          <w:rFonts w:ascii="Arial" w:hAnsi="Arial" w:cs="Arial"/>
          <w:color w:val="000000" w:themeColor="text1"/>
          <w:sz w:val="22"/>
          <w:szCs w:val="22"/>
        </w:rPr>
        <w:t>.</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Новым этапом становления института адвокатуры в России стало принятие Федерального закона от 31.05.2002 № 63-ФЗ «Об адвокатской деятельности и адвокатуре в РФ»</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1</w:t>
      </w:r>
      <w:r w:rsidRPr="00DA76A7">
        <w:rPr>
          <w:rFonts w:ascii="Arial" w:hAnsi="Arial" w:cs="Arial"/>
          <w:color w:val="000000" w:themeColor="text1"/>
          <w:sz w:val="22"/>
          <w:szCs w:val="22"/>
        </w:rPr>
        <w:sym w:font="Symbol" w:char="F05D"/>
      </w:r>
      <w:r w:rsidRPr="00DA76A7">
        <w:rPr>
          <w:rFonts w:ascii="Arial" w:hAnsi="Arial" w:cs="Arial"/>
          <w:color w:val="000000" w:themeColor="text1"/>
          <w:sz w:val="22"/>
          <w:szCs w:val="22"/>
        </w:rPr>
        <w:t>. Принять данный документ было весьма нелегко. Этому предшествовала большая работа. Многие спорили о природе, месте и роли адвокатуры в системе государственных органов.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литературе отмечают, что адвокатура является важнейшим элементом правозащитной системы общества</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5, С.183-188</w:t>
      </w:r>
      <w:r w:rsidRPr="00DA76A7">
        <w:rPr>
          <w:rFonts w:ascii="Arial" w:hAnsi="Arial" w:cs="Arial"/>
          <w:color w:val="000000" w:themeColor="text1"/>
          <w:sz w:val="22"/>
          <w:szCs w:val="22"/>
        </w:rPr>
        <w:sym w:font="Symbol" w:char="F05D"/>
      </w:r>
      <w:r w:rsidRPr="00DA76A7">
        <w:rPr>
          <w:rFonts w:ascii="Arial" w:hAnsi="Arial" w:cs="Arial"/>
          <w:color w:val="000000" w:themeColor="text1"/>
          <w:sz w:val="22"/>
          <w:szCs w:val="22"/>
        </w:rPr>
        <w:t>. Игнатов С.Д. определяет адвокатуру как негосударственное добровольное объединение профессиональных и квалифицированных юристов</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3, С.19</w:t>
      </w:r>
      <w:r w:rsidRPr="00DA76A7">
        <w:rPr>
          <w:rFonts w:ascii="Arial" w:hAnsi="Arial" w:cs="Arial"/>
          <w:color w:val="000000" w:themeColor="text1"/>
          <w:sz w:val="22"/>
          <w:szCs w:val="22"/>
        </w:rPr>
        <w:sym w:font="Symbol" w:char="F05D"/>
      </w:r>
      <w:r w:rsidRPr="00DA76A7">
        <w:rPr>
          <w:rFonts w:ascii="Arial" w:hAnsi="Arial" w:cs="Arial"/>
          <w:color w:val="000000" w:themeColor="text1"/>
          <w:sz w:val="22"/>
          <w:szCs w:val="22"/>
        </w:rPr>
        <w:t xml:space="preserve">.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сегодняшний день адвокатура в России занимает независимое положение от органов государственной власти. Адвокатура реализует свои функции, которые имеют общегосударственное значение. Это связано с тем, что ассоциации адвокатов играют важную роль в поддержании профессиональных стандартов, этических норм, помогают гражданам защитить свои права. Прежде всего, в обеспечении законности и соблюдении прав граждан заинтересовано само общество, а значит и государство. Из этого следует, что адвокатская деятельность отражает публичный интерес общества, который заключается в обеспечении законности, соблюдения прав граждан, обеспечении принципа состязательности сторон в судебном процессе</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4, С.329-336</w:t>
      </w:r>
      <w:r w:rsidRPr="00DA76A7">
        <w:rPr>
          <w:rFonts w:ascii="Arial" w:hAnsi="Arial" w:cs="Arial"/>
          <w:color w:val="000000" w:themeColor="text1"/>
          <w:sz w:val="22"/>
          <w:szCs w:val="22"/>
        </w:rPr>
        <w:sym w:font="Symbol" w:char="F05D"/>
      </w:r>
      <w:r w:rsidRPr="00DA76A7">
        <w:rPr>
          <w:rFonts w:ascii="Arial" w:hAnsi="Arial" w:cs="Arial"/>
          <w:color w:val="000000" w:themeColor="text1"/>
          <w:sz w:val="22"/>
          <w:szCs w:val="22"/>
        </w:rPr>
        <w:t xml:space="preserve">.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Правовой статус адвокатских палат и адвокатских образований (коллегии, бюро, юридические консультации) определен Гражданским кодексом РФ. С 2015г. адвокатские палаты и адвокатские образования в ГК РФ были выделены как самостоятельный вид некоммерческих организаций, как самостоятельная организационно-правовая форма. В 2015 года адвокатские палаты и адвокатские образования перестали приравниваться к таким некоммерческим организациям как ассоциации (союзы), т.к. такое приравнивание было неоднозначно воспринято в адвокатуре, в связи с значимыми различиями в модели их управления.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20-21 веке очень часто начали говорить о взаимодействии адвокатуры и государства. И.С. Яртых исследовал данную проблему и отметил, что адвокатура имеет двойственную природу - государственную и корпоративную (самоуправление)</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7</w:t>
      </w:r>
      <w:r w:rsidRPr="00DA76A7">
        <w:rPr>
          <w:rFonts w:ascii="Arial" w:hAnsi="Arial" w:cs="Arial"/>
          <w:color w:val="000000" w:themeColor="text1"/>
          <w:sz w:val="22"/>
          <w:szCs w:val="22"/>
        </w:rPr>
        <w:sym w:font="Symbol" w:char="F05D"/>
      </w:r>
      <w:r w:rsidRPr="00DA76A7">
        <w:rPr>
          <w:rFonts w:ascii="Arial" w:hAnsi="Arial" w:cs="Arial"/>
          <w:color w:val="000000" w:themeColor="text1"/>
          <w:sz w:val="22"/>
          <w:szCs w:val="22"/>
        </w:rPr>
        <w:t xml:space="preserve">. Но важно также обратить внимание на отношения адвокатуры и государства. Они ведут очень много как гражданских, так и уголовных дел, бесплатно помогают гражданам в составлении документов. Выполнение перечисленной помощи не сопровождается гарантиями затрат адвокатов со стороны государства. Автор считает, что Правительство РФ могло бы оказывать финансовую поддержку адвокатам, которые оказывают бесплатную юридическую помощь населению.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А.В. Хоменя отмечает, что отсутствие в Федеральном законе «Об адвокатской деятельности и адвокатуре в Российской Федерации» указания о том, что адвокат может быть защитником (представителем) органов государственной власти и органов местного самоуправления и их должностных лиц, представлять их интересы в судопроизводстве влечет трудности в судопроизводстве. Соглашаясь с точкой зрения А.В. Хоменя о необходимости закрепления в Федеральном законе «Об адвокатской деятельности и адвокатуре в Российской Федерации» прямого указания о том, что «органы власти наравне с гражданами и организациями имеют право обращения к адвокатам за любым видом юридической помощи», отмечу, что данное нововведение повлечет благоприятные последствия как для адвокатуры, таки для общества в целом.</w:t>
      </w:r>
      <w:r w:rsidRPr="00DA76A7">
        <w:rPr>
          <w:rFonts w:ascii="Arial" w:hAnsi="Arial" w:cs="Arial"/>
          <w:color w:val="000000" w:themeColor="text1"/>
          <w:sz w:val="22"/>
          <w:szCs w:val="22"/>
        </w:rPr>
        <w:sym w:font="Symbol" w:char="F05B"/>
      </w:r>
      <w:r w:rsidRPr="00DA76A7">
        <w:rPr>
          <w:rFonts w:ascii="Arial" w:hAnsi="Arial" w:cs="Arial"/>
          <w:color w:val="000000" w:themeColor="text1"/>
          <w:sz w:val="22"/>
          <w:szCs w:val="22"/>
        </w:rPr>
        <w:t>6</w:t>
      </w:r>
      <w:r w:rsidRPr="00DA76A7">
        <w:rPr>
          <w:rFonts w:ascii="Arial" w:hAnsi="Arial" w:cs="Arial"/>
          <w:color w:val="000000" w:themeColor="text1"/>
          <w:sz w:val="22"/>
          <w:szCs w:val="22"/>
        </w:rPr>
        <w:sym w:font="Symbol" w:char="F05D"/>
      </w:r>
      <w:r w:rsidRPr="00DA76A7">
        <w:rPr>
          <w:rFonts w:ascii="Arial" w:hAnsi="Arial" w:cs="Arial"/>
          <w:color w:val="000000" w:themeColor="text1"/>
          <w:sz w:val="22"/>
          <w:szCs w:val="22"/>
        </w:rPr>
        <w:t xml:space="preserve"> Автор согласен с мнением А.В. Хоменя, внесение изменений в данный нормативный правовой акт скажется благоприятно как на судопроизводстве, так и на обществе и государстве.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место адвокатуры на сегодняшний день в обществе многоаспектно. Институт адвокатуры взаимодействует с различными лицами и организационно-правовыми формами юридических лиц, негосударственными и государственными органами власти России. Статус института адвокатуры определяется Федеральным законом “Об адвокатской деятельности и адвокатуре в Российской Федерации”. Выступая в качестве института гражданского общества, она выполняет государственную функцию – оказание правовой помощи гражданам. Хоть адвокатура не входит в систему органов государственной власти, но можно сказать, что она приближена к судебной системе. </w:t>
      </w:r>
    </w:p>
    <w:p w:rsidR="005B31C6" w:rsidRPr="00DA76A7" w:rsidRDefault="005B31C6" w:rsidP="005B31C6">
      <w:pPr>
        <w:pStyle w:val="a4"/>
        <w:ind w:firstLine="567"/>
        <w:jc w:val="center"/>
        <w:rPr>
          <w:rFonts w:ascii="Arial" w:hAnsi="Arial" w:cs="Arial"/>
          <w:b/>
          <w:color w:val="000000" w:themeColor="text1"/>
          <w:sz w:val="22"/>
          <w:szCs w:val="22"/>
        </w:rPr>
      </w:pPr>
    </w:p>
    <w:p w:rsidR="005B31C6" w:rsidRPr="00DA76A7" w:rsidRDefault="005B31C6" w:rsidP="005B31C6">
      <w:pPr>
        <w:pStyle w:val="a4"/>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5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Федеральный закон от 31.05.2002 N 63-ФЗ (ред. от 29.07.2017) «Об адвокатской деятельности и адвокатуре в Российской Федерации»// «Парламентская газета. - 05.06.2002. - № 104.</w:t>
      </w:r>
    </w:p>
    <w:p w:rsidR="005B31C6" w:rsidRPr="00DA76A7" w:rsidRDefault="005B31C6" w:rsidP="00D45D6B">
      <w:pPr>
        <w:pStyle w:val="a6"/>
        <w:numPr>
          <w:ilvl w:val="0"/>
          <w:numId w:val="15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Головин А. Ю., Соломатин Е. Н. Основные тенденции развития отечественной адвокатуры в годы советской власти (1917 - 1991 гг. ) // Известия ТулГУ. Экономические и юридические науки. - 2011. - №2-2. - С.24-38.</w:t>
      </w:r>
    </w:p>
    <w:p w:rsidR="005B31C6" w:rsidRPr="00DA76A7" w:rsidRDefault="005B31C6" w:rsidP="00D45D6B">
      <w:pPr>
        <w:pStyle w:val="a6"/>
        <w:numPr>
          <w:ilvl w:val="0"/>
          <w:numId w:val="15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Игнатов С.Д. Концептуальные основы организации адвокатуры в России (вопросы теории и практики): Монография. – Ижевск, 2006. - С. 19.</w:t>
      </w:r>
    </w:p>
    <w:p w:rsidR="005B31C6" w:rsidRPr="00DA76A7" w:rsidRDefault="005B31C6" w:rsidP="00D45D6B">
      <w:pPr>
        <w:pStyle w:val="a6"/>
        <w:numPr>
          <w:ilvl w:val="0"/>
          <w:numId w:val="15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Соломатин Е. Н. Адвокатура как институт гражданского общества на современном этапе развития России // Известия ТулГУ. Экономические и юридические науки. - 2010. - №1-2. - С.329-336.</w:t>
      </w:r>
    </w:p>
    <w:p w:rsidR="005B31C6" w:rsidRPr="00DA76A7" w:rsidRDefault="005B31C6" w:rsidP="00D45D6B">
      <w:pPr>
        <w:pStyle w:val="a6"/>
        <w:numPr>
          <w:ilvl w:val="0"/>
          <w:numId w:val="15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Хазипова Х. М. Место адвокатуры в современном российском обществе // Вестник Удмуртского университета. Серия «Экономика и право». - 2007. - №2. - С.183-188.</w:t>
      </w:r>
    </w:p>
    <w:p w:rsidR="005B31C6" w:rsidRPr="00DA76A7" w:rsidRDefault="005B31C6" w:rsidP="00D45D6B">
      <w:pPr>
        <w:pStyle w:val="a6"/>
        <w:numPr>
          <w:ilvl w:val="0"/>
          <w:numId w:val="15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Хоменя А.В. Особенности формирования правового статуса адвокатуры в России: Автореф. дис. … канд. юрид. наук. - М., 2007. - 25с.</w:t>
      </w:r>
    </w:p>
    <w:p w:rsidR="005B31C6" w:rsidRPr="00DA76A7" w:rsidRDefault="005B31C6" w:rsidP="00D45D6B">
      <w:pPr>
        <w:pStyle w:val="a6"/>
        <w:numPr>
          <w:ilvl w:val="0"/>
          <w:numId w:val="150"/>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Яртых И.С. Проблема взаимодействия адвокатуры и государственной власти: дис. … канд. юрид. наук. - М., 2003. - 28с.</w:t>
      </w:r>
    </w:p>
    <w:p w:rsidR="005B31C6" w:rsidRPr="00DA76A7" w:rsidRDefault="005B31C6" w:rsidP="005B31C6">
      <w:pPr>
        <w:ind w:firstLine="567"/>
        <w:rPr>
          <w:rFonts w:ascii="Arial" w:hAnsi="Arial" w:cs="Arial"/>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РЕФОРМА ПЕНСИОННОЙ СИСТЕМЫ  РОСИЙССКОЙ ФЕДЕРАЦИИ КАК СРЕДСТВО РЕАЛИЗАЦИИ   КОНСТИТУЦИОННОГО ПРАВА ГРАЖДАН</w:t>
      </w: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НА СОЦИАЛЬНОЕ ОБЕСПЕЧЕНИЕ</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Багирова Малика Файзидиновна</w:t>
      </w:r>
    </w:p>
    <w:p w:rsidR="005B31C6" w:rsidRPr="00DA76A7" w:rsidRDefault="005B31C6" w:rsidP="005B31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соискатель юридического факультета</w:t>
      </w:r>
    </w:p>
    <w:p w:rsidR="005B31C6" w:rsidRPr="00DA76A7" w:rsidRDefault="005B31C6" w:rsidP="005B31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734025, Республика Таджикистан, г. Душанбе, ул. М. Турсунзаде, 30</w:t>
      </w:r>
    </w:p>
    <w:p w:rsidR="005B31C6" w:rsidRPr="00DA76A7" w:rsidRDefault="005B31C6" w:rsidP="005B31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 xml:space="preserve">тел.: 98-885-88-80,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44" w:history="1">
        <w:r w:rsidRPr="00DA76A7">
          <w:rPr>
            <w:rStyle w:val="af0"/>
            <w:rFonts w:ascii="Arial" w:hAnsi="Arial" w:cs="Arial"/>
            <w:bCs/>
            <w:color w:val="000000" w:themeColor="text1"/>
            <w:sz w:val="22"/>
            <w:szCs w:val="22"/>
            <w:u w:val="none"/>
            <w:lang w:val="en-US"/>
          </w:rPr>
          <w:t>malika</w:t>
        </w:r>
        <w:r w:rsidRPr="00DA76A7">
          <w:rPr>
            <w:rStyle w:val="af0"/>
            <w:rFonts w:ascii="Arial" w:hAnsi="Arial" w:cs="Arial"/>
            <w:bCs/>
            <w:color w:val="000000" w:themeColor="text1"/>
            <w:sz w:val="22"/>
            <w:szCs w:val="22"/>
            <w:u w:val="none"/>
          </w:rPr>
          <w:t>@</w:t>
        </w:r>
        <w:r w:rsidRPr="00DA76A7">
          <w:rPr>
            <w:rStyle w:val="af0"/>
            <w:rFonts w:ascii="Arial" w:hAnsi="Arial" w:cs="Arial"/>
            <w:bCs/>
            <w:color w:val="000000" w:themeColor="text1"/>
            <w:sz w:val="22"/>
            <w:szCs w:val="22"/>
            <w:u w:val="none"/>
            <w:lang w:val="en-US"/>
          </w:rPr>
          <w:t>mail</w:t>
        </w:r>
        <w:r w:rsidRPr="00DA76A7">
          <w:rPr>
            <w:rStyle w:val="af0"/>
            <w:rFonts w:ascii="Arial" w:hAnsi="Arial" w:cs="Arial"/>
            <w:bCs/>
            <w:color w:val="000000" w:themeColor="text1"/>
            <w:sz w:val="22"/>
            <w:szCs w:val="22"/>
            <w:u w:val="none"/>
          </w:rPr>
          <w:t>.</w:t>
        </w:r>
        <w:r w:rsidRPr="00DA76A7">
          <w:rPr>
            <w:rStyle w:val="af0"/>
            <w:rFonts w:ascii="Arial" w:hAnsi="Arial" w:cs="Arial"/>
            <w:bCs/>
            <w:color w:val="000000" w:themeColor="text1"/>
            <w:sz w:val="22"/>
            <w:szCs w:val="22"/>
            <w:u w:val="none"/>
            <w:lang w:val="en-US"/>
          </w:rPr>
          <w:t>ru</w:t>
        </w:r>
      </w:hyperlink>
    </w:p>
    <w:p w:rsidR="005B31C6" w:rsidRPr="00DA76A7" w:rsidRDefault="005B31C6" w:rsidP="005B31C6">
      <w:pPr>
        <w:jc w:val="center"/>
        <w:rPr>
          <w:rFonts w:ascii="Arial" w:hAnsi="Arial" w:cs="Arial"/>
          <w:bCs/>
          <w:color w:val="000000" w:themeColor="text1"/>
          <w:sz w:val="22"/>
          <w:szCs w:val="22"/>
        </w:rPr>
      </w:pPr>
    </w:p>
    <w:p w:rsidR="005B31C6" w:rsidRPr="00DA76A7" w:rsidRDefault="005B31C6" w:rsidP="005B31C6">
      <w:pPr>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REFORM OF THE PENSIONSYSTEM OF THE RUSSIAN FEDERATION AS A MEANS OF IMPLEMENTING THE CITIZENS CONSTITUTIONAL RIGHT TO SOCIAL SECURITY</w:t>
      </w:r>
    </w:p>
    <w:p w:rsidR="005B31C6" w:rsidRPr="00DA76A7" w:rsidRDefault="005B31C6" w:rsidP="005B31C6">
      <w:pPr>
        <w:jc w:val="center"/>
        <w:rPr>
          <w:rFonts w:ascii="Arial" w:hAnsi="Arial" w:cs="Arial"/>
          <w:b/>
          <w:bCs/>
          <w:color w:val="000000" w:themeColor="text1"/>
          <w:sz w:val="22"/>
          <w:szCs w:val="22"/>
          <w:lang w:val="en-US"/>
        </w:rPr>
      </w:pPr>
    </w:p>
    <w:p w:rsidR="005B31C6" w:rsidRPr="00DA76A7" w:rsidRDefault="005B31C6" w:rsidP="005B31C6">
      <w:pPr>
        <w:jc w:val="center"/>
        <w:rPr>
          <w:rFonts w:ascii="Arial" w:hAnsi="Arial" w:cs="Arial"/>
          <w:b/>
          <w:bCs/>
          <w:color w:val="000000" w:themeColor="text1"/>
          <w:sz w:val="22"/>
          <w:szCs w:val="22"/>
          <w:lang w:val="en-US"/>
        </w:rPr>
      </w:pPr>
      <w:r w:rsidRPr="00DA76A7">
        <w:rPr>
          <w:rFonts w:ascii="Arial" w:hAnsi="Arial" w:cs="Arial"/>
          <w:b/>
          <w:bCs/>
          <w:color w:val="000000" w:themeColor="text1"/>
          <w:sz w:val="22"/>
          <w:szCs w:val="22"/>
          <w:lang w:val="en-US"/>
        </w:rPr>
        <w:t>Bagirova Malika Fayzidinovna</w:t>
      </w:r>
    </w:p>
    <w:p w:rsidR="005B31C6" w:rsidRPr="00DA76A7" w:rsidRDefault="005B31C6" w:rsidP="005B31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pplicant of the faculty of law</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Russian-Tajik (Slavonic) university</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734025, Republic of Tajikistan, Dushanbe, M. Tursunzade str., 30</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 xml:space="preserve">tel.: 98-885-88-80, e-mail: </w:t>
      </w:r>
      <w:hyperlink r:id="rId345" w:history="1">
        <w:r w:rsidRPr="00DA76A7">
          <w:rPr>
            <w:rStyle w:val="af0"/>
            <w:rFonts w:ascii="Arial" w:hAnsi="Arial" w:cs="Arial"/>
            <w:bCs/>
            <w:color w:val="000000" w:themeColor="text1"/>
            <w:sz w:val="22"/>
            <w:szCs w:val="22"/>
            <w:u w:val="none"/>
            <w:lang w:val="en-US"/>
          </w:rPr>
          <w:t>malika@mail.ru</w:t>
        </w:r>
      </w:hyperlink>
    </w:p>
    <w:p w:rsidR="005B31C6" w:rsidRPr="00DA76A7" w:rsidRDefault="005B31C6" w:rsidP="005B31C6">
      <w:pPr>
        <w:ind w:firstLine="567"/>
        <w:jc w:val="right"/>
        <w:rPr>
          <w:rFonts w:ascii="Arial" w:hAnsi="Arial" w:cs="Arial"/>
          <w:bCs/>
          <w:color w:val="000000" w:themeColor="text1"/>
          <w:sz w:val="22"/>
          <w:szCs w:val="22"/>
          <w:lang w:val="en-US"/>
        </w:rPr>
      </w:pPr>
    </w:p>
    <w:p w:rsidR="005B31C6" w:rsidRPr="00DA76A7" w:rsidRDefault="005B31C6" w:rsidP="005B31C6">
      <w:pPr>
        <w:ind w:firstLine="567"/>
        <w:jc w:val="right"/>
        <w:rPr>
          <w:rFonts w:ascii="Arial" w:hAnsi="Arial" w:cs="Arial"/>
          <w:bCs/>
          <w:color w:val="000000" w:themeColor="text1"/>
          <w:sz w:val="22"/>
          <w:szCs w:val="22"/>
        </w:rPr>
      </w:pPr>
      <w:r w:rsidRPr="00DA76A7">
        <w:rPr>
          <w:rFonts w:ascii="Arial" w:hAnsi="Arial" w:cs="Arial"/>
          <w:bCs/>
          <w:color w:val="000000" w:themeColor="text1"/>
          <w:sz w:val="22"/>
          <w:szCs w:val="22"/>
        </w:rPr>
        <w:t>Научный руководитель: д.ю.н., профессор Алимов С.Ю.</w:t>
      </w:r>
    </w:p>
    <w:p w:rsidR="005B31C6" w:rsidRPr="00DA76A7" w:rsidRDefault="005B31C6" w:rsidP="005B31C6">
      <w:pPr>
        <w:ind w:firstLine="567"/>
        <w:jc w:val="center"/>
        <w:rPr>
          <w:rFonts w:ascii="Arial" w:hAnsi="Arial" w:cs="Arial"/>
          <w:bCs/>
          <w:color w:val="000000" w:themeColor="text1"/>
          <w:sz w:val="22"/>
          <w:szCs w:val="22"/>
        </w:rPr>
      </w:pPr>
      <w:r w:rsidRPr="00DA76A7">
        <w:rPr>
          <w:rFonts w:ascii="Arial" w:hAnsi="Arial" w:cs="Arial"/>
          <w:bCs/>
          <w:color w:val="000000" w:themeColor="text1"/>
          <w:sz w:val="22"/>
          <w:szCs w:val="22"/>
        </w:rPr>
        <w:t xml:space="preserve">             </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bCs/>
          <w:i/>
          <w:color w:val="000000" w:themeColor="text1"/>
          <w:sz w:val="22"/>
          <w:szCs w:val="22"/>
        </w:rPr>
        <w:t>Аннотация.</w:t>
      </w:r>
      <w:r w:rsidRPr="00DA76A7">
        <w:rPr>
          <w:rFonts w:ascii="Arial" w:hAnsi="Arial" w:cs="Arial"/>
          <w:bCs/>
          <w:i/>
          <w:color w:val="000000" w:themeColor="text1"/>
          <w:sz w:val="22"/>
          <w:szCs w:val="22"/>
        </w:rPr>
        <w:t xml:space="preserve"> В данной </w:t>
      </w:r>
      <w:r w:rsidRPr="00DA76A7">
        <w:rPr>
          <w:rFonts w:ascii="Arial" w:hAnsi="Arial" w:cs="Arial"/>
          <w:i/>
          <w:color w:val="000000" w:themeColor="text1"/>
          <w:sz w:val="22"/>
          <w:szCs w:val="22"/>
        </w:rPr>
        <w:t>статье рассматриваются вопросы реформирования пенсионной системы Российской Федерации, представлен анализ социального обеспечения граждан Российской федерации, а также раскрыты вопросы пенсионного обеспечения граждан Российской Федерации.</w:t>
      </w:r>
    </w:p>
    <w:p w:rsidR="005B31C6" w:rsidRPr="00DA76A7" w:rsidRDefault="005B31C6" w:rsidP="005B31C6">
      <w:pPr>
        <w:ind w:firstLine="567"/>
        <w:jc w:val="both"/>
        <w:rPr>
          <w:rFonts w:ascii="Arial" w:hAnsi="Arial" w:cs="Arial"/>
          <w:b/>
          <w:bCs/>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this article, the issues of reforming the pension system of the Russian Federation are considered, an analysis of the social security of citizens of the Russian Federation is presented, as well as questions of pension provision for citizens of the Russian Federation.</w:t>
      </w:r>
      <w:r w:rsidRPr="00DA76A7">
        <w:rPr>
          <w:rFonts w:ascii="Arial" w:hAnsi="Arial" w:cs="Arial"/>
          <w:b/>
          <w:bCs/>
          <w:i/>
          <w:color w:val="000000" w:themeColor="text1"/>
          <w:sz w:val="22"/>
          <w:szCs w:val="22"/>
          <w:lang w:val="en-US"/>
        </w:rPr>
        <w:t xml:space="preserve">  </w:t>
      </w:r>
    </w:p>
    <w:p w:rsidR="005B31C6" w:rsidRPr="00DA76A7" w:rsidRDefault="005B31C6" w:rsidP="005B31C6">
      <w:pPr>
        <w:ind w:firstLine="567"/>
        <w:jc w:val="both"/>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Ключевые слова: </w:t>
      </w:r>
      <w:r w:rsidRPr="00DA76A7">
        <w:rPr>
          <w:rFonts w:ascii="Arial" w:hAnsi="Arial" w:cs="Arial"/>
          <w:bCs/>
          <w:i/>
          <w:color w:val="000000" w:themeColor="text1"/>
          <w:sz w:val="22"/>
          <w:szCs w:val="22"/>
        </w:rPr>
        <w:t xml:space="preserve">пенсионная система, социальное обеспечение, пенсия, пособия, пенсионные взносы, пенсионное обеспечение. </w:t>
      </w:r>
    </w:p>
    <w:p w:rsidR="005B31C6" w:rsidRPr="00DA76A7" w:rsidRDefault="005B31C6" w:rsidP="005B31C6">
      <w:pPr>
        <w:ind w:firstLine="567"/>
        <w:jc w:val="both"/>
        <w:rPr>
          <w:rFonts w:ascii="Arial" w:hAnsi="Arial" w:cs="Arial"/>
          <w:bCs/>
          <w:i/>
          <w:color w:val="000000" w:themeColor="text1"/>
          <w:sz w:val="22"/>
          <w:szCs w:val="22"/>
          <w:lang w:val="en-US"/>
        </w:rPr>
      </w:pPr>
      <w:r w:rsidRPr="00DA76A7">
        <w:rPr>
          <w:rFonts w:ascii="Arial" w:hAnsi="Arial" w:cs="Arial"/>
          <w:b/>
          <w:bCs/>
          <w:i/>
          <w:color w:val="000000" w:themeColor="text1"/>
          <w:sz w:val="22"/>
          <w:szCs w:val="22"/>
          <w:lang w:val="en-US"/>
        </w:rPr>
        <w:t xml:space="preserve">Key words: </w:t>
      </w:r>
      <w:r w:rsidRPr="00DA76A7">
        <w:rPr>
          <w:rFonts w:ascii="Arial" w:hAnsi="Arial" w:cs="Arial"/>
          <w:bCs/>
          <w:i/>
          <w:color w:val="000000" w:themeColor="text1"/>
          <w:sz w:val="22"/>
          <w:szCs w:val="22"/>
          <w:lang w:val="en-US"/>
        </w:rPr>
        <w:t>pension system, social security, pension, benefits, pension contributions, pensions.</w:t>
      </w:r>
    </w:p>
    <w:p w:rsidR="005B31C6" w:rsidRPr="00DA76A7" w:rsidRDefault="005B31C6" w:rsidP="005B31C6">
      <w:pPr>
        <w:ind w:firstLine="567"/>
        <w:jc w:val="both"/>
        <w:rPr>
          <w:rFonts w:ascii="Arial" w:hAnsi="Arial" w:cs="Arial"/>
          <w:bCs/>
          <w:color w:val="000000" w:themeColor="text1"/>
          <w:sz w:val="22"/>
          <w:szCs w:val="22"/>
          <w:lang w:val="en-US"/>
        </w:rPr>
      </w:pPr>
    </w:p>
    <w:p w:rsidR="005B31C6" w:rsidRPr="00DA76A7" w:rsidRDefault="005B31C6" w:rsidP="005B31C6">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Прежде чем рассмотреть вопросы реформирования пенсионной системы Российской Федерации, следует рассмотреть пенсионную систему рассматриваемого государства. Вместе с тем пенсионная система рассматриваемого государства это совокупность создаваемых государством правовых, экономических, организационных институтов и норм, предусматривающих предоставление гражданам материального обеспечения в виде пенсии </w:t>
      </w:r>
      <w:r w:rsidRPr="00DA76A7">
        <w:rPr>
          <w:rFonts w:ascii="Arial" w:hAnsi="Arial" w:cs="Arial"/>
          <w:color w:val="000000" w:themeColor="text1"/>
          <w:sz w:val="22"/>
          <w:szCs w:val="22"/>
        </w:rPr>
        <w:t>[4, 129-130]</w:t>
      </w:r>
      <w:r w:rsidRPr="00DA76A7">
        <w:rPr>
          <w:rFonts w:ascii="Arial" w:hAnsi="Arial" w:cs="Arial"/>
          <w:bCs/>
          <w:color w:val="000000" w:themeColor="text1"/>
          <w:sz w:val="22"/>
          <w:szCs w:val="22"/>
        </w:rPr>
        <w:t>.</w:t>
      </w:r>
    </w:p>
    <w:p w:rsidR="005B31C6" w:rsidRPr="00DA76A7" w:rsidRDefault="005B31C6" w:rsidP="005B31C6">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Следует отметить, что в рассматриваемом государстве существует пенсионный фонд, который имеет немалое влияние на экономику государства, поскольку основной целью его является обеспечить заработанный человеком уровень жизненных благ путем перераспределения и накопления средств во времени и в пространстве, а именно где бы человек ни жил, он своим трудом и прошлым и социальными отчислениями гарантирует себе определенный прожиточный уровень в будущем. Между тем, пенсионный фонд своими средствами обеспечивает выплату ежемесячных пособий пенсий людям, которые в силу определенных обстоятельств не могут обеспечить свое проживание, в том числе пенсионеров </w:t>
      </w:r>
      <w:r w:rsidRPr="00DA76A7">
        <w:rPr>
          <w:rFonts w:ascii="Arial" w:hAnsi="Arial" w:cs="Arial"/>
          <w:color w:val="000000" w:themeColor="text1"/>
          <w:sz w:val="22"/>
          <w:szCs w:val="22"/>
        </w:rPr>
        <w:t>[4, 130]</w:t>
      </w:r>
      <w:r w:rsidRPr="00DA76A7">
        <w:rPr>
          <w:rFonts w:ascii="Arial" w:hAnsi="Arial" w:cs="Arial"/>
          <w:bCs/>
          <w:color w:val="000000" w:themeColor="text1"/>
          <w:sz w:val="22"/>
          <w:szCs w:val="22"/>
        </w:rPr>
        <w:t xml:space="preserve">. Так, в частности, средства накопляемые в пенсионном фонде расходуются на выплаты государственных пенсий, пенсий инвалидам, военным, компенсации пенсионерам, пособии для детей в возрасте от 1, 5 до 6 лет и на многие другие социальные обеспечения. </w:t>
      </w:r>
    </w:p>
    <w:p w:rsidR="005B31C6" w:rsidRPr="00DA76A7" w:rsidRDefault="005B31C6" w:rsidP="005B31C6">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Необходимо отметить, что право на социальное обеспечение это одно из социальных прав человека; право на помощь со стороны государства в виде выплаты пенсий и пособий по старости, временной или постоянной нетрудоспособности, по случаю потери кормильца, по безработице, по бедности </w:t>
      </w:r>
      <w:r w:rsidRPr="00DA76A7">
        <w:rPr>
          <w:rFonts w:ascii="Arial" w:hAnsi="Arial" w:cs="Arial"/>
          <w:color w:val="000000" w:themeColor="text1"/>
          <w:sz w:val="22"/>
          <w:szCs w:val="22"/>
        </w:rPr>
        <w:t>[4, 130-131]</w:t>
      </w:r>
      <w:r w:rsidRPr="00DA76A7">
        <w:rPr>
          <w:rFonts w:ascii="Arial" w:hAnsi="Arial" w:cs="Arial"/>
          <w:bCs/>
          <w:color w:val="000000" w:themeColor="text1"/>
          <w:sz w:val="22"/>
          <w:szCs w:val="22"/>
        </w:rPr>
        <w:t xml:space="preserve">. </w:t>
      </w:r>
    </w:p>
    <w:p w:rsidR="005B31C6" w:rsidRPr="00DA76A7" w:rsidRDefault="005B31C6" w:rsidP="005B31C6">
      <w:pPr>
        <w:ind w:firstLine="567"/>
        <w:jc w:val="both"/>
        <w:rPr>
          <w:rFonts w:ascii="Arial" w:hAnsi="Arial" w:cs="Arial"/>
          <w:bCs/>
          <w:color w:val="000000" w:themeColor="text1"/>
          <w:sz w:val="22"/>
          <w:szCs w:val="22"/>
        </w:rPr>
      </w:pPr>
      <w:r w:rsidRPr="00DA76A7">
        <w:rPr>
          <w:rFonts w:ascii="Arial" w:hAnsi="Arial" w:cs="Arial"/>
          <w:bCs/>
          <w:color w:val="000000" w:themeColor="text1"/>
          <w:sz w:val="22"/>
          <w:szCs w:val="22"/>
        </w:rPr>
        <w:t xml:space="preserve">Между тем в рассматриваемом государстве существует комитет по экономическим, социальным и культурным правам, который выделяет следующие элементы права на социальное обеспечение; охрана здоровья, болезнь, старость, безработица, производственная травма, помощь семье и детям, материнство, инвалидность, потеря кормильца и сиротство </w:t>
      </w:r>
      <w:r w:rsidRPr="00DA76A7">
        <w:rPr>
          <w:rFonts w:ascii="Arial" w:hAnsi="Arial" w:cs="Arial"/>
          <w:color w:val="000000" w:themeColor="text1"/>
          <w:sz w:val="22"/>
          <w:szCs w:val="22"/>
        </w:rPr>
        <w:t>[3]</w:t>
      </w:r>
      <w:r w:rsidRPr="00DA76A7">
        <w:rPr>
          <w:rFonts w:ascii="Arial" w:hAnsi="Arial" w:cs="Arial"/>
          <w:bCs/>
          <w:color w:val="000000" w:themeColor="text1"/>
          <w:sz w:val="22"/>
          <w:szCs w:val="22"/>
        </w:rPr>
        <w:t>.</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 xml:space="preserve">Следует отметить, что в Основном законе рассматриваемого государства в ст. 7 сказано, что Российская Федерация, является  социальным государством, закрепляет исходный принцип конституционного регулирования важнейших сторон политики государства, направленной на создание условий, обеспечивающих достойную жизнь и свободное развитие человека [1]. Во второй части статьи юридически обеспечивает отношение государства к охране труда и здоровья людей, поддержке семьи, материнства, отцовства и детства, инвалидов и пожилых граждан. Для оказания социальной поддержки населению государство развивает систему социальных служб, устанавливаются пенсии, пособия и иные гарантии социальной защиты [2]. Государство должно гарантировать своему гражданину, оказавшемуся в трудном положении, определенный минимум социальных благ. Несмотря на то, что в Конституции Российской Федерации право на достаточный и достойный жизненный уровень не определено, согласно общепризнанным принципам и нормам международного права оно должно гарантироваться гражданам России [1]. Однако существующая государственная система помощи социально уязвимым группам населения не в состоянии обеспечить им право на достойную жизнь.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Необходимо отметить, что в посланиях главы рассматриваемого государства В.В. Путина были сформулированы основные приоритеты социально-экономической политики на ближайшее десятилетие. И сегодня основные усилия направлены именно на те факты, которые прямо определяют качество жизни граждан на их социальное обеспечение. Реализуются национальные проекты в области образования, здравоохранения, сельского хозяйства, в жилищном строительстве, социальной сфере.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Основными причинами по изменению пенсионных отношений в стране стали следующие: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во-первых, низкий размер пенсии, вклад тех, кто много зарабатывает и делает большие пенсионные взносы;</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во-вторых, сложность и запутанность пенсионного законодательства, невозможность заранее рассчитать каждому свою пенсию [4, 130-131].</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принятие новых законов в конце 2001 года, дали большой старт новой пенсионной реформе, которое позволило решить несколько задач. А именно задачей пенсионной реформы в первую очередь вывести скрытые части зарплат и увеличить за счет этого поступления средств для выплаты пенсий сегодняшним пенсионерам. Во вторую очередь, задачей пенсионной реформы является создание целей для работающих к полной уплате взносов со своего объема доходов. В данное время в стране введена новая пенсионная модель, учитывающая весь денежный капитал, внесенный каждым гражданином за каждый год и месяц своего трудового стажа, а также закрепляет их в виде обязательств государства персонально перед каждым работником. В последующем после выхода на пенсию, данные обязательства должны выполняться в полном объеме.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средства, перечисляемые в пенсионную систему, должны обеспечивать гражданину более высокий доход, чем сбережения их в банке. Вместе с тем новая модель пенсионной системы гарантирует каждому получение пенсии. Между тем пенсионное обеспечение это одна из самых важных социальных гарантий стабильного развития общества. Наряду с этим, гарантия прав граждан на пенсионное обеспечение до достижения соответствующего пенсионного возраста обеспечена Основным законом рассматриваемого государства.</w:t>
      </w:r>
    </w:p>
    <w:p w:rsidR="005B31C6" w:rsidRPr="00DA76A7" w:rsidRDefault="005B31C6" w:rsidP="005B31C6">
      <w:pPr>
        <w:ind w:firstLine="567"/>
        <w:jc w:val="both"/>
        <w:rPr>
          <w:rFonts w:ascii="Arial" w:hAnsi="Arial" w:cs="Arial"/>
          <w:b/>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5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Конституция Российской Федерации от 12 декабря 1993 г.</w:t>
      </w:r>
    </w:p>
    <w:p w:rsidR="005B31C6" w:rsidRPr="00DA76A7" w:rsidRDefault="005B31C6" w:rsidP="00D45D6B">
      <w:pPr>
        <w:pStyle w:val="a6"/>
        <w:numPr>
          <w:ilvl w:val="0"/>
          <w:numId w:val="15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Федеральный закон от 17.12.2001 № 173 «О трудовых пенсиях в Российской Федерации».</w:t>
      </w:r>
    </w:p>
    <w:p w:rsidR="005B31C6" w:rsidRPr="00DA76A7" w:rsidRDefault="005B31C6" w:rsidP="00D45D6B">
      <w:pPr>
        <w:pStyle w:val="a6"/>
        <w:numPr>
          <w:ilvl w:val="0"/>
          <w:numId w:val="15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Федеральный закон РФ «О государственном пенсионном обеспечении в РФ» от 15.12.2001 г. - № 166.</w:t>
      </w:r>
    </w:p>
    <w:p w:rsidR="005B31C6" w:rsidRPr="00DA76A7" w:rsidRDefault="005B31C6" w:rsidP="00D45D6B">
      <w:pPr>
        <w:pStyle w:val="a6"/>
        <w:numPr>
          <w:ilvl w:val="0"/>
          <w:numId w:val="151"/>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Михальчук В.Ю. Пенсионная система России: перспективы развития. - М., 2007. - 349 с.</w:t>
      </w:r>
    </w:p>
    <w:p w:rsidR="005B31C6" w:rsidRPr="00DA76A7" w:rsidRDefault="005B31C6" w:rsidP="005B31C6">
      <w:pPr>
        <w:ind w:firstLine="567"/>
        <w:rPr>
          <w:rFonts w:ascii="Arial" w:hAnsi="Arial" w:cs="Arial"/>
          <w:color w:val="000000" w:themeColor="text1"/>
          <w:sz w:val="22"/>
          <w:szCs w:val="22"/>
        </w:rPr>
      </w:pPr>
      <w:r w:rsidRPr="00DA76A7">
        <w:rPr>
          <w:rFonts w:ascii="Arial" w:hAnsi="Arial" w:cs="Arial"/>
          <w:color w:val="000000" w:themeColor="text1"/>
          <w:sz w:val="22"/>
          <w:szCs w:val="22"/>
        </w:rPr>
        <w:br/>
      </w:r>
    </w:p>
    <w:p w:rsidR="00CB0BEF" w:rsidRPr="00DA76A7" w:rsidRDefault="00CB0BEF" w:rsidP="00CB0BEF">
      <w:pPr>
        <w:jc w:val="center"/>
        <w:rPr>
          <w:rFonts w:ascii="Arial" w:hAnsi="Arial" w:cs="Arial"/>
          <w:b/>
          <w:color w:val="000000" w:themeColor="text1"/>
          <w:sz w:val="22"/>
          <w:szCs w:val="22"/>
        </w:rPr>
      </w:pPr>
      <w:r w:rsidRPr="00DA76A7">
        <w:rPr>
          <w:rFonts w:ascii="Arial" w:hAnsi="Arial" w:cs="Arial"/>
          <w:b/>
          <w:color w:val="000000" w:themeColor="text1"/>
          <w:sz w:val="22"/>
          <w:szCs w:val="22"/>
        </w:rPr>
        <w:t>РОЛЬ МОЛОДЁЖИ В РАЗВИТИИ СУВЕРЕННОГО ТАДЖИКИСТАНА</w:t>
      </w:r>
    </w:p>
    <w:p w:rsidR="00CB0BEF" w:rsidRPr="00DA76A7" w:rsidRDefault="00CB0BEF" w:rsidP="00CB0BEF">
      <w:pPr>
        <w:jc w:val="center"/>
        <w:rPr>
          <w:rFonts w:ascii="Arial" w:hAnsi="Arial" w:cs="Arial"/>
          <w:b/>
          <w:color w:val="000000" w:themeColor="text1"/>
          <w:sz w:val="22"/>
          <w:szCs w:val="22"/>
        </w:rPr>
      </w:pPr>
    </w:p>
    <w:p w:rsidR="00CB0BEF" w:rsidRPr="00DA76A7" w:rsidRDefault="00CB0BEF" w:rsidP="00CB0BEF">
      <w:pPr>
        <w:jc w:val="center"/>
        <w:rPr>
          <w:rFonts w:ascii="Arial" w:hAnsi="Arial" w:cs="Arial"/>
          <w:b/>
          <w:color w:val="000000" w:themeColor="text1"/>
          <w:sz w:val="22"/>
          <w:szCs w:val="22"/>
        </w:rPr>
      </w:pPr>
      <w:r w:rsidRPr="00DA76A7">
        <w:rPr>
          <w:rFonts w:ascii="Arial" w:hAnsi="Arial" w:cs="Arial"/>
          <w:b/>
          <w:color w:val="000000" w:themeColor="text1"/>
          <w:sz w:val="22"/>
          <w:szCs w:val="22"/>
        </w:rPr>
        <w:t>Бойбобоева Дилноза Абдувахидовна</w:t>
      </w:r>
    </w:p>
    <w:p w:rsidR="00CB0BEF" w:rsidRPr="00DA76A7" w:rsidRDefault="00CB0BEF" w:rsidP="00CB0BEF">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3-го курса дневного отделения юридического факультета</w:t>
      </w:r>
    </w:p>
    <w:p w:rsidR="00CB0BEF" w:rsidRPr="00DA76A7" w:rsidRDefault="00CB0BEF" w:rsidP="00CB0BEF">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CB0BEF" w:rsidRPr="00DA76A7" w:rsidRDefault="00CB0BEF" w:rsidP="00CB0BEF">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CB0BEF" w:rsidRPr="00DA76A7" w:rsidRDefault="00CB0BEF" w:rsidP="00CB0BEF">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992900926518,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46" w:history="1">
        <w:r w:rsidRPr="00DA76A7">
          <w:rPr>
            <w:rStyle w:val="af0"/>
            <w:rFonts w:ascii="Arial" w:hAnsi="Arial" w:cs="Arial"/>
            <w:color w:val="000000" w:themeColor="text1"/>
            <w:sz w:val="22"/>
            <w:szCs w:val="22"/>
            <w:u w:val="none"/>
            <w:lang w:val="en-US"/>
          </w:rPr>
          <w:t>dily</w:t>
        </w:r>
        <w:r w:rsidRPr="00DA76A7">
          <w:rPr>
            <w:rStyle w:val="af0"/>
            <w:rFonts w:ascii="Arial" w:hAnsi="Arial" w:cs="Arial"/>
            <w:color w:val="000000" w:themeColor="text1"/>
            <w:sz w:val="22"/>
            <w:szCs w:val="22"/>
            <w:u w:val="none"/>
          </w:rPr>
          <w:t>_997@</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77A7D" w:rsidRPr="005D1C4B" w:rsidRDefault="00CB0BEF" w:rsidP="00CB0BEF">
      <w:pPr>
        <w:jc w:val="center"/>
        <w:rPr>
          <w:rFonts w:ascii="Arial" w:hAnsi="Arial" w:cs="Arial"/>
          <w:b/>
          <w:color w:val="000000" w:themeColor="text1"/>
          <w:sz w:val="22"/>
          <w:szCs w:val="22"/>
          <w:shd w:val="clear" w:color="auto" w:fill="FFFFFF"/>
          <w:lang w:val="en-US"/>
        </w:rPr>
      </w:pPr>
      <w:r w:rsidRPr="00542B0A">
        <w:rPr>
          <w:rFonts w:ascii="Arial" w:hAnsi="Arial" w:cs="Arial"/>
          <w:color w:val="000000" w:themeColor="text1"/>
          <w:sz w:val="22"/>
          <w:szCs w:val="22"/>
          <w:lang w:val="en-US"/>
        </w:rPr>
        <w:br/>
      </w:r>
      <w:r w:rsidRPr="00DA76A7">
        <w:rPr>
          <w:rFonts w:ascii="Arial" w:hAnsi="Arial" w:cs="Arial"/>
          <w:b/>
          <w:color w:val="000000" w:themeColor="text1"/>
          <w:sz w:val="22"/>
          <w:szCs w:val="22"/>
          <w:shd w:val="clear" w:color="auto" w:fill="FFFFFF"/>
          <w:lang w:val="en-US"/>
        </w:rPr>
        <w:t xml:space="preserve">THE ROLE OF YOUTH IN THE DEVELOPMENT OF SOVEREIGN TADJIKISTAN </w:t>
      </w:r>
    </w:p>
    <w:p w:rsidR="00577A7D" w:rsidRPr="005D1C4B" w:rsidRDefault="00577A7D" w:rsidP="00CB0BEF">
      <w:pPr>
        <w:jc w:val="center"/>
        <w:rPr>
          <w:rFonts w:ascii="Arial" w:hAnsi="Arial" w:cs="Arial"/>
          <w:b/>
          <w:color w:val="000000" w:themeColor="text1"/>
          <w:sz w:val="22"/>
          <w:szCs w:val="22"/>
          <w:shd w:val="clear" w:color="auto" w:fill="FFFFFF"/>
          <w:lang w:val="en-US"/>
        </w:rPr>
      </w:pPr>
    </w:p>
    <w:p w:rsidR="00CB0BEF" w:rsidRPr="00DA76A7" w:rsidRDefault="00CB0BEF" w:rsidP="00CB0BEF">
      <w:pPr>
        <w:jc w:val="center"/>
        <w:rPr>
          <w:rFonts w:ascii="Arial" w:hAnsi="Arial" w:cs="Arial"/>
          <w:color w:val="000000" w:themeColor="text1"/>
          <w:sz w:val="22"/>
          <w:szCs w:val="22"/>
          <w:shd w:val="clear" w:color="auto" w:fill="FFFFFF"/>
          <w:lang w:val="en-US"/>
        </w:rPr>
      </w:pPr>
      <w:r w:rsidRPr="00DA76A7">
        <w:rPr>
          <w:rFonts w:ascii="Arial" w:hAnsi="Arial" w:cs="Arial"/>
          <w:b/>
          <w:color w:val="000000" w:themeColor="text1"/>
          <w:sz w:val="22"/>
          <w:szCs w:val="22"/>
          <w:shd w:val="clear" w:color="auto" w:fill="FFFFFF"/>
          <w:lang w:val="en-US"/>
        </w:rPr>
        <w:t>Boibboyeva Dilnoza Abduvakhidovna</w:t>
      </w:r>
    </w:p>
    <w:p w:rsidR="00CB0BEF" w:rsidRPr="00DA76A7" w:rsidRDefault="00CB0BEF" w:rsidP="00CB0BEF">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student of the third year of the day department of the faculty of law </w:t>
      </w:r>
    </w:p>
    <w:p w:rsidR="00CB0BEF" w:rsidRPr="00DA76A7" w:rsidRDefault="00CB0BEF" w:rsidP="00CB0BEF">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Russian-Tajik (Slavonic) university 7</w:t>
      </w:r>
    </w:p>
    <w:p w:rsidR="00CB0BEF" w:rsidRPr="00DA76A7" w:rsidRDefault="00CB0BEF" w:rsidP="00CB0BEF">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 xml:space="preserve">34025, Republic of Tajikistan, Dushanbe, M. Tursunzade </w:t>
      </w:r>
      <w:r w:rsidRPr="00DA76A7">
        <w:rPr>
          <w:rFonts w:ascii="Arial" w:hAnsi="Arial" w:cs="Arial"/>
          <w:color w:val="000000" w:themeColor="text1"/>
          <w:sz w:val="22"/>
          <w:szCs w:val="22"/>
          <w:lang w:val="en-US"/>
        </w:rPr>
        <w:t>str., 30</w:t>
      </w:r>
    </w:p>
    <w:p w:rsidR="00CB0BEF" w:rsidRPr="00DA76A7" w:rsidRDefault="00CB0BEF" w:rsidP="00CB0BEF">
      <w:pPr>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tel.: 992900926518, e-mail: dily_997@mail.ru</w:t>
      </w:r>
    </w:p>
    <w:p w:rsidR="00CB0BEF" w:rsidRPr="00DA76A7" w:rsidRDefault="00CB0BEF" w:rsidP="00CB0BEF">
      <w:pPr>
        <w:ind w:firstLine="567"/>
        <w:jc w:val="right"/>
        <w:rPr>
          <w:rFonts w:ascii="Arial" w:hAnsi="Arial" w:cs="Arial"/>
          <w:color w:val="000000" w:themeColor="text1"/>
          <w:sz w:val="22"/>
          <w:szCs w:val="22"/>
          <w:lang w:val="en-US"/>
        </w:rPr>
      </w:pPr>
    </w:p>
    <w:p w:rsidR="00CB0BEF" w:rsidRPr="00DA76A7" w:rsidRDefault="00CB0BEF" w:rsidP="00CB0BEF">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преподаватель Абдуллаев Н.С.</w:t>
      </w:r>
    </w:p>
    <w:p w:rsidR="00CB0BEF" w:rsidRPr="00DA76A7" w:rsidRDefault="00CB0BEF" w:rsidP="00CB0BEF">
      <w:pPr>
        <w:ind w:firstLine="567"/>
        <w:jc w:val="both"/>
        <w:rPr>
          <w:rFonts w:ascii="Arial" w:hAnsi="Arial" w:cs="Arial"/>
          <w:b/>
          <w:i/>
          <w:color w:val="000000" w:themeColor="text1"/>
          <w:sz w:val="22"/>
          <w:szCs w:val="22"/>
        </w:rPr>
      </w:pPr>
    </w:p>
    <w:p w:rsidR="00CB0BEF" w:rsidRPr="00DA76A7" w:rsidRDefault="00CB0BEF" w:rsidP="00CB0BEF">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b/>
          <w:i/>
          <w:color w:val="000000" w:themeColor="text1"/>
          <w:sz w:val="22"/>
          <w:szCs w:val="22"/>
          <w:lang w:val="en-US"/>
        </w:rPr>
        <w:t> </w:t>
      </w:r>
      <w:r w:rsidRPr="00DA76A7">
        <w:rPr>
          <w:rFonts w:ascii="Arial" w:hAnsi="Arial" w:cs="Arial"/>
          <w:i/>
          <w:color w:val="000000" w:themeColor="text1"/>
          <w:sz w:val="22"/>
          <w:szCs w:val="22"/>
        </w:rPr>
        <w:t>В статье рассматривается роль молодежи Республики Таджикистан в период независимости.</w:t>
      </w:r>
    </w:p>
    <w:p w:rsidR="00CB0BEF" w:rsidRPr="00DA76A7" w:rsidRDefault="00CB0BEF" w:rsidP="00CB0BEF">
      <w:pPr>
        <w:ind w:firstLine="567"/>
        <w:jc w:val="both"/>
        <w:rPr>
          <w:rFonts w:ascii="Arial" w:hAnsi="Arial" w:cs="Arial"/>
          <w:i/>
          <w:color w:val="000000" w:themeColor="text1"/>
          <w:sz w:val="22"/>
          <w:szCs w:val="22"/>
        </w:rPr>
      </w:pPr>
      <w:r w:rsidRPr="00DA76A7">
        <w:rPr>
          <w:rFonts w:ascii="Arial" w:hAnsi="Arial" w:cs="Arial"/>
          <w:i/>
          <w:color w:val="000000" w:themeColor="text1"/>
          <w:sz w:val="22"/>
          <w:szCs w:val="22"/>
        </w:rPr>
        <w:t>Значимость роли молодежи, также заключается в том, что молодежь в значительной части обладает тем уровнем мобильности, интеллектуальной активности и здоровья, которые выгодно отличает ее от других групп населения.</w:t>
      </w:r>
    </w:p>
    <w:p w:rsidR="00CB0BEF" w:rsidRPr="00DA76A7" w:rsidRDefault="00CB0BEF" w:rsidP="00CB0BEF">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examines the role of the youth of the Republic of Tajikistan in the period of independence.</w:t>
      </w:r>
    </w:p>
    <w:p w:rsidR="00CB0BEF" w:rsidRPr="00DA76A7" w:rsidRDefault="00CB0BEF" w:rsidP="00CB0BEF">
      <w:pPr>
        <w:ind w:firstLine="567"/>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The significance of the role of young people also lies in the fact that young people, in large part, have the level of mobility, intellectual activity and health that distinguishes it from other groups of the population.</w:t>
      </w:r>
    </w:p>
    <w:p w:rsidR="00CB0BEF" w:rsidRPr="00DA76A7" w:rsidRDefault="00CB0BEF" w:rsidP="00CB0BEF">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w:t>
      </w:r>
      <w:r w:rsidRPr="00DA76A7">
        <w:rPr>
          <w:rFonts w:ascii="Arial" w:hAnsi="Arial" w:cs="Arial"/>
          <w:b/>
          <w:i/>
          <w:color w:val="000000" w:themeColor="text1"/>
          <w:sz w:val="22"/>
          <w:szCs w:val="22"/>
          <w:lang w:val="en-US"/>
        </w:rPr>
        <w:t> </w:t>
      </w:r>
      <w:r w:rsidRPr="00DA76A7">
        <w:rPr>
          <w:rFonts w:ascii="Arial" w:hAnsi="Arial" w:cs="Arial"/>
          <w:b/>
          <w:i/>
          <w:color w:val="000000" w:themeColor="text1"/>
          <w:sz w:val="22"/>
          <w:szCs w:val="22"/>
        </w:rPr>
        <w:t>слова:</w:t>
      </w:r>
      <w:r w:rsidRPr="00DA76A7">
        <w:rPr>
          <w:rFonts w:ascii="Arial" w:hAnsi="Arial" w:cs="Arial"/>
          <w:i/>
          <w:color w:val="000000" w:themeColor="text1"/>
          <w:sz w:val="22"/>
          <w:szCs w:val="22"/>
          <w:lang w:val="en-US"/>
        </w:rPr>
        <w:t> </w:t>
      </w:r>
      <w:r w:rsidRPr="00DA76A7">
        <w:rPr>
          <w:rFonts w:ascii="Arial" w:hAnsi="Arial" w:cs="Arial"/>
          <w:i/>
          <w:color w:val="000000" w:themeColor="text1"/>
          <w:sz w:val="22"/>
          <w:szCs w:val="22"/>
        </w:rPr>
        <w:t xml:space="preserve">молодежь, Республики Таджикистан, достижение, перспективы. </w:t>
      </w:r>
    </w:p>
    <w:p w:rsidR="00CB0BEF" w:rsidRPr="00DA76A7" w:rsidRDefault="00CB0BEF" w:rsidP="00CB0BEF">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youth, Republic of Tajikistan, achievement, prospects.</w:t>
      </w:r>
    </w:p>
    <w:p w:rsidR="00CB0BEF" w:rsidRPr="00DA76A7" w:rsidRDefault="00CB0BEF" w:rsidP="00CB0BEF">
      <w:pPr>
        <w:ind w:firstLine="567"/>
        <w:jc w:val="both"/>
        <w:rPr>
          <w:rFonts w:ascii="Arial" w:hAnsi="Arial" w:cs="Arial"/>
          <w:color w:val="000000" w:themeColor="text1"/>
          <w:sz w:val="22"/>
          <w:szCs w:val="22"/>
          <w:lang w:val="en-US"/>
        </w:rPr>
      </w:pP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современном этапе большую роль в развитии любой страны играет молодежь, поскольку она определяет будущее развитие общества в целом, и Республика Таджикистан не является исключением. Роль молодежи Таджикистана заключается в преемственности социальной культуры, достижений науки и техники, построения современного и прогрессивного общества, в ответственности за внедрение многих социальных, политических, культурных программ и проектов, а также их дальнейшей реализации. </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Для того, чтобы определить задачи стоящие перед молодёжи Таджикистана, необходимо определиться с тем, что из себя представляет молодежь сегодня, и какая категория людей подходит под данное понятие, в чем выражается их особенность и отличие от других категорий социальных групп людей. </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Молодежь – это особая социально-возрастная группа, отличающаяся возрастными рамками и своим статусом в обществе, переход от детства и юности к социальной ответственности. Некоторыми учеными молодежь понимается как совокупность молодых людей, которым общество предоставляет возможность социального становления, обеспечивая их льготами, но ограничивая в возможности активного участия в определенных сферах жизни социума.</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этом, возрастные рамки, позволяющие относить людей к молодежи, различаются в зависимости от конкретной страны. Как правило, низшая возрастная граница молодежи — 14-16 лет, высшая — 25-35 лет. В соответствии со статьей 1, Закон Республики Таджикистан «О молодежи и государственной молодежной политике» к молодежи относится социально-демографическая группа, охватывающая лиц в возрасте 14-30 лет [1.17].</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Значимость роли молодежи, также заключается в том, что молодежь в значительной части обладает тем уровнем мобильности, интеллектуальной активности и здоровья, которые выгодно отличает ее от других групп населения.</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Немецкий социолог Карл Мангейм (1893—1947) определил, что молодежь является своего рода резервом, выступающим на передний план, когда такое оживление становится необходимым для приспособления к быстро меняющимся или качественно новым обстоятельствам. Динамичные общества рано или поздно должны активизировать и даже организовывать их (ресурсы, которые в традиционном обществе не мобилизуются и не интегрируются, а часто подавляются) [2, 73].</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Надо отметить, что перед нашим обществом стоит вопрос о необходимости минимизации издержек и потерь, которые несет Таджикистан из-за проблем, связанных с социализацией молодых людей и интеграцией их в единое экономическое, политическое и социокультурное пространство. Подобная интеграция имеет свои сложности учитывая, что молодежь как особая возрастная и социальная группа всегда по своему воспринимала ценности культуры, что порождало в разные времена молодежный сленг и эпатирующие формы субкультуры.</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Сегодня не одна стран думающая о долгосрочной перспективе развития не мыслима без развитой </w:t>
      </w:r>
      <w:r w:rsidRPr="00DA76A7">
        <w:rPr>
          <w:rFonts w:ascii="Arial" w:hAnsi="Arial" w:cs="Arial"/>
          <w:color w:val="000000" w:themeColor="text1"/>
          <w:sz w:val="22"/>
          <w:szCs w:val="22"/>
          <w:lang w:val="en-US"/>
        </w:rPr>
        <w:t>IT</w:t>
      </w:r>
      <w:r w:rsidRPr="00DA76A7">
        <w:rPr>
          <w:rFonts w:ascii="Arial" w:hAnsi="Arial" w:cs="Arial"/>
          <w:color w:val="000000" w:themeColor="text1"/>
          <w:sz w:val="22"/>
          <w:szCs w:val="22"/>
        </w:rPr>
        <w:t>-индустрии, глубокого внедрения и широкого распространения компьютерных и программных технологий, которые упрощают как жизнь общества, так и двигают в перед науку, медицину, образование, и как следствие экономику страны. В век технологических возможностей, когда посредством интернет технологий моно удаленно продавать товары и оказывать услуги, когда множество задач решаются, не выходя из дома или кабинета, именно молодёжи свойственно любознательность и прогрессивность в этих вопросах и областях, и именно она находится в эпицентре развития современных технологий, и потребления результатов достижений современных технологий, и молодёжь Таджикистана не является исключением.</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Большой интерес молодежи к современным технологиям, гаджетам и программированию, которые уже давно превратились в самые динамично развивающиеся и прибыльны сферы экономической и предпринимательской среды, позволяют без особых усилий привлечь внимание молодежи в развитие данных сфер, и в осуществления, как умственных, так и финансовых вкладов. Свидетельством активного участия таджикской молодежи во внедрении и продвижении различного рода </w:t>
      </w:r>
      <w:r w:rsidRPr="00DA76A7">
        <w:rPr>
          <w:rFonts w:ascii="Arial" w:hAnsi="Arial" w:cs="Arial"/>
          <w:color w:val="000000" w:themeColor="text1"/>
          <w:sz w:val="22"/>
          <w:szCs w:val="22"/>
          <w:lang w:val="en-US"/>
        </w:rPr>
        <w:t>IT</w:t>
      </w:r>
      <w:r w:rsidRPr="00DA76A7">
        <w:rPr>
          <w:rFonts w:ascii="Arial" w:hAnsi="Arial" w:cs="Arial"/>
          <w:color w:val="000000" w:themeColor="text1"/>
          <w:sz w:val="22"/>
          <w:szCs w:val="22"/>
        </w:rPr>
        <w:t xml:space="preserve">-проектов, является множество сатрапов в этой области, существенная часть которых получила свою реализацию. </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последнее десятилетие, в Республике Таджикистан заметны изменения в отношении к молодежи, ее чаще стали рассматривать как активного участника социальных преобразований (актора), а не только как группу,  вызывающую общественное беспокойство и нарушающую общепринятые правила. В дополнении к этому нельзя не отметить инициативу Президента Республики Таджикистан, об объявлении 2017 года, годом молодежи.</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Последние тенденции показывают, что молодежь Таджикистана в целом политична, и в выборах участвует более половины молодых людей, многие из молодых граждан в возрасте до 35 лет интересуются политикой. При чем и политика интересуется молодежью достаточно интенсивно, особенно в период выборных кампаний. Как показал опыт, активное вовлечение молодежи в избирательный  процесс  было актуальным и принесло высокие результаты.</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Республике Таджикистан молодёжь является не только носителями культуры и традиции, но и  важной ячейкой прогрессивного общества. Именно в её руках сосредоточено дальнейшее совершенствование нашей страны и культуры, и уже много лет активно проявляет себя в каждом области и год за годом продвигая его на новый уровень.</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 примеру, молодёжь также ярко выражает себя в нашей спортивной культуре. В годы независимости, молодые спортсмены Таджикистана завоевали 4 олимпийские медали: золото выиграл метатель молота  Андрей Абдувалиев, серебро – борец-вольник  Юсуф Абдусаломов и бронзовые награды – дзюдоист Расул Бокиев и боксер Мавзуна Чориева. Данные спортсмены не только являются гордостью нашей Независимой республики, но и помогают молодёжи двигаться в правильное русло, вдохновляя их на такие же достижения. Тринадцать месяцев назад Национальная сборная Таджикистана одержала крупную победу над командой Туркменистана в товарищеском матче, который прошел  на Центральном республиканском стадионе Душанбе. Это говорит о том, что молодёжь продолжает развивать спортивную культуру и до нынешнего времени [3]. </w:t>
      </w:r>
    </w:p>
    <w:p w:rsidR="00CB0BEF" w:rsidRPr="00DA76A7" w:rsidRDefault="00CB0BEF" w:rsidP="00CB0BEF">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нельзя недооценивать вклад молодежи Таджикистана в развитие, культуры, спорта, и экономики Таджикистана, и путем создания необходимых условий содействовать дальнейшему прогрессу и росту достижений молодежи. </w:t>
      </w:r>
    </w:p>
    <w:p w:rsidR="004D0BA8" w:rsidRDefault="004D0BA8" w:rsidP="008C23AD">
      <w:pPr>
        <w:rPr>
          <w:rFonts w:ascii="Arial" w:hAnsi="Arial" w:cs="Arial"/>
          <w:b/>
          <w:color w:val="000000" w:themeColor="text1"/>
          <w:sz w:val="22"/>
          <w:szCs w:val="22"/>
        </w:rPr>
      </w:pPr>
    </w:p>
    <w:p w:rsidR="00CB0BEF" w:rsidRPr="00DA76A7" w:rsidRDefault="00CB0BEF" w:rsidP="00CB0BEF">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rPr>
        <w:t>Список литературы</w:t>
      </w:r>
      <w:r w:rsidRPr="00DA76A7">
        <w:rPr>
          <w:rFonts w:ascii="Arial" w:hAnsi="Arial" w:cs="Arial"/>
          <w:b/>
          <w:color w:val="000000" w:themeColor="text1"/>
          <w:sz w:val="22"/>
          <w:szCs w:val="22"/>
          <w:lang w:val="en-US"/>
        </w:rPr>
        <w:t>:</w:t>
      </w:r>
    </w:p>
    <w:p w:rsidR="00CB0BEF" w:rsidRPr="00DA76A7" w:rsidRDefault="00CB0BEF" w:rsidP="00CB0BEF">
      <w:pPr>
        <w:pStyle w:val="a6"/>
        <w:numPr>
          <w:ilvl w:val="0"/>
          <w:numId w:val="11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Государственная молодежная политика в законодательстве Российской Федерации: // под ред. В. А. Лукова. - М.: Проспект, 2005. - 186 с.</w:t>
      </w:r>
    </w:p>
    <w:p w:rsidR="00CB0BEF" w:rsidRPr="00DA76A7" w:rsidRDefault="00CB0BEF" w:rsidP="00CB0BEF">
      <w:pPr>
        <w:pStyle w:val="a6"/>
        <w:numPr>
          <w:ilvl w:val="0"/>
          <w:numId w:val="11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Молодежи современного мира. – М.: Норма, 2006. – 192 </w:t>
      </w:r>
      <w:r w:rsidRPr="00DA76A7">
        <w:rPr>
          <w:rFonts w:ascii="Arial" w:hAnsi="Arial" w:cs="Arial"/>
          <w:color w:val="000000" w:themeColor="text1"/>
          <w:lang w:val="en-US"/>
        </w:rPr>
        <w:t>c</w:t>
      </w:r>
      <w:r w:rsidRPr="00DA76A7">
        <w:rPr>
          <w:rFonts w:ascii="Arial" w:hAnsi="Arial" w:cs="Arial"/>
          <w:color w:val="000000" w:themeColor="text1"/>
        </w:rPr>
        <w:t>.</w:t>
      </w:r>
    </w:p>
    <w:p w:rsidR="00CB0BEF" w:rsidRPr="00DA76A7" w:rsidRDefault="00666D87" w:rsidP="00CB0BEF">
      <w:pPr>
        <w:pStyle w:val="a6"/>
        <w:numPr>
          <w:ilvl w:val="0"/>
          <w:numId w:val="116"/>
        </w:numPr>
        <w:tabs>
          <w:tab w:val="left" w:pos="851"/>
        </w:tabs>
        <w:spacing w:after="0" w:line="240" w:lineRule="auto"/>
        <w:ind w:left="0" w:firstLine="567"/>
        <w:jc w:val="both"/>
        <w:rPr>
          <w:rFonts w:ascii="Arial" w:hAnsi="Arial" w:cs="Arial"/>
          <w:color w:val="000000" w:themeColor="text1"/>
        </w:rPr>
      </w:pPr>
      <w:hyperlink r:id="rId347" w:history="1">
        <w:r w:rsidR="00CB0BEF" w:rsidRPr="00DA76A7">
          <w:rPr>
            <w:rStyle w:val="af0"/>
            <w:rFonts w:ascii="Arial" w:hAnsi="Arial" w:cs="Arial"/>
            <w:color w:val="000000" w:themeColor="text1"/>
            <w:u w:val="none"/>
          </w:rPr>
          <w:t>http://nasha</w:t>
        </w:r>
        <w:r w:rsidR="00CB0BEF" w:rsidRPr="00DA76A7">
          <w:rPr>
            <w:rStyle w:val="af0"/>
            <w:rFonts w:ascii="Arial" w:hAnsi="Arial" w:cs="Arial"/>
            <w:color w:val="000000" w:themeColor="text1"/>
            <w:u w:val="none"/>
            <w:lang w:val="en-US"/>
          </w:rPr>
          <w:t>molodezh</w:t>
        </w:r>
        <w:r w:rsidR="00CB0BEF" w:rsidRPr="00DA76A7">
          <w:rPr>
            <w:rStyle w:val="af0"/>
            <w:rFonts w:ascii="Arial" w:hAnsi="Arial" w:cs="Arial"/>
            <w:color w:val="000000" w:themeColor="text1"/>
            <w:u w:val="none"/>
          </w:rPr>
          <w:t>.</w:t>
        </w:r>
        <w:r w:rsidR="00CB0BEF" w:rsidRPr="00DA76A7">
          <w:rPr>
            <w:rStyle w:val="af0"/>
            <w:rFonts w:ascii="Arial" w:hAnsi="Arial" w:cs="Arial"/>
            <w:color w:val="000000" w:themeColor="text1"/>
            <w:u w:val="none"/>
            <w:lang w:val="en-US"/>
          </w:rPr>
          <w:t>ru</w:t>
        </w:r>
        <w:r w:rsidR="00CB0BEF" w:rsidRPr="00DA76A7">
          <w:rPr>
            <w:rStyle w:val="af0"/>
            <w:rFonts w:ascii="Arial" w:hAnsi="Arial" w:cs="Arial"/>
            <w:color w:val="000000" w:themeColor="text1"/>
            <w:u w:val="none"/>
          </w:rPr>
          <w:t>/</w:t>
        </w:r>
        <w:r w:rsidR="00CB0BEF" w:rsidRPr="00DA76A7">
          <w:rPr>
            <w:rStyle w:val="af0"/>
            <w:rFonts w:ascii="Arial" w:hAnsi="Arial" w:cs="Arial"/>
            <w:color w:val="000000" w:themeColor="text1"/>
            <w:u w:val="none"/>
            <w:lang w:val="en-US"/>
          </w:rPr>
          <w:t>society</w:t>
        </w:r>
        <w:r w:rsidR="00CB0BEF" w:rsidRPr="00DA76A7">
          <w:rPr>
            <w:rStyle w:val="af0"/>
            <w:rFonts w:ascii="Arial" w:hAnsi="Arial" w:cs="Arial"/>
            <w:color w:val="000000" w:themeColor="text1"/>
            <w:u w:val="none"/>
          </w:rPr>
          <w:t>/</w:t>
        </w:r>
        <w:r w:rsidR="00CB0BEF" w:rsidRPr="00DA76A7">
          <w:rPr>
            <w:rStyle w:val="af0"/>
            <w:rFonts w:ascii="Arial" w:hAnsi="Arial" w:cs="Arial"/>
            <w:color w:val="000000" w:themeColor="text1"/>
            <w:u w:val="none"/>
            <w:lang w:val="en-US"/>
          </w:rPr>
          <w:t>rol</w:t>
        </w:r>
        <w:r w:rsidR="00CB0BEF" w:rsidRPr="00DA76A7">
          <w:rPr>
            <w:rStyle w:val="af0"/>
            <w:rFonts w:ascii="Arial" w:hAnsi="Arial" w:cs="Arial"/>
            <w:color w:val="000000" w:themeColor="text1"/>
            <w:u w:val="none"/>
          </w:rPr>
          <w:t>_</w:t>
        </w:r>
        <w:r w:rsidR="00CB0BEF" w:rsidRPr="00DA76A7">
          <w:rPr>
            <w:rStyle w:val="af0"/>
            <w:rFonts w:ascii="Arial" w:hAnsi="Arial" w:cs="Arial"/>
            <w:color w:val="000000" w:themeColor="text1"/>
            <w:u w:val="none"/>
            <w:lang w:val="en-US"/>
          </w:rPr>
          <w:t>molodezhi</w:t>
        </w:r>
        <w:r w:rsidR="00CB0BEF" w:rsidRPr="00DA76A7">
          <w:rPr>
            <w:rStyle w:val="af0"/>
            <w:rFonts w:ascii="Arial" w:hAnsi="Arial" w:cs="Arial"/>
            <w:color w:val="000000" w:themeColor="text1"/>
            <w:u w:val="none"/>
          </w:rPr>
          <w:t>_</w:t>
        </w:r>
        <w:r w:rsidR="00CB0BEF" w:rsidRPr="00DA76A7">
          <w:rPr>
            <w:rStyle w:val="af0"/>
            <w:rFonts w:ascii="Arial" w:hAnsi="Arial" w:cs="Arial"/>
            <w:color w:val="000000" w:themeColor="text1"/>
            <w:u w:val="none"/>
            <w:lang w:val="en-US"/>
          </w:rPr>
          <w:t>v</w:t>
        </w:r>
        <w:r w:rsidR="00CB0BEF" w:rsidRPr="00DA76A7">
          <w:rPr>
            <w:rStyle w:val="af0"/>
            <w:rFonts w:ascii="Arial" w:hAnsi="Arial" w:cs="Arial"/>
            <w:color w:val="000000" w:themeColor="text1"/>
            <w:u w:val="none"/>
          </w:rPr>
          <w:t>_</w:t>
        </w:r>
        <w:r w:rsidR="00CB0BEF" w:rsidRPr="00DA76A7">
          <w:rPr>
            <w:rStyle w:val="af0"/>
            <w:rFonts w:ascii="Arial" w:hAnsi="Arial" w:cs="Arial"/>
            <w:color w:val="000000" w:themeColor="text1"/>
            <w:u w:val="none"/>
            <w:lang w:val="en-US"/>
          </w:rPr>
          <w:t>razvitii</w:t>
        </w:r>
        <w:r w:rsidR="00CB0BEF" w:rsidRPr="00DA76A7">
          <w:rPr>
            <w:rStyle w:val="af0"/>
            <w:rFonts w:ascii="Arial" w:hAnsi="Arial" w:cs="Arial"/>
            <w:color w:val="000000" w:themeColor="text1"/>
            <w:u w:val="none"/>
          </w:rPr>
          <w:t>_</w:t>
        </w:r>
        <w:r w:rsidR="00CB0BEF" w:rsidRPr="00DA76A7">
          <w:rPr>
            <w:rStyle w:val="af0"/>
            <w:rFonts w:ascii="Arial" w:hAnsi="Arial" w:cs="Arial"/>
            <w:color w:val="000000" w:themeColor="text1"/>
            <w:u w:val="none"/>
            <w:lang w:val="en-US"/>
          </w:rPr>
          <w:t>socialnoj</w:t>
        </w:r>
        <w:r w:rsidR="00CB0BEF" w:rsidRPr="00DA76A7">
          <w:rPr>
            <w:rStyle w:val="af0"/>
            <w:rFonts w:ascii="Arial" w:hAnsi="Arial" w:cs="Arial"/>
            <w:color w:val="000000" w:themeColor="text1"/>
            <w:u w:val="none"/>
          </w:rPr>
          <w:t>_</w:t>
        </w:r>
        <w:r w:rsidR="00CB0BEF" w:rsidRPr="00DA76A7">
          <w:rPr>
            <w:rStyle w:val="af0"/>
            <w:rFonts w:ascii="Arial" w:hAnsi="Arial" w:cs="Arial"/>
            <w:color w:val="000000" w:themeColor="text1"/>
            <w:u w:val="none"/>
            <w:lang w:val="en-US"/>
          </w:rPr>
          <w:t>sredy</w:t>
        </w:r>
        <w:r w:rsidR="00CB0BEF" w:rsidRPr="00DA76A7">
          <w:rPr>
            <w:rStyle w:val="af0"/>
            <w:rFonts w:ascii="Arial" w:hAnsi="Arial" w:cs="Arial"/>
            <w:color w:val="000000" w:themeColor="text1"/>
            <w:u w:val="none"/>
          </w:rPr>
          <w:t>.</w:t>
        </w:r>
        <w:r w:rsidR="00CB0BEF" w:rsidRPr="00DA76A7">
          <w:rPr>
            <w:rStyle w:val="af0"/>
            <w:rFonts w:ascii="Arial" w:hAnsi="Arial" w:cs="Arial"/>
            <w:color w:val="000000" w:themeColor="text1"/>
            <w:u w:val="none"/>
            <w:lang w:val="en-US"/>
          </w:rPr>
          <w:t>html</w:t>
        </w:r>
      </w:hyperlink>
      <w:r w:rsidR="00CB0BEF" w:rsidRPr="00DA76A7">
        <w:rPr>
          <w:rFonts w:ascii="Arial" w:hAnsi="Arial" w:cs="Arial"/>
          <w:color w:val="000000" w:themeColor="text1"/>
        </w:rPr>
        <w:t> (дата обращения: 10.03.2018).</w:t>
      </w:r>
    </w:p>
    <w:p w:rsidR="00CB0BEF" w:rsidRPr="00DA76A7" w:rsidRDefault="00CB0BEF" w:rsidP="005B31C6">
      <w:pPr>
        <w:ind w:firstLine="567"/>
        <w:rPr>
          <w:rFonts w:ascii="Arial" w:hAnsi="Arial" w:cs="Arial"/>
          <w:color w:val="000000" w:themeColor="text1"/>
          <w:sz w:val="22"/>
          <w:szCs w:val="22"/>
        </w:rPr>
      </w:pPr>
    </w:p>
    <w:p w:rsidR="00CB0BEF" w:rsidRPr="00DA76A7" w:rsidRDefault="00CB0BEF" w:rsidP="005B31C6">
      <w:pPr>
        <w:ind w:firstLine="567"/>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ПРАВА ЧЕЛОВЕКА И ГРАЖДАНИНА В СОВРЕМЕННОМ ОБЩЕСТВЕ</w:t>
      </w: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«РЕАЛИЗАЦИЯ ПОЛОЖЕНИЙ </w:t>
      </w:r>
      <w:r w:rsidRPr="00DA76A7">
        <w:rPr>
          <w:rFonts w:ascii="Arial" w:hAnsi="Arial" w:cs="Arial"/>
          <w:b/>
          <w:color w:val="000000" w:themeColor="text1"/>
          <w:sz w:val="22"/>
          <w:szCs w:val="22"/>
          <w:lang w:val="en-US"/>
        </w:rPr>
        <w:t>II</w:t>
      </w:r>
      <w:r w:rsidRPr="00DA76A7">
        <w:rPr>
          <w:rFonts w:ascii="Arial" w:hAnsi="Arial" w:cs="Arial"/>
          <w:b/>
          <w:color w:val="000000" w:themeColor="text1"/>
          <w:sz w:val="22"/>
          <w:szCs w:val="22"/>
        </w:rPr>
        <w:t xml:space="preserve"> ГЛАВЫ КОНСТИТУЦИИ РОССИЙСКОЙ ФЕДЕРАЦИИ В ПОСЛАНИИ ПРЕЗИДЕНТА Р</w:t>
      </w:r>
      <w:r w:rsidRPr="00DA76A7">
        <w:rPr>
          <w:rFonts w:ascii="Arial" w:hAnsi="Arial" w:cs="Arial"/>
          <w:b/>
          <w:caps/>
          <w:color w:val="000000" w:themeColor="text1"/>
          <w:sz w:val="22"/>
          <w:szCs w:val="22"/>
        </w:rPr>
        <w:t xml:space="preserve">оссии </w:t>
      </w:r>
      <w:r w:rsidRPr="00DA76A7">
        <w:rPr>
          <w:rFonts w:ascii="Arial" w:hAnsi="Arial" w:cs="Arial"/>
          <w:b/>
          <w:color w:val="000000" w:themeColor="text1"/>
          <w:sz w:val="22"/>
          <w:szCs w:val="22"/>
        </w:rPr>
        <w:t>ФЕДЕРАЛЬНОМУ СОБРАНИЮ 01.02.2018 г»</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Васильцова Екатерина Владимировна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студентка 1-го курса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Российский государственный университет правосудия</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350015, Российская Федерация, г. Краснодар, ул. Промышленная, 19, кв. 87, </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тел.: 8-928-453-78-63, e-</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hyperlink r:id="rId348" w:history="1">
        <w:r w:rsidRPr="00DA76A7">
          <w:rPr>
            <w:rStyle w:val="af0"/>
            <w:rFonts w:ascii="Arial" w:hAnsi="Arial" w:cs="Arial"/>
            <w:color w:val="000000" w:themeColor="text1"/>
            <w:sz w:val="22"/>
            <w:szCs w:val="22"/>
            <w:u w:val="none"/>
            <w:lang w:val="en-US"/>
          </w:rPr>
          <w:t>katusha</w:t>
        </w:r>
        <w:r w:rsidRPr="00DA76A7">
          <w:rPr>
            <w:rStyle w:val="af0"/>
            <w:rFonts w:ascii="Arial" w:hAnsi="Arial" w:cs="Arial"/>
            <w:color w:val="000000" w:themeColor="text1"/>
            <w:sz w:val="22"/>
            <w:szCs w:val="22"/>
            <w:u w:val="none"/>
          </w:rPr>
          <w:t>1599@</w:t>
        </w:r>
        <w:r w:rsidRPr="00DA76A7">
          <w:rPr>
            <w:rStyle w:val="af0"/>
            <w:rFonts w:ascii="Arial" w:hAnsi="Arial" w:cs="Arial"/>
            <w:color w:val="000000" w:themeColor="text1"/>
            <w:sz w:val="22"/>
            <w:szCs w:val="22"/>
            <w:u w:val="none"/>
            <w:lang w:val="en-US"/>
          </w:rPr>
          <w:t>rambler</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B31C6" w:rsidRPr="00DA76A7" w:rsidRDefault="005B31C6" w:rsidP="005B31C6">
      <w:pPr>
        <w:jc w:val="center"/>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CITIZENS AND  HUMAN RIGHTS IN THE CONTEMPORARY SOCIETY</w:t>
      </w: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IMPLEMENTATION OF THE PROVISIONS OF CHAPTER II  OF THE CONSTITUTION OF THE RUSSIAN FEDERATION IN THE RUSSIAN PRESIDENTIAL ADDRESS TO THE FEDERAL ASSEMBLY 01.02.2018»</w:t>
      </w: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 </w:t>
      </w: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Vasiltsova Ekaterina Vladimirovna</w:t>
      </w:r>
    </w:p>
    <w:p w:rsidR="005B31C6" w:rsidRPr="00DA76A7" w:rsidRDefault="005B31C6" w:rsidP="005B31C6">
      <w:pPr>
        <w:jc w:val="center"/>
        <w:rPr>
          <w:rFonts w:ascii="Arial" w:hAnsi="Arial" w:cs="Arial"/>
          <w:color w:val="000000" w:themeColor="text1"/>
          <w:sz w:val="22"/>
          <w:szCs w:val="22"/>
          <w:shd w:val="clear" w:color="auto" w:fill="FFFFFF"/>
          <w:lang w:val="en-US"/>
        </w:rPr>
      </w:pPr>
      <w:r w:rsidRPr="00DA76A7">
        <w:rPr>
          <w:rFonts w:ascii="Arial" w:hAnsi="Arial" w:cs="Arial"/>
          <w:color w:val="000000" w:themeColor="text1"/>
          <w:sz w:val="22"/>
          <w:szCs w:val="22"/>
          <w:shd w:val="clear" w:color="auto" w:fill="FFFFFF"/>
          <w:lang w:val="en-US"/>
        </w:rPr>
        <w:t>1st year student of the faculty of law</w:t>
      </w:r>
      <w:r w:rsidRPr="00DA76A7">
        <w:rPr>
          <w:rFonts w:ascii="Arial" w:hAnsi="Arial" w:cs="Arial"/>
          <w:color w:val="000000" w:themeColor="text1"/>
          <w:sz w:val="22"/>
          <w:szCs w:val="22"/>
          <w:lang w:val="en-US"/>
        </w:rPr>
        <w:br/>
      </w:r>
      <w:r w:rsidRPr="00DA76A7">
        <w:rPr>
          <w:rFonts w:ascii="Arial" w:hAnsi="Arial" w:cs="Arial"/>
          <w:color w:val="000000" w:themeColor="text1"/>
          <w:sz w:val="22"/>
          <w:szCs w:val="22"/>
          <w:shd w:val="clear" w:color="auto" w:fill="FFFFFF"/>
          <w:lang w:val="en-US"/>
        </w:rPr>
        <w:t>Russian university of justice</w:t>
      </w:r>
      <w:r w:rsidRPr="00DA76A7">
        <w:rPr>
          <w:rFonts w:ascii="Arial" w:hAnsi="Arial" w:cs="Arial"/>
          <w:color w:val="000000" w:themeColor="text1"/>
          <w:sz w:val="22"/>
          <w:szCs w:val="22"/>
          <w:lang w:val="en-US"/>
        </w:rPr>
        <w:br/>
      </w:r>
      <w:r w:rsidRPr="00DA76A7">
        <w:rPr>
          <w:rFonts w:ascii="Arial" w:hAnsi="Arial" w:cs="Arial"/>
          <w:color w:val="000000" w:themeColor="text1"/>
          <w:sz w:val="22"/>
          <w:szCs w:val="22"/>
          <w:shd w:val="clear" w:color="auto" w:fill="FFFFFF"/>
          <w:lang w:val="en-US"/>
        </w:rPr>
        <w:t xml:space="preserve">350015, Russia, Krasnodar, Promishlennaya str.,19, flat 87, </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shd w:val="clear" w:color="auto" w:fill="FFFFFF"/>
          <w:lang w:val="en-US"/>
        </w:rPr>
        <w:t xml:space="preserve">tel.: 8-928-453-78-63, </w:t>
      </w:r>
      <w:r w:rsidRPr="00DA76A7">
        <w:rPr>
          <w:rFonts w:ascii="Arial" w:hAnsi="Arial" w:cs="Arial"/>
          <w:color w:val="000000" w:themeColor="text1"/>
          <w:sz w:val="22"/>
          <w:szCs w:val="22"/>
          <w:lang w:val="en-US"/>
        </w:rPr>
        <w:t>e-mail:</w:t>
      </w:r>
      <w:hyperlink r:id="rId349" w:history="1">
        <w:r w:rsidRPr="00DA76A7">
          <w:rPr>
            <w:rStyle w:val="af0"/>
            <w:rFonts w:ascii="Arial" w:hAnsi="Arial" w:cs="Arial"/>
            <w:color w:val="000000" w:themeColor="text1"/>
            <w:sz w:val="22"/>
            <w:szCs w:val="22"/>
            <w:u w:val="none"/>
            <w:lang w:val="en-US"/>
          </w:rPr>
          <w:t>katusha1599@rambler.ru</w:t>
        </w:r>
      </w:hyperlink>
    </w:p>
    <w:p w:rsidR="005B31C6" w:rsidRPr="00DA76A7" w:rsidRDefault="005B31C6" w:rsidP="005B31C6">
      <w:pPr>
        <w:ind w:firstLine="567"/>
        <w:jc w:val="both"/>
        <w:rPr>
          <w:rFonts w:ascii="Arial" w:hAnsi="Arial" w:cs="Arial"/>
          <w:b/>
          <w:color w:val="000000" w:themeColor="text1"/>
          <w:sz w:val="22"/>
          <w:szCs w:val="22"/>
          <w:lang w:val="en-US"/>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рассматривается проблема реализации положений </w:t>
      </w:r>
      <w:r w:rsidRPr="00DA76A7">
        <w:rPr>
          <w:rFonts w:ascii="Arial" w:hAnsi="Arial" w:cs="Arial"/>
          <w:i/>
          <w:color w:val="000000" w:themeColor="text1"/>
          <w:sz w:val="22"/>
          <w:szCs w:val="22"/>
          <w:lang w:val="en-US"/>
        </w:rPr>
        <w:t>II</w:t>
      </w:r>
      <w:r w:rsidRPr="00DA76A7">
        <w:rPr>
          <w:rFonts w:ascii="Arial" w:hAnsi="Arial" w:cs="Arial"/>
          <w:i/>
          <w:color w:val="000000" w:themeColor="text1"/>
          <w:sz w:val="22"/>
          <w:szCs w:val="22"/>
        </w:rPr>
        <w:t xml:space="preserve"> главы Конституции Российской  Федерации в Послании Президента России Федеральному Собранию 01.02.2018 г. Уделено внимание общему статусу президента как гаранта соблюдения прав и свобод человека в РФ.</w:t>
      </w:r>
    </w:p>
    <w:p w:rsidR="005B31C6" w:rsidRPr="00DA76A7" w:rsidRDefault="005B31C6" w:rsidP="005B31C6">
      <w:pPr>
        <w:ind w:firstLine="567"/>
        <w:jc w:val="both"/>
        <w:rPr>
          <w:rFonts w:ascii="Arial" w:hAnsi="Arial" w:cs="Arial"/>
          <w:i/>
          <w:color w:val="000000" w:themeColor="text1"/>
          <w:sz w:val="22"/>
          <w:szCs w:val="22"/>
          <w:shd w:val="clear" w:color="auto" w:fill="FFFFFF"/>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shd w:val="clear" w:color="auto" w:fill="FFFFFF"/>
          <w:lang w:val="en-US"/>
        </w:rPr>
        <w:t>This article considers the issue of the realisation of the XI Constitution Chapter in the address of the President to the Federal Assambly. Special attention is paid to the President’s status as a guarantor of the people’ rights and freedoms.</w:t>
      </w:r>
    </w:p>
    <w:p w:rsidR="005B31C6" w:rsidRPr="00DA76A7" w:rsidRDefault="005B31C6" w:rsidP="005B31C6">
      <w:pPr>
        <w:ind w:firstLine="567"/>
        <w:jc w:val="both"/>
        <w:rPr>
          <w:rFonts w:ascii="Arial" w:hAnsi="Arial" w:cs="Arial"/>
          <w:i/>
          <w:color w:val="000000" w:themeColor="text1"/>
          <w:sz w:val="22"/>
          <w:szCs w:val="22"/>
          <w:shd w:val="clear" w:color="auto" w:fill="FFFFFF"/>
        </w:rPr>
      </w:pPr>
      <w:r w:rsidRPr="00DA76A7">
        <w:rPr>
          <w:rFonts w:ascii="Arial" w:hAnsi="Arial" w:cs="Arial"/>
          <w:b/>
          <w:i/>
          <w:color w:val="000000" w:themeColor="text1"/>
          <w:sz w:val="22"/>
          <w:szCs w:val="22"/>
          <w:shd w:val="clear" w:color="auto" w:fill="FFFFFF"/>
        </w:rPr>
        <w:t xml:space="preserve">Ключевые слова: </w:t>
      </w:r>
      <w:r w:rsidRPr="00DA76A7">
        <w:rPr>
          <w:rFonts w:ascii="Arial" w:hAnsi="Arial" w:cs="Arial"/>
          <w:i/>
          <w:color w:val="000000" w:themeColor="text1"/>
          <w:sz w:val="22"/>
          <w:szCs w:val="22"/>
          <w:shd w:val="clear" w:color="auto" w:fill="FFFFFF"/>
        </w:rPr>
        <w:t>президент; защита прав и свобод; Россия; Конституция.</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shd w:val="clear" w:color="auto" w:fill="FFFFFF"/>
          <w:lang w:val="en-US"/>
        </w:rPr>
        <w:t xml:space="preserve">Key words: </w:t>
      </w:r>
      <w:r w:rsidRPr="00DA76A7">
        <w:rPr>
          <w:rFonts w:ascii="Arial" w:hAnsi="Arial" w:cs="Arial"/>
          <w:i/>
          <w:color w:val="000000" w:themeColor="text1"/>
          <w:sz w:val="22"/>
          <w:szCs w:val="22"/>
          <w:lang w:val="en-US"/>
        </w:rPr>
        <w:t>president, Russia, Constitution, protection of rights and freedoms.</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ab/>
      </w:r>
      <w:r w:rsidRPr="00DA76A7">
        <w:rPr>
          <w:rFonts w:ascii="Arial" w:hAnsi="Arial" w:cs="Arial"/>
          <w:color w:val="000000" w:themeColor="text1"/>
          <w:sz w:val="22"/>
          <w:szCs w:val="22"/>
        </w:rPr>
        <w:t xml:space="preserve">Защита прав и свобод человека и гражданина - это неотъемлемая составляющая часть  любого цивилизационного государства третьего тысячелетия [1,2]. Задача государства состоит не только в том, чтобы гарантировать права и свободы человека, но и в том, чтобы максимально минимизировать неблагоприятные последствия своего вмешательства в социально-экономические процессы. Эта задача весьма актуальна, и ее решение часто бывает противоречивым.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 одной стороны, излишняя активность государства во взаимоотношениях с гражданским обществом может привести к существенному сужению спектра прав и свобод граждан. С другой стороны, уменьшение числа функций государства может привести к утрате стабильности политических отношений, конфликтам и кризисам.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Мы согласны с утверждением, что «</w:t>
      </w:r>
      <w:r w:rsidRPr="00DA76A7">
        <w:rPr>
          <w:rFonts w:ascii="Arial" w:hAnsi="Arial" w:cs="Arial"/>
          <w:color w:val="000000" w:themeColor="text1"/>
          <w:spacing w:val="-10"/>
          <w:sz w:val="22"/>
          <w:szCs w:val="22"/>
        </w:rPr>
        <w:t>Переходный этап современной государственности России обозначился в ее функционировании. Положительные моменты: возрастает, хотя и с большим трудом, удельный вес общесоциальных, общедемократических, гуманистических начал в содержании функций государства. Переходное состояние российской государственности характеризуется попыткой пересмотра ряда позиций во взаимоотношениях личности и государства</w:t>
      </w:r>
      <w:r w:rsidRPr="00DA76A7">
        <w:rPr>
          <w:rFonts w:ascii="Arial" w:hAnsi="Arial" w:cs="Arial"/>
          <w:color w:val="000000" w:themeColor="text1"/>
          <w:sz w:val="22"/>
          <w:szCs w:val="22"/>
        </w:rPr>
        <w:t>» [8, с. 50]. Поэтому необходима взвешенная политика как государства, так и других участников политического процесса.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Послание Президента России Федеральному Собранию — ежегодное обращение Президента Российской Федерации Федеральному Собранию Российской Федерации. Послание  является программным политико-правовым документом, выражающим видение главой государства стратегических направлений развития России на ближайшую перспективу. Оно включает в себя как положения политического, экономического, идеологического характера, так и конкретные предложения, касающиеся законотворческой работы парламента.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марта 2018 года Президент Российской Федерации  Владимир Путин обратился с Посланием к Федеральному Собранию. «Сегодняшнее Послание носит особый, рубежный характер, как и то время, в которое мы живём, когда значимость нашего выбора, значимость каждого шага, поступка исключительно высоки, потому что они определяют судьбу нашей страны на десятилетия вперёд» [3].</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Так начал свое выступление Владимир Владимирович, отмечая ответственность, которая лежит на плечах не только правительства, но и граждан нашей страны. Сейчас, когда ситуация в мире весьма сложная и часто непредсказуемая, необходимо обеспечить стабильность во всех сферах жизни. Но поистине сильное государство видит своей целью не просто следованию основному закону страны (в России - Конституция), но и улучшение качества жизни своих граждан.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своем выступлении Президент показал, как реализуются положения второй главы Конституции Российской федерации на практике, и предложил внести некоторые изменения и корректировки, которые в дальнейшем помогут России поднять жилищную сферу, медицину и демографию на более высокий уровень, что является основой для обеспечения стабильности и роста нашей страны [3].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Глава 2 «Права и свободы человека и гражданина» определяет основы политико-правового статуса личности. Это наиболее обширная  по объему и подробно разработанная часть основного закона страны. Ей принадлежат 48 из 137 статей Конституции России, т.е. более трети всех ее статей.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одной из частей своего доклада Владимир Путин ссылается на 40 статью 2 главы Конституции РФ. Он не просто подводит итоги проделанной за 2017 год работы, но и ставит планы и цели на ближайшее будущее [3].  </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данным Банка России за 2017 год в России выдано рублевых ипотечных кредитов в количестве 1 086 939 штук на сумму более 2 трлн. рублей (2 021 398 млн.рублей).</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сравнивать с прошлым 2016 годом, то объемы выдачи ипотеки увеличились на 37% ( за 2016 год выдача в рублях составила около 1,5 трлн. рублей) [6].</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bookmarkStart w:id="117" w:name="cut"/>
      <w:bookmarkEnd w:id="117"/>
      <w:r w:rsidRPr="00DA76A7">
        <w:rPr>
          <w:rFonts w:ascii="Arial" w:hAnsi="Arial" w:cs="Arial"/>
          <w:color w:val="000000" w:themeColor="text1"/>
          <w:sz w:val="22"/>
          <w:szCs w:val="22"/>
        </w:rPr>
        <w:t>Под залог прав требования по договорам участия в долевом строительстве в том числе выдано 312 161 кредитов на сумму 661 236 млн. рублей. Это почти </w:t>
      </w:r>
      <w:r w:rsidRPr="00DA76A7">
        <w:rPr>
          <w:rStyle w:val="ab"/>
          <w:rFonts w:ascii="Arial" w:hAnsi="Arial" w:cs="Arial"/>
          <w:b w:val="0"/>
          <w:color w:val="000000" w:themeColor="text1"/>
          <w:sz w:val="22"/>
          <w:szCs w:val="22"/>
        </w:rPr>
        <w:t>31%</w:t>
      </w:r>
      <w:r w:rsidRPr="00DA76A7">
        <w:rPr>
          <w:rFonts w:ascii="Arial" w:hAnsi="Arial" w:cs="Arial"/>
          <w:color w:val="000000" w:themeColor="text1"/>
          <w:sz w:val="22"/>
          <w:szCs w:val="22"/>
        </w:rPr>
        <w:t> от общего количества выдач. В прошлом 2016 году доля составляла почти 36%.</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Средняя сумма кредита составляет 1,88 млн. рублей. Средняя сумма постоянно прирастает, 2 года назад, например, она был 1,7 млн. рублей.</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shd w:val="clear" w:color="auto" w:fill="FFFFFF"/>
        </w:rPr>
        <w:t>По состоянию на 01 января 2018 года средняя ставка по ипотеке в рублях достигла 10,64% годовых против 12,48% годом ранее, а за декабрь 2017 года ставка «ушла» ниже 10% и составила - </w:t>
      </w:r>
      <w:r w:rsidRPr="00DA76A7">
        <w:rPr>
          <w:rStyle w:val="ab"/>
          <w:rFonts w:ascii="Arial" w:hAnsi="Arial" w:cs="Arial"/>
          <w:b w:val="0"/>
          <w:color w:val="000000" w:themeColor="text1"/>
          <w:sz w:val="22"/>
          <w:szCs w:val="22"/>
        </w:rPr>
        <w:t>9,79% годовых</w:t>
      </w:r>
      <w:r w:rsidRPr="00DA76A7">
        <w:rPr>
          <w:rFonts w:ascii="Arial" w:hAnsi="Arial" w:cs="Arial"/>
          <w:color w:val="000000" w:themeColor="text1"/>
          <w:sz w:val="22"/>
          <w:szCs w:val="22"/>
          <w:shd w:val="clear" w:color="auto" w:fill="FFFFFF"/>
        </w:rPr>
        <w:t xml:space="preserve">. Снижение средней ставки по ипотеке многие эксперты объясняют снижением Ключевой ставки Банка России </w:t>
      </w:r>
      <w:r w:rsidRPr="00DA76A7">
        <w:rPr>
          <w:rFonts w:ascii="Arial" w:hAnsi="Arial" w:cs="Arial"/>
          <w:color w:val="000000" w:themeColor="text1"/>
          <w:sz w:val="22"/>
          <w:szCs w:val="22"/>
        </w:rPr>
        <w:t>[6]</w:t>
      </w:r>
      <w:r w:rsidRPr="00DA76A7">
        <w:rPr>
          <w:rFonts w:ascii="Arial" w:hAnsi="Arial" w:cs="Arial"/>
          <w:color w:val="000000" w:themeColor="text1"/>
          <w:sz w:val="22"/>
          <w:szCs w:val="22"/>
          <w:shd w:val="clear" w:color="auto" w:fill="FFFFFF"/>
        </w:rPr>
        <w:t>.</w:t>
      </w:r>
    </w:p>
    <w:p w:rsidR="005B31C6" w:rsidRPr="00DA76A7" w:rsidRDefault="005B31C6" w:rsidP="005B31C6">
      <w:pPr>
        <w:ind w:firstLine="567"/>
        <w:jc w:val="both"/>
        <w:rPr>
          <w:rStyle w:val="ab"/>
          <w:rFonts w:ascii="Arial" w:hAnsi="Arial" w:cs="Arial"/>
          <w:b w:val="0"/>
          <w:color w:val="000000" w:themeColor="text1"/>
          <w:sz w:val="22"/>
          <w:szCs w:val="22"/>
        </w:rPr>
      </w:pPr>
      <w:r w:rsidRPr="00DA76A7">
        <w:rPr>
          <w:rStyle w:val="ab"/>
          <w:rFonts w:ascii="Arial" w:hAnsi="Arial" w:cs="Arial"/>
          <w:b w:val="0"/>
          <w:color w:val="000000" w:themeColor="text1"/>
          <w:sz w:val="22"/>
          <w:szCs w:val="22"/>
        </w:rPr>
        <w:t>Напомним, что с 2018 года в России запущена льготная ипотека с государственным участием - семейная ипотека, где ставка по ипотеке составляет 6% годовых.</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Банки активно предлагаю программы рефинансирования старой ипотеки. И такая ипотека занимает все большую долю в общем объеме выдачи ипотечных кредитов.</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Style w:val="ab"/>
          <w:rFonts w:ascii="Arial" w:hAnsi="Arial" w:cs="Arial"/>
          <w:b w:val="0"/>
          <w:color w:val="000000" w:themeColor="text1"/>
          <w:sz w:val="22"/>
          <w:szCs w:val="22"/>
        </w:rPr>
        <w:t>Подобные усилия, вкупе с планируемым дальнейшим снижением ключевой ставки Банком России, приведут к дальнейшему снижению средней ставки по ипотеке.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Особенно в Послании  видно  стремление Путина  улучшить положение в жилищной сфере:  «В 2017 году три миллиона семей в России улучшили свои жилищные условия. Теперь нам необходимо стабильно (обращаю внимание, впервые в истории современной России) выйти на уровень, когда ежегодно не менее пяти миллионов семей улучшают свои жилищные условия. Это сложная задача – прыгнуть с трёх миллионов до пяти. У нас в прошлом году было 3,1 миллиона, а нужно пять. Но это решаемая задача» [3].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Путина, есть три ключевых фактора повышения доступности жилья: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Рост доходов граждан.</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Снижение ставок ипотечного кредитования.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Увеличение предложения на жилищном рынке.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Еще одна проблема, которая  была рассмотрена Владимиром Путиным в выступлении, была посвящена медицине. Президент отмечает, что важно не просто соблюдать 41 главу Конституции, но и обеспечить доступность современной, качественной медицинской помощи.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данным Росстата за 2017 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Средняя продолжительность жизни мужчин в России в 2017 году составляет 66,5 лет</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Женщин — 77 лет</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В среднем Россия, по данным Росстата на середину 2017 года, достигла уровня 72,4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года по ожидаемой продолжительности жизни.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последние годы продолжительность жизни граждан РФ стабильно увеличивается. Причин этому несколько:</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Уменьшается количество курильщиков и потребление алкоголя. Контроль за оборотом алкоголя и табака в последние годы заметно ужесточаются, а цены на эту продукцию растут. Вдобавок вредные привычки выходят из «моды»: сейчас люди больше внимания уделяют здоровому образу жизни и карьере.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Уменьшается количество потребления наркотиков. Если вспомнить девяностые годы и начало нулевых, когда наркотики можно было приобрести практически без проблем и без риска — сейчас в этом плане все серьезно ужесточилось и усложнилось. Конечно, наркотические препараты все равно нелегально распространяются, и их выбор стал больше, однако теперь и потребители отслеживаются, и распространители преследуются куда эффективнее.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Повысился уровень жизни населения. Средняя зарплата по России в 2004 году составляла порядка 7 тысяч рублей. </w:t>
      </w:r>
      <w:hyperlink r:id="rId350" w:history="1">
        <w:r w:rsidRPr="00DA76A7">
          <w:rPr>
            <w:rStyle w:val="af0"/>
            <w:rFonts w:ascii="Arial" w:hAnsi="Arial" w:cs="Arial"/>
            <w:color w:val="000000" w:themeColor="text1"/>
            <w:sz w:val="22"/>
            <w:szCs w:val="22"/>
            <w:u w:val="none"/>
          </w:rPr>
          <w:t>К 2017 году средняя зарплата достигла 37 тысяч</w:t>
        </w:r>
      </w:hyperlink>
      <w:r w:rsidRPr="00DA76A7">
        <w:rPr>
          <w:rFonts w:ascii="Arial" w:hAnsi="Arial" w:cs="Arial"/>
          <w:color w:val="000000" w:themeColor="text1"/>
          <w:sz w:val="22"/>
          <w:szCs w:val="22"/>
        </w:rPr>
        <w:t>. Конечно, выросли и цены, однако ситуация на рынке труда улучшилась, и население имеет возможность больше тратить и на полноценное питание, и на лечение, хоть в последние 2-3 года и наметилась некоторая </w:t>
      </w:r>
      <w:hyperlink r:id="rId351" w:history="1">
        <w:r w:rsidRPr="00DA76A7">
          <w:rPr>
            <w:rStyle w:val="af0"/>
            <w:rFonts w:ascii="Arial" w:hAnsi="Arial" w:cs="Arial"/>
            <w:color w:val="000000" w:themeColor="text1"/>
            <w:sz w:val="22"/>
            <w:szCs w:val="22"/>
            <w:u w:val="none"/>
          </w:rPr>
          <w:t>тенденция экономии на продуктах</w:t>
        </w:r>
      </w:hyperlink>
      <w:r w:rsidRPr="00DA76A7">
        <w:rPr>
          <w:rFonts w:ascii="Arial" w:hAnsi="Arial" w:cs="Arial"/>
          <w:color w:val="000000" w:themeColor="text1"/>
          <w:sz w:val="22"/>
          <w:szCs w:val="22"/>
        </w:rPr>
        <w:t> из-за кризиса.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Повысилось качество здравоохранения. Речь идет как о государственных клиниках, так и о частных лечебных заведениях, которых стало намного больше, чем 15-20 лет назад.</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Улучшилась экономическая обстановка в стране. Это привело к снижению уровня преступности.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Несмотря на то, что в  ходе реализации майских указов 2012 года значительно повысилась эффективность системы здравоохранения, России предстоит решить немало задач, чтобы страна смогла «уверенно войти в клуб стран «80 плюс», где продолжительность жизни превышает 80 лет.». «в данной сфере на первый план выдвигаются нормы актов международных организаций, которые, с одной стороны, частично компенсируют эту недостаточность, с другой стороны, могут рассматриваться как главный ориентир для совершенствования образовательного законодательства РФ в этом весьма актуальном направлении» [5]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решения этой задачи следует предпринять следующие действия: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Увеличить общие расходы на здравоохранение в два раза;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Восстановить действительно шаговую доступность в первичном звене здравоохранения», - в населенных пунктах, где живет от 100 до 2000 человек необходимо создать лечебные заведения, которые смогут не просто оказать первую помощь, но и в экстренных случаях спасти человеческую жизнью.</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3)Обеспечение больниц необходимым диагностическим оборудованием последнего поколение.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Обеспечить всем гражданам реальную возможность не менее одного раза в год пройти качественный профилактический осмотр, который поможет не просто выявить заболевания на ранних стадиях, но и станет полезным « для воспитания ответственного отношения к собственному здоровью».</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«Реализовать специальную общенациональную программу по борьбе с онкологическими заболеваниями, активно привлечь к решению этой задачи науку, отечественную фарминдустрию, провести модернизацию онкоцентров, выстроить современную комплексную систему, от ранней диагностики до своевременного эффективного лечения, которая позволит защитить человека»,-  борьба с онкологией должна начинаться и заканчиваться на самых ранних стадиях, нанося минимальный вред здоровью.</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Поддержка семьи, материнства, детства, демографическая тенденция - все это составляет ядро социальной структуры России. Статья 38 Конституции Российской Федерации отмечает, что «материнство и детство, семья находятся под защитой государства». Несмотря на демографические провалы периода Великой Отечественной Войны и  конца ХХ века, Россия все же смогла «переломить негативные демографические тенденции» благодаря активной политике государства. Но проблемы все еще остаются, например снижение рождаемости.</w:t>
      </w:r>
    </w:p>
    <w:p w:rsidR="005B31C6" w:rsidRPr="00DA76A7" w:rsidRDefault="005B31C6" w:rsidP="005B31C6">
      <w:pPr>
        <w:pStyle w:val="a7"/>
        <w:shd w:val="clear" w:color="auto" w:fill="FFFFFF"/>
        <w:spacing w:before="0" w:beforeAutospacing="0" w:after="0" w:afterAutospacing="0"/>
        <w:ind w:firstLine="567"/>
        <w:textAlignment w:val="baseline"/>
        <w:rPr>
          <w:rFonts w:ascii="Arial" w:hAnsi="Arial" w:cs="Arial"/>
          <w:color w:val="000000" w:themeColor="text1"/>
          <w:sz w:val="22"/>
          <w:szCs w:val="22"/>
        </w:rPr>
      </w:pPr>
      <w:r w:rsidRPr="00DA76A7">
        <w:rPr>
          <w:rFonts w:ascii="Arial" w:hAnsi="Arial" w:cs="Arial"/>
          <w:color w:val="000000" w:themeColor="text1"/>
          <w:sz w:val="22"/>
          <w:szCs w:val="22"/>
        </w:rPr>
        <w:t>Согласно статистическим данным, полученным аналитической службой «Реального времени», в России в 2017 году родилось 1,69 млн человек. Это на 203 тыс., или почти 11%, меньше, чем годом ранее. Число умерших при этом оказалось больше - оно составило 1,82 млн человек. Этот показатель также сократился, но не так значительно, как рождаемость, - на 64 тыс. человек, или 3,5%.</w:t>
      </w:r>
    </w:p>
    <w:p w:rsidR="005B31C6" w:rsidRPr="00DA76A7" w:rsidRDefault="005B31C6" w:rsidP="005B31C6">
      <w:pPr>
        <w:pStyle w:val="a7"/>
        <w:shd w:val="clear" w:color="auto" w:fill="FFFFFF"/>
        <w:spacing w:before="0" w:beforeAutospacing="0" w:after="0" w:afterAutospacing="0"/>
        <w:ind w:firstLine="567"/>
        <w:textAlignment w:val="baseline"/>
        <w:rPr>
          <w:rFonts w:ascii="Arial" w:hAnsi="Arial" w:cs="Arial"/>
          <w:color w:val="000000" w:themeColor="text1"/>
          <w:sz w:val="22"/>
          <w:szCs w:val="22"/>
        </w:rPr>
      </w:pPr>
      <w:r w:rsidRPr="00DA76A7">
        <w:rPr>
          <w:rFonts w:ascii="Arial" w:hAnsi="Arial" w:cs="Arial"/>
          <w:color w:val="000000" w:themeColor="text1"/>
          <w:sz w:val="22"/>
          <w:szCs w:val="22"/>
        </w:rPr>
        <w:t>Таким образом, за прошедший год в России родилось на 8% меньше людей, чем умерло. По сравнению с прошлым годом показатель довольно заметно ухудшился - в 2016 году рождаемость пусть и всего на 0,3%, но все же превышала смертность.</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Для решения этой проблемы Путин предлагает такие шаги, как:</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Продление программы материнского капитала.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Продолжить адресные выплаты при рождении первенца, второго и третьего ребёнка.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Улучшение жилищных условий с помощью льготной ипотеки для многодетных и молодых семей.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Обеспечить все нуждающиеся семьи местами в яслях и детских садах, тем самым позволяя молодым родителям продолжить образование или специалистам выйти на работу.</w:t>
      </w:r>
    </w:p>
    <w:p w:rsidR="005B31C6" w:rsidRPr="00DA76A7" w:rsidRDefault="005B31C6" w:rsidP="005B31C6">
      <w:pPr>
        <w:pStyle w:val="18"/>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После изучения мной  послания Президента Федеральному Собранию, следует отметить, что в настоящее время в Российской Федерации не просто соблюдают и защищают  права человека и гражданина, но и делают все, чтобы нововведения, производимые абсолютно во всех сферах жизни, происходили максимально комфортно для граждан и имели практический результат. Я считаю, что необходимо не просто интересоваться, но и непосредственно участвовать в жизни страны, формируя тем самым яркую гражданскую позицию.  </w:t>
      </w:r>
    </w:p>
    <w:p w:rsidR="005B31C6" w:rsidRPr="00DA76A7" w:rsidRDefault="005B31C6" w:rsidP="005B31C6">
      <w:pPr>
        <w:pStyle w:val="18"/>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Признание проблем своей страны, пути и предложения их решения, поиски вариантов развития и реализации задач по соблюдению главного закона страны – Конституции - это и есть проявление патриотизма и любви к своей Родине.</w:t>
      </w:r>
    </w:p>
    <w:p w:rsidR="005B31C6" w:rsidRPr="00DA76A7" w:rsidRDefault="005B31C6" w:rsidP="005B31C6">
      <w:pPr>
        <w:pStyle w:val="18"/>
        <w:spacing w:after="0" w:line="240" w:lineRule="auto"/>
        <w:ind w:left="0" w:firstLine="567"/>
        <w:jc w:val="both"/>
        <w:rPr>
          <w:rFonts w:ascii="Arial" w:hAnsi="Arial" w:cs="Arial"/>
          <w:color w:val="000000" w:themeColor="text1"/>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18"/>
        <w:numPr>
          <w:ilvl w:val="0"/>
          <w:numId w:val="15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 // Интернет портал правовой информации. [Электронный ресурс].  – Режим доступа: </w:t>
      </w:r>
      <w:hyperlink r:id="rId352"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consultant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document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w:t>
        </w:r>
        <w:r w:rsidRPr="00DA76A7">
          <w:rPr>
            <w:rStyle w:val="af0"/>
            <w:rFonts w:ascii="Arial" w:hAnsi="Arial" w:cs="Arial"/>
            <w:color w:val="000000" w:themeColor="text1"/>
            <w:u w:val="none"/>
          </w:rPr>
          <w:t>_</w:t>
        </w:r>
        <w:r w:rsidRPr="00DA76A7">
          <w:rPr>
            <w:rStyle w:val="af0"/>
            <w:rFonts w:ascii="Arial" w:hAnsi="Arial" w:cs="Arial"/>
            <w:color w:val="000000" w:themeColor="text1"/>
            <w:u w:val="none"/>
            <w:lang w:val="en-US"/>
          </w:rPr>
          <w:t>doc</w:t>
        </w:r>
        <w:r w:rsidRPr="00DA76A7">
          <w:rPr>
            <w:rStyle w:val="af0"/>
            <w:rFonts w:ascii="Arial" w:hAnsi="Arial" w:cs="Arial"/>
            <w:color w:val="000000" w:themeColor="text1"/>
            <w:u w:val="none"/>
          </w:rPr>
          <w:t>_</w:t>
        </w:r>
        <w:r w:rsidRPr="00DA76A7">
          <w:rPr>
            <w:rStyle w:val="af0"/>
            <w:rFonts w:ascii="Arial" w:hAnsi="Arial" w:cs="Arial"/>
            <w:color w:val="000000" w:themeColor="text1"/>
            <w:u w:val="none"/>
            <w:lang w:val="en-US"/>
          </w:rPr>
          <w:t>LAW</w:t>
        </w:r>
        <w:r w:rsidRPr="00DA76A7">
          <w:rPr>
            <w:rStyle w:val="af0"/>
            <w:rFonts w:ascii="Arial" w:hAnsi="Arial" w:cs="Arial"/>
            <w:color w:val="000000" w:themeColor="text1"/>
            <w:u w:val="none"/>
          </w:rPr>
          <w:t>_28399/</w:t>
        </w:r>
      </w:hyperlink>
      <w:r w:rsidRPr="00DA76A7">
        <w:rPr>
          <w:rFonts w:ascii="Arial" w:hAnsi="Arial" w:cs="Arial"/>
          <w:color w:val="000000" w:themeColor="text1"/>
        </w:rPr>
        <w:t xml:space="preserve"> (дата обращения: 27.02.2018).</w:t>
      </w:r>
    </w:p>
    <w:p w:rsidR="005B31C6" w:rsidRPr="00DA76A7" w:rsidRDefault="005B31C6" w:rsidP="00D45D6B">
      <w:pPr>
        <w:pStyle w:val="18"/>
        <w:numPr>
          <w:ilvl w:val="0"/>
          <w:numId w:val="15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Республики Таджикистан // Официальный сайт Президента Республики Таджикистан. [Электронный ресурс]. – Режим доступа: </w:t>
      </w:r>
      <w:hyperlink r:id="rId353" w:history="1">
        <w:r w:rsidRPr="00DA76A7">
          <w:rPr>
            <w:rFonts w:ascii="Arial" w:hAnsi="Arial" w:cs="Arial"/>
            <w:color w:val="000000" w:themeColor="text1"/>
          </w:rPr>
          <w:t>http://www.president.tj/ru/taxonomy/term/5/112</w:t>
        </w:r>
      </w:hyperlink>
      <w:r w:rsidRPr="00DA76A7">
        <w:rPr>
          <w:rFonts w:ascii="Arial" w:hAnsi="Arial" w:cs="Arial"/>
          <w:color w:val="000000" w:themeColor="text1"/>
        </w:rPr>
        <w:t xml:space="preserve"> (дата обращения: 01.03.2018).</w:t>
      </w:r>
    </w:p>
    <w:p w:rsidR="005B31C6" w:rsidRPr="00DA76A7" w:rsidRDefault="005B31C6" w:rsidP="00D45D6B">
      <w:pPr>
        <w:pStyle w:val="18"/>
        <w:numPr>
          <w:ilvl w:val="0"/>
          <w:numId w:val="15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w:t>
      </w:r>
      <w:hyperlink r:id="rId354" w:tgtFrame="_blank" w:history="1">
        <w:r w:rsidRPr="00DA76A7">
          <w:rPr>
            <w:rFonts w:ascii="Arial" w:hAnsi="Arial" w:cs="Arial"/>
            <w:color w:val="000000" w:themeColor="text1"/>
          </w:rPr>
          <w:t>Послание Президента Федеральному Собранию</w:t>
        </w:r>
      </w:hyperlink>
      <w:r w:rsidRPr="00DA76A7">
        <w:rPr>
          <w:rFonts w:ascii="Arial" w:hAnsi="Arial" w:cs="Arial"/>
          <w:color w:val="000000" w:themeColor="text1"/>
        </w:rPr>
        <w:t xml:space="preserve"> от 01.02.2018 г.» [Электронный ресурс]. - Режим доступа : </w:t>
      </w:r>
      <w:hyperlink r:id="rId355" w:history="1">
        <w:r w:rsidRPr="00DA76A7">
          <w:rPr>
            <w:rFonts w:ascii="Arial" w:hAnsi="Arial" w:cs="Arial"/>
            <w:color w:val="000000" w:themeColor="text1"/>
          </w:rPr>
          <w:t>http://kremlin.ru</w:t>
        </w:r>
      </w:hyperlink>
      <w:r w:rsidRPr="00DA76A7">
        <w:rPr>
          <w:rFonts w:ascii="Arial" w:hAnsi="Arial" w:cs="Arial"/>
          <w:color w:val="000000" w:themeColor="text1"/>
        </w:rPr>
        <w:t xml:space="preserve"> (дата обращения 27.03.2018.)</w:t>
      </w:r>
    </w:p>
    <w:p w:rsidR="005B31C6" w:rsidRPr="00DA76A7" w:rsidRDefault="005B31C6" w:rsidP="00D45D6B">
      <w:pPr>
        <w:pStyle w:val="18"/>
        <w:numPr>
          <w:ilvl w:val="0"/>
          <w:numId w:val="15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«Динамика средней продолжительности жизни россиян. Как жить долго и не болеть — секреты долгожителей.» [Электронный ресурс]. – Режим доступа: </w:t>
      </w:r>
      <w:hyperlink r:id="rId356" w:history="1">
        <w:r w:rsidRPr="00DA76A7">
          <w:rPr>
            <w:rFonts w:ascii="Arial" w:hAnsi="Arial" w:cs="Arial"/>
            <w:color w:val="000000" w:themeColor="text1"/>
          </w:rPr>
          <w:t>http://reconomica.ru/экономика</w:t>
        </w:r>
      </w:hyperlink>
      <w:r w:rsidRPr="00DA76A7">
        <w:rPr>
          <w:rFonts w:ascii="Arial" w:hAnsi="Arial" w:cs="Arial"/>
          <w:color w:val="000000" w:themeColor="text1"/>
        </w:rPr>
        <w:t xml:space="preserve"> (дата обращения 20.03.2018.) </w:t>
      </w:r>
    </w:p>
    <w:p w:rsidR="005B31C6" w:rsidRPr="00DA76A7" w:rsidRDefault="005B31C6" w:rsidP="00D45D6B">
      <w:pPr>
        <w:pStyle w:val="18"/>
        <w:numPr>
          <w:ilvl w:val="0"/>
          <w:numId w:val="15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Матюшева Т.Н. Дискриминация в области образования: международный аспект // </w:t>
      </w:r>
      <w:hyperlink r:id="rId357" w:history="1">
        <w:r w:rsidRPr="00DA76A7">
          <w:rPr>
            <w:rFonts w:ascii="Arial" w:hAnsi="Arial" w:cs="Arial"/>
            <w:color w:val="000000" w:themeColor="text1"/>
          </w:rPr>
          <w:t>Современное общество и право</w:t>
        </w:r>
      </w:hyperlink>
      <w:r w:rsidRPr="00DA76A7">
        <w:rPr>
          <w:rFonts w:ascii="Arial" w:hAnsi="Arial" w:cs="Arial"/>
          <w:color w:val="000000" w:themeColor="text1"/>
        </w:rPr>
        <w:t xml:space="preserve">. 2013. </w:t>
      </w:r>
      <w:hyperlink r:id="rId358" w:history="1">
        <w:r w:rsidRPr="00DA76A7">
          <w:rPr>
            <w:rFonts w:ascii="Arial" w:hAnsi="Arial" w:cs="Arial"/>
            <w:color w:val="000000" w:themeColor="text1"/>
          </w:rPr>
          <w:t>№ 1 (10)</w:t>
        </w:r>
      </w:hyperlink>
      <w:r w:rsidRPr="00DA76A7">
        <w:rPr>
          <w:rFonts w:ascii="Arial" w:hAnsi="Arial" w:cs="Arial"/>
          <w:color w:val="000000" w:themeColor="text1"/>
        </w:rPr>
        <w:t>. С. 3-7.</w:t>
      </w:r>
    </w:p>
    <w:p w:rsidR="005B31C6" w:rsidRPr="00DA76A7" w:rsidRDefault="005B31C6" w:rsidP="00D45D6B">
      <w:pPr>
        <w:pStyle w:val="18"/>
        <w:numPr>
          <w:ilvl w:val="0"/>
          <w:numId w:val="15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«Ипотека. Итоги 2017 г.» [Электронный ресурс]. – Режим доступа:  </w:t>
      </w:r>
      <w:hyperlink r:id="rId359" w:history="1">
        <w:r w:rsidRPr="00DA76A7">
          <w:rPr>
            <w:rFonts w:ascii="Arial" w:hAnsi="Arial" w:cs="Arial"/>
            <w:color w:val="000000" w:themeColor="text1"/>
          </w:rPr>
          <w:t>https://sdelanounas.ru/blogs/103650/</w:t>
        </w:r>
      </w:hyperlink>
      <w:r w:rsidRPr="00DA76A7">
        <w:rPr>
          <w:rFonts w:ascii="Arial" w:hAnsi="Arial" w:cs="Arial"/>
          <w:color w:val="000000" w:themeColor="text1"/>
        </w:rPr>
        <w:t xml:space="preserve"> (дата обращения 20.03.2018.)</w:t>
      </w:r>
    </w:p>
    <w:p w:rsidR="005B31C6" w:rsidRPr="00DA76A7" w:rsidRDefault="005B31C6" w:rsidP="00D45D6B">
      <w:pPr>
        <w:pStyle w:val="18"/>
        <w:numPr>
          <w:ilvl w:val="0"/>
          <w:numId w:val="15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«Демография-2017: россиян становится меньше, но они активно вступают в браки» [Электронный ресурс]. – Режим доступа: </w:t>
      </w:r>
      <w:hyperlink r:id="rId360" w:history="1">
        <w:r w:rsidRPr="00DA76A7">
          <w:rPr>
            <w:rFonts w:ascii="Arial" w:hAnsi="Arial" w:cs="Arial"/>
            <w:color w:val="000000" w:themeColor="text1"/>
          </w:rPr>
          <w:t>https://realnoevremya.ru/articles/88359-demografiya-v-rossii-v-2017-godu</w:t>
        </w:r>
      </w:hyperlink>
      <w:r w:rsidRPr="00DA76A7">
        <w:rPr>
          <w:rFonts w:ascii="Arial" w:hAnsi="Arial" w:cs="Arial"/>
          <w:color w:val="000000" w:themeColor="text1"/>
        </w:rPr>
        <w:t xml:space="preserve"> (дата обращения 11.03.2018.)</w:t>
      </w:r>
    </w:p>
    <w:p w:rsidR="005B31C6" w:rsidRPr="00DA76A7" w:rsidRDefault="005B31C6" w:rsidP="00D45D6B">
      <w:pPr>
        <w:pStyle w:val="18"/>
        <w:numPr>
          <w:ilvl w:val="0"/>
          <w:numId w:val="152"/>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Матюшева Т.Н. Государственность – социально-политический фактор функционирования и развития национальной системы образования // Наука и образование: хозяйство и экономика; предпринимательство; право и управление. 2012. № 4(23). С. 48-54</w:t>
      </w:r>
    </w:p>
    <w:p w:rsidR="005B31C6" w:rsidRPr="00DA76A7" w:rsidRDefault="005B31C6" w:rsidP="005B31C6">
      <w:pPr>
        <w:tabs>
          <w:tab w:val="left" w:pos="851"/>
        </w:tabs>
        <w:ind w:firstLine="567"/>
        <w:jc w:val="both"/>
        <w:rPr>
          <w:rFonts w:ascii="Arial" w:hAnsi="Arial" w:cs="Arial"/>
          <w:color w:val="000000" w:themeColor="text1"/>
          <w:sz w:val="22"/>
          <w:szCs w:val="22"/>
        </w:rPr>
      </w:pPr>
    </w:p>
    <w:p w:rsidR="005B31C6" w:rsidRDefault="005B31C6" w:rsidP="005B31C6">
      <w:pPr>
        <w:ind w:firstLine="567"/>
        <w:rPr>
          <w:rFonts w:ascii="Arial" w:hAnsi="Arial" w:cs="Arial"/>
          <w:color w:val="000000" w:themeColor="text1"/>
          <w:sz w:val="22"/>
          <w:szCs w:val="22"/>
        </w:rPr>
      </w:pPr>
    </w:p>
    <w:p w:rsidR="008C23AD" w:rsidRDefault="008C23AD" w:rsidP="005B31C6">
      <w:pPr>
        <w:ind w:firstLine="567"/>
        <w:rPr>
          <w:rFonts w:ascii="Arial" w:hAnsi="Arial" w:cs="Arial"/>
          <w:color w:val="000000" w:themeColor="text1"/>
          <w:sz w:val="22"/>
          <w:szCs w:val="22"/>
        </w:rPr>
      </w:pPr>
    </w:p>
    <w:p w:rsidR="008C23AD" w:rsidRDefault="008C23AD" w:rsidP="005B31C6">
      <w:pPr>
        <w:ind w:firstLine="567"/>
        <w:rPr>
          <w:rFonts w:ascii="Arial" w:hAnsi="Arial" w:cs="Arial"/>
          <w:color w:val="000000" w:themeColor="text1"/>
          <w:sz w:val="22"/>
          <w:szCs w:val="22"/>
        </w:rPr>
      </w:pPr>
    </w:p>
    <w:p w:rsidR="008C23AD" w:rsidRPr="00DA76A7" w:rsidRDefault="008C23AD" w:rsidP="005B31C6">
      <w:pPr>
        <w:ind w:firstLine="567"/>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ПРЯМОЕ ДЕЙСТВИЕ КОНСТИТУЦИИ: ТЕОРИЯ И ПРАКТИКА</w:t>
      </w:r>
    </w:p>
    <w:p w:rsidR="005B31C6" w:rsidRPr="00DA76A7" w:rsidRDefault="005B31C6" w:rsidP="005B31C6">
      <w:pPr>
        <w:contextualSpacing/>
        <w:jc w:val="center"/>
        <w:rPr>
          <w:rFonts w:ascii="Arial" w:hAnsi="Arial" w:cs="Arial"/>
          <w:b/>
          <w:color w:val="000000" w:themeColor="text1"/>
          <w:sz w:val="22"/>
          <w:szCs w:val="22"/>
          <w:lang w:eastAsia="tg-Cyrl-TJ"/>
        </w:rPr>
      </w:pPr>
    </w:p>
    <w:p w:rsidR="005B31C6" w:rsidRPr="00DA76A7" w:rsidRDefault="005B31C6" w:rsidP="005B31C6">
      <w:pPr>
        <w:contextualSpacing/>
        <w:jc w:val="center"/>
        <w:rPr>
          <w:rFonts w:ascii="Arial" w:hAnsi="Arial" w:cs="Arial"/>
          <w:b/>
          <w:color w:val="000000" w:themeColor="text1"/>
          <w:sz w:val="22"/>
          <w:szCs w:val="22"/>
          <w:lang w:val="tg-Cyrl-TJ" w:eastAsia="tg-Cyrl-TJ"/>
        </w:rPr>
      </w:pPr>
      <w:r w:rsidRPr="00DA76A7">
        <w:rPr>
          <w:rFonts w:ascii="Arial" w:hAnsi="Arial" w:cs="Arial"/>
          <w:b/>
          <w:color w:val="000000" w:themeColor="text1"/>
          <w:sz w:val="22"/>
          <w:szCs w:val="22"/>
          <w:lang w:val="tg-Cyrl-TJ" w:eastAsia="tg-Cyrl-TJ"/>
        </w:rPr>
        <w:t>Григоров Вадим Викторович</w:t>
      </w:r>
    </w:p>
    <w:p w:rsidR="005B31C6" w:rsidRPr="00DA76A7" w:rsidRDefault="005B31C6" w:rsidP="005B31C6">
      <w:pPr>
        <w:contextualSpacing/>
        <w:jc w:val="center"/>
        <w:rPr>
          <w:rFonts w:ascii="Arial" w:hAnsi="Arial" w:cs="Arial"/>
          <w:color w:val="000000" w:themeColor="text1"/>
          <w:sz w:val="22"/>
          <w:szCs w:val="22"/>
          <w:lang w:val="tg-Cyrl-TJ" w:eastAsia="tg-Cyrl-TJ"/>
        </w:rPr>
      </w:pPr>
      <w:r w:rsidRPr="00DA76A7">
        <w:rPr>
          <w:rFonts w:ascii="Arial" w:hAnsi="Arial" w:cs="Arial"/>
          <w:color w:val="000000" w:themeColor="text1"/>
          <w:sz w:val="22"/>
          <w:szCs w:val="22"/>
          <w:lang w:val="tg-Cyrl-TJ" w:eastAsia="tg-Cyrl-TJ"/>
        </w:rPr>
        <w:t xml:space="preserve">студент 2-го курса юридического факультета  </w:t>
      </w:r>
    </w:p>
    <w:p w:rsidR="005B31C6" w:rsidRPr="00DA76A7" w:rsidRDefault="005B31C6" w:rsidP="005B31C6">
      <w:pPr>
        <w:contextualSpacing/>
        <w:jc w:val="center"/>
        <w:rPr>
          <w:rFonts w:ascii="Arial" w:hAnsi="Arial" w:cs="Arial"/>
          <w:color w:val="000000" w:themeColor="text1"/>
          <w:sz w:val="22"/>
          <w:szCs w:val="22"/>
          <w:lang w:val="tg-Cyrl-TJ" w:eastAsia="tg-Cyrl-TJ"/>
        </w:rPr>
      </w:pPr>
      <w:r w:rsidRPr="00DA76A7">
        <w:rPr>
          <w:rFonts w:ascii="Arial" w:hAnsi="Arial" w:cs="Arial"/>
          <w:color w:val="000000" w:themeColor="text1"/>
          <w:sz w:val="22"/>
          <w:szCs w:val="22"/>
          <w:lang w:val="tg-Cyrl-TJ" w:eastAsia="tg-Cyrl-TJ"/>
        </w:rPr>
        <w:t>Астраханский филиал Международного юридического института</w:t>
      </w:r>
    </w:p>
    <w:p w:rsidR="005B31C6" w:rsidRPr="00DA76A7" w:rsidRDefault="005B31C6" w:rsidP="005B31C6">
      <w:pPr>
        <w:contextualSpacing/>
        <w:jc w:val="center"/>
        <w:rPr>
          <w:rFonts w:ascii="Arial" w:hAnsi="Arial" w:cs="Arial"/>
          <w:color w:val="000000" w:themeColor="text1"/>
          <w:sz w:val="22"/>
          <w:szCs w:val="22"/>
          <w:lang w:val="tg-Cyrl-TJ" w:eastAsia="tg-Cyrl-TJ"/>
        </w:rPr>
      </w:pPr>
      <w:r w:rsidRPr="00DA76A7">
        <w:rPr>
          <w:rFonts w:ascii="Arial" w:hAnsi="Arial" w:cs="Arial"/>
          <w:color w:val="000000" w:themeColor="text1"/>
          <w:sz w:val="22"/>
          <w:szCs w:val="22"/>
          <w:lang w:val="tg-Cyrl-TJ" w:eastAsia="tg-Cyrl-TJ"/>
        </w:rPr>
        <w:t>414000, Российская Федерация, г. Астрахань ул. Казанская,106</w:t>
      </w:r>
    </w:p>
    <w:p w:rsidR="005B31C6" w:rsidRPr="00DA76A7" w:rsidRDefault="005B31C6" w:rsidP="005B31C6">
      <w:pPr>
        <w:contextualSpacing/>
        <w:jc w:val="center"/>
        <w:rPr>
          <w:rFonts w:ascii="Arial" w:hAnsi="Arial" w:cs="Arial"/>
          <w:color w:val="000000" w:themeColor="text1"/>
          <w:sz w:val="22"/>
          <w:szCs w:val="22"/>
          <w:lang w:val="tg-Cyrl-TJ" w:eastAsia="tg-Cyrl-TJ"/>
        </w:rPr>
      </w:pPr>
      <w:r w:rsidRPr="00DA76A7">
        <w:rPr>
          <w:rFonts w:ascii="Arial" w:hAnsi="Arial" w:cs="Arial"/>
          <w:color w:val="000000" w:themeColor="text1"/>
          <w:sz w:val="22"/>
          <w:szCs w:val="22"/>
          <w:lang w:val="tg-Cyrl-TJ" w:eastAsia="tg-Cyrl-TJ"/>
        </w:rPr>
        <w:t xml:space="preserve">тел.: +7-929-586-66-96, е-mail: </w:t>
      </w:r>
      <w:r w:rsidRPr="00DA76A7">
        <w:rPr>
          <w:rFonts w:ascii="Arial" w:hAnsi="Arial" w:cs="Arial"/>
          <w:color w:val="000000" w:themeColor="text1"/>
          <w:sz w:val="22"/>
          <w:szCs w:val="22"/>
          <w:lang w:val="en-US" w:eastAsia="tg-Cyrl-TJ"/>
        </w:rPr>
        <w:t>nevazhnovv</w:t>
      </w:r>
      <w:r w:rsidRPr="00DA76A7">
        <w:rPr>
          <w:rFonts w:ascii="Arial" w:hAnsi="Arial" w:cs="Arial"/>
          <w:color w:val="000000" w:themeColor="text1"/>
          <w:sz w:val="22"/>
          <w:szCs w:val="22"/>
          <w:lang w:val="tg-Cyrl-TJ" w:eastAsia="tg-Cyrl-TJ"/>
        </w:rPr>
        <w:t>@</w:t>
      </w:r>
      <w:r w:rsidRPr="00DA76A7">
        <w:rPr>
          <w:rFonts w:ascii="Arial" w:hAnsi="Arial" w:cs="Arial"/>
          <w:color w:val="000000" w:themeColor="text1"/>
          <w:sz w:val="22"/>
          <w:szCs w:val="22"/>
          <w:lang w:val="en-US" w:eastAsia="tg-Cyrl-TJ"/>
        </w:rPr>
        <w:t>inbox</w:t>
      </w:r>
      <w:r w:rsidRPr="00DA76A7">
        <w:rPr>
          <w:rFonts w:ascii="Arial" w:hAnsi="Arial" w:cs="Arial"/>
          <w:color w:val="000000" w:themeColor="text1"/>
          <w:sz w:val="22"/>
          <w:szCs w:val="22"/>
          <w:lang w:val="tg-Cyrl-TJ" w:eastAsia="tg-Cyrl-TJ"/>
        </w:rPr>
        <w:t>.ru</w:t>
      </w:r>
    </w:p>
    <w:p w:rsidR="005B31C6" w:rsidRPr="00DA76A7" w:rsidRDefault="005B31C6" w:rsidP="005B31C6">
      <w:pPr>
        <w:contextualSpacing/>
        <w:jc w:val="center"/>
        <w:rPr>
          <w:rFonts w:ascii="Arial" w:hAnsi="Arial" w:cs="Arial"/>
          <w:color w:val="000000" w:themeColor="text1"/>
          <w:sz w:val="22"/>
          <w:szCs w:val="22"/>
          <w:lang w:val="tg-Cyrl-TJ" w:eastAsia="tg-Cyrl-TJ"/>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DIRECT ACTION OF THE CONSTITUTION: THEORY AND PRACTICE</w:t>
      </w:r>
    </w:p>
    <w:p w:rsidR="005B31C6" w:rsidRPr="00DA76A7" w:rsidRDefault="005B31C6" w:rsidP="005B31C6">
      <w:pPr>
        <w:jc w:val="center"/>
        <w:rPr>
          <w:rFonts w:ascii="Arial" w:hAnsi="Arial" w:cs="Arial"/>
          <w:b/>
          <w:color w:val="000000" w:themeColor="text1"/>
          <w:sz w:val="22"/>
          <w:szCs w:val="22"/>
          <w:lang w:val="en-US" w:eastAsia="tg-Cyrl-TJ"/>
        </w:rPr>
      </w:pPr>
    </w:p>
    <w:p w:rsidR="005B31C6" w:rsidRPr="00DA76A7" w:rsidRDefault="005B31C6" w:rsidP="005B31C6">
      <w:pPr>
        <w:jc w:val="center"/>
        <w:rPr>
          <w:rFonts w:ascii="Arial" w:hAnsi="Arial" w:cs="Arial"/>
          <w:b/>
          <w:color w:val="000000" w:themeColor="text1"/>
          <w:sz w:val="22"/>
          <w:szCs w:val="22"/>
          <w:lang w:val="en-US" w:eastAsia="tg-Cyrl-TJ"/>
        </w:rPr>
      </w:pPr>
      <w:r w:rsidRPr="00DA76A7">
        <w:rPr>
          <w:rFonts w:ascii="Arial" w:hAnsi="Arial" w:cs="Arial"/>
          <w:b/>
          <w:color w:val="000000" w:themeColor="text1"/>
          <w:sz w:val="22"/>
          <w:szCs w:val="22"/>
          <w:lang w:val="en-US" w:eastAsia="tg-Cyrl-TJ"/>
        </w:rPr>
        <w:t>Grigorov Vadim Viktorovich</w:t>
      </w:r>
    </w:p>
    <w:p w:rsidR="005B31C6" w:rsidRPr="00DA76A7" w:rsidRDefault="005B31C6" w:rsidP="005B31C6">
      <w:pPr>
        <w:jc w:val="center"/>
        <w:rPr>
          <w:rFonts w:ascii="Arial" w:hAnsi="Arial" w:cs="Arial"/>
          <w:color w:val="000000" w:themeColor="text1"/>
          <w:sz w:val="22"/>
          <w:szCs w:val="22"/>
          <w:lang w:val="en-US" w:eastAsia="tg-Cyrl-TJ"/>
        </w:rPr>
      </w:pPr>
      <w:r w:rsidRPr="00DA76A7">
        <w:rPr>
          <w:rFonts w:ascii="Arial" w:hAnsi="Arial" w:cs="Arial"/>
          <w:color w:val="000000" w:themeColor="text1"/>
          <w:sz w:val="22"/>
          <w:szCs w:val="22"/>
          <w:lang w:val="en-US" w:eastAsia="tg-Cyrl-TJ"/>
        </w:rPr>
        <w:t xml:space="preserve"> </w:t>
      </w:r>
      <w:r w:rsidRPr="00DA76A7">
        <w:rPr>
          <w:rFonts w:ascii="Arial" w:hAnsi="Arial" w:cs="Arial"/>
          <w:color w:val="000000" w:themeColor="text1"/>
          <w:sz w:val="22"/>
          <w:szCs w:val="22"/>
          <w:lang w:eastAsia="tg-Cyrl-TJ"/>
        </w:rPr>
        <w:t>а</w:t>
      </w:r>
      <w:r w:rsidRPr="00DA76A7">
        <w:rPr>
          <w:rFonts w:ascii="Arial" w:hAnsi="Arial" w:cs="Arial"/>
          <w:color w:val="000000" w:themeColor="text1"/>
          <w:sz w:val="22"/>
          <w:szCs w:val="22"/>
          <w:lang w:val="en-US" w:eastAsia="tg-Cyrl-TJ"/>
        </w:rPr>
        <w:t xml:space="preserve"> second year student Astrakhan branch International institute of law, </w:t>
      </w:r>
    </w:p>
    <w:p w:rsidR="005B31C6" w:rsidRPr="00DA76A7" w:rsidRDefault="005B31C6" w:rsidP="005B31C6">
      <w:pPr>
        <w:jc w:val="center"/>
        <w:rPr>
          <w:rFonts w:ascii="Arial" w:hAnsi="Arial" w:cs="Arial"/>
          <w:color w:val="000000" w:themeColor="text1"/>
          <w:sz w:val="22"/>
          <w:szCs w:val="22"/>
          <w:lang w:val="en-US" w:eastAsia="tg-Cyrl-TJ"/>
        </w:rPr>
      </w:pPr>
      <w:r w:rsidRPr="00DA76A7">
        <w:rPr>
          <w:rFonts w:ascii="Arial" w:hAnsi="Arial" w:cs="Arial"/>
          <w:color w:val="000000" w:themeColor="text1"/>
          <w:sz w:val="22"/>
          <w:szCs w:val="22"/>
          <w:lang w:val="en-US" w:eastAsia="tg-Cyrl-TJ"/>
        </w:rPr>
        <w:t>414000, Russian Federation, Astrakhan, st. Kazanskaya, 106,</w:t>
      </w:r>
    </w:p>
    <w:p w:rsidR="005B31C6" w:rsidRPr="00DA76A7" w:rsidRDefault="005B31C6" w:rsidP="005B31C6">
      <w:pPr>
        <w:jc w:val="center"/>
        <w:rPr>
          <w:rFonts w:ascii="Arial" w:hAnsi="Arial" w:cs="Arial"/>
          <w:color w:val="000000" w:themeColor="text1"/>
          <w:sz w:val="22"/>
          <w:szCs w:val="22"/>
          <w:lang w:val="en-US" w:eastAsia="tg-Cyrl-TJ"/>
        </w:rPr>
      </w:pPr>
      <w:r w:rsidRPr="00DA76A7">
        <w:rPr>
          <w:rFonts w:ascii="Arial" w:hAnsi="Arial" w:cs="Arial"/>
          <w:color w:val="000000" w:themeColor="text1"/>
          <w:sz w:val="22"/>
          <w:szCs w:val="22"/>
          <w:lang w:val="en-US" w:eastAsia="tg-Cyrl-TJ"/>
        </w:rPr>
        <w:t xml:space="preserve">tel.: </w:t>
      </w:r>
      <w:r w:rsidRPr="00DA76A7">
        <w:rPr>
          <w:rFonts w:ascii="Arial" w:hAnsi="Arial" w:cs="Arial"/>
          <w:color w:val="000000" w:themeColor="text1"/>
          <w:sz w:val="22"/>
          <w:szCs w:val="22"/>
          <w:lang w:val="tg-Cyrl-TJ" w:eastAsia="tg-Cyrl-TJ"/>
        </w:rPr>
        <w:t xml:space="preserve">+7-967-331-27-13, е-mail: </w:t>
      </w:r>
      <w:hyperlink r:id="rId361" w:history="1">
        <w:r w:rsidRPr="00DA76A7">
          <w:rPr>
            <w:rStyle w:val="af0"/>
            <w:rFonts w:ascii="Arial" w:hAnsi="Arial" w:cs="Arial"/>
            <w:color w:val="000000" w:themeColor="text1"/>
            <w:sz w:val="22"/>
            <w:szCs w:val="22"/>
            <w:u w:val="none"/>
            <w:lang w:val="en-US" w:eastAsia="tg-Cyrl-TJ"/>
          </w:rPr>
          <w:t>nevazhnovv</w:t>
        </w:r>
        <w:r w:rsidRPr="00DA76A7">
          <w:rPr>
            <w:rStyle w:val="af0"/>
            <w:rFonts w:ascii="Arial" w:hAnsi="Arial" w:cs="Arial"/>
            <w:color w:val="000000" w:themeColor="text1"/>
            <w:sz w:val="22"/>
            <w:szCs w:val="22"/>
            <w:u w:val="none"/>
            <w:lang w:val="tg-Cyrl-TJ" w:eastAsia="tg-Cyrl-TJ"/>
          </w:rPr>
          <w:t>@</w:t>
        </w:r>
        <w:r w:rsidRPr="00DA76A7">
          <w:rPr>
            <w:rStyle w:val="af0"/>
            <w:rFonts w:ascii="Arial" w:hAnsi="Arial" w:cs="Arial"/>
            <w:color w:val="000000" w:themeColor="text1"/>
            <w:sz w:val="22"/>
            <w:szCs w:val="22"/>
            <w:u w:val="none"/>
            <w:lang w:val="en-US" w:eastAsia="tg-Cyrl-TJ"/>
          </w:rPr>
          <w:t>inbox</w:t>
        </w:r>
        <w:r w:rsidRPr="00DA76A7">
          <w:rPr>
            <w:rStyle w:val="af0"/>
            <w:rFonts w:ascii="Arial" w:hAnsi="Arial" w:cs="Arial"/>
            <w:color w:val="000000" w:themeColor="text1"/>
            <w:sz w:val="22"/>
            <w:szCs w:val="22"/>
            <w:u w:val="none"/>
            <w:lang w:val="tg-Cyrl-TJ" w:eastAsia="tg-Cyrl-TJ"/>
          </w:rPr>
          <w:t>.ru</w:t>
        </w:r>
      </w:hyperlink>
    </w:p>
    <w:p w:rsidR="005B31C6" w:rsidRPr="00DA76A7" w:rsidRDefault="005B31C6" w:rsidP="005B31C6">
      <w:pPr>
        <w:ind w:firstLine="567"/>
        <w:jc w:val="center"/>
        <w:rPr>
          <w:rFonts w:ascii="Arial" w:hAnsi="Arial" w:cs="Arial"/>
          <w:b/>
          <w:color w:val="000000" w:themeColor="text1"/>
          <w:sz w:val="22"/>
          <w:szCs w:val="22"/>
          <w:lang w:val="en-US" w:eastAsia="tg-Cyrl-TJ"/>
        </w:rPr>
      </w:pPr>
      <w:r w:rsidRPr="00DA76A7">
        <w:rPr>
          <w:rFonts w:ascii="Arial" w:hAnsi="Arial" w:cs="Arial"/>
          <w:b/>
          <w:color w:val="000000" w:themeColor="text1"/>
          <w:sz w:val="22"/>
          <w:szCs w:val="22"/>
          <w:lang w:val="en-US" w:eastAsia="tg-Cyrl-TJ"/>
        </w:rPr>
        <w:t xml:space="preserve"> </w:t>
      </w:r>
    </w:p>
    <w:p w:rsidR="005B31C6" w:rsidRPr="00DA76A7" w:rsidRDefault="005B31C6" w:rsidP="005B31C6">
      <w:pPr>
        <w:ind w:firstLine="567"/>
        <w:contextualSpacing/>
        <w:jc w:val="right"/>
        <w:rPr>
          <w:rFonts w:ascii="Arial" w:hAnsi="Arial" w:cs="Arial"/>
          <w:color w:val="000000" w:themeColor="text1"/>
          <w:sz w:val="22"/>
          <w:szCs w:val="22"/>
          <w:lang w:eastAsia="tg-Cyrl-TJ"/>
        </w:rPr>
      </w:pPr>
      <w:r w:rsidRPr="00DA76A7">
        <w:rPr>
          <w:rFonts w:ascii="Arial" w:hAnsi="Arial" w:cs="Arial"/>
          <w:color w:val="000000" w:themeColor="text1"/>
          <w:sz w:val="22"/>
          <w:szCs w:val="22"/>
          <w:lang w:val="tg-Cyrl-TJ" w:eastAsia="tg-Cyrl-TJ"/>
        </w:rPr>
        <w:t>Научный руководитель: к.ю.н., доцент Иванова Л.А.</w:t>
      </w:r>
    </w:p>
    <w:p w:rsidR="005B31C6" w:rsidRPr="00DA76A7" w:rsidRDefault="005B31C6" w:rsidP="005B31C6">
      <w:pPr>
        <w:ind w:firstLine="567"/>
        <w:jc w:val="center"/>
        <w:rPr>
          <w:rFonts w:ascii="Arial" w:hAnsi="Arial" w:cs="Arial"/>
          <w:b/>
          <w:color w:val="000000" w:themeColor="text1"/>
          <w:sz w:val="22"/>
          <w:szCs w:val="22"/>
          <w:lang w:val="tg-Cyrl-TJ" w:eastAsia="tg-Cyrl-TJ"/>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Работа посвящена раскрытию и исследованию соотношения теории и практики относительно применения Конституции РФ государственными органами власти. В статье раскрываются проблемы, возникающие при применении прямого действия Конституции, а также предлагаются возможные пути преодоления пробелов в конституционном законодательстве.</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GB"/>
        </w:rPr>
        <w:t>Annotation.</w:t>
      </w:r>
      <w:r w:rsidRPr="00DA76A7">
        <w:rPr>
          <w:rFonts w:ascii="Arial" w:hAnsi="Arial" w:cs="Arial"/>
          <w:i/>
          <w:color w:val="000000" w:themeColor="text1"/>
          <w:sz w:val="22"/>
          <w:szCs w:val="22"/>
          <w:lang w:val="en-GB"/>
        </w:rPr>
        <w:t xml:space="preserve"> The work is devoted to the disclosure and research of the correlation between theory and practice regarding the application of the Constitution of the Russian Federation by state authorities. The article reveals the problems that arise when applying the direct action of the Constitution, as well as suggests possible ways of overcoming gaps in the constitutional legislation.</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Конституция, Конституционный Суд РФ, прямое действие, органы государственной власти, теория, практика.</w:t>
      </w:r>
    </w:p>
    <w:p w:rsidR="005B31C6" w:rsidRPr="00DA76A7" w:rsidRDefault="005B31C6" w:rsidP="005B31C6">
      <w:pPr>
        <w:ind w:firstLine="567"/>
        <w:jc w:val="both"/>
        <w:rPr>
          <w:rFonts w:ascii="Arial" w:hAnsi="Arial" w:cs="Arial"/>
          <w:i/>
          <w:color w:val="000000" w:themeColor="text1"/>
          <w:sz w:val="22"/>
          <w:szCs w:val="22"/>
          <w:lang w:val="en-GB"/>
        </w:rPr>
      </w:pPr>
      <w:r w:rsidRPr="00DA76A7">
        <w:rPr>
          <w:rFonts w:ascii="Arial" w:hAnsi="Arial" w:cs="Arial"/>
          <w:b/>
          <w:i/>
          <w:color w:val="000000" w:themeColor="text1"/>
          <w:sz w:val="22"/>
          <w:szCs w:val="22"/>
          <w:lang w:val="en-GB"/>
        </w:rPr>
        <w:t>Key words.</w:t>
      </w:r>
      <w:r w:rsidRPr="00DA76A7">
        <w:rPr>
          <w:rFonts w:ascii="Arial" w:hAnsi="Arial" w:cs="Arial"/>
          <w:i/>
          <w:color w:val="000000" w:themeColor="text1"/>
          <w:sz w:val="22"/>
          <w:szCs w:val="22"/>
          <w:lang w:val="en-GB"/>
        </w:rPr>
        <w:t xml:space="preserve"> Constitution, Constitutional Court of the Russian Federation, direct action, public authorities, theory, practice.</w:t>
      </w:r>
    </w:p>
    <w:p w:rsidR="005B31C6" w:rsidRPr="00DA76A7" w:rsidRDefault="005B31C6" w:rsidP="005B31C6">
      <w:pPr>
        <w:ind w:firstLine="567"/>
        <w:jc w:val="both"/>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соответствии с положениями части первой ст. 15 Конституции Российской Федерации,</w:t>
      </w:r>
      <w:r w:rsidRPr="00DA76A7">
        <w:rPr>
          <w:rFonts w:ascii="Arial" w:hAnsi="Arial" w:cs="Arial"/>
          <w:bCs/>
          <w:color w:val="000000" w:themeColor="text1"/>
          <w:sz w:val="22"/>
          <w:szCs w:val="22"/>
          <w:shd w:val="clear" w:color="auto" w:fill="FFFFFF"/>
        </w:rPr>
        <w:t>[1;4]</w:t>
      </w:r>
      <w:r w:rsidRPr="00DA76A7">
        <w:rPr>
          <w:rFonts w:ascii="Arial" w:hAnsi="Arial" w:cs="Arial"/>
          <w:color w:val="000000" w:themeColor="text1"/>
          <w:sz w:val="22"/>
          <w:szCs w:val="22"/>
        </w:rPr>
        <w:t xml:space="preserve"> Конституция России «имеет высшую юридическую силу, прямое действие и применяется на всей территории Российской Федерации». Однако содержание этой нормы не позволяет составить четкого представления о том, что же подразумевается под прямым действием Конституции.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практическое значение именно прямого действия Конституции в первую очередь, состоит в том, что у гражданина, обладающего правами в силу Основного Закона, возникает возможность при нарушении таковых прав обратиться в суд, а также в иные административные органы. В свою очередь вышеуказанные органы государственной власти не вправе отказать в рассмотрении жалобы по существу, ссылаясь на то, что в настоящий момент времени в государстве не существует нормативно-правовых актов, регулирующих данные правоотношения.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что ни Конституция РСФСР 1978 г., </w:t>
      </w:r>
      <w:r w:rsidRPr="00DA76A7">
        <w:rPr>
          <w:rFonts w:ascii="Arial" w:hAnsi="Arial" w:cs="Arial"/>
          <w:bCs/>
          <w:color w:val="000000" w:themeColor="text1"/>
          <w:sz w:val="22"/>
          <w:szCs w:val="22"/>
          <w:shd w:val="clear" w:color="auto" w:fill="FFFFFF"/>
        </w:rPr>
        <w:t>[3;5]</w:t>
      </w:r>
      <w:r w:rsidRPr="00DA76A7">
        <w:rPr>
          <w:rFonts w:ascii="Arial" w:hAnsi="Arial" w:cs="Arial"/>
          <w:color w:val="000000" w:themeColor="text1"/>
          <w:sz w:val="22"/>
          <w:szCs w:val="22"/>
        </w:rPr>
        <w:t xml:space="preserve">  ни Конституция РСФСР 1937 г., ,</w:t>
      </w:r>
      <w:r w:rsidRPr="00DA76A7">
        <w:rPr>
          <w:rFonts w:ascii="Arial" w:hAnsi="Arial" w:cs="Arial"/>
          <w:bCs/>
          <w:color w:val="000000" w:themeColor="text1"/>
          <w:sz w:val="22"/>
          <w:szCs w:val="22"/>
          <w:shd w:val="clear" w:color="auto" w:fill="FFFFFF"/>
        </w:rPr>
        <w:t>[7;4]</w:t>
      </w:r>
      <w:r w:rsidRPr="00DA76A7">
        <w:rPr>
          <w:rFonts w:ascii="Arial" w:hAnsi="Arial" w:cs="Arial"/>
          <w:color w:val="000000" w:themeColor="text1"/>
          <w:sz w:val="22"/>
          <w:szCs w:val="22"/>
        </w:rPr>
        <w:t xml:space="preserve">  ни более ранние конституции России (1918,</w:t>
      </w:r>
      <w:r w:rsidRPr="00DA76A7">
        <w:rPr>
          <w:rFonts w:ascii="Arial" w:hAnsi="Arial" w:cs="Arial"/>
          <w:bCs/>
          <w:color w:val="000000" w:themeColor="text1"/>
          <w:sz w:val="22"/>
          <w:szCs w:val="22"/>
          <w:shd w:val="clear" w:color="auto" w:fill="FFFFFF"/>
        </w:rPr>
        <w:t>[2;4]</w:t>
      </w:r>
      <w:r w:rsidRPr="00DA76A7">
        <w:rPr>
          <w:rFonts w:ascii="Arial" w:hAnsi="Arial" w:cs="Arial"/>
          <w:color w:val="000000" w:themeColor="text1"/>
          <w:sz w:val="22"/>
          <w:szCs w:val="22"/>
        </w:rPr>
        <w:t xml:space="preserve">  и 1925,</w:t>
      </w:r>
      <w:r w:rsidRPr="00DA76A7">
        <w:rPr>
          <w:rFonts w:ascii="Arial" w:hAnsi="Arial" w:cs="Arial"/>
          <w:bCs/>
          <w:color w:val="000000" w:themeColor="text1"/>
          <w:sz w:val="22"/>
          <w:szCs w:val="22"/>
          <w:shd w:val="clear" w:color="auto" w:fill="FFFFFF"/>
        </w:rPr>
        <w:t>[6;4]</w:t>
      </w:r>
      <w:r w:rsidRPr="00DA76A7">
        <w:rPr>
          <w:rFonts w:ascii="Arial" w:hAnsi="Arial" w:cs="Arial"/>
          <w:color w:val="000000" w:themeColor="text1"/>
          <w:sz w:val="22"/>
          <w:szCs w:val="22"/>
        </w:rPr>
        <w:t xml:space="preserve">  гг.) принцип прямого действия не закрепляли.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прямое действие Конституции означает, что государственные органы власти обязаны рассматривать конституционно-правовые нормы в качестве непосредственной нормативной основы правоприменения и использовать их для разрешения конкретных дел по существу. Применение принципа прямого действия Конституции представляет собой определенный способ непрерывной и безоговорочной защиты абсолютно всех прав и свобод человека и гражданина, закрепленных в Конституции. Это означает, что в целях достижения основных государственных идей, направленных на защиту определенной категории населения, нельзя не учитывать права и интересы иных граждан, чтобы не оказывать предпочтение политической элите, скрывая за этим на самом деле произвол, происходящий на уровне законодательных органов.</w:t>
      </w:r>
      <w:r w:rsidRPr="00DA76A7">
        <w:rPr>
          <w:rFonts w:ascii="Arial" w:hAnsi="Arial" w:cs="Arial"/>
          <w:bCs/>
          <w:color w:val="000000" w:themeColor="text1"/>
          <w:sz w:val="22"/>
          <w:szCs w:val="22"/>
          <w:shd w:val="clear" w:color="auto" w:fill="FFFFFF"/>
        </w:rPr>
        <w:t>[13;5]</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много раз и в нашей стране случалось так, что в силу необъяснимых причин в ускоренном порядке принимались какие-либо законы, ущемляющие права граждан. В результате чего под предлогами благих намерений и защиты конституционных прав граждан явно нарушались предусмотренные Конституцией права многих категорий граждан.</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например, 26 ноября 2017 года состоялся съезд правозащитников, которые обсуждали важные проблемы защиты основных прав и свобод человека и гражданина. Правозащитники на всероссийском съезде 26 ноября предложили отменить закон о внесудебной блокировке интернет-сайтов, слежке за пользователями интернета,</w:t>
      </w:r>
      <w:r w:rsidRPr="00DA76A7">
        <w:rPr>
          <w:rFonts w:ascii="Arial" w:hAnsi="Arial" w:cs="Arial"/>
          <w:bCs/>
          <w:color w:val="000000" w:themeColor="text1"/>
          <w:sz w:val="22"/>
          <w:szCs w:val="22"/>
          <w:shd w:val="clear" w:color="auto" w:fill="FFFFFF"/>
        </w:rPr>
        <w:t>[9;4]</w:t>
      </w:r>
      <w:r w:rsidRPr="00DA76A7">
        <w:rPr>
          <w:rFonts w:ascii="Arial" w:hAnsi="Arial" w:cs="Arial"/>
          <w:color w:val="000000" w:themeColor="text1"/>
          <w:sz w:val="22"/>
          <w:szCs w:val="22"/>
        </w:rPr>
        <w:t xml:space="preserve">  «закон Димы Яковлева»</w:t>
      </w:r>
      <w:r w:rsidRPr="00DA76A7">
        <w:rPr>
          <w:rFonts w:ascii="Arial" w:hAnsi="Arial" w:cs="Arial"/>
          <w:bCs/>
          <w:color w:val="000000" w:themeColor="text1"/>
          <w:sz w:val="22"/>
          <w:szCs w:val="22"/>
          <w:shd w:val="clear" w:color="auto" w:fill="FFFFFF"/>
        </w:rPr>
        <w:t>[5;4]</w:t>
      </w:r>
      <w:r w:rsidRPr="00DA76A7">
        <w:rPr>
          <w:rFonts w:ascii="Arial" w:hAnsi="Arial" w:cs="Arial"/>
          <w:color w:val="000000" w:themeColor="text1"/>
          <w:sz w:val="22"/>
          <w:szCs w:val="22"/>
        </w:rPr>
        <w:t>,</w:t>
      </w:r>
      <w:r w:rsidRPr="00DA76A7">
        <w:rPr>
          <w:rFonts w:ascii="Arial" w:hAnsi="Arial" w:cs="Arial"/>
          <w:bCs/>
          <w:color w:val="000000" w:themeColor="text1"/>
          <w:sz w:val="22"/>
          <w:szCs w:val="22"/>
          <w:shd w:val="clear" w:color="auto" w:fill="FFFFFF"/>
        </w:rPr>
        <w:t>[16;5]</w:t>
      </w:r>
      <w:r w:rsidRPr="00DA76A7">
        <w:rPr>
          <w:rFonts w:ascii="Arial" w:hAnsi="Arial" w:cs="Arial"/>
          <w:color w:val="000000" w:themeColor="text1"/>
          <w:sz w:val="22"/>
          <w:szCs w:val="22"/>
        </w:rPr>
        <w:t xml:space="preserve">  статью 282 УК РФ</w:t>
      </w:r>
      <w:r w:rsidRPr="00DA76A7">
        <w:rPr>
          <w:rFonts w:ascii="Arial" w:hAnsi="Arial" w:cs="Arial"/>
          <w:bCs/>
          <w:color w:val="000000" w:themeColor="text1"/>
          <w:sz w:val="22"/>
          <w:szCs w:val="22"/>
          <w:shd w:val="clear" w:color="auto" w:fill="FFFFFF"/>
        </w:rPr>
        <w:t>[4;4]</w:t>
      </w:r>
      <w:r w:rsidRPr="00DA76A7">
        <w:rPr>
          <w:rFonts w:ascii="Arial" w:hAnsi="Arial" w:cs="Arial"/>
          <w:color w:val="000000" w:themeColor="text1"/>
          <w:sz w:val="22"/>
          <w:szCs w:val="22"/>
        </w:rPr>
        <w:t xml:space="preserve"> и еще ряд действующих нормативно-правовых актов, сообщает «Новая газета».</w:t>
      </w:r>
      <w:r w:rsidRPr="00DA76A7">
        <w:rPr>
          <w:rFonts w:ascii="Arial" w:hAnsi="Arial" w:cs="Arial"/>
          <w:bCs/>
          <w:color w:val="000000" w:themeColor="text1"/>
          <w:sz w:val="22"/>
          <w:szCs w:val="22"/>
          <w:shd w:val="clear" w:color="auto" w:fill="FFFFFF"/>
        </w:rPr>
        <w:t>[15;5]</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правозащитников, закон предоставляет возможности для злоупотребления, противоречит большинству декларируемых целей налоговой политики России, начиная от концепции деофшоризации экономики и заканчивая обязательствами, взятыми на себя Россией в части международного автоматизированного обмена налоговой информацией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понимается, что вышеуказанные нормативные правовые акты нарушают основные права граждан, тем самым ущемляя их положение.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Также следует отметить, что в данном случае присутствует «различность» мнения в части применения законов со стороны органов государственной власти и мнения общества. Представляется, что каждые из вышеуказанных категорий (общество и государственные органы) могут видеть предназначение того или иного закона, в том числе и нормы Конституции.</w:t>
      </w:r>
      <w:r w:rsidRPr="00DA76A7">
        <w:rPr>
          <w:rFonts w:ascii="Arial" w:hAnsi="Arial" w:cs="Arial"/>
          <w:bCs/>
          <w:color w:val="000000" w:themeColor="text1"/>
          <w:sz w:val="22"/>
          <w:szCs w:val="22"/>
          <w:shd w:val="clear" w:color="auto" w:fill="FFFFFF"/>
        </w:rPr>
        <w:t xml:space="preserve"> [10;5]</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многие конституционные нормы в силу самой структуры Основного закона носят весьма абстрактный характер, что затрудняет осуществление судопроизводства, и возникают проблемы, при решении конкретного дела по жалобе гражданина. В данном случае судам приходится часто прибегать к специальному толкованию конституционных норм.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Кроме того, непосредственное применение конституционных норм в области прав и свобод граждан начал обеспечивать Конституционный Суд Российской Федерации.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Пленум Верховного Суда в своих постановлениях дает  разъяснения, которые основаны на непосредственном приоритете норм, закрепленных в Конституции РФ, и основанные на приоритете конституционных норм, и сориентировал суды на применение Конституции Российской Федерации как акта прямого действия при рассмотрении гражданских и уголовных дел. В свою очередь, 31 октября 1995 г. Пленум Верховного Суда принял Постановление «О некоторых вопросах применения судами Конституции Российской Федерации при осуществлении правосудия»,</w:t>
      </w:r>
      <w:r w:rsidRPr="00DA76A7">
        <w:rPr>
          <w:rFonts w:ascii="Arial" w:hAnsi="Arial" w:cs="Arial"/>
          <w:bCs/>
          <w:color w:val="000000" w:themeColor="text1"/>
          <w:sz w:val="22"/>
          <w:szCs w:val="22"/>
          <w:shd w:val="clear" w:color="auto" w:fill="FFFFFF"/>
        </w:rPr>
        <w:t xml:space="preserve"> [9;4]</w:t>
      </w:r>
      <w:r w:rsidRPr="00DA76A7">
        <w:rPr>
          <w:rFonts w:ascii="Arial" w:hAnsi="Arial" w:cs="Arial"/>
          <w:color w:val="000000" w:themeColor="text1"/>
          <w:sz w:val="22"/>
          <w:szCs w:val="22"/>
        </w:rPr>
        <w:t xml:space="preserve"> в котором отметил, что судам при рассмотрении дел следует оценивать содержание закона или иного нормативного правового акта, регулирующего рассматриваемые судом правоотношения, и во всех необходимых случаях применять Конституцию Российской Федерации в качестве акта прямого действия.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Конституция играет очень важную роль в определении прав и свобод человека и гражданина, в том числе важно отметить, органы государственной власти должны применять нормы Основного закона в качестве обеспечения законных прав граждан.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Понятие прямого действия закреплено в Конституции РФ не только относительно Основного закона. Так, часть 1 статьи 76 Конституции РФ говорит нам о том, по предметам ведения Российской Федерации «принимаются федеральные конституционные законы и федеральные законы, имеющие прямое действие на всей территории Российской Федерации».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теоретическая трактовка данного положения представляется гораздо более ограниченной по объему в сравнении с интерпретацией нормы о прямом действии Основного закона.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этим, следует отметить, что по мнению ряда авторов, положение ч.1 ст. 76 Конституции РФ, предполагает, что федеральные конституционные законы и федеральные законы «не нуждаются в подтверждении со стороны субъектов РФ, как это бывает в конфедерациях. Они действуют непосредственно на всей территории РФ».</w:t>
      </w:r>
      <w:r w:rsidRPr="00DA76A7">
        <w:rPr>
          <w:rFonts w:ascii="Arial" w:hAnsi="Arial" w:cs="Arial"/>
          <w:bCs/>
          <w:color w:val="000000" w:themeColor="text1"/>
          <w:sz w:val="22"/>
          <w:szCs w:val="22"/>
          <w:shd w:val="clear" w:color="auto" w:fill="FFFFFF"/>
        </w:rPr>
        <w:t xml:space="preserve"> [13;5]</w:t>
      </w:r>
      <w:r w:rsidRPr="00DA76A7">
        <w:rPr>
          <w:rFonts w:ascii="Arial" w:hAnsi="Arial" w:cs="Arial"/>
          <w:color w:val="000000" w:themeColor="text1"/>
          <w:sz w:val="22"/>
          <w:szCs w:val="22"/>
        </w:rPr>
        <w:t xml:space="preserve">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Другие авторы придерживаются мнения о том, что «юридическое содержание прямого действия федеральных законов заключается в том, что они не нуждаются в подтверждении со стороны каких-либо органов государственной власти и местного самоуправления и применяются непосредственно всеми субъектами права».</w:t>
      </w:r>
      <w:r w:rsidRPr="00DA76A7">
        <w:rPr>
          <w:rFonts w:ascii="Arial" w:hAnsi="Arial" w:cs="Arial"/>
          <w:bCs/>
          <w:color w:val="000000" w:themeColor="text1"/>
          <w:sz w:val="22"/>
          <w:szCs w:val="22"/>
          <w:shd w:val="clear" w:color="auto" w:fill="FFFFFF"/>
        </w:rPr>
        <w:t xml:space="preserve"> [11;5]</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и немаловажное значение представляет собой и практика прямого применения действующих норм Конституции РФ органами государственной власти РФ.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Любой человек, конституционные права которого нарушены законом, вправе требовать от правоприменительных органов восстановления нарушенного права. Иными словами, прямое действие Конституции предстает в роли некоторой социальной потребности.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на официальном сайте Конституционного Суда РФ приведена статистика по обращениям граждан. Данная статистика говорит нам о том, что с января по октябрь 2017 года КС РФ было зафиксировано 2581 обращений граждан </w:t>
      </w:r>
      <w:r w:rsidRPr="00DA76A7">
        <w:rPr>
          <w:rFonts w:ascii="Arial" w:hAnsi="Arial" w:cs="Arial"/>
          <w:bCs/>
          <w:color w:val="000000" w:themeColor="text1"/>
          <w:sz w:val="22"/>
          <w:szCs w:val="22"/>
          <w:shd w:val="clear" w:color="auto" w:fill="FFFFFF"/>
        </w:rPr>
        <w:t>[17;5]</w:t>
      </w:r>
      <w:r w:rsidRPr="00DA76A7">
        <w:rPr>
          <w:rFonts w:ascii="Arial" w:hAnsi="Arial" w:cs="Arial"/>
          <w:color w:val="000000" w:themeColor="text1"/>
          <w:sz w:val="22"/>
          <w:szCs w:val="22"/>
        </w:rPr>
        <w:t xml:space="preserve">, по результатам рассмотрения которых был признан ряд нормативно-правовых актов несоответствующих положениям Конституции РФ.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для конституционного права России наибольшее значение имеет разработка юридической концепции прямого действия Конституции. В современной науке она только складывается, причем остается много нерешенных теоретических и практических проблем.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современном понимании прямого действия Конституции существует ряд проблем, которые возникают как в теории, при изучении данной области учеными-правоведами, так и государственными органами в вопросах применения конституционно-правовых норм.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данном случае, представляется, что существует высокая степень абстрактности конституционно-правовых норм, в следствии которой их практическое применение без принятия новых нормативно-правовых актов меньшей юридической силы становится весьма затруднительным, и сопровождается риском произвола в области правоприменительных органов.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Между тем, для конституционного права России наибольшее значение имеет разработка юридической концепции прямого действия Конституции. В современной науке она только складывается, причем остается много нерешенных теоретических и практических проблем.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современный период проведения реформ и преобразований, в России складывается весьма специфичное положение:</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не существует некоторых предусмотренных Конституцией законов, которые должны составлять корпус конституционного законодательства;</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2. незавершенный процесс создания системы конституционного контроля не позволяет заполнить пробелы, возникшие в результате взаимодействия различных органов по контролю и надзору по защите прав граждан в различных сферах, т.е. присутствует дублирование полномочий в процессе осуществления деятельности государственными органами власти; </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присутствует незавершенность закрепления важнейших конституционных принципов в отраслевом законодательстве.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Конструктивным и правильным решением данных проблем, на мой взгляд, могло было бы стать более детально разъяснение положений Основного Закона Конституционным Судом РФ, а также создание специального ФКЗ, который четко бы разграничивал компетенцию  между органами государственной власти, и прямо указывал на вопросы прямого применения конституционно-правовых норм.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при формировании концепции прямого действия Конституции необходимо учитывать трудности переходного периода и ориентировать судебную практику на восполнение возможных пробелов.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прямое действие Конституции должно носить характер реального регулятора общественных отношений, когда непосредственно на основе конституционных предписаний разрешаются дела в судах, органах исполнительной и законодательной власти.</w:t>
      </w:r>
    </w:p>
    <w:p w:rsidR="005B31C6" w:rsidRPr="00DA76A7" w:rsidRDefault="005B31C6" w:rsidP="005B31C6">
      <w:pPr>
        <w:ind w:firstLine="567"/>
        <w:jc w:val="center"/>
        <w:rPr>
          <w:rFonts w:ascii="Arial" w:hAnsi="Arial" w:cs="Arial"/>
          <w:b/>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 «Собрание законодательства РФ», 04.08.2014, N 31, ст. 4398;</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Конституция (Основной Закон) Российской Социалистической Федеративной Советской Республики (принята V Всероссийским Съездом Советов в заседании от 10 июля 1918 г.)// СУ РФСФСР, 1919, №7, ст. 33 (утратила силу);</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Конституция (Основной Закон) Российской Советской Федеративной Социалистической Республики» (принята ВС РСФСР 12.04.1978)// «Ведомости ВС РСФСР», 1978, N 15, ст. 407(утратила силу);</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Уголовный кодекс Российской Федерации от 13.06.1996г. №63-ФЗ  (ред.29.07.2017)//Собрание законодательства РФ , -1996.-№25, ст.2954</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Федеральный закон от 28.12.2012 N 272-ФЗ (ред. от 28.03.2017) «О мерах воздействия на лиц, причастных к нарушениям основополагающих прав и свобод человека, прав и свобод граждан Российской Федерации»//»Собрание законодательства РФ», 31.12.2012, N 53 (ч. 1), ст. 7597;</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Постановление XII Всероссийского Съезда Советов от 11.05.1925 «Об утверждении текста Конституции (Основного Закона) РСФСР» (вместе с «Конституцией (Основным Законом) Российской Социалистической Федеративной Советской Республики»)// «Известия ЦИК СССР и ВЦИК», N 118, 26.05.1925(утратила силу);</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7..Постановление Чрезвычайного XVII Всероссийского Съезда Советов от 21.01.1937  «Об утверждении Конституции (Основного Закона) Российской Советской Федеративной Социалистической Республики» (вместе с Конституцией)// «СУ РСФСР», 1937, N 2, ст. 11(утратила силу);</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Постановление Пленума Верховного Суда РФ от 31 октября 1995 г. N 8 «О некоторых вопросах применения судами Конституции Российской Федерации при осуществлении правосудия» С изменениями и дополнениями от: 6 февраля 2007 г., 16 апреля 2013 г., 3 марта 2015 г.// «Российская газета» от 28 декабря 1995 г.;</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9. Паспорт проекта Федерального закона N 275060-7 «О внесении изменения в статьи 10.4 и 15.3 Федерального закона «Об информации, информационных технологиях и о защите информации» (в части уточнения порядка ограничения доступа к информации, распространяемой с нарушением закона) (внесен депутатами Государственной Думы ФС РФ Ю.Н. Швыткиным, О.А. Николаевым, А.А. Ющенко);</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10. Венгеров А. Прямое действие Конституции: правовые, социальные, психологические аспекты // Общественные науки и современность. 1995. № 5 С. 90-92;</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11. Комментарий к Конституции Российской Федерации / под общ. ред. Л. В. Лазарева. М. : Нов. прав. культура, 2012 С. 82-85;</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12. Ряховская Т.И. Действие Конституции Российской Федерации // Исторические, философские, политические и юридические науки, культурология и искусствоведение. Вопросы теории и практики: научно- теоретический и прикладной журнал. Тамбов: Грамота, 2011. № 8 (14): в 4-х ч. Ч. VI С. 49-51.</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13. Кравец, И. А. Размышления о верховенстве Конституции: подходы и измерения // Проблемы права. 2008. № 1 С. 77-80;</w:t>
      </w:r>
    </w:p>
    <w:p w:rsidR="005B31C6" w:rsidRPr="00DA76A7" w:rsidRDefault="005B31C6" w:rsidP="005B31C6">
      <w:pPr>
        <w:tabs>
          <w:tab w:val="left" w:pos="851"/>
        </w:tabs>
        <w:ind w:firstLine="567"/>
        <w:jc w:val="both"/>
        <w:rPr>
          <w:rFonts w:ascii="Arial" w:hAnsi="Arial" w:cs="Arial"/>
          <w:bCs/>
          <w:color w:val="000000" w:themeColor="text1"/>
          <w:sz w:val="22"/>
          <w:szCs w:val="22"/>
          <w:shd w:val="clear" w:color="auto" w:fill="FFFFFF"/>
        </w:rPr>
      </w:pPr>
      <w:r w:rsidRPr="00DA76A7">
        <w:rPr>
          <w:rFonts w:ascii="Arial" w:hAnsi="Arial" w:cs="Arial"/>
          <w:color w:val="000000" w:themeColor="text1"/>
          <w:sz w:val="22"/>
          <w:szCs w:val="22"/>
        </w:rPr>
        <w:t xml:space="preserve">14. Информационный сайт «Роскомсвобода» [Электронный ресурс]. – Режим доступа: </w:t>
      </w:r>
      <w:hyperlink r:id="rId362" w:history="1">
        <w:r w:rsidRPr="00DA76A7">
          <w:rPr>
            <w:rStyle w:val="af0"/>
            <w:rFonts w:ascii="Arial" w:hAnsi="Arial" w:cs="Arial"/>
            <w:color w:val="000000" w:themeColor="text1"/>
            <w:sz w:val="22"/>
            <w:szCs w:val="22"/>
            <w:u w:val="none"/>
          </w:rPr>
          <w:t>https://old.rublacklist.net/33048/</w:t>
        </w:r>
      </w:hyperlink>
      <w:r w:rsidRPr="00DA76A7">
        <w:rPr>
          <w:rFonts w:ascii="Arial" w:hAnsi="Arial" w:cs="Arial"/>
          <w:bCs/>
          <w:color w:val="000000" w:themeColor="text1"/>
          <w:sz w:val="22"/>
          <w:szCs w:val="22"/>
          <w:shd w:val="clear" w:color="auto" w:fill="FFFFFF"/>
        </w:rPr>
        <w:t>], (дата обращения 26.02.2018);</w:t>
      </w:r>
    </w:p>
    <w:p w:rsidR="005B31C6" w:rsidRPr="00DA76A7" w:rsidRDefault="005B31C6" w:rsidP="005B31C6">
      <w:pPr>
        <w:tabs>
          <w:tab w:val="left" w:pos="851"/>
        </w:tabs>
        <w:ind w:firstLine="567"/>
        <w:jc w:val="both"/>
        <w:rPr>
          <w:rFonts w:ascii="Arial" w:hAnsi="Arial" w:cs="Arial"/>
          <w:bCs/>
          <w:color w:val="000000" w:themeColor="text1"/>
          <w:sz w:val="22"/>
          <w:szCs w:val="22"/>
          <w:shd w:val="clear" w:color="auto" w:fill="FFFFFF"/>
        </w:rPr>
      </w:pPr>
      <w:r w:rsidRPr="00DA76A7">
        <w:rPr>
          <w:rFonts w:ascii="Arial" w:hAnsi="Arial" w:cs="Arial"/>
          <w:color w:val="000000" w:themeColor="text1"/>
          <w:sz w:val="22"/>
          <w:szCs w:val="22"/>
        </w:rPr>
        <w:t xml:space="preserve">15. Информационный сайт «Роскомсвобода» [Электронный ресурс]. – Режим доступа: </w:t>
      </w:r>
      <w:hyperlink r:id="rId363" w:history="1">
        <w:r w:rsidRPr="00DA76A7">
          <w:rPr>
            <w:rStyle w:val="af0"/>
            <w:rFonts w:ascii="Arial" w:hAnsi="Arial" w:cs="Arial"/>
            <w:color w:val="000000" w:themeColor="text1"/>
            <w:sz w:val="22"/>
            <w:szCs w:val="22"/>
            <w:u w:val="none"/>
          </w:rPr>
          <w:t>https://old.rublacklist.net/33048/</w:t>
        </w:r>
      </w:hyperlink>
      <w:r w:rsidRPr="00DA76A7">
        <w:rPr>
          <w:rFonts w:ascii="Arial" w:hAnsi="Arial" w:cs="Arial"/>
          <w:color w:val="000000" w:themeColor="text1"/>
          <w:sz w:val="22"/>
          <w:szCs w:val="22"/>
        </w:rPr>
        <w:t>, (дата обращения 26.02.2018);</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16. Информационный сайт. «</w:t>
      </w:r>
      <w:r w:rsidRPr="00DA76A7">
        <w:rPr>
          <w:rFonts w:ascii="Arial" w:hAnsi="Arial" w:cs="Arial"/>
          <w:color w:val="000000" w:themeColor="text1"/>
          <w:sz w:val="22"/>
          <w:szCs w:val="22"/>
          <w:lang w:val="en-US"/>
        </w:rPr>
        <w:t>NEWS</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 xml:space="preserve">» [Электронный ресурс]. – Режим доступа: </w:t>
      </w:r>
      <w:hyperlink r:id="rId364" w:history="1">
        <w:r w:rsidRPr="00DA76A7">
          <w:rPr>
            <w:rStyle w:val="af0"/>
            <w:rFonts w:ascii="Arial" w:hAnsi="Arial" w:cs="Arial"/>
            <w:color w:val="000000" w:themeColor="text1"/>
            <w:sz w:val="22"/>
            <w:szCs w:val="22"/>
            <w:u w:val="none"/>
            <w:lang w:val="en-US"/>
          </w:rPr>
          <w:t>http</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www</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newsru</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com</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russia</w:t>
        </w:r>
        <w:r w:rsidRPr="00DA76A7">
          <w:rPr>
            <w:rStyle w:val="af0"/>
            <w:rFonts w:ascii="Arial" w:hAnsi="Arial" w:cs="Arial"/>
            <w:color w:val="000000" w:themeColor="text1"/>
            <w:sz w:val="22"/>
            <w:szCs w:val="22"/>
            <w:u w:val="none"/>
          </w:rPr>
          <w:t>/27</w:t>
        </w:r>
        <w:r w:rsidRPr="00DA76A7">
          <w:rPr>
            <w:rStyle w:val="af0"/>
            <w:rFonts w:ascii="Arial" w:hAnsi="Arial" w:cs="Arial"/>
            <w:color w:val="000000" w:themeColor="text1"/>
            <w:sz w:val="22"/>
            <w:szCs w:val="22"/>
            <w:u w:val="none"/>
            <w:lang w:val="en-US"/>
          </w:rPr>
          <w:t>nov</w:t>
        </w:r>
        <w:r w:rsidRPr="00DA76A7">
          <w:rPr>
            <w:rStyle w:val="af0"/>
            <w:rFonts w:ascii="Arial" w:hAnsi="Arial" w:cs="Arial"/>
            <w:color w:val="000000" w:themeColor="text1"/>
            <w:sz w:val="22"/>
            <w:szCs w:val="22"/>
            <w:u w:val="none"/>
          </w:rPr>
          <w:t>2017/</w:t>
        </w:r>
        <w:r w:rsidRPr="00DA76A7">
          <w:rPr>
            <w:rStyle w:val="af0"/>
            <w:rFonts w:ascii="Arial" w:hAnsi="Arial" w:cs="Arial"/>
            <w:color w:val="000000" w:themeColor="text1"/>
            <w:sz w:val="22"/>
            <w:szCs w:val="22"/>
            <w:u w:val="none"/>
            <w:lang w:val="en-US"/>
          </w:rPr>
          <w:t>cancelyokliog</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html</w:t>
        </w:r>
      </w:hyperlink>
      <w:r w:rsidRPr="00DA76A7">
        <w:rPr>
          <w:rStyle w:val="af0"/>
          <w:rFonts w:ascii="Arial" w:hAnsi="Arial" w:cs="Arial"/>
          <w:color w:val="000000" w:themeColor="text1"/>
          <w:sz w:val="22"/>
          <w:szCs w:val="22"/>
          <w:u w:val="none"/>
        </w:rPr>
        <w:t>, (дата обращения 28.02.2018г.)</w:t>
      </w:r>
      <w:r w:rsidRPr="00DA76A7">
        <w:rPr>
          <w:rFonts w:ascii="Arial" w:hAnsi="Arial" w:cs="Arial"/>
          <w:color w:val="000000" w:themeColor="text1"/>
          <w:sz w:val="22"/>
          <w:szCs w:val="22"/>
        </w:rPr>
        <w:t>;</w:t>
      </w:r>
      <w:r w:rsidRPr="00DA76A7">
        <w:rPr>
          <w:rFonts w:ascii="Arial" w:hAnsi="Arial" w:cs="Arial"/>
          <w:bCs/>
          <w:color w:val="000000" w:themeColor="text1"/>
          <w:sz w:val="22"/>
          <w:szCs w:val="22"/>
          <w:shd w:val="clear" w:color="auto" w:fill="FFFFFF"/>
        </w:rPr>
        <w:t xml:space="preserve"> </w:t>
      </w:r>
    </w:p>
    <w:p w:rsidR="005B31C6" w:rsidRPr="00DA76A7" w:rsidRDefault="005B31C6" w:rsidP="005B31C6">
      <w:pPr>
        <w:tabs>
          <w:tab w:val="left" w:pos="851"/>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17. Официальный сайт Конституционного Суда РФ. [Электронный ресурс]. – Режим доступа: </w:t>
      </w:r>
      <w:hyperlink r:id="rId365" w:history="1">
        <w:r w:rsidRPr="00DA76A7">
          <w:rPr>
            <w:rStyle w:val="af0"/>
            <w:rFonts w:ascii="Arial" w:hAnsi="Arial" w:cs="Arial"/>
            <w:color w:val="000000" w:themeColor="text1"/>
            <w:sz w:val="22"/>
            <w:szCs w:val="22"/>
            <w:u w:val="none"/>
          </w:rPr>
          <w:t>http://www.ksrf.ru/ru/Decision/Statisticses/Pages/Definition.aspx</w:t>
        </w:r>
      </w:hyperlink>
      <w:r w:rsidRPr="00DA76A7">
        <w:rPr>
          <w:rStyle w:val="af0"/>
          <w:rFonts w:ascii="Arial" w:hAnsi="Arial" w:cs="Arial"/>
          <w:color w:val="000000" w:themeColor="text1"/>
          <w:sz w:val="22"/>
          <w:szCs w:val="22"/>
          <w:u w:val="none"/>
        </w:rPr>
        <w:t>, (дата обращения 26.02.2018г.)</w:t>
      </w:r>
      <w:r w:rsidRPr="00DA76A7">
        <w:rPr>
          <w:rFonts w:ascii="Arial" w:hAnsi="Arial" w:cs="Arial"/>
          <w:color w:val="000000" w:themeColor="text1"/>
          <w:sz w:val="22"/>
          <w:szCs w:val="22"/>
        </w:rPr>
        <w:t>;</w:t>
      </w:r>
      <w:r w:rsidRPr="00DA76A7">
        <w:rPr>
          <w:rFonts w:ascii="Arial" w:hAnsi="Arial" w:cs="Arial"/>
          <w:bCs/>
          <w:color w:val="000000" w:themeColor="text1"/>
          <w:sz w:val="22"/>
          <w:szCs w:val="22"/>
          <w:shd w:val="clear" w:color="auto" w:fill="FFFFFF"/>
        </w:rPr>
        <w:t xml:space="preserve"> </w:t>
      </w:r>
    </w:p>
    <w:p w:rsidR="005B31C6" w:rsidRPr="00DA76A7" w:rsidRDefault="005B31C6" w:rsidP="005B31C6">
      <w:pPr>
        <w:pStyle w:val="ConsPlusNormal"/>
        <w:ind w:firstLine="0"/>
        <w:jc w:val="center"/>
        <w:rPr>
          <w:b/>
          <w:color w:val="000000" w:themeColor="text1"/>
          <w:sz w:val="22"/>
          <w:szCs w:val="22"/>
        </w:rPr>
      </w:pPr>
      <w:r w:rsidRPr="00DA76A7">
        <w:rPr>
          <w:b/>
          <w:color w:val="000000" w:themeColor="text1"/>
          <w:sz w:val="22"/>
          <w:szCs w:val="22"/>
        </w:rPr>
        <w:t>ПРОБЛЕМЫ РЕАЛИЗАЦИИ ИЗБИРАТЕЛЬНЫХ ПРАВ ГРАЖДАН В ПРАКТИКЕ КОНСТИТУЦИОННОГО СУДА РОССИЙСКОЙ ФЕДЕРАЦИИ</w:t>
      </w:r>
    </w:p>
    <w:p w:rsidR="005B31C6" w:rsidRPr="00DA76A7" w:rsidRDefault="005B31C6" w:rsidP="005B31C6">
      <w:pPr>
        <w:pStyle w:val="ConsPlusNormal"/>
        <w:ind w:firstLine="0"/>
        <w:jc w:val="center"/>
        <w:rPr>
          <w:b/>
          <w:color w:val="000000" w:themeColor="text1"/>
          <w:sz w:val="22"/>
          <w:szCs w:val="22"/>
        </w:rPr>
      </w:pPr>
    </w:p>
    <w:p w:rsidR="005B31C6" w:rsidRPr="00DA76A7" w:rsidRDefault="005B31C6" w:rsidP="005B31C6">
      <w:pPr>
        <w:pStyle w:val="ConsPlusNormal"/>
        <w:ind w:firstLine="0"/>
        <w:jc w:val="center"/>
        <w:rPr>
          <w:b/>
          <w:color w:val="000000" w:themeColor="text1"/>
          <w:sz w:val="22"/>
          <w:szCs w:val="22"/>
        </w:rPr>
      </w:pPr>
      <w:r w:rsidRPr="00DA76A7">
        <w:rPr>
          <w:b/>
          <w:color w:val="000000" w:themeColor="text1"/>
          <w:sz w:val="22"/>
          <w:szCs w:val="22"/>
        </w:rPr>
        <w:t>Диденко Юлия Максимовна</w:t>
      </w:r>
    </w:p>
    <w:p w:rsidR="005B31C6" w:rsidRPr="00DA76A7" w:rsidRDefault="005B31C6" w:rsidP="005B31C6">
      <w:pPr>
        <w:pStyle w:val="ConsPlusNormal"/>
        <w:ind w:firstLine="0"/>
        <w:jc w:val="center"/>
        <w:rPr>
          <w:color w:val="000000" w:themeColor="text1"/>
          <w:sz w:val="22"/>
          <w:szCs w:val="22"/>
        </w:rPr>
      </w:pPr>
      <w:r w:rsidRPr="00DA76A7">
        <w:rPr>
          <w:color w:val="000000" w:themeColor="text1"/>
          <w:sz w:val="22"/>
          <w:szCs w:val="22"/>
        </w:rPr>
        <w:t>студент 4-го курса очного отделения юридического факультета</w:t>
      </w:r>
    </w:p>
    <w:p w:rsidR="005B31C6" w:rsidRPr="00DA76A7" w:rsidRDefault="005B31C6" w:rsidP="005B31C6">
      <w:pPr>
        <w:pStyle w:val="ConsPlusNormal"/>
        <w:ind w:firstLine="0"/>
        <w:jc w:val="center"/>
        <w:rPr>
          <w:color w:val="000000" w:themeColor="text1"/>
          <w:sz w:val="22"/>
          <w:szCs w:val="22"/>
        </w:rPr>
      </w:pPr>
      <w:r w:rsidRPr="00DA76A7">
        <w:rPr>
          <w:color w:val="000000" w:themeColor="text1"/>
          <w:sz w:val="22"/>
          <w:szCs w:val="22"/>
        </w:rPr>
        <w:t>Алтайский государственный университет</w:t>
      </w:r>
    </w:p>
    <w:p w:rsidR="005B31C6" w:rsidRPr="00DA76A7" w:rsidRDefault="005B31C6" w:rsidP="005B31C6">
      <w:pPr>
        <w:pStyle w:val="ConsPlusNormal"/>
        <w:ind w:firstLine="0"/>
        <w:jc w:val="center"/>
        <w:rPr>
          <w:color w:val="000000" w:themeColor="text1"/>
          <w:sz w:val="22"/>
          <w:szCs w:val="22"/>
        </w:rPr>
      </w:pPr>
      <w:r w:rsidRPr="00DA76A7">
        <w:rPr>
          <w:color w:val="000000" w:themeColor="text1"/>
          <w:sz w:val="22"/>
          <w:szCs w:val="22"/>
        </w:rPr>
        <w:t>656049, Россия, Алтайский край, г. Барнаул, проспект Ленина 61</w:t>
      </w:r>
    </w:p>
    <w:p w:rsidR="005B31C6" w:rsidRPr="00DA76A7" w:rsidRDefault="005B31C6" w:rsidP="005B31C6">
      <w:pPr>
        <w:pStyle w:val="ConsPlusNormal"/>
        <w:ind w:firstLine="0"/>
        <w:jc w:val="center"/>
        <w:rPr>
          <w:color w:val="000000" w:themeColor="text1"/>
          <w:sz w:val="22"/>
          <w:szCs w:val="22"/>
          <w:lang w:val="en-US"/>
        </w:rPr>
      </w:pPr>
      <w:r w:rsidRPr="00DA76A7">
        <w:rPr>
          <w:color w:val="000000" w:themeColor="text1"/>
          <w:sz w:val="22"/>
          <w:szCs w:val="22"/>
        </w:rPr>
        <w:t>тел</w:t>
      </w:r>
      <w:r w:rsidRPr="00DA76A7">
        <w:rPr>
          <w:color w:val="000000" w:themeColor="text1"/>
          <w:sz w:val="22"/>
          <w:szCs w:val="22"/>
          <w:lang w:val="en-US"/>
        </w:rPr>
        <w:t xml:space="preserve">.: 89628130412, e-mail: </w:t>
      </w:r>
      <w:hyperlink r:id="rId366" w:history="1">
        <w:r w:rsidRPr="00DA76A7">
          <w:rPr>
            <w:rStyle w:val="af0"/>
            <w:color w:val="000000" w:themeColor="text1"/>
            <w:sz w:val="22"/>
            <w:szCs w:val="22"/>
            <w:u w:val="none"/>
            <w:lang w:val="en-US"/>
          </w:rPr>
          <w:t>didenko_969696@mail.ru</w:t>
        </w:r>
      </w:hyperlink>
    </w:p>
    <w:p w:rsidR="005B31C6" w:rsidRPr="00DA76A7" w:rsidRDefault="00A70C6A" w:rsidP="00A70C6A">
      <w:pPr>
        <w:pStyle w:val="ConsPlusNormal"/>
        <w:tabs>
          <w:tab w:val="left" w:pos="5140"/>
        </w:tabs>
        <w:ind w:firstLine="0"/>
        <w:rPr>
          <w:color w:val="000000" w:themeColor="text1"/>
          <w:sz w:val="22"/>
          <w:szCs w:val="22"/>
          <w:lang w:val="en-US"/>
        </w:rPr>
      </w:pPr>
      <w:r w:rsidRPr="00DA76A7">
        <w:rPr>
          <w:color w:val="000000" w:themeColor="text1"/>
          <w:sz w:val="22"/>
          <w:szCs w:val="22"/>
          <w:lang w:val="en-US"/>
        </w:rPr>
        <w:tab/>
      </w:r>
    </w:p>
    <w:p w:rsidR="005B31C6" w:rsidRPr="00DA76A7" w:rsidRDefault="005B31C6" w:rsidP="005B31C6">
      <w:pPr>
        <w:pStyle w:val="ConsPlusNormal"/>
        <w:ind w:firstLine="0"/>
        <w:jc w:val="center"/>
        <w:rPr>
          <w:b/>
          <w:color w:val="000000" w:themeColor="text1"/>
          <w:sz w:val="22"/>
          <w:szCs w:val="22"/>
          <w:shd w:val="clear" w:color="auto" w:fill="FFFFFF"/>
          <w:lang w:val="en-US"/>
        </w:rPr>
      </w:pPr>
      <w:r w:rsidRPr="00DA76A7">
        <w:rPr>
          <w:b/>
          <w:color w:val="000000" w:themeColor="text1"/>
          <w:sz w:val="22"/>
          <w:szCs w:val="22"/>
          <w:shd w:val="clear" w:color="auto" w:fill="FFFFFF"/>
          <w:lang w:val="en-US"/>
        </w:rPr>
        <w:t>PROBLEMS OF IMPLEMENTATION OF ELECTORAL RIGHTS OF CITIZENS IN PRACTICE OF THE CONSTITUTIONAL COURT OF THE RUSSIAN FEDERATION</w:t>
      </w:r>
    </w:p>
    <w:p w:rsidR="005B31C6" w:rsidRPr="00DA76A7" w:rsidRDefault="005B31C6" w:rsidP="005B31C6">
      <w:pPr>
        <w:pStyle w:val="ConsPlusNormal"/>
        <w:ind w:firstLine="0"/>
        <w:jc w:val="center"/>
        <w:rPr>
          <w:b/>
          <w:color w:val="000000" w:themeColor="text1"/>
          <w:sz w:val="22"/>
          <w:szCs w:val="22"/>
          <w:shd w:val="clear" w:color="auto" w:fill="FFFFFF"/>
          <w:lang w:val="en-US"/>
        </w:rPr>
      </w:pPr>
    </w:p>
    <w:p w:rsidR="005B31C6" w:rsidRPr="00DA76A7" w:rsidRDefault="005B31C6" w:rsidP="005B31C6">
      <w:pPr>
        <w:pStyle w:val="ConsPlusNormal"/>
        <w:ind w:firstLine="0"/>
        <w:jc w:val="center"/>
        <w:rPr>
          <w:b/>
          <w:color w:val="000000" w:themeColor="text1"/>
          <w:sz w:val="22"/>
          <w:szCs w:val="22"/>
          <w:shd w:val="clear" w:color="auto" w:fill="FFFFFF"/>
          <w:lang w:val="en-US"/>
        </w:rPr>
      </w:pPr>
      <w:r w:rsidRPr="00DA76A7">
        <w:rPr>
          <w:b/>
          <w:color w:val="000000" w:themeColor="text1"/>
          <w:sz w:val="22"/>
          <w:szCs w:val="22"/>
          <w:shd w:val="clear" w:color="auto" w:fill="FFFFFF"/>
          <w:lang w:val="en-US"/>
        </w:rPr>
        <w:t>Didenko Yulia Maksimovna</w:t>
      </w:r>
    </w:p>
    <w:p w:rsidR="005B31C6" w:rsidRPr="00DA76A7" w:rsidRDefault="005B31C6" w:rsidP="005B31C6">
      <w:pPr>
        <w:pStyle w:val="ConsPlusNormal"/>
        <w:ind w:firstLine="0"/>
        <w:jc w:val="center"/>
        <w:rPr>
          <w:color w:val="000000" w:themeColor="text1"/>
          <w:sz w:val="22"/>
          <w:szCs w:val="22"/>
          <w:lang w:val="en-US"/>
        </w:rPr>
      </w:pPr>
      <w:r w:rsidRPr="00DA76A7">
        <w:rPr>
          <w:color w:val="000000" w:themeColor="text1"/>
          <w:sz w:val="22"/>
          <w:szCs w:val="22"/>
          <w:lang w:val="en-US"/>
        </w:rPr>
        <w:t>undergraduate 4th year students of full-time department of the law faculty</w:t>
      </w:r>
    </w:p>
    <w:p w:rsidR="005B31C6" w:rsidRPr="00DA76A7" w:rsidRDefault="005B31C6" w:rsidP="005B31C6">
      <w:pPr>
        <w:pStyle w:val="ConsPlusNormal"/>
        <w:ind w:firstLine="0"/>
        <w:jc w:val="center"/>
        <w:rPr>
          <w:color w:val="000000" w:themeColor="text1"/>
          <w:sz w:val="22"/>
          <w:szCs w:val="22"/>
          <w:lang w:val="en-US"/>
        </w:rPr>
      </w:pPr>
      <w:r w:rsidRPr="00DA76A7">
        <w:rPr>
          <w:color w:val="000000" w:themeColor="text1"/>
          <w:sz w:val="22"/>
          <w:szCs w:val="22"/>
          <w:lang w:val="en-US"/>
        </w:rPr>
        <w:t>656049, Russia, Altai region, Barnaul, Lenin Avenue, 61</w:t>
      </w:r>
    </w:p>
    <w:p w:rsidR="005B31C6" w:rsidRPr="00DA76A7" w:rsidRDefault="005B31C6" w:rsidP="005B31C6">
      <w:pPr>
        <w:pStyle w:val="ConsPlusNormal"/>
        <w:jc w:val="center"/>
        <w:rPr>
          <w:color w:val="000000" w:themeColor="text1"/>
          <w:sz w:val="22"/>
          <w:szCs w:val="22"/>
          <w:lang w:val="en-US"/>
        </w:rPr>
      </w:pPr>
      <w:r w:rsidRPr="00DA76A7">
        <w:rPr>
          <w:color w:val="000000" w:themeColor="text1"/>
          <w:sz w:val="22"/>
          <w:szCs w:val="22"/>
          <w:lang w:val="en-US"/>
        </w:rPr>
        <w:t xml:space="preserve">tel.: 89628130412, e-mail: </w:t>
      </w:r>
      <w:hyperlink r:id="rId367" w:history="1">
        <w:r w:rsidRPr="00DA76A7">
          <w:rPr>
            <w:rStyle w:val="af0"/>
            <w:color w:val="000000" w:themeColor="text1"/>
            <w:sz w:val="22"/>
            <w:szCs w:val="22"/>
            <w:u w:val="none"/>
            <w:lang w:val="en-US"/>
          </w:rPr>
          <w:t>didenko_969696@mail.ru</w:t>
        </w:r>
      </w:hyperlink>
    </w:p>
    <w:p w:rsidR="005B31C6" w:rsidRPr="00DA76A7" w:rsidRDefault="005B31C6" w:rsidP="005B31C6">
      <w:pPr>
        <w:pStyle w:val="ConsPlusNormal"/>
        <w:jc w:val="center"/>
        <w:rPr>
          <w:color w:val="000000" w:themeColor="text1"/>
          <w:sz w:val="22"/>
          <w:szCs w:val="22"/>
          <w:lang w:val="en-US"/>
        </w:rPr>
      </w:pPr>
    </w:p>
    <w:p w:rsidR="005B31C6" w:rsidRPr="00DA76A7" w:rsidRDefault="005B31C6" w:rsidP="005B31C6">
      <w:pPr>
        <w:pStyle w:val="ConsPlusNormal"/>
        <w:ind w:firstLine="0"/>
        <w:jc w:val="right"/>
        <w:rPr>
          <w:color w:val="000000" w:themeColor="text1"/>
          <w:sz w:val="22"/>
          <w:szCs w:val="22"/>
        </w:rPr>
      </w:pPr>
      <w:r w:rsidRPr="00DA76A7">
        <w:rPr>
          <w:color w:val="000000" w:themeColor="text1"/>
          <w:sz w:val="22"/>
          <w:szCs w:val="22"/>
        </w:rPr>
        <w:t>Научный руководитель:</w:t>
      </w:r>
      <w:r w:rsidRPr="00DA76A7">
        <w:rPr>
          <w:b/>
          <w:color w:val="000000" w:themeColor="text1"/>
          <w:sz w:val="22"/>
          <w:szCs w:val="22"/>
        </w:rPr>
        <w:t xml:space="preserve"> </w:t>
      </w:r>
      <w:r w:rsidRPr="00DA76A7">
        <w:rPr>
          <w:color w:val="000000" w:themeColor="text1"/>
          <w:sz w:val="22"/>
          <w:szCs w:val="22"/>
        </w:rPr>
        <w:t>к.ю.н., доцент Блинова О.А.</w:t>
      </w:r>
    </w:p>
    <w:p w:rsidR="005B31C6" w:rsidRPr="00DA76A7" w:rsidRDefault="005B31C6" w:rsidP="005B31C6">
      <w:pPr>
        <w:pStyle w:val="ConsPlusNormal"/>
        <w:ind w:firstLine="567"/>
        <w:jc w:val="center"/>
        <w:rPr>
          <w:b/>
          <w:color w:val="000000" w:themeColor="text1"/>
          <w:sz w:val="22"/>
          <w:szCs w:val="22"/>
        </w:rPr>
      </w:pPr>
    </w:p>
    <w:p w:rsidR="005B31C6" w:rsidRPr="00DA76A7" w:rsidRDefault="005B31C6" w:rsidP="005B31C6">
      <w:pPr>
        <w:pStyle w:val="ConsPlusNormal"/>
        <w:ind w:firstLine="567"/>
        <w:jc w:val="both"/>
        <w:rPr>
          <w:i/>
          <w:color w:val="000000" w:themeColor="text1"/>
          <w:sz w:val="22"/>
          <w:szCs w:val="22"/>
        </w:rPr>
      </w:pPr>
      <w:r w:rsidRPr="00DA76A7">
        <w:rPr>
          <w:b/>
          <w:i/>
          <w:color w:val="000000" w:themeColor="text1"/>
          <w:sz w:val="22"/>
          <w:szCs w:val="22"/>
        </w:rPr>
        <w:t xml:space="preserve">Аннотация. </w:t>
      </w:r>
      <w:r w:rsidRPr="00DA76A7">
        <w:rPr>
          <w:i/>
          <w:color w:val="000000" w:themeColor="text1"/>
          <w:sz w:val="22"/>
          <w:szCs w:val="22"/>
        </w:rPr>
        <w:t>В статье анализируется практика Конституционного Суда Российской Федерации и исследуются вопросы, связанные с реализацией избирательных прав граждан Российской Федерации. Рассматривается влияние правовых позиций Конституционного Суда Российской Федерации на законодательство в области избирательного права.</w:t>
      </w:r>
    </w:p>
    <w:p w:rsidR="005B31C6" w:rsidRPr="00DA76A7" w:rsidRDefault="005B31C6" w:rsidP="005B31C6">
      <w:pPr>
        <w:pStyle w:val="ConsPlusNormal"/>
        <w:ind w:firstLine="567"/>
        <w:jc w:val="both"/>
        <w:rPr>
          <w:i/>
          <w:color w:val="000000" w:themeColor="text1"/>
          <w:sz w:val="22"/>
          <w:szCs w:val="22"/>
          <w:lang w:val="en-US"/>
        </w:rPr>
      </w:pPr>
      <w:r w:rsidRPr="00DA76A7">
        <w:rPr>
          <w:b/>
          <w:i/>
          <w:color w:val="000000" w:themeColor="text1"/>
          <w:sz w:val="22"/>
          <w:szCs w:val="22"/>
          <w:lang w:val="en-US"/>
        </w:rPr>
        <w:t xml:space="preserve">Annotation. </w:t>
      </w:r>
      <w:r w:rsidRPr="00DA76A7">
        <w:rPr>
          <w:i/>
          <w:color w:val="000000" w:themeColor="text1"/>
          <w:sz w:val="22"/>
          <w:szCs w:val="22"/>
          <w:lang w:val="en-US"/>
        </w:rPr>
        <w:t>The article analyzes the practice of the Constitutional Court of the Russian Federation and examines issues related to the implementation of electoral rights of citizens of the Russian Federation. The article analyzes the influence of legal positions of the Constitutional Court of the Russian Federation on legislation in the field of suffrage.</w:t>
      </w:r>
    </w:p>
    <w:p w:rsidR="005B31C6" w:rsidRPr="00DA76A7" w:rsidRDefault="005B31C6" w:rsidP="005B31C6">
      <w:pPr>
        <w:pStyle w:val="ConsPlusNormal"/>
        <w:ind w:firstLine="567"/>
        <w:jc w:val="both"/>
        <w:rPr>
          <w:i/>
          <w:color w:val="000000" w:themeColor="text1"/>
          <w:sz w:val="22"/>
          <w:szCs w:val="22"/>
        </w:rPr>
      </w:pPr>
      <w:r w:rsidRPr="00DA76A7">
        <w:rPr>
          <w:b/>
          <w:i/>
          <w:color w:val="000000" w:themeColor="text1"/>
          <w:sz w:val="22"/>
          <w:szCs w:val="22"/>
        </w:rPr>
        <w:t xml:space="preserve">Ключевые слова: </w:t>
      </w:r>
      <w:r w:rsidRPr="00DA76A7">
        <w:rPr>
          <w:i/>
          <w:color w:val="000000" w:themeColor="text1"/>
          <w:sz w:val="22"/>
          <w:szCs w:val="22"/>
        </w:rPr>
        <w:t>избирательные права; реализация избирательных прав; Конституционный Суд Российской Федерации; предвыборная агитация; референдум.</w:t>
      </w:r>
    </w:p>
    <w:p w:rsidR="005B31C6" w:rsidRPr="00DA76A7" w:rsidRDefault="005B31C6" w:rsidP="005B31C6">
      <w:pPr>
        <w:pStyle w:val="ConsPlusNormal"/>
        <w:ind w:firstLine="567"/>
        <w:jc w:val="both"/>
        <w:rPr>
          <w:i/>
          <w:color w:val="000000" w:themeColor="text1"/>
          <w:sz w:val="22"/>
          <w:szCs w:val="22"/>
          <w:lang w:val="en-US"/>
        </w:rPr>
      </w:pPr>
      <w:r w:rsidRPr="00DA76A7">
        <w:rPr>
          <w:b/>
          <w:i/>
          <w:color w:val="000000" w:themeColor="text1"/>
          <w:sz w:val="22"/>
          <w:szCs w:val="22"/>
          <w:lang w:val="en-US"/>
        </w:rPr>
        <w:t xml:space="preserve">Key words: </w:t>
      </w:r>
      <w:r w:rsidRPr="00DA76A7">
        <w:rPr>
          <w:i/>
          <w:color w:val="000000" w:themeColor="text1"/>
          <w:sz w:val="22"/>
          <w:szCs w:val="22"/>
          <w:lang w:val="en-US"/>
        </w:rPr>
        <w:t xml:space="preserve">electoral rights; implementation of electoral rights; The Constitutional Court of the Russian Federation; </w:t>
      </w:r>
      <w:r w:rsidRPr="00DA76A7">
        <w:rPr>
          <w:i/>
          <w:color w:val="000000" w:themeColor="text1"/>
          <w:sz w:val="22"/>
          <w:szCs w:val="22"/>
          <w:shd w:val="clear" w:color="auto" w:fill="FFFFFF"/>
          <w:lang w:val="en-US"/>
        </w:rPr>
        <w:t>election agitation</w:t>
      </w:r>
      <w:r w:rsidRPr="00DA76A7">
        <w:rPr>
          <w:i/>
          <w:color w:val="000000" w:themeColor="text1"/>
          <w:sz w:val="22"/>
          <w:szCs w:val="22"/>
          <w:lang w:val="en-US"/>
        </w:rPr>
        <w:t xml:space="preserve">; </w:t>
      </w:r>
      <w:r w:rsidRPr="00DA76A7">
        <w:rPr>
          <w:i/>
          <w:color w:val="000000" w:themeColor="text1"/>
          <w:sz w:val="22"/>
          <w:szCs w:val="22"/>
          <w:shd w:val="clear" w:color="auto" w:fill="FFFFFF"/>
          <w:lang w:val="en-US"/>
        </w:rPr>
        <w:t>referendum.</w:t>
      </w:r>
    </w:p>
    <w:p w:rsidR="005B31C6" w:rsidRPr="00DA76A7" w:rsidRDefault="005B31C6" w:rsidP="005B31C6">
      <w:pPr>
        <w:pStyle w:val="ConsPlusNormal"/>
        <w:ind w:firstLine="567"/>
        <w:jc w:val="center"/>
        <w:rPr>
          <w:b/>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Одной из задач Конституции РФ является такое построение государственных и общественных институтов, при котором объективно бы развивалась демократия на основе сочетания и взаимодействия публичных и личных интересов, должным образом реализовывались права и свободы граждан. В этой связи особое значение приобретает Конституционный Суд РФ как орган, непосредственно влияющий на качество законотворческой и правоприменительной практики, направляющий ее и поддерживающий в определенном фарватере развития. Отсюда, правовые позиции Конституционного Суда РФ многие правоведы называют «кристаллизованным правом» [8, 83].</w:t>
      </w:r>
    </w:p>
    <w:p w:rsidR="005B31C6" w:rsidRPr="00DA76A7" w:rsidRDefault="005B31C6" w:rsidP="005B31C6">
      <w:pPr>
        <w:ind w:firstLine="567"/>
        <w:jc w:val="both"/>
        <w:rPr>
          <w:rFonts w:ascii="Arial" w:hAnsi="Arial" w:cs="Arial"/>
          <w:color w:val="000000" w:themeColor="text1"/>
          <w:sz w:val="22"/>
          <w:szCs w:val="22"/>
          <w:shd w:val="clear" w:color="auto" w:fill="FFFFFF"/>
        </w:rPr>
      </w:pPr>
      <w:r w:rsidRPr="00DA76A7">
        <w:rPr>
          <w:rFonts w:ascii="Arial" w:hAnsi="Arial" w:cs="Arial"/>
          <w:color w:val="000000" w:themeColor="text1"/>
          <w:sz w:val="22"/>
          <w:szCs w:val="22"/>
        </w:rPr>
        <w:t>Прежде чем приступить к анализу отдельных аспектов реализации избирательных прав граждан Российской Федерации, необходим выяснить, что же представляют собой избирательные права? Конституция РФ этого понятия не раскрывает, ограничиваясь лаконичной формулировкой ч. 2 ст. 32 и указывая на наличие у граждан Российской Федерации активного и пассивного избирательного права: «</w:t>
      </w:r>
      <w:r w:rsidRPr="00DA76A7">
        <w:rPr>
          <w:rFonts w:ascii="Arial" w:hAnsi="Arial" w:cs="Arial"/>
          <w:color w:val="000000" w:themeColor="text1"/>
          <w:sz w:val="22"/>
          <w:szCs w:val="22"/>
          <w:shd w:val="clear" w:color="auto" w:fill="FFFFFF"/>
        </w:rPr>
        <w:t>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r w:rsidRPr="00DA76A7">
        <w:rPr>
          <w:rFonts w:ascii="Arial" w:hAnsi="Arial" w:cs="Arial"/>
          <w:color w:val="000000" w:themeColor="text1"/>
          <w:sz w:val="22"/>
          <w:szCs w:val="22"/>
        </w:rPr>
        <w:t>» [1]. Означает ли это, что иных избирательных прав у граждан РФ не существует? Анализ избирательного законодательства позволяет ответить отрицательно: ст. 2 Федерального закона от 12 июня 2002 № 67-ФЗ «Об основных гарантиях избирательных прав и права на участие в референдуме граждан Российской Федерации» помимо права избирать и быть избранными называет еще ряд избирательных прав. Среди них такие, как право участвовать в предвыборной агитации, выдвигать кандидатов,</w:t>
      </w:r>
      <w:r w:rsidRPr="00DA76A7">
        <w:rPr>
          <w:rFonts w:ascii="Arial" w:hAnsi="Arial" w:cs="Arial"/>
          <w:color w:val="000000" w:themeColor="text1"/>
          <w:sz w:val="22"/>
          <w:szCs w:val="22"/>
          <w:shd w:val="clear" w:color="auto" w:fill="FFFFFF"/>
        </w:rPr>
        <w:t xml:space="preserve"> списки кандидатов</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shd w:val="clear" w:color="auto" w:fill="FFFFFF"/>
        </w:rPr>
        <w:t>право участвовать в наблюдении за проведением выборов, работой избирательных комиссий, включая установление итогов голосования и определение результатов выборов, в других избирательных действиях в порядке, установленном Конституцией РФ, федеральными законами, уставами и законами субъектов Российской Федерации [5].</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Отсюда возможно подытожить, что </w:t>
      </w:r>
      <w:r w:rsidRPr="00DA76A7">
        <w:rPr>
          <w:rFonts w:ascii="Arial" w:hAnsi="Arial" w:cs="Arial"/>
          <w:color w:val="000000" w:themeColor="text1"/>
          <w:sz w:val="22"/>
          <w:szCs w:val="22"/>
        </w:rPr>
        <w:t xml:space="preserve">избирательные права граждан РФ резонно разделить на два вида, которые различаются между собой по юридической природе. Первые – основные, базовые – конституционные права избирать и быть избранными. Наряду с другими основными правами они образуют конституционный статус гражданина. Вторые – права, выполняющие вспомогательные функции по отношению к первым, независимо от того, установлены ли они Конституцией либо иным актом. Без этих прав вряд ли избирательным процесс будет являться демократическим, без их реализации маловероятна и реализация прав избирать и быть избранными.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Определения понятия «избирательные права» авторами предлагаются различные. Например, Кукушкин М.И. говорит о них, как о закрепленной Конституцией и гарантированной государством для граждан РФ возможности свободно и самостоятельно определять и избирать вид и меру своего поведения в соответствии с порядком и правилами, установленными избирательным законодательством</w:t>
      </w:r>
      <w:r w:rsidRPr="00DA76A7">
        <w:rPr>
          <w:rFonts w:ascii="Arial" w:hAnsi="Arial" w:cs="Arial"/>
          <w:color w:val="000000" w:themeColor="text1"/>
          <w:sz w:val="22"/>
          <w:szCs w:val="22"/>
          <w:shd w:val="clear" w:color="auto" w:fill="FFFFFF"/>
        </w:rPr>
        <w:t xml:space="preserve"> [9, 145]</w:t>
      </w:r>
      <w:r w:rsidRPr="00DA76A7">
        <w:rPr>
          <w:rFonts w:ascii="Arial" w:hAnsi="Arial" w:cs="Arial"/>
          <w:color w:val="000000" w:themeColor="text1"/>
          <w:sz w:val="22"/>
          <w:szCs w:val="22"/>
        </w:rPr>
        <w:t xml:space="preserve">.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вопросе реализации избирательных прав граждан Российской Федерации чрезвычайно важна практика Конституционного Суда РФ как органа, компетентного </w:t>
      </w:r>
      <w:r w:rsidRPr="00DA76A7">
        <w:rPr>
          <w:rFonts w:ascii="Arial" w:hAnsi="Arial" w:cs="Arial"/>
          <w:color w:val="000000" w:themeColor="text1"/>
          <w:sz w:val="22"/>
          <w:szCs w:val="22"/>
          <w:shd w:val="clear" w:color="auto" w:fill="FFFFFF"/>
        </w:rPr>
        <w:t xml:space="preserve">разрешать дела о соответствии Конституции РФ актов различной юридической силы. </w:t>
      </w:r>
      <w:r w:rsidRPr="00DA76A7">
        <w:rPr>
          <w:rFonts w:ascii="Arial" w:hAnsi="Arial" w:cs="Arial"/>
          <w:color w:val="000000" w:themeColor="text1"/>
          <w:sz w:val="22"/>
          <w:szCs w:val="22"/>
        </w:rPr>
        <w:t xml:space="preserve">Несмотря на обилие правовых позиций Конституционного Суда РФ по самым разным вопросам избирательного права, в которых получают подробную проработку те или иные проблемы, претворение в жизнь решений Конституционного Суда сопровождается определенными трудностями, не всегда объективного характера, и зачастую преисполнено формализацией, в результате чего в законодательное положение не в полной мере вкладывается искомый правовой посыл Конституционного Суда, что, естественным образом, ведет к искажению понимания вводимых законодательных положений. Такого рода ситуация в науке именуется «квазиосуществлением».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Рассмотрим проблемные моменты реализации права граждан на участие в предвыборной агитации, для этого проанализируем Постановление от 14 ноября 2005 г. № 10-П</w:t>
      </w:r>
      <w:r w:rsidRPr="00DA76A7">
        <w:rPr>
          <w:rFonts w:ascii="Arial" w:hAnsi="Arial" w:cs="Arial"/>
          <w:color w:val="000000" w:themeColor="text1"/>
          <w:sz w:val="22"/>
          <w:szCs w:val="22"/>
          <w:shd w:val="clear" w:color="auto" w:fill="FFFFFF"/>
        </w:rPr>
        <w:t xml:space="preserve"> [7]</w:t>
      </w:r>
      <w:r w:rsidRPr="00DA76A7">
        <w:rPr>
          <w:rFonts w:ascii="Arial" w:hAnsi="Arial" w:cs="Arial"/>
          <w:color w:val="000000" w:themeColor="text1"/>
          <w:sz w:val="22"/>
          <w:szCs w:val="22"/>
        </w:rPr>
        <w:t>.</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названном Постановлении Суд сформулировал правовую позицию, согласно которой «избиратели вправе осуществлять деятельность, направленную на активное отстаивание своей предвыборной позиции и склонение других избирателей к голосованию за или против конкретных кандидатов либо к выражению негативного отношения ко всем кандидатам». Суд пришел к выводу, что проведение агитации, призывающей к голосованию против всех, «объективно затруднено». Самостоятельное проведение гражданами агитации против всех законом не регулируется, что может быть расценено как запрет на проведение такой агитации. Е</w:t>
      </w:r>
      <w:r w:rsidRPr="00DA76A7">
        <w:rPr>
          <w:rFonts w:ascii="Arial" w:hAnsi="Arial" w:cs="Arial"/>
          <w:color w:val="000000" w:themeColor="text1"/>
          <w:sz w:val="22"/>
          <w:szCs w:val="22"/>
          <w:shd w:val="clear" w:color="auto" w:fill="FFFFFF"/>
        </w:rPr>
        <w:t xml:space="preserve">сли федеральный законодатель признал возможность голосования на выборах посредством заполнения графы «против всех» в избирательном бюллетене, он обязан урегулировать и проведение соответствующей предвыборной агитации, а отсутствие определенного порядка в этом вопросе влечет ограничение прав граждан.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 xml:space="preserve">Вместе с тем, Суд, признав нормы неконституционными и провозгласив право граждан агитировать против всех, действуя лично и за счет собственных средств, не указал, что должен представлять из себя правовой механизм осуществления прав граждан на проведение такого рода агитации, что поставило перед законодателем весьма непростую задачу.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отмечается в исследованиях, на момент принятия решения были возможны как минимум два варианта развития событий. В рамках первого варианта законодатель мог устремиться обеспечить свободное участие граждан в предвыборной агитации. Вторым вариантом стало бы проведение линии на ограничение числа субъектов предвыборной агитации.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Как показала практика, законодатель пошел по второму пути развития и исключил из законодательства любые положения, касающиеся голосования против всех и, соответственно, агитацию по этому вопросу. Этот пример интересен тем, что выражение Судом правовой позиции привело к нестандартным действиям законодателя, то есть вместо традиционного внесения изменений в нормативно-правовые акты или законодательной регламентации того или иного вопроса произошло фактическое ограничение числа субъектов предвыборной агитации.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этот пример наглядно показывает, что действия законодателя по преодолению положения, затрудняющего реализацию прав граждан (в данном случае отсутствовал отлаженный </w:t>
      </w:r>
      <w:r w:rsidRPr="00DA76A7">
        <w:rPr>
          <w:rFonts w:ascii="Arial" w:hAnsi="Arial" w:cs="Arial"/>
          <w:color w:val="000000" w:themeColor="text1"/>
          <w:sz w:val="22"/>
          <w:szCs w:val="22"/>
          <w:shd w:val="clear" w:color="auto" w:fill="FFFFFF"/>
        </w:rPr>
        <w:t>правовой механизм осуществления прав граждан на проведение агитации «против всех»</w:t>
      </w:r>
      <w:r w:rsidRPr="00DA76A7">
        <w:rPr>
          <w:rFonts w:ascii="Arial" w:hAnsi="Arial" w:cs="Arial"/>
          <w:color w:val="000000" w:themeColor="text1"/>
          <w:sz w:val="22"/>
          <w:szCs w:val="22"/>
        </w:rPr>
        <w:t>), могут быть непредсказуемыми.</w:t>
      </w:r>
    </w:p>
    <w:p w:rsidR="005B31C6" w:rsidRPr="00DA76A7" w:rsidRDefault="005B31C6" w:rsidP="005B31C6">
      <w:pPr>
        <w:pStyle w:val="ConsPlusNormal"/>
        <w:ind w:firstLine="567"/>
        <w:jc w:val="both"/>
        <w:rPr>
          <w:color w:val="000000" w:themeColor="text1"/>
          <w:sz w:val="22"/>
          <w:szCs w:val="22"/>
        </w:rPr>
      </w:pPr>
      <w:r w:rsidRPr="00DA76A7">
        <w:rPr>
          <w:color w:val="000000" w:themeColor="text1"/>
          <w:sz w:val="22"/>
          <w:szCs w:val="22"/>
        </w:rPr>
        <w:t>Разработке правового феномена, именуемого «квазиреализацией», посвятил свои труды Е.И. Колюшин. В работе «Квазиосуществление решений Конституционного Суда Российской Федерации» в качестве примера, ярко иллюстрирующего такого рода реализацию предписания Суда, он приводит Постановление от 21 марта 2007 г. № 3-П «По делу о проверке конституционности ряда положений статей 6 и 15 Федерального конституционного закона «О референдуме Российской Федерации» в связи с жалобами граждан В.И. Лакеева, В.Г. Соловьева и В.Д. Уласа»</w:t>
      </w:r>
      <w:r w:rsidRPr="00DA76A7">
        <w:rPr>
          <w:color w:val="000000" w:themeColor="text1"/>
          <w:sz w:val="22"/>
          <w:szCs w:val="22"/>
          <w:shd w:val="clear" w:color="auto" w:fill="FFFFFF"/>
        </w:rPr>
        <w:t xml:space="preserve"> [6]</w:t>
      </w:r>
      <w:r w:rsidRPr="00DA76A7">
        <w:rPr>
          <w:color w:val="000000" w:themeColor="text1"/>
          <w:sz w:val="22"/>
          <w:szCs w:val="22"/>
        </w:rPr>
        <w:t xml:space="preserve">. В данном Постановлении был выявлен конституционный смысл положения п. 6 ч. 5 ст. 6 Федерального конституционного закона от 28 июня 2004 г. № 5-ФКЗ «О референдуме Российской Федерации», определяющему, что вопросы принятия и изменения федерального бюджета, исполнения и изменения внутренних финансовых обязательств Российской Федерации не могут выноситься на референдум. Выявленный смыл был таковым: не допускает выносить на референдум вопросы, связанные с непосредственно бюджетными обязательствами Российской Федерации, что при этом не предполагает запрет вынесения вопросов, ответив на которые можно будет добиться изменения расходных обязательств Российской Федерации, которые бы учитывались при формировании расходов федерального бюджета и принятии обязательств вне срока действия федерального закона о федеральном бюджете. </w:t>
      </w:r>
    </w:p>
    <w:p w:rsidR="005B31C6" w:rsidRPr="00DA76A7" w:rsidRDefault="005B31C6" w:rsidP="005B31C6">
      <w:pPr>
        <w:pStyle w:val="ConsPlusNormal"/>
        <w:ind w:firstLine="567"/>
        <w:jc w:val="both"/>
        <w:rPr>
          <w:color w:val="000000" w:themeColor="text1"/>
          <w:sz w:val="22"/>
          <w:szCs w:val="22"/>
        </w:rPr>
      </w:pPr>
      <w:r w:rsidRPr="00DA76A7">
        <w:rPr>
          <w:color w:val="000000" w:themeColor="text1"/>
          <w:sz w:val="22"/>
          <w:szCs w:val="22"/>
        </w:rPr>
        <w:t>В мотивировочной части Постановления Суд указал: «Федеральный законодатель вправе конкретизировать условия и порядок вынесения на референдум вопросов, ответы на которые могут потребовать изменения расходных обязательств государства, с тем чтобы исходя из принципов рациональности и справедливости гарантировать необходимость сбалансированности бюджета и выполнение обязанности государства тратить публичные финансы на реализацию его функций эффективно».</w:t>
      </w:r>
    </w:p>
    <w:p w:rsidR="005B31C6" w:rsidRPr="00DA76A7" w:rsidRDefault="005B31C6" w:rsidP="005B31C6">
      <w:pPr>
        <w:pStyle w:val="ConsPlusNormal"/>
        <w:ind w:firstLine="567"/>
        <w:jc w:val="both"/>
        <w:rPr>
          <w:color w:val="000000" w:themeColor="text1"/>
          <w:sz w:val="22"/>
          <w:szCs w:val="22"/>
        </w:rPr>
      </w:pPr>
      <w:r w:rsidRPr="00DA76A7">
        <w:rPr>
          <w:color w:val="000000" w:themeColor="text1"/>
          <w:sz w:val="22"/>
          <w:szCs w:val="22"/>
        </w:rPr>
        <w:t xml:space="preserve">Конституционный Суд, после обращение внимания на то, что понятие «внутренние финансовые обязательства Российской Федерации» может наполняться самым разнообразным юридическим содержанием, указал на необходимость однозначного урегулирования этого вопроса. Последовавшая реакция законодателя вновь оказалась непредсказуема. Вместо требуемой конкретизации правового регулирования, он принял Федеральный конституционный </w:t>
      </w:r>
      <w:hyperlink r:id="rId368" w:tooltip="Федеральный конституционный закон от 24.04.2008 N 1-ФКЗ &quot;О внесении изменений в Федеральный конституционный закон &quot;О референдуме Российской Федерации&quot;{КонсультантПлюс}" w:history="1">
        <w:r w:rsidRPr="00DA76A7">
          <w:rPr>
            <w:color w:val="000000" w:themeColor="text1"/>
            <w:sz w:val="22"/>
            <w:szCs w:val="22"/>
          </w:rPr>
          <w:t>закон</w:t>
        </w:r>
      </w:hyperlink>
      <w:r w:rsidRPr="00DA76A7">
        <w:rPr>
          <w:color w:val="000000" w:themeColor="text1"/>
          <w:sz w:val="22"/>
          <w:szCs w:val="22"/>
        </w:rPr>
        <w:t xml:space="preserve"> от 24 апреля 2008 г. № 1-ФКЗ, в котором вообще исключил из перечня вопросов, не подлежащих вынесению на референдум, вопрос об изменении федерального бюджета, исполнении и изменении внутренних финансовых обязательств Российской Федерации вместе с вопросами о введении, изменении и отмене федеральных налогов и сборов и освобождении от их уплаты. Заменила эти вопросы формулировка (п. 10 ч. 5 был дополнен): вопросы «отнесенные </w:t>
      </w:r>
      <w:hyperlink r:id="rId369"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DA76A7">
          <w:rPr>
            <w:color w:val="000000" w:themeColor="text1"/>
            <w:sz w:val="22"/>
            <w:szCs w:val="22"/>
          </w:rPr>
          <w:t>Конституцией</w:t>
        </w:r>
      </w:hyperlink>
      <w:r w:rsidRPr="00DA76A7">
        <w:rPr>
          <w:color w:val="000000" w:themeColor="text1"/>
          <w:sz w:val="22"/>
          <w:szCs w:val="22"/>
        </w:rPr>
        <w:t xml:space="preserve"> РФ, федеральными конституционными законами к исключительной компетенции федеральных органов государственной власти»</w:t>
      </w:r>
      <w:r w:rsidRPr="00DA76A7">
        <w:rPr>
          <w:color w:val="000000" w:themeColor="text1"/>
          <w:sz w:val="22"/>
          <w:szCs w:val="22"/>
          <w:shd w:val="clear" w:color="auto" w:fill="FFFFFF"/>
        </w:rPr>
        <w:t xml:space="preserve"> [4]</w:t>
      </w:r>
      <w:r w:rsidRPr="00DA76A7">
        <w:rPr>
          <w:color w:val="000000" w:themeColor="text1"/>
          <w:sz w:val="22"/>
          <w:szCs w:val="22"/>
        </w:rPr>
        <w:t xml:space="preserve">. </w:t>
      </w:r>
    </w:p>
    <w:p w:rsidR="005B31C6" w:rsidRPr="00DA76A7" w:rsidRDefault="005B31C6" w:rsidP="005B31C6">
      <w:pPr>
        <w:pStyle w:val="ConsPlusNormal"/>
        <w:ind w:firstLine="567"/>
        <w:jc w:val="both"/>
        <w:rPr>
          <w:color w:val="000000" w:themeColor="text1"/>
          <w:sz w:val="22"/>
          <w:szCs w:val="22"/>
        </w:rPr>
      </w:pPr>
      <w:r w:rsidRPr="00DA76A7">
        <w:rPr>
          <w:color w:val="000000" w:themeColor="text1"/>
          <w:sz w:val="22"/>
          <w:szCs w:val="22"/>
        </w:rPr>
        <w:t>Основную массу вопросов вызывает словосочетание «исключительная компетенция». Такого понятия не содержит ни Федеральный конституционный закон от 17 декабря 1997 г. № 2-ФКЗ «О Правительстве Российской Федерации», ни положения о федеральных органах исполнительной власти</w:t>
      </w:r>
      <w:r w:rsidRPr="00DA76A7">
        <w:rPr>
          <w:color w:val="000000" w:themeColor="text1"/>
          <w:sz w:val="22"/>
          <w:szCs w:val="22"/>
          <w:shd w:val="clear" w:color="auto" w:fill="FFFFFF"/>
        </w:rPr>
        <w:t xml:space="preserve"> [3]</w:t>
      </w:r>
      <w:r w:rsidRPr="00DA76A7">
        <w:rPr>
          <w:color w:val="000000" w:themeColor="text1"/>
          <w:sz w:val="22"/>
          <w:szCs w:val="22"/>
        </w:rPr>
        <w:t xml:space="preserve">. В связи с чем перед нами встает вопрос: сможем ли мы при использовании данной формулировки избежать терминологических дебрей, в которых, интерпретируем сочетание «исключительная компетенция» в качестве исключительных полномочий Правительства и, рассуждая на тему, где же грань между обычными и исключительными полномочиями, будем произвольно делить их и не менее произвольно толковать предложенное словосочетание? Вероятнее всего, мы ответим на этот вопрос отрицательно и констатируем, что такого рода законодательный вариант разрешения ситуации еще больше размывает рамки юридической конкретности, делая перечь вопросов, выносимых на референдум, фактически, открытым. </w:t>
      </w:r>
    </w:p>
    <w:p w:rsidR="005B31C6" w:rsidRPr="00DA76A7" w:rsidRDefault="005B31C6" w:rsidP="005B31C6">
      <w:pPr>
        <w:pStyle w:val="ConsPlusNormal"/>
        <w:ind w:firstLine="567"/>
        <w:jc w:val="both"/>
        <w:rPr>
          <w:rFonts w:eastAsia="Times New Roman"/>
          <w:color w:val="000000" w:themeColor="text1"/>
          <w:sz w:val="22"/>
          <w:szCs w:val="22"/>
        </w:rPr>
      </w:pPr>
      <w:r w:rsidRPr="00DA76A7">
        <w:rPr>
          <w:color w:val="000000" w:themeColor="text1"/>
          <w:sz w:val="22"/>
          <w:szCs w:val="22"/>
        </w:rPr>
        <w:t>В рамках данного исследования для нас примечательны не столько нестандартные действия законодателя</w:t>
      </w:r>
      <w:r w:rsidRPr="00DA76A7">
        <w:rPr>
          <w:rFonts w:eastAsia="Times New Roman"/>
          <w:color w:val="000000" w:themeColor="text1"/>
          <w:sz w:val="22"/>
          <w:szCs w:val="22"/>
        </w:rPr>
        <w:t xml:space="preserve">, сколько сам факт прямо обратной направленности реакции законодателя на посыл Конституционного Суда РФ.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можно сделать вывод, что о Конституционном Суде Российской Федерации уместно говорить как об органе, стоящем на страже реализации прав и свобод граждан, в том числе их избирательных прав. Ценность правовых позиций Конституционного Суда Российской Федерации заключается, во-первых, в их влиянии на законодательство в области избирательного права, имеющее, как следует из работы, различные формы выражения (несмотря на то, что порою данные формы сложно охарактеризовать как следующие посылу Конституционного Суда, выраженного в его правовых позициях), а, во-вторых, в определении развития этого законодательства в русле конституционализации.</w:t>
      </w:r>
    </w:p>
    <w:p w:rsidR="005B31C6" w:rsidRPr="00DA76A7" w:rsidRDefault="005B31C6" w:rsidP="005B31C6">
      <w:pPr>
        <w:ind w:firstLine="567"/>
        <w:jc w:val="both"/>
        <w:rPr>
          <w:rFonts w:ascii="Arial" w:hAnsi="Arial" w:cs="Arial"/>
          <w:b/>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5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Конституция Российской Федерации (принята всенародным голосованием 12 декабря 1993) // Собрание законодательства РФ. 2014. № 31. Ст. 4398.</w:t>
      </w:r>
    </w:p>
    <w:p w:rsidR="005B31C6" w:rsidRPr="00DA76A7" w:rsidRDefault="005B31C6" w:rsidP="00D45D6B">
      <w:pPr>
        <w:pStyle w:val="af2"/>
        <w:numPr>
          <w:ilvl w:val="0"/>
          <w:numId w:val="153"/>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FFFFF"/>
        </w:rPr>
        <w:t>О референдуме Российской Федерации: федеральный конституционный закон от 28 июня 2004 № 5-ФКЗ // Собрание законодательства РФ. 2004. № 27. Ст. 2710.</w:t>
      </w:r>
    </w:p>
    <w:p w:rsidR="005B31C6" w:rsidRPr="00DA76A7" w:rsidRDefault="005B31C6" w:rsidP="00D45D6B">
      <w:pPr>
        <w:pStyle w:val="a6"/>
        <w:numPr>
          <w:ilvl w:val="0"/>
          <w:numId w:val="153"/>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shd w:val="clear" w:color="auto" w:fill="FFFFFF"/>
        </w:rPr>
        <w:t xml:space="preserve">О Правительстве Российской Федерации: </w:t>
      </w:r>
      <w:r w:rsidRPr="00DA76A7">
        <w:rPr>
          <w:rFonts w:ascii="Arial" w:hAnsi="Arial" w:cs="Arial"/>
          <w:color w:val="000000" w:themeColor="text1"/>
        </w:rPr>
        <w:t xml:space="preserve">федеральный конституционный закон от 17 декабря 1997 № 2-ФКЗ // </w:t>
      </w:r>
      <w:r w:rsidRPr="00DA76A7">
        <w:rPr>
          <w:rFonts w:ascii="Arial" w:hAnsi="Arial" w:cs="Arial"/>
          <w:color w:val="000000" w:themeColor="text1"/>
          <w:shd w:val="clear" w:color="auto" w:fill="FFFFFF"/>
        </w:rPr>
        <w:t>Собрание законодательства РФ. 1997. № 51. Ст. 5712.</w:t>
      </w:r>
    </w:p>
    <w:p w:rsidR="005B31C6" w:rsidRPr="00DA76A7" w:rsidRDefault="005B31C6" w:rsidP="00D45D6B">
      <w:pPr>
        <w:pStyle w:val="a6"/>
        <w:numPr>
          <w:ilvl w:val="0"/>
          <w:numId w:val="153"/>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О внесении изменений в Федеральный конституционный закон «О референдуме Российской Федерации»: федеральный конституционный закон от 24 апреля 2008 № 1-ФКЗ // </w:t>
      </w:r>
      <w:r w:rsidRPr="00DA76A7">
        <w:rPr>
          <w:rFonts w:ascii="Arial" w:hAnsi="Arial" w:cs="Arial"/>
          <w:color w:val="000000" w:themeColor="text1"/>
          <w:shd w:val="clear" w:color="auto" w:fill="FFFFFF"/>
        </w:rPr>
        <w:t>Собрание законодательства РФ. 2008. № 17. Ст. 1754.</w:t>
      </w:r>
    </w:p>
    <w:p w:rsidR="005B31C6" w:rsidRPr="00DA76A7" w:rsidRDefault="005B31C6" w:rsidP="00D45D6B">
      <w:pPr>
        <w:pStyle w:val="a6"/>
        <w:numPr>
          <w:ilvl w:val="0"/>
          <w:numId w:val="15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Об основных гарантиях избирательных прав и права на участие в референдуме граждан Российской Федерации: Федеральный закон от 12 июня 2002 № 67-ФЗ (ред. от 05.02.2018) // Собрание законодательства РФ. 2002. № 24. Ст. 2253.</w:t>
      </w:r>
    </w:p>
    <w:p w:rsidR="005B31C6" w:rsidRPr="00DA76A7" w:rsidRDefault="005B31C6" w:rsidP="00D45D6B">
      <w:pPr>
        <w:pStyle w:val="a6"/>
        <w:numPr>
          <w:ilvl w:val="0"/>
          <w:numId w:val="15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По делу о проверке конституционности ряда положений статей 6 и 15 Федерального конституционного закона «О референдуме Российской Федерации» в связи с жалобой граждан В.И. Лакеева, В.Г. Соловьева и В.Д. Уласа: Постановление Конституционного Суда РФ от 21 марта 2007 № 3-П // </w:t>
      </w:r>
      <w:r w:rsidRPr="00DA76A7">
        <w:rPr>
          <w:rFonts w:ascii="Arial" w:hAnsi="Arial" w:cs="Arial"/>
          <w:color w:val="000000" w:themeColor="text1"/>
          <w:shd w:val="clear" w:color="auto" w:fill="FFFFFF"/>
        </w:rPr>
        <w:t>Собрание законодательства РФ. 2007.  № 14. Ст. 1741.</w:t>
      </w:r>
    </w:p>
    <w:p w:rsidR="005B31C6" w:rsidRPr="00DA76A7" w:rsidRDefault="005B31C6" w:rsidP="00D45D6B">
      <w:pPr>
        <w:pStyle w:val="a6"/>
        <w:numPr>
          <w:ilvl w:val="0"/>
          <w:numId w:val="153"/>
        </w:numPr>
        <w:shd w:val="clear" w:color="auto" w:fill="FFFFFF"/>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По делу о проверке конституционности положений пункта 5 статьи 48 и статьи 58 Федерального закона «Об основных гарантиях избирательных прав и права на участие в референдуме граждан Российской Федерации», пункта 7 статьи 63 и статьи 66 Федерального закона «О выборах депутатов Государственной Думы Федерального Собрания Российской Федерации» в связи с жалобой Уполномоченного по правам человека в Российской Федерации»: Постановление Конституционного Суда РФ от 14 ноября 2005 № 10-П // </w:t>
      </w:r>
      <w:r w:rsidRPr="00DA76A7">
        <w:rPr>
          <w:rFonts w:ascii="Arial" w:hAnsi="Arial" w:cs="Arial"/>
          <w:color w:val="000000" w:themeColor="text1"/>
          <w:shd w:val="clear" w:color="auto" w:fill="FFFFFF"/>
        </w:rPr>
        <w:t>Собрание законодательства РФ. 2005. № 47. Ст. 4968.</w:t>
      </w:r>
    </w:p>
    <w:p w:rsidR="005B31C6" w:rsidRPr="00DA76A7" w:rsidRDefault="005B31C6" w:rsidP="00D45D6B">
      <w:pPr>
        <w:pStyle w:val="a6"/>
        <w:numPr>
          <w:ilvl w:val="0"/>
          <w:numId w:val="15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Гаджиев Г.А. Правовые позиции Конституционного Суда Российской Федерации как источник конституционного права // Конституционное право: Восточноевропейское обозрение. 1999. № 3. С. 81 - 95.</w:t>
      </w:r>
    </w:p>
    <w:p w:rsidR="005B31C6" w:rsidRPr="00DA76A7" w:rsidRDefault="005B31C6" w:rsidP="00D45D6B">
      <w:pPr>
        <w:pStyle w:val="a6"/>
        <w:numPr>
          <w:ilvl w:val="0"/>
          <w:numId w:val="153"/>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Кукушкин М.И. Проблемы реализации избирательных прав граждан Российской Федерации // Российский юридический журнал. 2012. № 4. С. 144 – 147.</w:t>
      </w:r>
    </w:p>
    <w:p w:rsidR="005B31C6" w:rsidRPr="00DA76A7" w:rsidRDefault="005B31C6" w:rsidP="005B31C6">
      <w:pPr>
        <w:tabs>
          <w:tab w:val="left" w:pos="851"/>
        </w:tabs>
        <w:ind w:firstLine="567"/>
        <w:rPr>
          <w:rFonts w:ascii="Arial" w:hAnsi="Arial" w:cs="Arial"/>
          <w:color w:val="000000" w:themeColor="text1"/>
          <w:sz w:val="22"/>
          <w:szCs w:val="22"/>
        </w:rPr>
      </w:pPr>
    </w:p>
    <w:p w:rsidR="005B31C6" w:rsidRPr="00DA76A7" w:rsidRDefault="005B31C6" w:rsidP="005B31C6">
      <w:pPr>
        <w:pStyle w:val="a7"/>
        <w:spacing w:before="0" w:beforeAutospacing="0" w:after="0" w:afterAutospacing="0"/>
        <w:ind w:firstLine="567"/>
        <w:jc w:val="center"/>
        <w:rPr>
          <w:rFonts w:ascii="Arial" w:hAnsi="Arial" w:cs="Arial"/>
          <w:b/>
          <w:bCs/>
          <w:color w:val="000000" w:themeColor="text1"/>
          <w:sz w:val="22"/>
          <w:szCs w:val="22"/>
        </w:rPr>
      </w:pPr>
    </w:p>
    <w:p w:rsidR="005B31C6" w:rsidRPr="00DA76A7" w:rsidRDefault="005B31C6" w:rsidP="005B31C6">
      <w:pPr>
        <w:pStyle w:val="a7"/>
        <w:spacing w:before="0" w:beforeAutospacing="0" w:after="0" w:afterAutospacing="0"/>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КОНСТИТУЦИОННЫЕ ОСНОВЫ ОРГАНИЗАЦИИ И ДЕЯТЕЛЬНОСТИ ПАРЛАМЕНТА ИТАЛИИ</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Ёров Илхомидин Мергандович</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тел.: 918-23-39-39,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70" w:history="1">
        <w:r w:rsidRPr="00DA76A7">
          <w:rPr>
            <w:rStyle w:val="af0"/>
            <w:rFonts w:ascii="Arial" w:hAnsi="Arial" w:cs="Arial"/>
            <w:color w:val="000000" w:themeColor="text1"/>
            <w:sz w:val="22"/>
            <w:szCs w:val="22"/>
            <w:u w:val="none"/>
            <w:lang w:val="en-US"/>
          </w:rPr>
          <w:t>erov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i</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B31C6" w:rsidRDefault="005B31C6" w:rsidP="005B31C6">
      <w:pPr>
        <w:jc w:val="center"/>
        <w:rPr>
          <w:rFonts w:ascii="Arial" w:hAnsi="Arial" w:cs="Arial"/>
          <w:color w:val="000000" w:themeColor="text1"/>
          <w:sz w:val="22"/>
          <w:szCs w:val="22"/>
        </w:rPr>
      </w:pPr>
    </w:p>
    <w:p w:rsidR="008C23AD" w:rsidRPr="00DA76A7" w:rsidRDefault="008C23AD" w:rsidP="005B31C6">
      <w:pPr>
        <w:jc w:val="center"/>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CONSTITUTIONAL FRAMEWORK FOR THE ORGANIZATION AND ACTIVITIES OF THE PARLIAMENT OF ITALY</w:t>
      </w:r>
    </w:p>
    <w:p w:rsidR="005B31C6" w:rsidRPr="00DA76A7" w:rsidRDefault="005B31C6" w:rsidP="005B31C6">
      <w:pPr>
        <w:tabs>
          <w:tab w:val="left" w:pos="426"/>
        </w:tabs>
        <w:jc w:val="center"/>
        <w:outlineLvl w:val="1"/>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br/>
      </w:r>
      <w:r w:rsidRPr="00DA76A7">
        <w:rPr>
          <w:rFonts w:ascii="Arial" w:hAnsi="Arial" w:cs="Arial"/>
          <w:b/>
          <w:color w:val="000000" w:themeColor="text1"/>
          <w:sz w:val="22"/>
          <w:szCs w:val="22"/>
          <w:lang w:val="en-US"/>
        </w:rPr>
        <w:t>Y</w:t>
      </w:r>
      <w:r w:rsidRPr="00DA76A7">
        <w:rPr>
          <w:rFonts w:ascii="Arial" w:hAnsi="Arial" w:cs="Arial"/>
          <w:b/>
          <w:color w:val="000000" w:themeColor="text1"/>
          <w:sz w:val="22"/>
          <w:szCs w:val="22"/>
        </w:rPr>
        <w:t>о</w:t>
      </w:r>
      <w:r w:rsidRPr="00DA76A7">
        <w:rPr>
          <w:rFonts w:ascii="Arial" w:hAnsi="Arial" w:cs="Arial"/>
          <w:b/>
          <w:color w:val="000000" w:themeColor="text1"/>
          <w:sz w:val="22"/>
          <w:szCs w:val="22"/>
          <w:lang w:val="en-US"/>
        </w:rPr>
        <w:t>rov Ilkhomidin Mergandovich</w:t>
      </w:r>
      <w:r w:rsidRPr="00DA76A7">
        <w:rPr>
          <w:rFonts w:ascii="Arial" w:hAnsi="Arial" w:cs="Arial"/>
          <w:color w:val="000000" w:themeColor="text1"/>
          <w:sz w:val="22"/>
          <w:szCs w:val="22"/>
          <w:lang w:val="en-US"/>
        </w:rPr>
        <w:br/>
        <w:t>graduate student of the second year of correspondence department of the law faculty</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lang w:val="en-US"/>
        </w:rPr>
        <w:t>Russian-Tajik (Slavonic) university</w:t>
      </w:r>
      <w:r w:rsidRPr="00DA76A7">
        <w:rPr>
          <w:rFonts w:ascii="Arial" w:hAnsi="Arial" w:cs="Arial"/>
          <w:color w:val="000000" w:themeColor="text1"/>
          <w:sz w:val="22"/>
          <w:szCs w:val="22"/>
          <w:lang w:val="en-US"/>
        </w:rPr>
        <w:br/>
        <w:t>734025, Republic of Tajikistan, Dushanbe, street. M</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Tursunzade</w:t>
      </w:r>
      <w:r w:rsidRPr="00DA76A7">
        <w:rPr>
          <w:rFonts w:ascii="Arial" w:hAnsi="Arial" w:cs="Arial"/>
          <w:color w:val="000000" w:themeColor="text1"/>
          <w:sz w:val="22"/>
          <w:szCs w:val="22"/>
        </w:rPr>
        <w:t>, 30</w:t>
      </w:r>
      <w:r w:rsidRPr="00DA76A7">
        <w:rPr>
          <w:rFonts w:ascii="Arial" w:hAnsi="Arial" w:cs="Arial"/>
          <w:color w:val="000000" w:themeColor="text1"/>
          <w:sz w:val="22"/>
          <w:szCs w:val="22"/>
        </w:rPr>
        <w:br/>
      </w:r>
      <w:r w:rsidRPr="00DA76A7">
        <w:rPr>
          <w:rFonts w:ascii="Arial" w:hAnsi="Arial" w:cs="Arial"/>
          <w:bCs/>
          <w:color w:val="000000" w:themeColor="text1"/>
          <w:sz w:val="22"/>
          <w:szCs w:val="22"/>
          <w:lang w:val="en-US"/>
        </w:rPr>
        <w:t>tel</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918-23-39-39,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erov</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i</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B31C6" w:rsidRPr="00DA76A7" w:rsidRDefault="005B31C6" w:rsidP="005B31C6">
      <w:pPr>
        <w:ind w:firstLine="567"/>
        <w:jc w:val="right"/>
        <w:outlineLvl w:val="1"/>
        <w:rPr>
          <w:rFonts w:ascii="Arial" w:hAnsi="Arial" w:cs="Arial"/>
          <w:color w:val="000000" w:themeColor="text1"/>
          <w:sz w:val="22"/>
          <w:szCs w:val="22"/>
        </w:rPr>
      </w:pPr>
    </w:p>
    <w:p w:rsidR="005B31C6" w:rsidRPr="00DA76A7" w:rsidRDefault="005B31C6" w:rsidP="005B31C6">
      <w:pPr>
        <w:ind w:firstLine="567"/>
        <w:jc w:val="right"/>
        <w:outlineLvl w:val="1"/>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д.ф.н., профессор Шамолов А.А.</w:t>
      </w:r>
    </w:p>
    <w:p w:rsidR="005B31C6" w:rsidRPr="00DA76A7" w:rsidRDefault="005B31C6" w:rsidP="005B31C6">
      <w:pPr>
        <w:ind w:firstLine="567"/>
        <w:jc w:val="right"/>
        <w:outlineLvl w:val="1"/>
        <w:rPr>
          <w:rFonts w:ascii="Arial" w:hAnsi="Arial" w:cs="Arial"/>
          <w:b/>
          <w:color w:val="000000" w:themeColor="text1"/>
          <w:sz w:val="22"/>
          <w:szCs w:val="22"/>
        </w:rPr>
      </w:pPr>
    </w:p>
    <w:p w:rsidR="005B31C6" w:rsidRPr="00DA76A7" w:rsidRDefault="005B31C6" w:rsidP="005B31C6">
      <w:pPr>
        <w:ind w:firstLine="567"/>
        <w:jc w:val="both"/>
        <w:outlineLvl w:val="1"/>
        <w:rPr>
          <w:rFonts w:ascii="Arial" w:hAnsi="Arial" w:cs="Arial"/>
          <w:bCs/>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данной статье рассматриваются конституционные основы организации и деятельности парламента Италии, </w:t>
      </w:r>
      <w:r w:rsidRPr="00DA76A7">
        <w:rPr>
          <w:rFonts w:ascii="Arial" w:hAnsi="Arial" w:cs="Arial"/>
          <w:bCs/>
          <w:i/>
          <w:color w:val="000000" w:themeColor="text1"/>
          <w:sz w:val="22"/>
          <w:szCs w:val="22"/>
        </w:rPr>
        <w:t xml:space="preserve">раскрываются правовые аспекты ответственности </w:t>
      </w:r>
      <w:r w:rsidRPr="00DA76A7">
        <w:rPr>
          <w:rFonts w:ascii="Arial" w:hAnsi="Arial" w:cs="Arial"/>
          <w:i/>
          <w:color w:val="000000" w:themeColor="text1"/>
          <w:sz w:val="22"/>
          <w:szCs w:val="22"/>
        </w:rPr>
        <w:t xml:space="preserve">исполнительной власти </w:t>
      </w:r>
      <w:r w:rsidRPr="00DA76A7">
        <w:rPr>
          <w:rFonts w:ascii="Arial" w:hAnsi="Arial" w:cs="Arial"/>
          <w:bCs/>
          <w:i/>
          <w:color w:val="000000" w:themeColor="text1"/>
          <w:sz w:val="22"/>
          <w:szCs w:val="22"/>
        </w:rPr>
        <w:t>перед парламентом</w:t>
      </w:r>
      <w:r w:rsidRPr="00DA76A7">
        <w:rPr>
          <w:rFonts w:ascii="Arial" w:hAnsi="Arial" w:cs="Arial"/>
          <w:i/>
          <w:color w:val="000000" w:themeColor="text1"/>
          <w:sz w:val="22"/>
          <w:szCs w:val="22"/>
        </w:rPr>
        <w:t xml:space="preserve"> за свои действия и проводимый политический курс, </w:t>
      </w:r>
      <w:r w:rsidRPr="00DA76A7">
        <w:rPr>
          <w:rFonts w:ascii="Arial" w:hAnsi="Arial" w:cs="Arial"/>
          <w:bCs/>
          <w:i/>
          <w:color w:val="000000" w:themeColor="text1"/>
          <w:sz w:val="22"/>
          <w:szCs w:val="22"/>
        </w:rPr>
        <w:t>представлен краткий анализ деятельности парламента рассматриваемого государства.</w:t>
      </w:r>
    </w:p>
    <w:p w:rsidR="005B31C6" w:rsidRPr="00DA76A7" w:rsidRDefault="005B31C6" w:rsidP="005B31C6">
      <w:pPr>
        <w:pStyle w:val="a7"/>
        <w:spacing w:before="0" w:beforeAutospacing="0" w:after="0" w:afterAutospacing="0"/>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examines the constitutional foundations of the organization and activities of the Italian Parliament, reveals the legal aspects of the responsibility of the executive power to the parliament for its actions and the policy pursued, and provides a brief analysis of the activities of the parliament of the state in question.</w:t>
      </w:r>
    </w:p>
    <w:p w:rsidR="005B31C6" w:rsidRPr="00DA76A7" w:rsidRDefault="005B31C6" w:rsidP="005B31C6">
      <w:pPr>
        <w:pStyle w:val="a7"/>
        <w:spacing w:before="0" w:beforeAutospacing="0" w:after="0" w:afterAutospacing="0"/>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парламент, государственная власть, государственная система, палаты, полномочия, законодательный процесс, суд.</w:t>
      </w:r>
    </w:p>
    <w:p w:rsidR="005B31C6" w:rsidRPr="00DA76A7" w:rsidRDefault="005B31C6" w:rsidP="005B31C6">
      <w:pPr>
        <w:pStyle w:val="a7"/>
        <w:spacing w:before="0" w:beforeAutospacing="0" w:after="0" w:afterAutospacing="0"/>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parliament, state power, state system, chambers, powers, legislative process, court.</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ab/>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система центральных органов государственной власти рассматриваемого государства строится на основе принципа разделения властей: законодательная власть вверена двухпалатному парламенту, исполнительная имеет двойственную структуру, а именно она включает главу государства и правительство, а именно совет министров. Вместе с тем составной частью системы органов является конституционный суд, обеспечивающий функционирование государственной системы в соответствии с нормами основного закона [3, 132-133].</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конституция не проводит различия между палатой депутатов и сенатом; ст. с 62 по 82, регулирующие их полномочия и отношения, называют их «палатами». Вместе с тем равенство палат юридически нарушается только в случае, когда они принимают решения совместно (выборы президента республики, назначение членов Конституционного суда, Высшего совета магистратуры и др.), поскольку Сенат в два раза численно меньшая палата. Но и в этом случае неравенство палат иллюзорно: депутаты и сенаторы голосуют не по принадлежности к своим палатам, а по принадлежности к своим партийным фракциям [4, 139-140].</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так как обе рассматриваемые палаты формируются по примерно одной и той же избирательной системе, то политический состав палат весьма схож между собой и поэтому отсутствует четкое противостояние между ними. Вместе с тем расхождения между палатами носят скорее технический характер, чем политический. Между тем создание сената, вроде бы ненужного с логической точки зрения, объясняется условиями становления государственного строя в Италии после второй мировой войны, борьбой между силами, выступавшими за монокамерализм, и сторонниками традиционного бикамерализма.</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итальянские депутаты и сенаторы обладают обычными для западноевропейских парламентариев иммунитетом и индемнитетом. Вместе с тем палаты действуют на основе собственных регламентов, принимаемых абсолютным большинством их членов. В тоже время парламент работает в сессионном порядке, собираясь на две сессии в году, начинающихся в первый рабочий день февраля и октября месяца. Между тем палаты могут быть созваны и на чрезвычайные сессии по требованию их председателей, главы республики или 1/3 части их членов. Тем не менее, в случае если одна из палат собирается на чрезвычайную сессию, то вторая собирается по праву.</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руководящие органы палат являются бюро. Вместе с тем каждый из этих органов включает председателя палаты, четырех вице-председателей, трех квесторов и 8 секретарей, причем в этих органах должны быть представлены все партийные фракции. При этом бюро избирается на пять лет, а именно на срок легислатуры палат. Между тем для образования партийных фракций требуется в палате депутатов желание не менее двадцати ее членов. Наряду с этим бюро палаты может разрешить создание фракции в составе менее двадцати депутатов при условии, что эта группа представляет надлежаще организованную и действующую партию, которая выполнила ряд требований относительно численности выдвинутых на выборах кандидатов и числа полученных голосов. Между тем в сенате партийные фракции должны состоять не менее чем из десяти сенаторов. В палатах возможно образование смешанных партийных фракций. Помимо того повестка дня парламента определяется конференцией председателей фракций, руководимых или председателем палаты депутатов или председателем сената с участием представителя правительства [1, 211-212].</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 палатах образуются постоянные комиссии: в сенате – двенадцать на два года, в палате депутатов – четырнадцать на срок легислатуры. Вместе с тем сенат может образовывать комиссию по европейским делам. При этом профиль комиссий в основном повторяет компетенцию соответствующих министерств. Основной закон, кроме единственного случая (ст. 126 абз. 4) не предусматривает общих для обеих палат комиссий. Тем не менее, начиная с 1975 г. законом при отсутствии конституционного регулирования были созданы постоянные смешанные комиссии от обеих палат парламента. Так, например, такие комиссии были учреждены по делам секретных служб, по аудиовизуальным средствам. Между тем с этого же времени стали образовываться смешанные расследовательские комиссии, каждая палата направляет в такие органы до двадцати своих членов. При этом до 1975 г. в палате депутатов было образовано пять расследовательских комиссий, в сенате соответственно одна. Наряду с этим данные комиссии в соответствии с Основным законом (ст. 86) обладают теми же полномочиями, что и судебные власти [2, 125-126].</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в комиссиях представлены члены каждой партийной фракции палаты. Вместе с тем на заседаниях постоянных комиссий могут присутствовать члены правительства, причем в заседаниях сенатских комиссий могут участвовать и не члены комиссий и им может предоставляться возможность для выступления. Между тем заседания палат носят публичный характер. При этом по просьбе правительства, председателя партийной фракции или группы парламентариев палата может принять решения о проведении закрытого заседания. Наряду с этим трансляция заседаний по государственному радио и телевидению проводится по решению председателя палаты, а по частному радио собственно не требует разрешения [6, 189-190].</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рассматриваемый парламент, в целом, обладает традиционными для западноевропейских парламентов полномочиями. Вместе с тем он законодательствует, причем это он может делать по любому вопросу; в рассматриваемом государстве не существует регламентарной сферы издания нормативных актов, как во Франции. При этом законодательная инициатива принадлежит парламентариям, правительству, областным советам, Между тем национальному совету экономики и труда, а также группам избирателей не менее 50 тыс. человек. Избиратели, тем не менее, не могут вносить проекты в областях, зарезервированных за правительством. Наряду с этим все законопроекты, предусматривающие новые расходы, должны указывать источники их покрытия. При этом проекты от областей должны касаться областной жизни, проекты от национального совета экономики и труда - социально-экономических проблем. Вместе с тем весьма ограниченной инициативой могут обладать и муниципальные советы; их проекты могут касаться только образования новых провинций и областей или изменения существующих границ. Каждый проект должен быть составлен в постатейном виде. При этом отклоненный проект может быть представлен только по истечении шести месяцев. Между тем законопроекты вносятся в любую из палат, и они становятся законами только в случае их одобрения обеими палатами. Исключение сделано только для закона о бюджете. При этом его проект представляется в Палату депутатов. Тем не менее, принятый закон промульгируется главой республики, которому предоставляется месячный срок для выполнения этой обязанности. В тоже время в течение этого срока глава государства может требовать от парламента повторного рассмотрения закона. Основной закон не указывает основания, по которому глава государства может реализовывать данное право. При этом на практике чаще всего указываются технические причины и погрешности, но не политические. В таком случае парламент принимает закон повторно при соблюдении обычной процедуры, а именно не требуется выполнения какого-либо специального требования [5, 178-179].</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специфика законодательного процесса в парламенте это предоставление палатам права передавать свои законодательные полномочия комиссиям. Вместе с тем  в итоге около трех четвертей актов на практике принимается в соответствии с этой облегченной и ускоренной процедурой. Тем не менее, законы о конституционном пересмотре, избирательные законы, акты о бюджете, о делегировании законодательной власти, санкционирующие ратификацию международных договоров всегда рассматриваются при соблюдении нормальной процедуры. Помимо того, в случае делегирования комиссиям права законодательствовать проект может быть возвращен в палату, если того потребует правительство, десятая часть членов палаты или пятая часть членов самой комиссии. Законодательная деятельность итальянского парламента весьма насыщена. Так, в частности, за четыре года (1978-1982) было внесено проектов правительства - 1672, принято по ним законов - 858; законопроектов от парламентариев было 4021, принят по ним 371 закон; от других субъектов законодательной инициативы поступило 75 проектов, по ним принят один закон. Для сравнения укажем, что за тот же период в Португалии было принято по инициативе правительства 86 законов (им внесено 630 проектов), по инициативе парламентариев - 130 (273); в Великобритании правительство представило в палату лордов 52 проекта (принято 58), в палату общин 287 (265); парламентарии внесли: лорды - 91, принято 35; депутаты - 502, принято 49; иные субъекты - 103 (принято 108). Данные по Великобритании включают законы, представленные вторично. В Испании правительство внесло 400 проектов, принято 323; парламентарии - 286 и 38. Других инициатив не было.</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нельзя не признать, что законодательные полномочия итальянского парламента несколько ослаблены возможностью проведения голосования в форме народного вето, о котором уже говорилось. Вместе с тем несомненным является то, что уже достаточно значительное число случаев, когда такие голосования проводились. Так, например, между 1974 и 1987 гг. на такое голосование было поставлено пятнадцать законов, а именно законы о разводе, о борьбе с терроризмом, о строительстве атомных электростанций и др.</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парламент может делегировать правительству свои законодательные полномочия; делегирование не может быть осуществлено в конституционной области, в области избирательного права, принятия бюджета, в ратификации международных договоров. Вместе с тем, делегирующий закон должен содержать руководящее направление, принципы, которым должны следовать издаваемые декреты на основе уполномочия. В законе должно быть указано время, в течение которого правительство может законодательствовать от имени парламента и точный предмет, по которому могут приниматься декреты. Наряду с этим делегирующий закон часто предусматривает создание смешанной специальной комиссии для подготовки замечаний по проектам законов, которые правительство по окончании делегации представит в парламент [7, 267-268].</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Основной закон 1947 г. очень обширно толкует и использует понятие срочности, срочных обстоятельств. Статья 77 предоставила правительству полномочие по изданию распоряжений, имеющих силу закона в случаях особой необходимости и срочности. Вместе с тем данные декреты должны быть представлены для утверждения в парламент в тот же день; если парламент распущен, то он специально созывается в течение пяти дней. Декреты теряют силу с момента издания, если они не получили законодательного утверждения в течение 60-ти дней после их опубликования [4, 191-192].</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правительство несет коллективную ответственность перед любой палатой парламента. Вместе с тем при конституировании правительство должно получить доверие обеих палат. Итальянскому парламенту известны такие формы контроля за деятельностью правительства, как устные и письменные вопросы; ответ на устный вопрос должен быть дан в четырнадцать дней, на письменный в двадцать, интерпелляции, расследовательские комиссии. При этом наиболее грозное оружие парламентских палат это резолюции недоверия, а именно должны быть подписаны по меньшей мере десятой частью членов какой-либо палаты; такие резолюции обсуждаются по истечении трех дней с момента внесения. Итальянский парламент может принимать, кроме того, резолюции по определенному вопросу; такие резолюции вносятся либо председателями парламентских фракций, или десятью депутатами либо восемью сенаторами. Между тем они передаются на предварительное рассмотрение постоянных комиссий. В принятой палатой резолюции указываются какие-либо направления в государственной политике.</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 международной сфере итальянский парламент ратифицирует договоры с другими государствами, объявляет войну. В судебной области парламент осуществляет следующие полномочия: назначает третью часть членов Конституционного суда, третью часть Высшего совета магистратуры, решает вопрос об объявлении амнистии. На совместном заседании палат парламент решает вопрос о предании суду главу республики, председателя совета министров и министров. Между тем на современном этапе система выборов обеих палат парламента регулируется Законами № 276 и 277 от 4 августа 1993 г., а также принятым 1 декабря 1993 г. Законом о новом порядке проведения избирательных кампаний. Эти законы корректирует прежнюю пропорциональную избирательную систему и вводит принципы одномандатности и мажоритарности. Новая избирательная система была уже дважды апробирована на всеобщих «парламентских выборах в марте 1994 г., и на досрочных выборах в апреле 1996 г.</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палата депутатов насчитывает шестьсот тридцать мест, которые распределяются между областями в зависимости от численности населения по данным последней всеобщей переписи. Вместе с тем на парламентских выборах 1996 г. четыреста семьдесят пять депутатов были избраны по одномандатной мажоритарной системе, а сто пятьдесят пять депутатов непосредственно по пропорциональной.</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Необходимо отметить, что в системе конституционных органов итальянского Государства основное место занимает парламент. До сегодняшних дней действующей конституции только парламент избирается прямым голосованием граждан. Между тем ему принадлежит исключительная прерогатива определять в полной мере политику государства. Вместе с тем обе палаты полностью равноправны, как в плане их законодательных полномочий, так и в том, что касается осуществления конституционного контроля за деятельностью правительства. При этом данный орган избирает президента республики, консультирует президента при назначении правительства, участвует в формировании целого ряда других органов государственного управления и суда. Наряду с этим к компетенции парламента относится объявление состояния войны и предоставление правительству в этой связи необходимой власти, ратификация международных договоров политического характера, а также договоров, предусматривающих арбитраж или судебное урегулирование, влекущее территориальные изменения, финансовые обязательства или изменена законов. Между тем палаты ежегодно утверждают бюджет и отчет о расходах. Помимо того в исполнительную функцию данного органа входит принятие конституционных законов, касающихся изменений в территориальном устройстве страны или изменений границ провинций [7, 278-279].</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что палата депутатов избирается всеобщим и прямым голосованием по отдельным избирательным округам пропорционально числу населения каждого округа и состоит из 630 депутатов. Сенат Республики имеет смешанный состав, он включает 315 избранных сенаторов, а также сенаторов, назначенных «по праву». </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определении статуса депутатов парламента Основной закон следует утвердившемуся в европейской конституционной практике принципу, согласно которому каждый член Парламента представляет нацию и не связан так называемым «обязывающим мандатом» при выполнении своих парламентских функций (ст. 67). Члены Парламента не могут подвергаться преследованию за выраженные ими мнения и за свое голосование при выполнении парламентских функций. Конституция предоставляет парламентариям самые широкие иммунитеты от уголовной ответственности. Запрещается, в частности, привлекать члена Парламента к уголовной ответственности без санкции соответствующей палаты Парламента. Между тем работа Палаты депутатов и Сената ведется раздельно. На совместные заседания Парламент собирается только в случаях, установленных Конституцией. Это избрание президента Республики, принятие им присяги на верность Республике, рассмотрение обвинений президента в государственной измене и в посягательстве на Конституцию, предание суду Парламента председателя Совета министров и членов правительства за преступления, совершенные при исполнении своих обязанностей, формирование Конституционного суда.</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 61 Конституции палаты итальянского Парламента избираются не позднее семидесяти дней по истечении полномочий Парламента предыдущего созыва. Не позднее двадцатого дня после выборов проводится первое заседание Парламента. Дальнейший созыв палат происходит по их собственному праву в четко установленные Конституцией сроки - в первый непраздничный день февраля и октября. Помимо того предусмотрена возможность созыва каждой из палат Парламента на чрезвычайную сессию, однако для этого требуется инициатива ее председателя, либо президента Республики, или одной трети членов палаты. Кроме того заседания данного органа, обычно, публичны. Закрыто заседание проводится только в случае соответствующего peшения одной из палат или всего Парламента, если палаты заседают совместно. Решения каждой палаты и Парламента в целом действительны при наличии большинства их членов и если они прияты большинством присутствующих. Вместе с тем в Конституции предусматриваются конкретные случаи, когда требуется квалифицированное большинство [7, 279-280] .</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руководства своей работой каждая палата избирает из своих членов председателя, четырех его заместителей, трех квесторов и трех секретарей. Все они образуют Бюро палаты. Согласно регламентам Палаты депутатов и Сената Республики в Бюро должны быть представлены все парламентские группы. Помимо того бюро утверждает проект бюджета Парламента, решает вопросы, связанные с формированием парламентских групп и комиссий, устанавливает правила внутреннего распорядка, функционирования различных служб.</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для создания парламентской группы, представленной в парламенте партии, необходимо, обычно, не менее двадцати членов в палате депутатов и десяти в сенате. Допускается образование парламентских групп и в меньшем составе, если ее члены представляют партию, которая на выборах получила не менее 300 тысяч голосов избирателей по стране в целом. Помимо того депутаты и сенаторы, не вошедшие в ту или иную партийную парламентскую группу, могут образовать единую смешанную группу, которая пользуется теми же правами, что и другие парламентские группы. Кроме того в каждой палате образуются постоянные комиссии. Главной функцией постоянных комиссий Парламента, которые формируются на основе пропорционального представительства парламентских групп, является подготовка, рассмотрение и одобрение законопроектов для их последующего направления в палаты.</w:t>
      </w:r>
    </w:p>
    <w:p w:rsidR="005B31C6" w:rsidRPr="00DA76A7" w:rsidRDefault="005B31C6" w:rsidP="005B31C6">
      <w:pPr>
        <w:ind w:firstLine="567"/>
        <w:jc w:val="center"/>
        <w:rPr>
          <w:rFonts w:ascii="Arial" w:hAnsi="Arial" w:cs="Arial"/>
          <w:b/>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7"/>
        <w:numPr>
          <w:ilvl w:val="0"/>
          <w:numId w:val="154"/>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Конституции зарубежных государств / Под ред. В.В. Маклакова. - М., 2001. - 341 с.</w:t>
      </w:r>
    </w:p>
    <w:p w:rsidR="005B31C6" w:rsidRPr="00DA76A7" w:rsidRDefault="005B31C6" w:rsidP="00D45D6B">
      <w:pPr>
        <w:pStyle w:val="a7"/>
        <w:numPr>
          <w:ilvl w:val="0"/>
          <w:numId w:val="154"/>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Современные зарубежные конституции. - М., 1991. - Вып. 1. - С. 125-126.  </w:t>
      </w:r>
    </w:p>
    <w:p w:rsidR="005B31C6" w:rsidRPr="00DA76A7" w:rsidRDefault="005B31C6" w:rsidP="00D45D6B">
      <w:pPr>
        <w:pStyle w:val="a7"/>
        <w:numPr>
          <w:ilvl w:val="0"/>
          <w:numId w:val="154"/>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Баглай М.В. Конституционное право зарубежных стран. - М., 1999. - 647 с.</w:t>
      </w:r>
    </w:p>
    <w:p w:rsidR="005B31C6" w:rsidRPr="00DA76A7" w:rsidRDefault="005B31C6" w:rsidP="00D45D6B">
      <w:pPr>
        <w:pStyle w:val="a7"/>
        <w:numPr>
          <w:ilvl w:val="0"/>
          <w:numId w:val="154"/>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Давид Р., Жоффре-Спинози Основные правовые системы современности. - М., 1996. - 349 с.</w:t>
      </w:r>
    </w:p>
    <w:p w:rsidR="005B31C6" w:rsidRPr="00DA76A7" w:rsidRDefault="005B31C6" w:rsidP="00D45D6B">
      <w:pPr>
        <w:pStyle w:val="a7"/>
        <w:numPr>
          <w:ilvl w:val="0"/>
          <w:numId w:val="154"/>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Иностранное конституционное право / Под ред. В.В. Маклакова. - М., 1996. - 356 с.</w:t>
      </w:r>
    </w:p>
    <w:p w:rsidR="005B31C6" w:rsidRPr="00DA76A7" w:rsidRDefault="005B31C6" w:rsidP="00D45D6B">
      <w:pPr>
        <w:pStyle w:val="a7"/>
        <w:numPr>
          <w:ilvl w:val="0"/>
          <w:numId w:val="154"/>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Конституционное право: Учебник / Под ред. А.Е. Козлова. - М., 1996. - 338 с.</w:t>
      </w:r>
    </w:p>
    <w:p w:rsidR="005B31C6" w:rsidRPr="00DA76A7" w:rsidRDefault="005B31C6" w:rsidP="00D45D6B">
      <w:pPr>
        <w:pStyle w:val="a7"/>
        <w:numPr>
          <w:ilvl w:val="0"/>
          <w:numId w:val="154"/>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Чиркин В.Е. Конституционное право зарубежных стран. Учебник. - М., 1997. - 467 с.</w:t>
      </w:r>
    </w:p>
    <w:p w:rsidR="005B31C6" w:rsidRPr="00DA76A7" w:rsidRDefault="005B31C6" w:rsidP="005B31C6">
      <w:pPr>
        <w:pStyle w:val="a7"/>
        <w:tabs>
          <w:tab w:val="left" w:pos="284"/>
        </w:tabs>
        <w:spacing w:before="0" w:beforeAutospacing="0" w:after="0" w:afterAutospacing="0"/>
        <w:ind w:firstLine="567"/>
        <w:jc w:val="both"/>
        <w:rPr>
          <w:rFonts w:ascii="Arial" w:hAnsi="Arial" w:cs="Arial"/>
          <w:b/>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МНОГООБРАЗИЕ И ЭВОЛЮЦИЯ ФОРМ СОВРЕМЕННЫХ ГОСУДАРСТВ </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Зокиров Далер Абдузохидович</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542B0A"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734025, Республика Таджикистан, г. Душанбе, ул. М</w:t>
      </w:r>
      <w:r w:rsidRPr="00542B0A">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Турсунзаде</w:t>
      </w:r>
      <w:r w:rsidRPr="00542B0A">
        <w:rPr>
          <w:rFonts w:ascii="Arial" w:hAnsi="Arial" w:cs="Arial"/>
          <w:color w:val="000000" w:themeColor="text1"/>
          <w:sz w:val="22"/>
          <w:szCs w:val="22"/>
          <w:lang w:val="en-US"/>
        </w:rPr>
        <w:t>, 30</w:t>
      </w:r>
    </w:p>
    <w:p w:rsidR="005B31C6" w:rsidRPr="00542B0A"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542B0A">
        <w:rPr>
          <w:rFonts w:ascii="Arial" w:hAnsi="Arial" w:cs="Arial"/>
          <w:color w:val="000000" w:themeColor="text1"/>
          <w:sz w:val="22"/>
          <w:szCs w:val="22"/>
          <w:lang w:val="en-US"/>
        </w:rPr>
        <w:t xml:space="preserve">.: 918-23-39-39, </w:t>
      </w:r>
      <w:r w:rsidRPr="00DA76A7">
        <w:rPr>
          <w:rFonts w:ascii="Arial" w:hAnsi="Arial" w:cs="Arial"/>
          <w:color w:val="000000" w:themeColor="text1"/>
          <w:sz w:val="22"/>
          <w:szCs w:val="22"/>
        </w:rPr>
        <w:t>е</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 xml:space="preserve">: </w:t>
      </w:r>
      <w:r w:rsidRPr="00DA76A7">
        <w:rPr>
          <w:rFonts w:ascii="Arial" w:hAnsi="Arial" w:cs="Arial"/>
          <w:color w:val="000000" w:themeColor="text1"/>
          <w:sz w:val="22"/>
          <w:szCs w:val="22"/>
          <w:lang w:val="en-US"/>
        </w:rPr>
        <w:t>zokirov</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mail</w:t>
      </w:r>
      <w:r w:rsidRPr="00542B0A">
        <w:rPr>
          <w:rFonts w:ascii="Arial" w:hAnsi="Arial" w:cs="Arial"/>
          <w:color w:val="000000" w:themeColor="text1"/>
          <w:sz w:val="22"/>
          <w:szCs w:val="22"/>
          <w:lang w:val="en-US"/>
        </w:rPr>
        <w:t>.</w:t>
      </w:r>
      <w:r w:rsidRPr="00DA76A7">
        <w:rPr>
          <w:rFonts w:ascii="Arial" w:hAnsi="Arial" w:cs="Arial"/>
          <w:color w:val="000000" w:themeColor="text1"/>
          <w:sz w:val="22"/>
          <w:szCs w:val="22"/>
          <w:lang w:val="en-US"/>
        </w:rPr>
        <w:t>ru</w:t>
      </w:r>
      <w:hyperlink r:id="rId371" w:history="1"/>
      <w:r w:rsidRPr="00542B0A">
        <w:rPr>
          <w:rFonts w:ascii="Arial" w:hAnsi="Arial" w:cs="Arial"/>
          <w:color w:val="000000" w:themeColor="text1"/>
          <w:sz w:val="22"/>
          <w:szCs w:val="22"/>
          <w:lang w:val="en-US"/>
        </w:rPr>
        <w:t xml:space="preserve"> </w:t>
      </w:r>
    </w:p>
    <w:p w:rsidR="005B31C6" w:rsidRPr="00542B0A" w:rsidRDefault="005B31C6" w:rsidP="005B31C6">
      <w:pPr>
        <w:jc w:val="center"/>
        <w:rPr>
          <w:rFonts w:ascii="Arial" w:hAnsi="Arial" w:cs="Arial"/>
          <w:b/>
          <w:color w:val="000000" w:themeColor="text1"/>
          <w:sz w:val="22"/>
          <w:szCs w:val="22"/>
          <w:lang w:val="en-US"/>
        </w:rPr>
      </w:pPr>
      <w:r w:rsidRPr="00542B0A">
        <w:rPr>
          <w:rFonts w:ascii="Arial" w:hAnsi="Arial" w:cs="Arial"/>
          <w:b/>
          <w:color w:val="000000" w:themeColor="text1"/>
          <w:sz w:val="22"/>
          <w:szCs w:val="22"/>
          <w:lang w:val="en-US"/>
        </w:rPr>
        <w:t xml:space="preserve"> </w:t>
      </w:r>
    </w:p>
    <w:p w:rsidR="005B31C6" w:rsidRPr="00DA76A7" w:rsidRDefault="005B31C6" w:rsidP="005B31C6">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MULTIPLE AND EVOLUTION OF FORMS OF CONTEMPORARY STATES</w:t>
      </w:r>
    </w:p>
    <w:p w:rsidR="005B31C6" w:rsidRPr="00DA76A7" w:rsidRDefault="005B31C6" w:rsidP="005B31C6">
      <w:pPr>
        <w:jc w:val="center"/>
        <w:rPr>
          <w:rFonts w:ascii="Arial" w:hAnsi="Arial" w:cs="Arial"/>
          <w:b/>
          <w:color w:val="000000" w:themeColor="text1"/>
          <w:sz w:val="22"/>
          <w:szCs w:val="22"/>
          <w:lang w:val="en-US"/>
        </w:rPr>
      </w:pPr>
    </w:p>
    <w:p w:rsidR="005B31C6" w:rsidRPr="00DA76A7" w:rsidRDefault="005B31C6" w:rsidP="005B31C6">
      <w:pPr>
        <w:jc w:val="center"/>
        <w:outlineLvl w:val="1"/>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Zokirov Daler Abduzohidovich</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street. M. Tursunzade, 30</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 xml:space="preserve">tel.: </w:t>
      </w:r>
      <w:r w:rsidRPr="00DA76A7">
        <w:rPr>
          <w:rFonts w:ascii="Arial" w:hAnsi="Arial" w:cs="Arial"/>
          <w:color w:val="000000" w:themeColor="text1"/>
          <w:sz w:val="22"/>
          <w:szCs w:val="22"/>
          <w:lang w:val="en-US"/>
        </w:rPr>
        <w:t xml:space="preserve">918-23-39-39,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zokirov@mail.ru</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7F290E" w:rsidRDefault="00666D87" w:rsidP="005B31C6">
      <w:pPr>
        <w:ind w:firstLine="567"/>
        <w:jc w:val="right"/>
        <w:outlineLvl w:val="1"/>
        <w:rPr>
          <w:rFonts w:ascii="Arial" w:hAnsi="Arial" w:cs="Arial"/>
          <w:color w:val="000000" w:themeColor="text1"/>
          <w:sz w:val="22"/>
          <w:szCs w:val="22"/>
          <w:lang w:val="en-US"/>
        </w:rPr>
      </w:pPr>
      <w:hyperlink r:id="rId372" w:history="1"/>
      <w:r w:rsidR="005B31C6" w:rsidRPr="007F290E">
        <w:rPr>
          <w:rFonts w:ascii="Arial" w:hAnsi="Arial" w:cs="Arial"/>
          <w:color w:val="000000" w:themeColor="text1"/>
          <w:sz w:val="22"/>
          <w:szCs w:val="22"/>
          <w:lang w:val="en-US"/>
        </w:rPr>
        <w:t xml:space="preserve"> </w:t>
      </w:r>
      <w:r w:rsidR="005B31C6" w:rsidRPr="00DA76A7">
        <w:rPr>
          <w:rFonts w:ascii="Arial" w:hAnsi="Arial" w:cs="Arial"/>
          <w:color w:val="000000" w:themeColor="text1"/>
          <w:sz w:val="22"/>
          <w:szCs w:val="22"/>
        </w:rPr>
        <w:t>Научный</w:t>
      </w:r>
      <w:r w:rsidR="005B31C6" w:rsidRPr="007F290E">
        <w:rPr>
          <w:rFonts w:ascii="Arial" w:hAnsi="Arial" w:cs="Arial"/>
          <w:color w:val="000000" w:themeColor="text1"/>
          <w:sz w:val="22"/>
          <w:szCs w:val="22"/>
          <w:lang w:val="en-US"/>
        </w:rPr>
        <w:t xml:space="preserve"> </w:t>
      </w:r>
      <w:r w:rsidR="005B31C6" w:rsidRPr="00DA76A7">
        <w:rPr>
          <w:rFonts w:ascii="Arial" w:hAnsi="Arial" w:cs="Arial"/>
          <w:color w:val="000000" w:themeColor="text1"/>
          <w:sz w:val="22"/>
          <w:szCs w:val="22"/>
        </w:rPr>
        <w:t>руководитель</w:t>
      </w:r>
      <w:r w:rsidR="005B31C6" w:rsidRPr="007F290E">
        <w:rPr>
          <w:rFonts w:ascii="Arial" w:hAnsi="Arial" w:cs="Arial"/>
          <w:color w:val="000000" w:themeColor="text1"/>
          <w:sz w:val="22"/>
          <w:szCs w:val="22"/>
          <w:lang w:val="en-US"/>
        </w:rPr>
        <w:t xml:space="preserve">: </w:t>
      </w:r>
      <w:r w:rsidR="005B31C6" w:rsidRPr="00DA76A7">
        <w:rPr>
          <w:rFonts w:ascii="Arial" w:hAnsi="Arial" w:cs="Arial"/>
          <w:color w:val="000000" w:themeColor="text1"/>
          <w:sz w:val="22"/>
          <w:szCs w:val="22"/>
        </w:rPr>
        <w:t>к</w:t>
      </w:r>
      <w:r w:rsidR="005B31C6" w:rsidRPr="007F290E">
        <w:rPr>
          <w:rFonts w:ascii="Arial" w:hAnsi="Arial" w:cs="Arial"/>
          <w:color w:val="000000" w:themeColor="text1"/>
          <w:sz w:val="22"/>
          <w:szCs w:val="22"/>
          <w:lang w:val="en-US"/>
        </w:rPr>
        <w:t>.</w:t>
      </w:r>
      <w:r w:rsidR="005B31C6" w:rsidRPr="00DA76A7">
        <w:rPr>
          <w:rFonts w:ascii="Arial" w:hAnsi="Arial" w:cs="Arial"/>
          <w:color w:val="000000" w:themeColor="text1"/>
          <w:sz w:val="22"/>
          <w:szCs w:val="22"/>
        </w:rPr>
        <w:t>ю</w:t>
      </w:r>
      <w:r w:rsidR="005B31C6" w:rsidRPr="007F290E">
        <w:rPr>
          <w:rFonts w:ascii="Arial" w:hAnsi="Arial" w:cs="Arial"/>
          <w:color w:val="000000" w:themeColor="text1"/>
          <w:sz w:val="22"/>
          <w:szCs w:val="22"/>
          <w:lang w:val="en-US"/>
        </w:rPr>
        <w:t>.</w:t>
      </w:r>
      <w:r w:rsidR="005B31C6" w:rsidRPr="00DA76A7">
        <w:rPr>
          <w:rFonts w:ascii="Arial" w:hAnsi="Arial" w:cs="Arial"/>
          <w:color w:val="000000" w:themeColor="text1"/>
          <w:sz w:val="22"/>
          <w:szCs w:val="22"/>
        </w:rPr>
        <w:t>н</w:t>
      </w:r>
      <w:r w:rsidR="005B31C6" w:rsidRPr="007F290E">
        <w:rPr>
          <w:rFonts w:ascii="Arial" w:hAnsi="Arial" w:cs="Arial"/>
          <w:color w:val="000000" w:themeColor="text1"/>
          <w:sz w:val="22"/>
          <w:szCs w:val="22"/>
          <w:lang w:val="en-US"/>
        </w:rPr>
        <w:t xml:space="preserve">., </w:t>
      </w:r>
      <w:r w:rsidR="005B31C6" w:rsidRPr="00DA76A7">
        <w:rPr>
          <w:rFonts w:ascii="Arial" w:hAnsi="Arial" w:cs="Arial"/>
          <w:color w:val="000000" w:themeColor="text1"/>
          <w:sz w:val="22"/>
          <w:szCs w:val="22"/>
        </w:rPr>
        <w:t>доцент</w:t>
      </w:r>
      <w:r w:rsidR="005B31C6" w:rsidRPr="007F290E">
        <w:rPr>
          <w:rFonts w:ascii="Arial" w:hAnsi="Arial" w:cs="Arial"/>
          <w:color w:val="000000" w:themeColor="text1"/>
          <w:sz w:val="22"/>
          <w:szCs w:val="22"/>
          <w:lang w:val="en-US"/>
        </w:rPr>
        <w:t xml:space="preserve"> </w:t>
      </w:r>
      <w:r w:rsidR="005B31C6" w:rsidRPr="00DA76A7">
        <w:rPr>
          <w:rFonts w:ascii="Arial" w:hAnsi="Arial" w:cs="Arial"/>
          <w:color w:val="000000" w:themeColor="text1"/>
          <w:sz w:val="22"/>
          <w:szCs w:val="22"/>
        </w:rPr>
        <w:t>Хайруллоев</w:t>
      </w:r>
      <w:r w:rsidR="005B31C6" w:rsidRPr="007F290E">
        <w:rPr>
          <w:rFonts w:ascii="Arial" w:hAnsi="Arial" w:cs="Arial"/>
          <w:color w:val="000000" w:themeColor="text1"/>
          <w:sz w:val="22"/>
          <w:szCs w:val="22"/>
          <w:lang w:val="en-US"/>
        </w:rPr>
        <w:t xml:space="preserve"> </w:t>
      </w:r>
      <w:r w:rsidR="005B31C6" w:rsidRPr="00DA76A7">
        <w:rPr>
          <w:rFonts w:ascii="Arial" w:hAnsi="Arial" w:cs="Arial"/>
          <w:color w:val="000000" w:themeColor="text1"/>
          <w:sz w:val="22"/>
          <w:szCs w:val="22"/>
        </w:rPr>
        <w:t>Ф</w:t>
      </w:r>
      <w:r w:rsidR="005B31C6" w:rsidRPr="007F290E">
        <w:rPr>
          <w:rFonts w:ascii="Arial" w:hAnsi="Arial" w:cs="Arial"/>
          <w:color w:val="000000" w:themeColor="text1"/>
          <w:sz w:val="22"/>
          <w:szCs w:val="22"/>
          <w:lang w:val="en-US"/>
        </w:rPr>
        <w:t>.</w:t>
      </w:r>
      <w:r w:rsidR="005B31C6" w:rsidRPr="00DA76A7">
        <w:rPr>
          <w:rFonts w:ascii="Arial" w:hAnsi="Arial" w:cs="Arial"/>
          <w:color w:val="000000" w:themeColor="text1"/>
          <w:sz w:val="22"/>
          <w:szCs w:val="22"/>
        </w:rPr>
        <w:t>С</w:t>
      </w:r>
      <w:r w:rsidR="005B31C6" w:rsidRPr="007F290E">
        <w:rPr>
          <w:rFonts w:ascii="Arial" w:hAnsi="Arial" w:cs="Arial"/>
          <w:color w:val="000000" w:themeColor="text1"/>
          <w:sz w:val="22"/>
          <w:szCs w:val="22"/>
          <w:lang w:val="en-US"/>
        </w:rPr>
        <w:t>.</w:t>
      </w:r>
    </w:p>
    <w:p w:rsidR="005B31C6" w:rsidRPr="007F290E" w:rsidRDefault="005B31C6" w:rsidP="005B31C6">
      <w:pPr>
        <w:ind w:firstLine="567"/>
        <w:jc w:val="both"/>
        <w:rPr>
          <w:rFonts w:ascii="Arial" w:hAnsi="Arial" w:cs="Arial"/>
          <w:b/>
          <w:color w:val="000000" w:themeColor="text1"/>
          <w:sz w:val="22"/>
          <w:szCs w:val="22"/>
          <w:lang w:val="en-US"/>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данной статье кратко анализируется многообразие форм современных государств, на примере Польши и Бразилии. Автор приходит к выводу, что эволюция форм современных государств не завершена и с учетом различных тенденций в мире ожидается дальнейшее развитие, рассматриваемых в статье форм государств.</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briefly analyzes the diversity of forms of modern states, in the example of Poland and Brazil. The author comes to the conclusion that the evolution of the forms of modern states has not been completed and, taking into account various trends in the world, further development is expected, which are considered in the article of forms of states.</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конституция, республика, федерация, парламентская республика, президентская республика и т.д.</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constitution, republic, federation, parliamentary republic, presidential republic, etc.</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Современным государствам присуще разнообразные формы. Следует заметить, что государства к этому шли столетиями, а некоторые даже тысячелетиями. Однако, сегодня главным, основным источником, согласно которому можно определить форму государства, признано считать конституцию страны.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Конституция, как выражается Мухаммади Заранг, «является социальным явлением и как другие подобные явления зависят от человека, а потому они не появляются внезапно, имеют свою эволюцию». [3, 36]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Проще исследовать эволюцию современных форм государств на примере стран, входящие в недалеком прошлом, в мировую систему социалистического лагеря, так как они на пути становления демократических ценностей и некоторые из них добились уже определенных успехов в развитии демократии. Однако мы в нашем исследовании попытаемся охватить более широкий круг стран.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нашем кратком исследование мы попытаемся проанализировать процесс государственного становления некоторых зарубежных стран.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Надо отметить, что из всех бывших стран социалистического лагеря наиболее стремительно можно проследить изменение в Польше. Являясь сегодня республикой, Польша имеет смешанную форму правления, которая считается преимущественно парламентарной республикой.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Однако к современному состоянию Польша пришла, имея за спиной длительный и довольно интересный процесс становления. Уже 3 мая 1791 г. в Польше была принята Конституция. Как замечает В.И. Чехарина, она «является одной из первых в мире Конституций» [1, 617], которая определяла форму правления польского государства как – Речь Посполитая. По утверждению профессора Б.А. Страшуна, этот термин, сохранившийся в названии современном Польше, сегодня переводится как «Республика». [1, 117]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 того, как в 1795 г. состоялся третий раздел Польши между Пруссией, Австрией и Россией, польское государство почти на 125 лет перестало существовать, поэтому на её территории действовали различные правовые системы.</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Только в 17 марта 1921 г. была принята новая Конституция, которая получила название «Мартовской». Согласно данной Конституции возрожденная Польша стала парламентской республикой. Парламент Польши назывался Национальным собранием и был двухпалатным – Сейм и Сенат. При этом, как принято считать, Сенат был слабой верхней палатой. Президент страны избирался Национальным собранием.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результате государственного переворота в 1926 г. в действующую  конституцию  были внесены некоторые изменения, которые усиливали исполнительную власть в стране. Президент получил право распускать и Сейм и Сенат, а также издавать законы в случае неотложной государственной необходимости. Принятые новые конституционные меры, стали предпосылкой формирования на тот момент в Польше авторитарный политический режим, который был установлен принятием Конституции от 23 апреля 1935 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 нападения Германией на Польшу от 1 сентября 1939 г. польские земли были оккупированы и присоединены Германии. После освобождение советской армией Польши, а также на Ялтинской конференции трех держав – США, Великобритания, СССР в феврале 1945 г. в Польше, где было принято решение об образовании Временного правительства национального единства, начинается процесс становления новой формы правления Польши, которая именовалась как Польская Республика. В новой республике законодательная власть принадлежала однопалатному парламенту – Законодательный сейм. Президент страны избирался парламентом. Правительство формировалось на основе парламентского большинства (до конца 1947 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19 февраля 1947 г. была принята вторая в истории Польши Малая конституция – Конституционный закон о структуре и компетенции высших органов Польской Республики, которая действовала до 1989 г.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22 июля 1952 г. Законодательный сейм принял Конституцию Польской Народной Республики. Институт Президента был ликвидирован. Сейм характеризовался как высший орган государственной власти и как высший выразитель воли трудящихся города и деревни.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После принятия в феврале 1976 г. новой редакции Конституции, Польская Народная Республика характеризовалось как социалистическое государство, в которой конституционное закрепление получил принцип руководящей роли Польское объединение рабочей партии. Однако, положения, касавшиеся системы верховных органов государственной власти, не подверглись каким-либо значимым изменениям.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Начиная с осени 1989 г., в Конституцию Польской Народной Республики, вносятся ряд новелл, которые, по сути, изменили все – форму правления, политический режим государства. Были удалены положения о социалистическом государстве, слова «Народная», о дружбе с Советском Союзе. Теперь Польша называется Польской Республикой и определяется как демократическое правовое государство. Новые преобразования послужили для принятия Национальным собранием 2 апреля 1997 г. новой Конституции Республики Польши.  Согласно новой Конституции формой правления стала республика смешанного типа (полупрезидентской).  Однако это было при президентстве Л. Валенсы, который проявлял склонность к авторитарному режиму. В период президентства А. Квасьневского же Республика функционировала в основном по парламентскому типу. [1, 669-670]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Современная Республика Польши с 1999 г. характеризуется как унитарное государство с относительно децентрализованной формой государственного устройства [4, 93]. Такое государство, по мнению некоторых авторов, характеризуется тем, что в высших звеньях административно-территориального деления (обычно кроме районного звена) есть два органа: назначенный «сверху» чиновник общей компетенции (комиссар, префект) представитель государственной власти и избранный гражданами (а иногда и постоянно проживающими в общине иностранцами) совет – орган местного самоуправления. [2, 155]</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Б.А. Страшуна [1, 11], близка к Польше, с точки зрения конституционно-правового развития, Бразилия, которая лишь два десятилетия назад освободившаяся от военно-диктаторских режимов. Будучи подобно США президентской республикой и федеративным государством, Бразилия функционально отличается от США отсутствием укоренившихся демократических традиций (они еще в процессе становления) и бедностью подавляющего большинства населения, еще сохраняющейся, несмотря на заметный экономический рост.</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1500 по 1822 годы Бразилия была колонией Португалии, поэтому говорить о форме государства в данный период не приходится. И только 7 сентября 1822 г. Бразилия стала независимой империей, а после октроирования Конституции в 1824 г. страна считалась конституционной и представительной монархией.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После антимонархических выступлений в ноябре 1889 г., происходит падение монархии, в результате чего временное правительство  провозгласило Бразилию республикой с федеративной формой территориального устройства. Впоследствии, в 24 февраля 1891 г., принятое решение было закреплено в Конституции Федеративной Республики Бразилии, в которой, по утверждению В.В. Маклакова, «в большой мере был использован опыт США». [1, 1007]</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1930 г. в результате революции, с использованием идеи корпоративного представительства, заимствованной у фашисткой Италии, Учредительное собрание страны в 1934 г. одобрило Конституцию, в которой усиливалась исполнительная власть, а 10 ноября 1937 г. действующий президент страны Ж. Варгас (фактически диктатор) октроировал Конституцию «Нового государства», которая, по существу, санкционировала сосредоточение в руках Президента всей власти. 2 декабря 1945 г. Ж. Варгас был свергнут, что послужило принятию новой Конституции в 18 сентябре 1946 г., действовавшая до следующего военного переворота, и которая представляла собой довольно демократический акт.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Начиная с 1964 г., в результате военного мятежа, в стране на четверть века устанавливается авторитарное правление военных, а форма правления – «суперпрезидентской» республикой [5, 25-26]. Однако, несмотря  на это, особенностью военно-авторитарного режима состояла в том, что, хотя военные оказывали решающее влияние на жизнь страны, в то же время продолжали действовать и гражданские органы – парламент, суды.</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Новейшее время развития формы государства Бразилии связано с 22 сентябрем  1988 г., когда Учредительным собранием была принята Конституция Федеративной Республики Бразилии.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соответствии с Конституцией форма правления первоначально была установлена как временная, поскольку согласно ст. 2 переходных положений на 7 сентября 1993 г. был назначен плебисцит о форме правления (республика или монархия) и о «системе правления» (парламентарная или президентская). Из проголосовавших 90 млн. избирателей большинство высказались за республиканскую форму правления и за президентскую форму правления. [1, 1010]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анализ развитие форм некоторых современных государств показывает на то, что они в своей эволюции, в процессе становления и развитии прошли через различные формы правления и политические режимы, которые характеризуются неоднозначно, например, некоторые из них прошли путь от монархии до республики, от суперпрезидентской республики до президентской, от авторитарных режимов до демократических (Бразилия), другие от полупрезидентского типа правления к парламентскому, от социалистического режима к демократическому (Польша). Данное положение позволяет сделать вывод о том, что развитие форм государства в рассматриваемых странах будет продолжаться в зависимости от тенденций, которые происходят в мире.</w:t>
      </w:r>
    </w:p>
    <w:p w:rsidR="005B31C6" w:rsidRPr="00DA76A7" w:rsidRDefault="005B31C6" w:rsidP="005B31C6">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r w:rsidRPr="00DA76A7">
        <w:rPr>
          <w:rFonts w:ascii="Arial" w:hAnsi="Arial" w:cs="Arial"/>
          <w:color w:val="000000" w:themeColor="text1"/>
          <w:sz w:val="22"/>
          <w:szCs w:val="22"/>
        </w:rPr>
        <w:t>:</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Конституционное (государственное) право зарубежных стран.       Особенная часть: Учебник для вузов / под ред. Б.А. Страшуна. - 2-е изд., обновл. и дораб. - М.: Норма, 2006. - 1104 с.</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Конституционное право зарубежных стран. Учебник для вузов. 2-е изд.: М.В. Баглай, Ю.И. Лейбо, Л.М. Энтин. - М.: Норма, 2009. - С. 155-156.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Мухаммади Заранг. Путешествие основного закона в трех странах: Иран, Франция и США (на тадж. яз.). Душанбе: «Шуджоиён», 2009. - 369 с.</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Наимова С.О. Конституционное право зарубежных стран. Учебное пособие. - Душанбе, 2012. - 263 с.</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Хамидов Х.А. Конституционное право зарубежных стран. В 2-х томах. Т.II. (на тадж. яз.). - Душанбе: «ЭР-граф», 2013. - 500 с.</w:t>
      </w:r>
    </w:p>
    <w:p w:rsidR="005B31C6" w:rsidRPr="00DA76A7" w:rsidRDefault="005B31C6" w:rsidP="005B31C6">
      <w:pPr>
        <w:ind w:firstLine="567"/>
        <w:rPr>
          <w:rFonts w:ascii="Arial" w:hAnsi="Arial" w:cs="Arial"/>
          <w:b/>
          <w:color w:val="000000" w:themeColor="text1"/>
          <w:sz w:val="22"/>
          <w:szCs w:val="22"/>
        </w:rPr>
      </w:pPr>
    </w:p>
    <w:p w:rsidR="009F2071" w:rsidRDefault="009F2071" w:rsidP="008C23AD">
      <w:pP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ПОНЯТИЕ И МЕХАНИЗМ КОНСТИТУЦИОННОГО КОНТРОЛЯ И НАДЗОРА В ЗАРУБЕЖНЫХ СТРАНАХ</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 Ишанджанов Сулаймон Бахромович</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тел.: 987-16-62-63,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sulaymon</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color w:val="000000" w:themeColor="text1"/>
          <w:sz w:val="22"/>
          <w:szCs w:val="22"/>
        </w:rPr>
        <w:t xml:space="preserve"> </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CONCEPT AND MECHANISM OF CONSTITUTIONAL CONTROL AND OVERSIGHT IN FOREIGN COUNTRIES</w:t>
      </w:r>
    </w:p>
    <w:p w:rsidR="005B31C6" w:rsidRPr="00DA76A7" w:rsidRDefault="005B31C6" w:rsidP="005B31C6">
      <w:pPr>
        <w:jc w:val="center"/>
        <w:rPr>
          <w:rFonts w:ascii="Arial" w:hAnsi="Arial" w:cs="Arial"/>
          <w:b/>
          <w:color w:val="000000" w:themeColor="text1"/>
          <w:sz w:val="22"/>
          <w:szCs w:val="22"/>
          <w:lang w:val="en-US"/>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Ishanjanov Sulaimon Bahromovich</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color w:val="000000" w:themeColor="text1"/>
          <w:sz w:val="22"/>
          <w:szCs w:val="22"/>
        </w:rPr>
        <w:t>м</w:t>
      </w:r>
      <w:r w:rsidRPr="00DA76A7">
        <w:rPr>
          <w:rFonts w:ascii="Arial" w:hAnsi="Arial" w:cs="Arial"/>
          <w:color w:val="000000" w:themeColor="text1"/>
          <w:sz w:val="22"/>
          <w:szCs w:val="22"/>
          <w:lang w:val="en-US"/>
        </w:rPr>
        <w:t>aster of 2 nd year of full-time department of the faculty of law</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street. M. Tursunzade, 30</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 xml:space="preserve">tel.: </w:t>
      </w:r>
      <w:r w:rsidRPr="00DA76A7">
        <w:rPr>
          <w:rFonts w:ascii="Arial" w:hAnsi="Arial" w:cs="Arial"/>
          <w:color w:val="000000" w:themeColor="text1"/>
          <w:sz w:val="22"/>
          <w:szCs w:val="22"/>
          <w:lang w:val="en-US"/>
        </w:rPr>
        <w:t xml:space="preserve">987-16-62-63,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sulaymon@mail.ru</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right"/>
        <w:rPr>
          <w:rFonts w:ascii="Arial" w:hAnsi="Arial" w:cs="Arial"/>
          <w:color w:val="000000" w:themeColor="text1"/>
          <w:sz w:val="22"/>
          <w:szCs w:val="22"/>
          <w:lang w:val="en-US"/>
        </w:rPr>
      </w:pPr>
      <w:r w:rsidRPr="00DA76A7">
        <w:rPr>
          <w:rFonts w:ascii="Arial" w:hAnsi="Arial" w:cs="Arial"/>
          <w:color w:val="000000" w:themeColor="text1"/>
          <w:sz w:val="22"/>
          <w:szCs w:val="22"/>
        </w:rPr>
        <w:t>Научный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руководитель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к</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ю</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доцент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Хайруллоев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Ф</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 xml:space="preserve">. </w:t>
      </w:r>
    </w:p>
    <w:p w:rsidR="005B31C6" w:rsidRPr="00DA76A7" w:rsidRDefault="005B31C6" w:rsidP="005B31C6">
      <w:pPr>
        <w:ind w:firstLine="567"/>
        <w:jc w:val="center"/>
        <w:rPr>
          <w:rFonts w:ascii="Arial" w:hAnsi="Arial" w:cs="Arial"/>
          <w:b/>
          <w:color w:val="000000" w:themeColor="text1"/>
          <w:sz w:val="22"/>
          <w:szCs w:val="22"/>
          <w:lang w:val="en-US"/>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bCs/>
          <w:i/>
          <w:color w:val="000000" w:themeColor="text1"/>
          <w:sz w:val="22"/>
          <w:szCs w:val="22"/>
        </w:rPr>
        <w:t xml:space="preserve">В данной </w:t>
      </w:r>
      <w:r w:rsidRPr="00DA76A7">
        <w:rPr>
          <w:rFonts w:ascii="Arial" w:hAnsi="Arial" w:cs="Arial"/>
          <w:i/>
          <w:color w:val="000000" w:themeColor="text1"/>
          <w:sz w:val="22"/>
          <w:szCs w:val="22"/>
        </w:rPr>
        <w:t>статье кратко анализируется процесс становления института конституционного контроля и надзора в зарубежных странах. Автор приходит к выводу, что история возникновения данного института показывает о его важности в становлении и развитии демократии в обществе. Однако в зависимости от особенностей той или иной страны, институт конституционного контроля этих государств имеет свои особенные черты.</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briefly analyzes the process of establishment of the institution of constitutional control and supervision in foreign countries. The author comes to the conclusion that the history of the emergence of this institution shows its importance in the formation and development of democracy in society. However, depending on the characteristics of this or that country, the institution of constitutional control of these states has its own special features.</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конституция, конституционный контроль, конституционный надзор, Верховный суд, Конституционный суд, Наблюдательный совет, зарубежные страны и т.д.</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constitution, constitutional control, constitutional supervision, Supreme Court, Constitutional Court, Supervisory Board, foreign countries, etc.</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Институт конституционного контроля и надзора в зарубежных странах тесно связан с конституциями зарубежных стран, играющий важную роль в становлении и развитии демократических и правовых основ в государстве.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своей статье мы попытаемся рассмотреть некоторые особенности развития данного института в зарубежных странах. Понятно, что невозможно охватить все страны, однако в рамках данной статьи, диапазон нашего исследования, в любом случае, будет охватывать страны, где рассматриваемый институт в своем развитии достиг, как мы считаем, совершенства.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Очевидно, что конституция как основной закон в государстве должна соблюдаться всеми: людьми, гражданами, обществом, а также государственными структурами и их должностными лицами. Поэтому в зарубежных странах были созданы или создаются специализированные и неспециализированные органы, которые обязаны не допускать применения законов и других актов, противоречащих конституции, а в некоторых странах – воспрепятствовать их изданию.</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взглянуть в историю, то теория конституционного контроля в сегодняшнем понимании сформировалась в США. Самое интересное, что причиной зарождения указанной теории стало, в 1803 г., дело У. Мэрбари против Дж. Мэдисона, последний, как известно, является автором одних из 27 поправок в Конституцию США, которые были ратифицированы за всю, 203-летнию историю США (до 1992 г. – замечание автора). В результате рассмотрения данного дела Верховный суд США ввел в 1803 г. принцип судебного контроля за конституционностью законов. Этим, т.е. наличием указанного принципа, Рене Давид различает конституционное право США от конституционного права Англии [6, 298].</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Цитируя слова Г.Э. Хьюза, возглавлявшего Верховный суд США с 1930 по 1941 г., о том, что «Конституция – это то, что скажут о ней судьи», Рене Давид, приходит к выводу, что «без учета судебного толкования, путем лишь одного ознакомления с текстом закона нельзя сказать, соответствует он или не Конституции США» [6, 300].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Поэтому, можно с уверенностью утверждать, что основоположником появления института конституционного контроля (надзора) считается Конституция США, а точнее, как выражается И.А. Алебастрова, «не столько ее форма, сколько ее содержание» [1, 21] которое способствовало распространению рассматриваемого института во всем мире.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начале ХХ века возникает и европейская модель  конституционной юрисдикции, отличием которой от американской является осуществление конституционного контроля специализированными органами – конституционными судами (советами). Она во многом была основана на идеях знаменитого австрийского ученого – юриста Кельзена, с именем которого связано и создание в 1920г. первого конституционного суда – австрийского. Активное распространение судебного конституционного контроля характерно, по известным причинам, для периода после II мировой войны. Разделение моделей конституционной юрисдикции на два вида, конечно, условно, так как все большее развитие получают смешанные модели, включающие элементы и той и др.</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Конечно же, термины «надзор» и «контроль» неоднозначны. В специальной литературе используются оба термина. Как считает С.О. Наимова [4, 29], конституционный надзор заключается в проверке акта на его конституционность. В случае обнаружении нарушения конституции, орган надзора не правомочен отменить противоречащий конституции закон или иной нормативный акт.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конституционный надзор означает наблюдение и допускает лишь право надзирающего органа обратить внимание поднадзорного органа на нарушение закона,  отменить же соответствующий акт может только сам поднадзорный.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Под конституционным контролем, С.О. Наимова [4, 30], понимает особый вид правоохранительной деятельности в соответствующем государстве, заключающийся в проверке соответствия законов и иных нормативных актов конституции.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конституционный контроль предполагает возможность принятия контролирующим органом обязательного, постановляющего решения в применении каких-либо последствий в случае обнаружения нарушения Конституции. Например, о прекращении действия правового акта подконтрольного органа; отрешение от должности президента, ликвидации  политических партий.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заметить, что различие между конституционным контролем и надзором является условным и имеет теоретическое значение.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Объектами конституционного контроля могут быть конституционные и обычные законы, поправки к конституции, международные договоры, регламенты парламента или его палат, нормативные акты исполнительных органов власти. Субъектами конституционного контроля являются государственные органы, должностные лица, граждане, наделенные правом запроса о конституционности того или иного акта.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осуществления деятельности по конституционному контролю в зарубежных странах создаются специализированные органы. Одни из них являются судами общей юрисдикции (США, Аргентина, Дания, Мексика, Норвегия, Япония) или высшей судебной инстанцией – Верховный суд (Австралия, Боливия, Индия, Ирландия, Канада, Филиппины, Швейцария, ЮАР), другие являются специальными конституционными судами (Австрия, ФРГ, Италия, Испания, Турция, Кипр, Болгария), третьими являются особым органом несудебного характера (Конституционный совет – Франция, Республика Казахстан).</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по словам С.О. Наимовой, в Пакистане наряду с Верховным судом, который призван осуществлять конституционный контроль, есть еще два органа: исламский совет (вправе рассматривать соответствие правовых актов Корану) и суд шариата (он рассматривает иски различных субъектов, в том числе о противоречии шариату актов, касающихся прав граждан) [3, 31].</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w:t>
      </w:r>
      <w:r w:rsidRPr="00DA76A7">
        <w:rPr>
          <w:rFonts w:ascii="Arial" w:hAnsi="Arial" w:cs="Arial"/>
          <w:color w:val="000000" w:themeColor="text1"/>
          <w:spacing w:val="2"/>
          <w:sz w:val="22"/>
          <w:szCs w:val="22"/>
          <w:shd w:val="clear" w:color="auto" w:fill="FFFFFF"/>
        </w:rPr>
        <w:t>в Пакистане 6 марта 2016 г. Совет по исламской идеологии, официально консультирующий правительство страны по вопросам соответствия принимающихся законов канонам шариата, выпустил фетву, вызвавшую крайнее удивление среди мусульманской интеллигенции. К большому недоумению мусульманского сообщества, совет заявил, что новый закон, вводящий уголовную ответственность за насилие по отношению к женщинам, противоречит религии. Согласно Акту о защите женщин, принятому в Пакистане в конце апреля 2016 г., предполагается высокая степень правовой защиты женщин от домашнего, сексуального и психологического насилия, а также предписывается создание специальных горячих линий и приютов для женщин, столкнувшихся с насилием [</w:t>
      </w:r>
      <w:r w:rsidRPr="00DA76A7">
        <w:rPr>
          <w:rFonts w:ascii="Arial" w:hAnsi="Arial" w:cs="Arial"/>
          <w:color w:val="000000" w:themeColor="text1"/>
          <w:spacing w:val="2"/>
          <w:sz w:val="22"/>
          <w:szCs w:val="22"/>
          <w:shd w:val="clear" w:color="auto" w:fill="FFFFFF"/>
          <w:lang w:val="tg-Cyrl-TJ"/>
        </w:rPr>
        <w:t>7</w:t>
      </w:r>
      <w:r w:rsidRPr="00DA76A7">
        <w:rPr>
          <w:rFonts w:ascii="Arial" w:hAnsi="Arial" w:cs="Arial"/>
          <w:color w:val="000000" w:themeColor="text1"/>
          <w:spacing w:val="2"/>
          <w:sz w:val="22"/>
          <w:szCs w:val="22"/>
          <w:shd w:val="clear" w:color="auto" w:fill="FFFFFF"/>
        </w:rPr>
        <w:t>].</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шестой статье Конституции Исламской Республики Иран «Все законы, а именно нормативно-правовые положения гражданского, уголовного, финансового, экономического, управленческого, культурного, политического и других законов должны соответствовать основам ислама… Компетенция по осуществлению данного контроля возлагается на богословов-правоведов Наблюдательного совета» [3, 139]. Однако не каждый богослов-правовед может быть членом Наблюдательного совета, а лишь тот, кто в соответствии с ст. 5 Конституции имеет следующие черты: «… справедливый, богобоязненный, знаток современных проблем, храбрый, который имеет в качестве руководителя авторитет среди населения» [3, 146].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Поэтому Мухаммади Заранг считает, что ислам является основой Конституции (Основного закона) Исламской Республики Иран [3, 141].</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краткий анализ научной информации по рассматриваемому вопросу показывает, что понятие конституционного контроля и надзора в научном плане имеют различия, однако в практическом плане они идентичны – конституционный контроль (надзор).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Если принято говорить об американской и европейской моделях конституционного контроля как о самостоятельных институтов конституционного права зарубежных стран, то следовало бы отметить и модель исламских государств в сфере конституционного контроля, имеющая свои особенности, в частности, связь с религией.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5B31C6" w:rsidRPr="00DA76A7" w:rsidRDefault="005B31C6" w:rsidP="005B31C6">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r w:rsidRPr="00DA76A7">
        <w:rPr>
          <w:rFonts w:ascii="Arial" w:hAnsi="Arial" w:cs="Arial"/>
          <w:color w:val="000000" w:themeColor="text1"/>
          <w:sz w:val="22"/>
          <w:szCs w:val="22"/>
        </w:rPr>
        <w:t>:</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Конституционное (государственное) право зарубежных стран. Особенная часть: Учебник для вузов / под ред. Б.А. Страшуна. - 2-е изд., обновл. и дораб. - М.: Норма, 2006. - 1104 с.</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Конституционное право зарубежных стран. Учебник для вузов. 2-е изд.: М.В. Баглай, Ю.И. Лейбо, Л.М. Энтин. - М.: Норма, 2009. - С. 155-156.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Мухаммади Заранг. Путешествие основного закона в трех странах: Иран, Франция и США (на тадж. яз.). - Душанбе: «Шуджоиён», 2009. - 369 с.</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Наимова С.О. Конституционное право зарубежных стран. Учебное пособие. Душанбе, 2012. - 263 с.</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Хамидов Х. Конституционное право зарубежных стран. В 2-х томах. Т.II. (на тадж. яз.). - Душанбе: «ЭР-граф», 2013. - 500 с.</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Давид, Р., Жоффре-Спинози К. Основные правовые системы современности. - М.: «Международные отношения», 1999. - 400 с.</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7. Более подробно смотрите: Религиозные лидеры Пакистана выступили против законопроекта о домашнем насилии [Электронный ресурс]: </w:t>
      </w:r>
      <w:hyperlink r:id="rId373" w:history="1">
        <w:r w:rsidRPr="00DA76A7">
          <w:rPr>
            <w:rStyle w:val="af0"/>
            <w:rFonts w:ascii="Arial" w:hAnsi="Arial" w:cs="Arial"/>
            <w:color w:val="000000" w:themeColor="text1"/>
            <w:sz w:val="22"/>
            <w:szCs w:val="22"/>
            <w:u w:val="none"/>
          </w:rPr>
          <w:t>http://feminism.livejournal.com/558881.html</w:t>
        </w:r>
      </w:hyperlink>
      <w:r w:rsidRPr="00DA76A7">
        <w:rPr>
          <w:rFonts w:ascii="Arial" w:hAnsi="Arial" w:cs="Arial"/>
          <w:color w:val="000000" w:themeColor="text1"/>
          <w:sz w:val="22"/>
          <w:szCs w:val="22"/>
        </w:rPr>
        <w:t xml:space="preserve"> (дата обращения: 29.10.2017).</w:t>
      </w:r>
    </w:p>
    <w:p w:rsidR="009F2071" w:rsidRDefault="009F2071" w:rsidP="008C23AD">
      <w:pPr>
        <w:pStyle w:val="a7"/>
        <w:tabs>
          <w:tab w:val="left" w:pos="3216"/>
          <w:tab w:val="center" w:pos="5032"/>
        </w:tabs>
        <w:spacing w:before="0" w:beforeAutospacing="0" w:after="0" w:afterAutospacing="0"/>
        <w:rPr>
          <w:rStyle w:val="ab"/>
          <w:rFonts w:ascii="Arial" w:hAnsi="Arial" w:cs="Arial"/>
          <w:color w:val="000000" w:themeColor="text1"/>
          <w:sz w:val="22"/>
          <w:szCs w:val="22"/>
        </w:rPr>
      </w:pPr>
    </w:p>
    <w:p w:rsidR="00A70C6A" w:rsidRPr="00DA76A7" w:rsidRDefault="00A70C6A" w:rsidP="00A70C6A">
      <w:pPr>
        <w:pStyle w:val="a7"/>
        <w:tabs>
          <w:tab w:val="left" w:pos="3216"/>
          <w:tab w:val="center" w:pos="5032"/>
        </w:tabs>
        <w:spacing w:before="0" w:beforeAutospacing="0" w:after="0" w:afterAutospacing="0"/>
        <w:jc w:val="center"/>
        <w:rPr>
          <w:rStyle w:val="ab"/>
          <w:rFonts w:ascii="Arial" w:hAnsi="Arial" w:cs="Arial"/>
          <w:color w:val="000000" w:themeColor="text1"/>
          <w:sz w:val="22"/>
          <w:szCs w:val="22"/>
        </w:rPr>
      </w:pPr>
      <w:r w:rsidRPr="00DA76A7">
        <w:rPr>
          <w:rStyle w:val="ab"/>
          <w:rFonts w:ascii="Arial" w:hAnsi="Arial" w:cs="Arial"/>
          <w:color w:val="000000" w:themeColor="text1"/>
          <w:sz w:val="22"/>
          <w:szCs w:val="22"/>
        </w:rPr>
        <w:t>НЕКОТОРЫЕ ВОПРОСЫ ПОЛУЧЕНИЯ СТАТУСА БЕЖЕНЦА</w:t>
      </w:r>
    </w:p>
    <w:p w:rsidR="00A70C6A" w:rsidRPr="00DA76A7" w:rsidRDefault="00A70C6A" w:rsidP="00A70C6A">
      <w:pPr>
        <w:pStyle w:val="a7"/>
        <w:spacing w:before="0" w:beforeAutospacing="0" w:after="0" w:afterAutospacing="0"/>
        <w:jc w:val="center"/>
        <w:rPr>
          <w:rStyle w:val="ab"/>
          <w:rFonts w:ascii="Arial" w:hAnsi="Arial" w:cs="Arial"/>
          <w:color w:val="000000" w:themeColor="text1"/>
          <w:sz w:val="22"/>
          <w:szCs w:val="22"/>
        </w:rPr>
      </w:pPr>
      <w:r w:rsidRPr="00DA76A7">
        <w:rPr>
          <w:rStyle w:val="ab"/>
          <w:rFonts w:ascii="Arial" w:hAnsi="Arial" w:cs="Arial"/>
          <w:color w:val="000000" w:themeColor="text1"/>
          <w:sz w:val="22"/>
          <w:szCs w:val="22"/>
        </w:rPr>
        <w:t xml:space="preserve"> </w:t>
      </w:r>
    </w:p>
    <w:p w:rsidR="00A70C6A" w:rsidRPr="00DA76A7" w:rsidRDefault="00A70C6A" w:rsidP="00A70C6A">
      <w:pPr>
        <w:pStyle w:val="a7"/>
        <w:spacing w:before="0" w:beforeAutospacing="0" w:after="0" w:afterAutospacing="0"/>
        <w:jc w:val="center"/>
        <w:rPr>
          <w:rStyle w:val="ab"/>
          <w:rFonts w:ascii="Arial" w:hAnsi="Arial" w:cs="Arial"/>
          <w:b w:val="0"/>
          <w:bCs w:val="0"/>
          <w:color w:val="000000" w:themeColor="text1"/>
          <w:sz w:val="22"/>
          <w:szCs w:val="22"/>
        </w:rPr>
      </w:pPr>
      <w:r w:rsidRPr="00DA76A7">
        <w:rPr>
          <w:rStyle w:val="ab"/>
          <w:rFonts w:ascii="Arial" w:hAnsi="Arial" w:cs="Arial"/>
          <w:color w:val="000000" w:themeColor="text1"/>
          <w:sz w:val="22"/>
          <w:szCs w:val="22"/>
        </w:rPr>
        <w:t>Каюмарс Латифи</w:t>
      </w:r>
    </w:p>
    <w:p w:rsidR="00A70C6A" w:rsidRPr="00DA76A7" w:rsidRDefault="00A70C6A" w:rsidP="00A70C6A">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A70C6A" w:rsidRPr="00DA76A7" w:rsidRDefault="00A70C6A" w:rsidP="00A70C6A">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A70C6A" w:rsidRPr="00DA76A7" w:rsidRDefault="00A70C6A" w:rsidP="00A70C6A">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A70C6A" w:rsidRPr="00DA76A7" w:rsidRDefault="00A70C6A" w:rsidP="00A70C6A">
      <w:pPr>
        <w:pStyle w:val="a7"/>
        <w:spacing w:before="0" w:beforeAutospacing="0" w:after="0" w:afterAutospacing="0"/>
        <w:jc w:val="center"/>
        <w:rPr>
          <w:rFonts w:ascii="Arial" w:hAnsi="Arial" w:cs="Arial"/>
          <w:color w:val="000000" w:themeColor="text1"/>
          <w:sz w:val="22"/>
          <w:szCs w:val="22"/>
        </w:rPr>
      </w:pPr>
      <w:r w:rsidRPr="00DA76A7">
        <w:rPr>
          <w:rFonts w:ascii="Arial" w:hAnsi="Arial" w:cs="Arial"/>
          <w:color w:val="000000" w:themeColor="text1"/>
          <w:sz w:val="22"/>
          <w:szCs w:val="22"/>
        </w:rPr>
        <w:t>тел.: 987-16-62-63,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74" w:history="1">
        <w:r w:rsidRPr="00DA76A7">
          <w:rPr>
            <w:rStyle w:val="af0"/>
            <w:rFonts w:ascii="Arial" w:hAnsi="Arial" w:cs="Arial"/>
            <w:color w:val="000000" w:themeColor="text1"/>
            <w:sz w:val="22"/>
            <w:szCs w:val="22"/>
            <w:u w:val="none"/>
            <w:lang w:val="en-US"/>
          </w:rPr>
          <w:t>abdulloev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f</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A70C6A" w:rsidRPr="00DA76A7" w:rsidRDefault="00A70C6A" w:rsidP="00A70C6A">
      <w:pPr>
        <w:pStyle w:val="a7"/>
        <w:spacing w:before="0" w:beforeAutospacing="0" w:after="0" w:afterAutospacing="0"/>
        <w:jc w:val="center"/>
        <w:rPr>
          <w:rFonts w:ascii="Arial" w:hAnsi="Arial" w:cs="Arial"/>
          <w:color w:val="000000" w:themeColor="text1"/>
          <w:sz w:val="22"/>
          <w:szCs w:val="22"/>
        </w:rPr>
      </w:pPr>
    </w:p>
    <w:p w:rsidR="00A70C6A" w:rsidRPr="00DA76A7" w:rsidRDefault="00A70C6A" w:rsidP="00A70C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center"/>
        <w:rPr>
          <w:rFonts w:ascii="Arial" w:hAnsi="Arial" w:cs="Arial"/>
          <w:b/>
          <w:color w:val="000000" w:themeColor="text1"/>
          <w:sz w:val="22"/>
          <w:szCs w:val="22"/>
          <w:lang w:val="en-US"/>
        </w:rPr>
      </w:pPr>
      <w:r w:rsidRPr="005D1C4B">
        <w:rPr>
          <w:rFonts w:ascii="Arial" w:hAnsi="Arial" w:cs="Arial"/>
          <w:b/>
          <w:color w:val="000000" w:themeColor="text1"/>
          <w:sz w:val="22"/>
          <w:szCs w:val="22"/>
          <w:lang w:val="en-US"/>
        </w:rPr>
        <w:t>SOME QUESTIONS OF OBTAINING THE STATUS OF A REFUGEER</w:t>
      </w:r>
    </w:p>
    <w:p w:rsidR="00A70C6A" w:rsidRPr="00DA76A7" w:rsidRDefault="00A70C6A" w:rsidP="00A70C6A">
      <w:pPr>
        <w:jc w:val="center"/>
        <w:outlineLvl w:val="1"/>
        <w:rPr>
          <w:rStyle w:val="ab"/>
          <w:rFonts w:ascii="Arial" w:hAnsi="Arial" w:cs="Arial"/>
          <w:color w:val="000000" w:themeColor="text1"/>
          <w:sz w:val="22"/>
          <w:szCs w:val="22"/>
          <w:lang w:val="en-US"/>
        </w:rPr>
      </w:pPr>
    </w:p>
    <w:p w:rsidR="00A70C6A" w:rsidRPr="00DA76A7" w:rsidRDefault="00A70C6A" w:rsidP="00A70C6A">
      <w:pPr>
        <w:jc w:val="center"/>
        <w:outlineLvl w:val="1"/>
        <w:rPr>
          <w:rStyle w:val="ab"/>
          <w:rFonts w:ascii="Arial" w:hAnsi="Arial" w:cs="Arial"/>
          <w:color w:val="000000" w:themeColor="text1"/>
          <w:sz w:val="22"/>
          <w:szCs w:val="22"/>
          <w:lang w:val="en-US"/>
        </w:rPr>
      </w:pPr>
      <w:r w:rsidRPr="00DA76A7">
        <w:rPr>
          <w:rStyle w:val="ab"/>
          <w:rFonts w:ascii="Arial" w:hAnsi="Arial" w:cs="Arial"/>
          <w:color w:val="000000" w:themeColor="text1"/>
          <w:sz w:val="22"/>
          <w:szCs w:val="22"/>
          <w:lang w:val="en-US"/>
        </w:rPr>
        <w:t>Kayumars Latifi</w:t>
      </w:r>
    </w:p>
    <w:p w:rsidR="00A70C6A" w:rsidRPr="00DA76A7" w:rsidRDefault="00D24DF0" w:rsidP="00A70C6A">
      <w:pPr>
        <w:jc w:val="center"/>
        <w:rPr>
          <w:rFonts w:ascii="Arial" w:hAnsi="Arial" w:cs="Arial"/>
          <w:bCs/>
          <w:color w:val="000000" w:themeColor="text1"/>
          <w:sz w:val="22"/>
          <w:szCs w:val="22"/>
          <w:lang w:val="en-US"/>
        </w:rPr>
      </w:pPr>
      <w:r w:rsidRPr="00DA76A7">
        <w:rPr>
          <w:rFonts w:ascii="Arial" w:hAnsi="Arial" w:cs="Arial"/>
          <w:color w:val="000000" w:themeColor="text1"/>
          <w:sz w:val="22"/>
          <w:szCs w:val="22"/>
        </w:rPr>
        <w:t>м</w:t>
      </w:r>
      <w:r w:rsidR="00A70C6A" w:rsidRPr="00DA76A7">
        <w:rPr>
          <w:rFonts w:ascii="Arial" w:hAnsi="Arial" w:cs="Arial"/>
          <w:color w:val="000000" w:themeColor="text1"/>
          <w:sz w:val="22"/>
          <w:szCs w:val="22"/>
          <w:lang w:val="en-US"/>
        </w:rPr>
        <w:t>aster of 2 nd year of full-time department of the faculty of law</w:t>
      </w:r>
    </w:p>
    <w:p w:rsidR="00A70C6A" w:rsidRPr="00DA76A7" w:rsidRDefault="00A70C6A" w:rsidP="00A70C6A">
      <w:pPr>
        <w:pStyle w:val="a7"/>
        <w:spacing w:before="0" w:beforeAutospacing="0" w:after="0" w:afterAutospacing="0"/>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street. M. Tursunzade, 30</w:t>
      </w:r>
      <w:r w:rsidRPr="00DA76A7">
        <w:rPr>
          <w:rFonts w:ascii="Arial" w:hAnsi="Arial" w:cs="Arial"/>
          <w:bCs/>
          <w:color w:val="000000" w:themeColor="text1"/>
          <w:sz w:val="22"/>
          <w:szCs w:val="22"/>
          <w:lang w:val="en-US"/>
        </w:rPr>
        <w:br/>
        <w:t xml:space="preserve">tel.: 987-16-62-63,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375" w:history="1">
        <w:r w:rsidRPr="00DA76A7">
          <w:rPr>
            <w:rStyle w:val="af0"/>
            <w:rFonts w:ascii="Arial" w:hAnsi="Arial" w:cs="Arial"/>
            <w:color w:val="000000" w:themeColor="text1"/>
            <w:sz w:val="22"/>
            <w:szCs w:val="22"/>
            <w:u w:val="none"/>
            <w:lang w:val="en-US"/>
          </w:rPr>
          <w:t>abdulloev.f@mail.ru</w:t>
        </w:r>
      </w:hyperlink>
    </w:p>
    <w:p w:rsidR="00A70C6A" w:rsidRPr="00DA76A7" w:rsidRDefault="00A70C6A" w:rsidP="00A70C6A">
      <w:pPr>
        <w:pStyle w:val="a7"/>
        <w:spacing w:before="0" w:beforeAutospacing="0" w:after="0" w:afterAutospacing="0"/>
        <w:ind w:firstLine="567"/>
        <w:jc w:val="center"/>
        <w:rPr>
          <w:rFonts w:ascii="Arial" w:hAnsi="Arial" w:cs="Arial"/>
          <w:color w:val="000000" w:themeColor="text1"/>
          <w:sz w:val="22"/>
          <w:szCs w:val="22"/>
          <w:lang w:val="en-US"/>
        </w:rPr>
      </w:pPr>
    </w:p>
    <w:p w:rsidR="00A70C6A" w:rsidRPr="00DA76A7" w:rsidRDefault="00A70C6A" w:rsidP="00A70C6A">
      <w:pPr>
        <w:ind w:firstLine="567"/>
        <w:jc w:val="right"/>
        <w:outlineLvl w:val="1"/>
        <w:rPr>
          <w:rFonts w:ascii="Arial" w:hAnsi="Arial" w:cs="Arial"/>
          <w:bCs/>
          <w:color w:val="000000" w:themeColor="text1"/>
          <w:sz w:val="22"/>
          <w:szCs w:val="22"/>
          <w:lang w:val="en-US"/>
        </w:rPr>
      </w:pPr>
      <w:r w:rsidRPr="00DA76A7">
        <w:rPr>
          <w:rFonts w:ascii="Arial" w:hAnsi="Arial" w:cs="Arial"/>
          <w:color w:val="000000" w:themeColor="text1"/>
          <w:sz w:val="22"/>
          <w:szCs w:val="22"/>
        </w:rPr>
        <w:t>Научный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руководитель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ф</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профессор</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Саидов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 xml:space="preserve">. </w:t>
      </w:r>
    </w:p>
    <w:p w:rsidR="00A70C6A" w:rsidRPr="00DA76A7" w:rsidRDefault="00A70C6A" w:rsidP="00A70C6A">
      <w:pPr>
        <w:pStyle w:val="a7"/>
        <w:spacing w:before="0" w:beforeAutospacing="0" w:after="0" w:afterAutospacing="0"/>
        <w:ind w:firstLine="567"/>
        <w:jc w:val="center"/>
        <w:rPr>
          <w:rStyle w:val="ab"/>
          <w:rFonts w:ascii="Arial" w:hAnsi="Arial" w:cs="Arial"/>
          <w:color w:val="000000" w:themeColor="text1"/>
          <w:sz w:val="22"/>
          <w:szCs w:val="22"/>
          <w:lang w:val="en-US"/>
        </w:rPr>
      </w:pPr>
    </w:p>
    <w:p w:rsidR="00A70C6A" w:rsidRPr="00DA76A7" w:rsidRDefault="00A70C6A" w:rsidP="00A70C6A">
      <w:pPr>
        <w:ind w:firstLine="567"/>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bCs/>
          <w:i/>
          <w:color w:val="000000" w:themeColor="text1"/>
          <w:sz w:val="22"/>
          <w:szCs w:val="22"/>
        </w:rPr>
        <w:t xml:space="preserve">В данной статье раскрыты вопросы получения статуса беженца, представлен анализ </w:t>
      </w:r>
      <w:r w:rsidRPr="00DA76A7">
        <w:rPr>
          <w:rFonts w:ascii="Arial" w:hAnsi="Arial" w:cs="Arial"/>
          <w:i/>
          <w:color w:val="000000" w:themeColor="text1"/>
          <w:sz w:val="22"/>
          <w:szCs w:val="22"/>
        </w:rPr>
        <w:t>обеспечения соблюдения основных прав человека, подвергающихся особой опасности в ситуациях, в которых оказываются беженцы, рассмотрена перспектива долговременного политического решения проблем беженцев.</w:t>
      </w:r>
    </w:p>
    <w:p w:rsidR="00A70C6A" w:rsidRPr="00DA76A7" w:rsidRDefault="00A70C6A" w:rsidP="00A70C6A">
      <w:pPr>
        <w:ind w:firstLine="567"/>
        <w:jc w:val="both"/>
        <w:outlineLvl w:val="1"/>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In this article, the issues of obtaining refugee status are disclosed, the analysis of ensuring the observance of basic human rights, which are particularly dangerous in situations in which refugees are provided, is considered, the perspective of a long-term political solution of the problems of refugees is considered.</w:t>
      </w:r>
    </w:p>
    <w:p w:rsidR="00A70C6A" w:rsidRPr="00DA76A7" w:rsidRDefault="00A70C6A" w:rsidP="00A70C6A">
      <w:pPr>
        <w:ind w:firstLine="567"/>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Ключевые слова: </w:t>
      </w:r>
      <w:r w:rsidRPr="00DA76A7">
        <w:rPr>
          <w:rFonts w:ascii="Arial" w:hAnsi="Arial" w:cs="Arial"/>
          <w:bCs/>
          <w:i/>
          <w:color w:val="000000" w:themeColor="text1"/>
          <w:sz w:val="22"/>
          <w:szCs w:val="22"/>
        </w:rPr>
        <w:t>конституция,</w:t>
      </w:r>
      <w:r w:rsidRPr="00DA76A7">
        <w:rPr>
          <w:rFonts w:ascii="Arial" w:hAnsi="Arial" w:cs="Arial"/>
          <w:b/>
          <w:bCs/>
          <w:i/>
          <w:color w:val="000000" w:themeColor="text1"/>
          <w:sz w:val="22"/>
          <w:szCs w:val="22"/>
        </w:rPr>
        <w:t xml:space="preserve"> </w:t>
      </w:r>
      <w:r w:rsidRPr="00DA76A7">
        <w:rPr>
          <w:rFonts w:ascii="Arial" w:hAnsi="Arial" w:cs="Arial"/>
          <w:bCs/>
          <w:i/>
          <w:color w:val="000000" w:themeColor="text1"/>
          <w:sz w:val="22"/>
          <w:szCs w:val="22"/>
        </w:rPr>
        <w:t>декларация, комитет, протокол, международный пакт, международные отношения, права.</w:t>
      </w:r>
    </w:p>
    <w:p w:rsidR="00A70C6A" w:rsidRPr="00DA76A7" w:rsidRDefault="00A70C6A" w:rsidP="00A70C6A">
      <w:pPr>
        <w:ind w:firstLine="567"/>
        <w:jc w:val="both"/>
        <w:outlineLvl w:val="1"/>
        <w:rPr>
          <w:rFonts w:ascii="Arial" w:hAnsi="Arial" w:cs="Arial"/>
          <w:b/>
          <w:bCs/>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constitution, declaration, committee, protocol, international pact, international relations, rights.</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 xml:space="preserve"> </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lang w:val="en-US"/>
        </w:rPr>
      </w:pP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Рассматривая Женевскую конвенцию «О статусе беженцев», заключенную 28 июля 1951 г., стоит отметить, что ее правовое, политическое и этическое значение выходит далеко за рамки конкретных положений Конвенции. Ее важность в правовом плане заключается в том, что она определила базовые стандарты, которые могут стать основой для принципиальных действий. Политическая ценность данного международного документа состоит в том, что она установила поистине универсальные рамки, в которых государства могут сотрудничать и разделять ответственность, возникающую в связи с вынужденными перемещениями людей. Их только надо соблюдать.</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этической же точки зрения это единственный в своем роде документ, в котором 141 государство заявило о своей приверженности делу утверждения и защиты прав одной из самых уязвимых и обделенных категорий населения земного шара. Конвенция 1951 г. стала вехой в установлении стандартов обращения с беженцами. Она вобрала в себя либо непосредственно, либо в результате неизбежного толкования основные принципы режима защиты беженцев. Эти принципы предусматривают, что запрещается высылка беженцев туда, где они будут подвергаться преследованию или где существует угроза преследования (принцип запрещения высылки); защитой должны пользоваться все беженцы, без каких бы то ни было неблагоприятных различий; будучи социальной и гуманитарной по своей природе, проблема беженцев не должна становиться источником напряженности в отношениях между государствами; поскольку предоставление убежища может быть непосильным бременем для некоторых стран, удовлетворительное решение проблемы беженцев может быть достигнуто только посредством международного сотрудничества; нельзя ожидать от людей, которые спасаются от преследования, что их выезд из страны происхождения и въезд в другую страну всегда будут производиться в строгом соответствии с установленным законом порядком и, следовательно, они не должны подвергаться взысканиям за въезд без разрешения в страну, где они ищут убежище, или за незаконное пребывание на ее территории; учитывая очень серьезные последствия, к которым может привести высылка, прибегать к этой мере следует лишь в исключительных случаях, по соображениям государственной безопасности или общественного порядка; если требуется координация мер по решению проблемы беженцев, необходимо сотрудничество государств с Верховным комиссаром ООН по делам беженцев [4, 145-146].</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этого, защита беженцев включает и обеспечение соблюдения основных прав человека, подвергающихся особой опасности в ситуациях, в которых оказываются беженцы, а именно права на жизнь, права на свободу и личную безопасность, права не подвергаться пыткам и другим видам жестокого или унижающего обращения, дискриминации, права на получение самого необходимого для выживания (пищи, крова, медицинской помощи) и, наконец, на более поздних этапах, права на самообеспечение (средства к существованию, образование, доступ к услугам здравоохранения).</w:t>
      </w:r>
      <w:r w:rsidRPr="00DA76A7">
        <w:rPr>
          <w:rFonts w:ascii="Arial" w:hAnsi="Arial" w:cs="Arial"/>
          <w:color w:val="000000" w:themeColor="text1"/>
          <w:sz w:val="22"/>
          <w:szCs w:val="22"/>
        </w:rPr>
        <w:br/>
        <w:t>Эти основополагающие принципы и сегодня, через пятьдесят лет после принятия Конвенции 1951 г., полностью сохраняют свою значимость в качестве рамочных для защиты беженцев, несмотря на то что современные местные реалии порой требуют внесения в них отдельных изменений. В этой защите есть пробелы, которые должны быть устранены посредством привлечения дополнительных механизмов. Назрела необходимость развить указанные принципы. Однако вопрос о глубине нововведений и о направлении, в котором они должны идти, вызывает острые споры.</w:t>
      </w:r>
      <w:r w:rsidRPr="00DA76A7">
        <w:rPr>
          <w:rFonts w:ascii="Arial" w:hAnsi="Arial" w:cs="Arial"/>
          <w:color w:val="000000" w:themeColor="text1"/>
          <w:sz w:val="22"/>
          <w:szCs w:val="22"/>
        </w:rPr>
        <w:br/>
        <w:t>В истории человечества беженцы были всегда, однако осознание ответственности международного сообщества за их защиту и решение проблем, с которыми они сталкиваются, произошло лишь во времена Лиги Наций. Точнее, после назначения Фритьофа Нансена Верховным комиссаром по делам российских беженцев в 1921 г. Лига Наций делила беженцев на категории в зависимости от страны их гражданской принадлежности. Впоследствии мандат Ф. Нансена был распространен и на другие группы беженцев, в частности армянских (1924 г.), ассирийских, ассирийско-халдейских и турецких (1928 г.). И Лига Наций, и Организация Объединенных Наций создавали и упраздняли различные международные учреждения, которые предназначались для решения проблем беженцев в Европе. Международная организация по делам беженцев (МОБ) стала непосредственной предшественницей Управления Верховного комиссара ООН по делам беженцев (УВКБ ООН). МОБ была создана в середине 1947 г. для решения проблем беженцев в Европе сразу после Второй мировой войны. Предполагалось, что она выполнит свою миссию к середине 1950-х гг. Однако всеобъемлющий характер возложенной на нее задачи, включавшей в себя все аспекты проблемы беженцев (от регистрации и определения статуса до репатриации, обустройства на новых местах и правовой и политической защиты), сделал невозможным свертывание ее деятельности [3, 129-130].</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связи с этим Генеральная Ассамблея ООН 3 декабря 1949 г. приняла решение о замене МОБ УВКБ ООН по делам беженцев, которое создавалось первоначально на три года как вспомогательный орган Генеральной Ассамблеи на основании ст. 22 Устава ООН. 14 декабря 1950 г. Генеральная Ассамблея приняла Устав УВКБ ООН. Перед Управлением были поставлены следующие задачи: обеспечить международную защиту беженцев и выработать долговременные решения их проблем, помогая государствам в их деятельности, направленной на облегчение добровольной репатриации беженцев и их включение в жизнь населения соответствующих стран. 1 января 1951 г. УВКБ ООН приступило к работе, имея в штате 30 человек и бюджет 300 000 долларов США.</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момент создания УВКБ ООН главная проблема состояла в том, что в Европе еще оставался один миллион человек, которые покинули свои страны, спасаясь от нацизма, а затем и от коммунизма. Работа УВКБ ООН носила преимущественно юридический характер и состояла в облегчении въезда беженцев в страну и их интеграции, как того требовала Конвенция 1951 г. Эта Конвенция была и остается единственным обязывающим документом универсального характера в области защиты беженцев. Задумывалась она как документ со сравнительно ограниченной сферой применения, поскольку ее предметом был статус беженцев, а не поиск решений связанных с ними проблем и не установление причинных связей. Хотя по большому счету Конвенция базируется на принципах прав человека, в ней больше говорится об обязанностях государств, чем о правах личности. Ее важнейшим вкладом стало общее определение понятия беженца. В 1967 г. вступил в силу Протокол к Конвенции 1951 г. [2], по сей день остающийся единственным. Тем самым было снято главное ограничение (во времени и в пространстве), лишавшее это определение универсального характера [2]. </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Конвенция 1951 г. заложила основу, но в некотором смысле она не пошла дальше определения базовых положений. Это стало очевидным, когда деятельность УВКБ ООН по предоставлению защиты распространилась далеко за пределы Европы, особенно на страны Африканского континента, которые переживали болезненный процесс деколонизации. Подход к определению беженца, исходящий из факта преследования, и признание в качестве оснований для того, чтобы считаться беженцем, лишь пяти факторов, перечисленных в Конвенции 1951 г., воспринимались как ограничивающие применимость последней. Это несоответствие становилось все более очевидным с ростом числа беженцев и распространением крупномасштабных конфликтов, которые вызывали перемещения населения. Уже в конце 50-х гг. Генеральная Ассамблея осознала необходимость расширения мандата УВКБ ООН, чтобы оно могло предоставлять помощь и защиту категориям беженцев, не подпадающим под определение и географические рамки применения Конвенции 1951 г., и тогда УВКБ ООН начало процесс, который в 1967 г. привел к принятию Протокола к Конвенции о беженцах.</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В 1984 г. была принята Конвенция против пыток и других жестоких, бесчеловечных и унижающих достоинство видов обращения и наказания [1], Россия к ней присоединилась в 1987 г., подтвердив свое обязательство не высылать иностранного гражданина в страну, где ему угрожают пытки и другие жестокие бесчеловечные или унижающие достоинство виды обращения и наказания. Восьмидесятые и девяностые годы были отмечены серьезными изменениями в самих условиях осуществления режима международной защиты беженцев. Эти изменения не только поставили под вопрос соответствующие базовые понятия, но и повлияли как на политическую волю, так и на готовность принимающих стран продолжать предоставлять убежище на прежних либеральных условиях. Число беженцев возросло многократно, но уже не в результате борьбы за независимость, а из-за бурного развития межэтнических конфликтов в странах, которые обрели независимость. Эти конфликты подогревались соперничеством сверхдержав и усугублялись наличием общественно экономических проблем в развивающихся странах. Находить решения проблем беженцев стало еще труднее, идет ли речь о двух с половиной миллионах беженцев из Афганистана, которые и поныне живут заграницей, или о странах Африканского Рога и Южной Африки. Несоблюдение прав человека и нарушения гуманитарного права перестали быть просто побочным продуктом войны, а стали осознанной целью военной стратегии, в результате чего даже конфликты, в которых не ведутся интенсивные военные действия, приводили к непропорционально высокой степени страданий гражданского населения и его массовым перемещениям [1].</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Примерами, относящимися к периоду, последовавшему за окончанием холодной войны, когда все эти признаки проявились еще более наглядно, могут послужить то, что два с половиной миллиона человек были перемещены или бежали из Северного Ирака в Иран в 1991 г.; в бывшей Югославии число беженцев, перемещенных лиц и других получателей помощи от УВКБ ООН превысило четыре миллиона; в 1994 г. кризис, разразившийся в районе Великих озер в Африке, вынудил более трех миллионов человек покинуть свои страны; в 2013 - 2015 гг. с Украины бежало более 2 миллионов человек в связи с проведением военных операций на востоке страны; с территории Сирии за четыре года войны, начиная с 2001 г., были вынуждены эмигрировать более 4 миллионов граждан.</w:t>
      </w:r>
    </w:p>
    <w:p w:rsidR="00A70C6A" w:rsidRPr="00DA76A7" w:rsidRDefault="00A70C6A" w:rsidP="00A70C6A">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условиях, когда перспектива долговременного политического решения проблем беженцев еще более отдалилась, у УВКБ ООН практически не оставалось иного выхода, кроме как приступить к осуществлению долгосрочных программ по оказанию помощи миллионам беженцев, живущих в переполненных лагерях. Их численность стремительно росла: в середине семидесятых годов их было всего несколько миллионов, а к концу восьмидесятых годов их число превысило десять миллионов. В 1995 г. количество лиц, нуждающихся в помощи, подскочило до 25 миллионов или около того. В странах, предоставляющих убежище, еще большее беспокойство стал вызывать массовый прием беженцев, на скорую репатриацию которых рассчитывать не приходилось. Наплыв беженцев все больше стал восприниматься как угроза для политической, экономической и социальной стабильности. Даже в традиционно гостеприимных странах, предоставляющих убежище, беженцы вызывали враждебность и подвергались нападениям и всякого рода другим насильственным действиям.</w:t>
      </w:r>
      <w:r w:rsidRPr="00DA76A7">
        <w:rPr>
          <w:rFonts w:ascii="Arial" w:hAnsi="Arial" w:cs="Arial"/>
          <w:color w:val="000000" w:themeColor="text1"/>
          <w:sz w:val="22"/>
          <w:szCs w:val="22"/>
        </w:rPr>
        <w:br/>
        <w:t>Стало чрезвычайно трудно обеспечить реальную защиту в условиях, когда приток беженцев вызван конфликтом, так и не нашедшим решения, когда противоборствующие стороны не обладают властью или легитимностью либо не осознают свою ответственность за соблюдение основных прав человека или гуманитарных норм. В некоторых ситуациях, например, которые имели место в районе Великих озер и в странах Африканского Рога, конфликты перехлестнули через границы и затронули регионы проживания беженцев, в т.ч. и возвращающихся в родные места, и перемещенных лиц, создав серьезную угрозу для безопасности их самих и местного населения. Власти отдельных стран прибегли к закрытию границ или к выдворению беженцев, хотя это создавало для последних серьезный и даже смертельный риск, аргументируя свою позицию соображениями безопасности государства и местного населения. Наглядным примером могут послужить действия Гвинеи, которая в декабре 1998 - январе 1999 г. закрыла свою границу для сьерра-лионских беженцев, среди которых было много женщин и детей, которым повстанцы отрезали конечности. Гражданский характер лагерей и поселений оставался под угрозой, причем не в последней степени из-за нежелания властей удалить лагеря беженцев от границ либо из-за отказа руководства лагерей от решительной борьбы с присутствием в них вооруженных элементов.</w:t>
      </w:r>
    </w:p>
    <w:p w:rsidR="00A70C6A" w:rsidRPr="008855E2" w:rsidRDefault="008855E2" w:rsidP="008855E2">
      <w:pPr>
        <w:pStyle w:val="a7"/>
        <w:spacing w:before="0" w:beforeAutospacing="0" w:after="0" w:afterAutospacing="0"/>
        <w:ind w:firstLine="567"/>
        <w:jc w:val="both"/>
        <w:rPr>
          <w:rStyle w:val="ab"/>
          <w:rFonts w:ascii="Arial" w:hAnsi="Arial" w:cs="Arial"/>
          <w:b w:val="0"/>
          <w:bCs w:val="0"/>
          <w:color w:val="000000" w:themeColor="text1"/>
          <w:sz w:val="22"/>
          <w:szCs w:val="22"/>
        </w:rPr>
      </w:pPr>
      <w:r>
        <w:rPr>
          <w:rFonts w:ascii="Arial" w:hAnsi="Arial" w:cs="Arial"/>
          <w:color w:val="000000" w:themeColor="text1"/>
          <w:sz w:val="22"/>
          <w:szCs w:val="22"/>
        </w:rPr>
        <w:t xml:space="preserve"> </w:t>
      </w:r>
    </w:p>
    <w:p w:rsidR="00A70C6A" w:rsidRPr="00DA76A7" w:rsidRDefault="00A70C6A" w:rsidP="00A70C6A">
      <w:pPr>
        <w:pStyle w:val="a7"/>
        <w:spacing w:before="0" w:beforeAutospacing="0" w:after="0" w:afterAutospacing="0"/>
        <w:ind w:firstLine="567"/>
        <w:jc w:val="center"/>
        <w:rPr>
          <w:rStyle w:val="ab"/>
          <w:rFonts w:ascii="Arial" w:hAnsi="Arial" w:cs="Arial"/>
          <w:color w:val="000000" w:themeColor="text1"/>
          <w:sz w:val="22"/>
          <w:szCs w:val="22"/>
          <w:lang w:val="en-US"/>
        </w:rPr>
      </w:pPr>
      <w:r w:rsidRPr="00DA76A7">
        <w:rPr>
          <w:rStyle w:val="ab"/>
          <w:rFonts w:ascii="Arial" w:hAnsi="Arial" w:cs="Arial"/>
          <w:color w:val="000000" w:themeColor="text1"/>
          <w:sz w:val="22"/>
          <w:szCs w:val="22"/>
        </w:rPr>
        <w:t>Список литературы:</w:t>
      </w:r>
    </w:p>
    <w:p w:rsidR="00A70C6A" w:rsidRPr="00DA76A7" w:rsidRDefault="00A70C6A" w:rsidP="00A70C6A">
      <w:pPr>
        <w:pStyle w:val="a7"/>
        <w:numPr>
          <w:ilvl w:val="0"/>
          <w:numId w:val="156"/>
        </w:numPr>
        <w:tabs>
          <w:tab w:val="left" w:pos="851"/>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Конвенция против пыток и других жестоких, бесчеловечных и унижающих достоинство видов обращения и наказания (Нью-Йорк, 10 декабря 1984 г.) // Ведомости ВС СССР. - 1987. - № 45. - Ст. 747.</w:t>
      </w:r>
    </w:p>
    <w:p w:rsidR="00A70C6A" w:rsidRPr="00DA76A7" w:rsidRDefault="00A70C6A" w:rsidP="00A70C6A">
      <w:pPr>
        <w:pStyle w:val="a6"/>
        <w:numPr>
          <w:ilvl w:val="0"/>
          <w:numId w:val="1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Протокол, касающийся статуса беженцев, от 31.01.1967 // Бюллетень международных договоров. - 1993. - № 9.</w:t>
      </w:r>
    </w:p>
    <w:p w:rsidR="00A70C6A" w:rsidRPr="00DA76A7" w:rsidRDefault="00A70C6A" w:rsidP="00A70C6A">
      <w:pPr>
        <w:pStyle w:val="a6"/>
        <w:numPr>
          <w:ilvl w:val="0"/>
          <w:numId w:val="1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Бекяшев Д.К. Международно-правовое регулирование вынужденной и трудовой миграции: Монография. - М.: Проспект, 2013. - 269 с.</w:t>
      </w:r>
    </w:p>
    <w:p w:rsidR="00A70C6A" w:rsidRPr="00DA76A7" w:rsidRDefault="00A70C6A" w:rsidP="00A70C6A">
      <w:pPr>
        <w:pStyle w:val="a6"/>
        <w:numPr>
          <w:ilvl w:val="0"/>
          <w:numId w:val="15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Феллер Эрика. 50 лет международной защиты беженцев: проблемы защиты вчера, сегодня и завтра / Эрика Феллер // Международный журнал Красного Креста. - 2001. - № 841-844. - Ст. 87.</w:t>
      </w:r>
    </w:p>
    <w:p w:rsidR="00A70C6A" w:rsidRPr="00DA76A7" w:rsidRDefault="00A70C6A" w:rsidP="005B31C6">
      <w:pPr>
        <w:pStyle w:val="a7"/>
        <w:spacing w:before="0" w:beforeAutospacing="0" w:after="0" w:afterAutospacing="0"/>
        <w:jc w:val="center"/>
        <w:rPr>
          <w:rStyle w:val="ab"/>
          <w:rFonts w:ascii="Arial" w:hAnsi="Arial" w:cs="Arial"/>
          <w:color w:val="000000" w:themeColor="text1"/>
          <w:sz w:val="22"/>
          <w:szCs w:val="22"/>
        </w:rPr>
      </w:pPr>
    </w:p>
    <w:p w:rsidR="00A70C6A" w:rsidRPr="00DA76A7" w:rsidRDefault="00A70C6A" w:rsidP="005B31C6">
      <w:pPr>
        <w:pStyle w:val="a7"/>
        <w:spacing w:before="0" w:beforeAutospacing="0" w:after="0" w:afterAutospacing="0"/>
        <w:jc w:val="center"/>
        <w:rPr>
          <w:rStyle w:val="ab"/>
          <w:rFonts w:ascii="Arial" w:hAnsi="Arial" w:cs="Arial"/>
          <w:color w:val="000000" w:themeColor="text1"/>
          <w:sz w:val="22"/>
          <w:szCs w:val="22"/>
        </w:rPr>
      </w:pPr>
    </w:p>
    <w:p w:rsidR="005B31C6" w:rsidRPr="00DA76A7" w:rsidRDefault="005B31C6" w:rsidP="005B31C6">
      <w:pPr>
        <w:pStyle w:val="a7"/>
        <w:spacing w:before="0" w:beforeAutospacing="0" w:after="0" w:afterAutospacing="0"/>
        <w:jc w:val="center"/>
        <w:rPr>
          <w:rStyle w:val="ab"/>
          <w:rFonts w:ascii="Arial" w:hAnsi="Arial" w:cs="Arial"/>
          <w:color w:val="000000" w:themeColor="text1"/>
          <w:sz w:val="22"/>
          <w:szCs w:val="22"/>
        </w:rPr>
      </w:pPr>
      <w:r w:rsidRPr="00DA76A7">
        <w:rPr>
          <w:rStyle w:val="ab"/>
          <w:rFonts w:ascii="Arial" w:hAnsi="Arial" w:cs="Arial"/>
          <w:color w:val="000000" w:themeColor="text1"/>
          <w:sz w:val="22"/>
          <w:szCs w:val="22"/>
        </w:rPr>
        <w:t>ПАКТЫ О ПРАВАХ ЧЕЛОВЕКА И РАЗВИТИЕ МЕЖДУНАРОДНЫХ ОТНОШЕНИЙ СО ВРЕМЕНИ ИХ ПРИНЯТИЯ</w:t>
      </w:r>
    </w:p>
    <w:p w:rsidR="005B31C6" w:rsidRDefault="005B31C6" w:rsidP="005B31C6">
      <w:pPr>
        <w:pStyle w:val="a7"/>
        <w:spacing w:before="0" w:beforeAutospacing="0" w:after="0" w:afterAutospacing="0"/>
        <w:jc w:val="center"/>
        <w:rPr>
          <w:rStyle w:val="ab"/>
          <w:rFonts w:ascii="Arial" w:hAnsi="Arial" w:cs="Arial"/>
          <w:color w:val="000000" w:themeColor="text1"/>
          <w:sz w:val="22"/>
          <w:szCs w:val="22"/>
        </w:rPr>
      </w:pPr>
    </w:p>
    <w:p w:rsidR="008855E2" w:rsidRPr="00DA76A7" w:rsidRDefault="008855E2" w:rsidP="005B31C6">
      <w:pPr>
        <w:pStyle w:val="a7"/>
        <w:spacing w:before="0" w:beforeAutospacing="0" w:after="0" w:afterAutospacing="0"/>
        <w:jc w:val="center"/>
        <w:rPr>
          <w:rStyle w:val="ab"/>
          <w:rFonts w:ascii="Arial" w:hAnsi="Arial" w:cs="Arial"/>
          <w:color w:val="000000" w:themeColor="text1"/>
          <w:sz w:val="22"/>
          <w:szCs w:val="22"/>
        </w:rPr>
      </w:pPr>
    </w:p>
    <w:p w:rsidR="005B31C6" w:rsidRPr="00DA76A7" w:rsidRDefault="005B31C6" w:rsidP="005B31C6">
      <w:pPr>
        <w:pStyle w:val="a7"/>
        <w:spacing w:before="0" w:beforeAutospacing="0" w:after="0" w:afterAutospacing="0"/>
        <w:jc w:val="center"/>
        <w:rPr>
          <w:rStyle w:val="ab"/>
          <w:rFonts w:ascii="Arial" w:hAnsi="Arial" w:cs="Arial"/>
          <w:b w:val="0"/>
          <w:bCs w:val="0"/>
          <w:color w:val="000000" w:themeColor="text1"/>
          <w:sz w:val="22"/>
          <w:szCs w:val="22"/>
        </w:rPr>
      </w:pPr>
      <w:r w:rsidRPr="00DA76A7">
        <w:rPr>
          <w:rStyle w:val="ab"/>
          <w:rFonts w:ascii="Arial" w:hAnsi="Arial" w:cs="Arial"/>
          <w:color w:val="000000" w:themeColor="text1"/>
          <w:sz w:val="22"/>
          <w:szCs w:val="22"/>
        </w:rPr>
        <w:t>Каюмарс Латифи</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очного отделения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B31C6" w:rsidRPr="00DA76A7" w:rsidRDefault="005B31C6" w:rsidP="005B31C6">
      <w:pPr>
        <w:pStyle w:val="a7"/>
        <w:spacing w:before="0" w:beforeAutospacing="0" w:after="0" w:afterAutospacing="0"/>
        <w:jc w:val="center"/>
        <w:rPr>
          <w:rFonts w:ascii="Arial" w:hAnsi="Arial" w:cs="Arial"/>
          <w:color w:val="000000" w:themeColor="text1"/>
          <w:sz w:val="22"/>
          <w:szCs w:val="22"/>
        </w:rPr>
      </w:pPr>
      <w:r w:rsidRPr="00DA76A7">
        <w:rPr>
          <w:rFonts w:ascii="Arial" w:hAnsi="Arial" w:cs="Arial"/>
          <w:color w:val="000000" w:themeColor="text1"/>
          <w:sz w:val="22"/>
          <w:szCs w:val="22"/>
        </w:rPr>
        <w:t>тел.: 987-16-62-63,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76" w:history="1">
        <w:r w:rsidRPr="00DA76A7">
          <w:rPr>
            <w:rStyle w:val="af0"/>
            <w:rFonts w:ascii="Arial" w:hAnsi="Arial" w:cs="Arial"/>
            <w:color w:val="000000" w:themeColor="text1"/>
            <w:sz w:val="22"/>
            <w:szCs w:val="22"/>
            <w:u w:val="none"/>
            <w:lang w:val="en-US"/>
          </w:rPr>
          <w:t>abdulloev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f</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B31C6" w:rsidRPr="00DA76A7" w:rsidRDefault="005B31C6" w:rsidP="005B31C6">
      <w:pPr>
        <w:pStyle w:val="a7"/>
        <w:spacing w:before="0" w:beforeAutospacing="0" w:after="0" w:afterAutospacing="0"/>
        <w:jc w:val="center"/>
        <w:rPr>
          <w:rFonts w:ascii="Arial" w:hAnsi="Arial" w:cs="Arial"/>
          <w:color w:val="000000" w:themeColor="text1"/>
          <w:sz w:val="22"/>
          <w:szCs w:val="22"/>
        </w:rPr>
      </w:pPr>
    </w:p>
    <w:p w:rsidR="005B31C6" w:rsidRPr="00DA76A7" w:rsidRDefault="005B31C6" w:rsidP="005B31C6">
      <w:pPr>
        <w:jc w:val="center"/>
        <w:outlineLvl w:val="1"/>
        <w:rPr>
          <w:rFonts w:ascii="Arial" w:hAnsi="Arial" w:cs="Arial"/>
          <w:b/>
          <w:bCs/>
          <w:color w:val="000000" w:themeColor="text1"/>
          <w:sz w:val="22"/>
          <w:szCs w:val="22"/>
          <w:lang w:val="en-US"/>
        </w:rPr>
      </w:pPr>
      <w:r w:rsidRPr="00DA76A7">
        <w:rPr>
          <w:rStyle w:val="ab"/>
          <w:rFonts w:ascii="Arial" w:hAnsi="Arial" w:cs="Arial"/>
          <w:color w:val="000000" w:themeColor="text1"/>
          <w:sz w:val="22"/>
          <w:szCs w:val="22"/>
          <w:lang w:val="en-US"/>
        </w:rPr>
        <w:t>COVENANTS ON HUMAN RIGHTS AND DEVELOPMENT OF INTERNATIONAL RELATIONSHIPS FROM THE TIME OF THEIR ACCEPTANCE</w:t>
      </w:r>
    </w:p>
    <w:p w:rsidR="005B31C6" w:rsidRPr="00DA76A7" w:rsidRDefault="005B31C6" w:rsidP="005B31C6">
      <w:pPr>
        <w:pStyle w:val="a7"/>
        <w:spacing w:before="0" w:beforeAutospacing="0" w:after="0" w:afterAutospacing="0"/>
        <w:jc w:val="center"/>
        <w:rPr>
          <w:rStyle w:val="ab"/>
          <w:rFonts w:ascii="Arial" w:hAnsi="Arial" w:cs="Arial"/>
          <w:color w:val="000000" w:themeColor="text1"/>
          <w:sz w:val="22"/>
          <w:szCs w:val="22"/>
          <w:lang w:val="en-US"/>
        </w:rPr>
      </w:pPr>
    </w:p>
    <w:p w:rsidR="005B31C6" w:rsidRPr="00DA76A7" w:rsidRDefault="005B31C6" w:rsidP="005B31C6">
      <w:pPr>
        <w:jc w:val="center"/>
        <w:outlineLvl w:val="1"/>
        <w:rPr>
          <w:rStyle w:val="ab"/>
          <w:rFonts w:ascii="Arial" w:hAnsi="Arial" w:cs="Arial"/>
          <w:color w:val="000000" w:themeColor="text1"/>
          <w:sz w:val="22"/>
          <w:szCs w:val="22"/>
          <w:lang w:val="en-US"/>
        </w:rPr>
      </w:pPr>
      <w:r w:rsidRPr="00DA76A7">
        <w:rPr>
          <w:rStyle w:val="ab"/>
          <w:rFonts w:ascii="Arial" w:hAnsi="Arial" w:cs="Arial"/>
          <w:color w:val="000000" w:themeColor="text1"/>
          <w:sz w:val="22"/>
          <w:szCs w:val="22"/>
          <w:lang w:val="en-US"/>
        </w:rPr>
        <w:t>Kayumars Latifi</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t>Master of 2 nd year of full-time department of the Faculty of Law</w:t>
      </w:r>
    </w:p>
    <w:p w:rsidR="005B31C6" w:rsidRPr="00DA76A7" w:rsidRDefault="005B31C6" w:rsidP="005B31C6">
      <w:pPr>
        <w:pStyle w:val="a7"/>
        <w:spacing w:before="0" w:beforeAutospacing="0" w:after="0" w:afterAutospacing="0"/>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street. M. Tursunzade, 30</w:t>
      </w:r>
      <w:r w:rsidRPr="00DA76A7">
        <w:rPr>
          <w:rFonts w:ascii="Arial" w:hAnsi="Arial" w:cs="Arial"/>
          <w:bCs/>
          <w:color w:val="000000" w:themeColor="text1"/>
          <w:sz w:val="22"/>
          <w:szCs w:val="22"/>
          <w:lang w:val="en-US"/>
        </w:rPr>
        <w:br/>
        <w:t xml:space="preserve">tel.: 987-16-62-63,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377" w:history="1">
        <w:r w:rsidRPr="00DA76A7">
          <w:rPr>
            <w:rStyle w:val="af0"/>
            <w:rFonts w:ascii="Arial" w:hAnsi="Arial" w:cs="Arial"/>
            <w:color w:val="000000" w:themeColor="text1"/>
            <w:sz w:val="22"/>
            <w:szCs w:val="22"/>
            <w:u w:val="none"/>
            <w:lang w:val="en-US"/>
          </w:rPr>
          <w:t>abdulloev.f@mail.ru</w:t>
        </w:r>
      </w:hyperlink>
    </w:p>
    <w:p w:rsidR="005B31C6" w:rsidRPr="00DA76A7" w:rsidRDefault="005B31C6" w:rsidP="005B31C6">
      <w:pPr>
        <w:pStyle w:val="a7"/>
        <w:spacing w:before="0" w:beforeAutospacing="0" w:after="0" w:afterAutospacing="0"/>
        <w:jc w:val="center"/>
        <w:rPr>
          <w:rFonts w:ascii="Arial" w:hAnsi="Arial" w:cs="Arial"/>
          <w:color w:val="000000" w:themeColor="text1"/>
          <w:sz w:val="22"/>
          <w:szCs w:val="22"/>
          <w:lang w:val="en-US"/>
        </w:rPr>
      </w:pPr>
    </w:p>
    <w:p w:rsidR="005B31C6" w:rsidRPr="00DA76A7" w:rsidRDefault="005B31C6" w:rsidP="005B31C6">
      <w:pPr>
        <w:ind w:firstLine="567"/>
        <w:jc w:val="right"/>
        <w:outlineLvl w:val="1"/>
        <w:rPr>
          <w:rFonts w:ascii="Arial" w:hAnsi="Arial" w:cs="Arial"/>
          <w:bCs/>
          <w:color w:val="000000" w:themeColor="text1"/>
          <w:sz w:val="22"/>
          <w:szCs w:val="22"/>
          <w:lang w:val="en-US"/>
        </w:rPr>
      </w:pPr>
      <w:r w:rsidRPr="00DA76A7">
        <w:rPr>
          <w:rFonts w:ascii="Arial" w:hAnsi="Arial" w:cs="Arial"/>
          <w:color w:val="000000" w:themeColor="text1"/>
          <w:sz w:val="22"/>
          <w:szCs w:val="22"/>
        </w:rPr>
        <w:t>Научный</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руководитель</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д</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ф</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н</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профессор</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Саидов</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А</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 xml:space="preserve">. </w:t>
      </w:r>
    </w:p>
    <w:p w:rsidR="005B31C6" w:rsidRPr="00DA76A7" w:rsidRDefault="005B31C6" w:rsidP="005B31C6">
      <w:pPr>
        <w:pStyle w:val="a7"/>
        <w:spacing w:before="0" w:beforeAutospacing="0" w:after="0" w:afterAutospacing="0"/>
        <w:ind w:firstLine="567"/>
        <w:jc w:val="center"/>
        <w:rPr>
          <w:rStyle w:val="ab"/>
          <w:rFonts w:ascii="Arial" w:hAnsi="Arial" w:cs="Arial"/>
          <w:color w:val="000000" w:themeColor="text1"/>
          <w:sz w:val="22"/>
          <w:szCs w:val="22"/>
          <w:lang w:val="en-US"/>
        </w:rPr>
      </w:pPr>
    </w:p>
    <w:p w:rsidR="005B31C6" w:rsidRPr="00DA76A7" w:rsidRDefault="005B31C6" w:rsidP="005B31C6">
      <w:pPr>
        <w:ind w:firstLine="567"/>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Аннотация. </w:t>
      </w:r>
      <w:r w:rsidRPr="00DA76A7">
        <w:rPr>
          <w:rFonts w:ascii="Arial" w:hAnsi="Arial" w:cs="Arial"/>
          <w:bCs/>
          <w:i/>
          <w:color w:val="000000" w:themeColor="text1"/>
          <w:sz w:val="22"/>
          <w:szCs w:val="22"/>
        </w:rPr>
        <w:t>В</w:t>
      </w:r>
      <w:r w:rsidRPr="00DA76A7">
        <w:rPr>
          <w:rFonts w:ascii="Arial" w:hAnsi="Arial" w:cs="Arial"/>
          <w:b/>
          <w:bCs/>
          <w:i/>
          <w:color w:val="000000" w:themeColor="text1"/>
          <w:sz w:val="22"/>
          <w:szCs w:val="22"/>
        </w:rPr>
        <w:t xml:space="preserve"> </w:t>
      </w:r>
      <w:r w:rsidRPr="00DA76A7">
        <w:rPr>
          <w:rFonts w:ascii="Arial" w:hAnsi="Arial" w:cs="Arial"/>
          <w:bCs/>
          <w:i/>
          <w:color w:val="000000" w:themeColor="text1"/>
          <w:sz w:val="22"/>
          <w:szCs w:val="22"/>
        </w:rPr>
        <w:t xml:space="preserve">данной статье рассматриваются пакты о правах человека и развитие международных отношений со времени их принятия, представлен краткий анализ развития международных отношений со времени их принятия до современного этапа. </w:t>
      </w:r>
    </w:p>
    <w:p w:rsidR="005B31C6" w:rsidRPr="00DA76A7" w:rsidRDefault="005B31C6" w:rsidP="005B31C6">
      <w:pPr>
        <w:ind w:firstLine="567"/>
        <w:jc w:val="both"/>
        <w:outlineLvl w:val="1"/>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examines the covenants on human rights and the development of international relations since their adoption, provides a brief analysis of the development of international relations from the time of their adoption to the present stage.</w:t>
      </w:r>
    </w:p>
    <w:p w:rsidR="005B31C6" w:rsidRPr="00DA76A7" w:rsidRDefault="005B31C6" w:rsidP="005B31C6">
      <w:pPr>
        <w:ind w:firstLine="567"/>
        <w:jc w:val="both"/>
        <w:outlineLvl w:val="1"/>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Ключевые слова: </w:t>
      </w:r>
      <w:r w:rsidRPr="00DA76A7">
        <w:rPr>
          <w:rFonts w:ascii="Arial" w:hAnsi="Arial" w:cs="Arial"/>
          <w:bCs/>
          <w:i/>
          <w:color w:val="000000" w:themeColor="text1"/>
          <w:sz w:val="22"/>
          <w:szCs w:val="22"/>
        </w:rPr>
        <w:t>конституция,</w:t>
      </w:r>
      <w:r w:rsidRPr="00DA76A7">
        <w:rPr>
          <w:rFonts w:ascii="Arial" w:hAnsi="Arial" w:cs="Arial"/>
          <w:b/>
          <w:bCs/>
          <w:i/>
          <w:color w:val="000000" w:themeColor="text1"/>
          <w:sz w:val="22"/>
          <w:szCs w:val="22"/>
        </w:rPr>
        <w:t xml:space="preserve"> </w:t>
      </w:r>
      <w:r w:rsidRPr="00DA76A7">
        <w:rPr>
          <w:rFonts w:ascii="Arial" w:hAnsi="Arial" w:cs="Arial"/>
          <w:bCs/>
          <w:i/>
          <w:color w:val="000000" w:themeColor="text1"/>
          <w:sz w:val="22"/>
          <w:szCs w:val="22"/>
        </w:rPr>
        <w:t>декларация, комитет, протокол, международный пакт, международные отношения, права.</w:t>
      </w:r>
    </w:p>
    <w:p w:rsidR="005B31C6" w:rsidRPr="00DA76A7" w:rsidRDefault="005B31C6" w:rsidP="005B31C6">
      <w:pPr>
        <w:ind w:firstLine="567"/>
        <w:jc w:val="both"/>
        <w:outlineLvl w:val="1"/>
        <w:rPr>
          <w:rFonts w:ascii="Arial" w:hAnsi="Arial" w:cs="Arial"/>
          <w:b/>
          <w:bCs/>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constitution, declaration, committee, protocol, international pact, international relations, rights.</w:t>
      </w:r>
      <w:r w:rsidRPr="00DA76A7">
        <w:rPr>
          <w:rFonts w:ascii="Arial" w:hAnsi="Arial" w:cs="Arial"/>
          <w:b/>
          <w:i/>
          <w:color w:val="000000" w:themeColor="text1"/>
          <w:sz w:val="22"/>
          <w:szCs w:val="22"/>
          <w:lang w:val="en-US"/>
        </w:rPr>
        <w:t xml:space="preserve"> </w:t>
      </w:r>
      <w:r w:rsidRPr="00DA76A7">
        <w:rPr>
          <w:rFonts w:ascii="Arial" w:hAnsi="Arial" w:cs="Arial"/>
          <w:i/>
          <w:color w:val="000000" w:themeColor="text1"/>
          <w:sz w:val="22"/>
          <w:szCs w:val="22"/>
          <w:lang w:val="en-US"/>
        </w:rPr>
        <w:t xml:space="preserve"> </w:t>
      </w:r>
    </w:p>
    <w:p w:rsidR="005B31C6" w:rsidRPr="00DA76A7" w:rsidRDefault="005B31C6" w:rsidP="005B31C6">
      <w:pPr>
        <w:pStyle w:val="a7"/>
        <w:spacing w:before="0" w:beforeAutospacing="0" w:after="0" w:afterAutospacing="0"/>
        <w:ind w:firstLine="567"/>
        <w:jc w:val="both"/>
        <w:rPr>
          <w:rFonts w:ascii="Arial" w:hAnsi="Arial" w:cs="Arial"/>
          <w:i/>
          <w:color w:val="000000" w:themeColor="text1"/>
          <w:sz w:val="22"/>
          <w:szCs w:val="22"/>
          <w:lang w:val="en-US"/>
        </w:rPr>
      </w:pP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Разработка Всеобщей декларации прав человека обнажила сложность обсуждаемых проблем и выявила противоречивые позиции различных групп государств [2, 39-40].</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Резкие различия групп государств, принадлежащих к разным общественным системам, стали очевидными в подходе к праву каждого человека на собственность. Советский Союз опирался при аргументации своей позиции на Конституцию 1936 года и законодательные акты страны, руководствуясь в том числе так называемым классовым подходом к решению проблем. Позиция западных государств также во многом была весьма идеологизированной.</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Приняв Всеобщую декларацию, ГА ООН поручила Комиссии по правам человека через ЭКОСОС разработать единый пакт, охватывающий широкий перечень основных прав и свобод. На пятой сессии ГА ООН (1955 год) были рассмотрены первые 18 статей Пакта, содержащие только гражданские и политические права. ГА ООН приняла Резолюцию 421 (V), в которой постановила «включить в Пакт о правах человека права экономические, социальные и права в области культуры». Было особо подчеркнуто, что гражданские, политические и социально-экономические права тесно связаны между собой и что индивид, лишенный каких-либо из таких прав, «не является более той личностью, которую Всеобщая декларация рассматривает в качестве идеала свободного человека».</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Style w:val="ab"/>
          <w:rFonts w:ascii="Arial" w:hAnsi="Arial" w:cs="Arial"/>
          <w:b w:val="0"/>
          <w:color w:val="000000" w:themeColor="text1"/>
          <w:sz w:val="22"/>
          <w:szCs w:val="22"/>
        </w:rPr>
        <w:t>Международный пакт о гражданских и политических правах</w:t>
      </w:r>
      <w:r w:rsidRPr="00DA76A7">
        <w:rPr>
          <w:rFonts w:ascii="Arial" w:hAnsi="Arial" w:cs="Arial"/>
          <w:color w:val="000000" w:themeColor="text1"/>
          <w:sz w:val="22"/>
          <w:szCs w:val="22"/>
        </w:rPr>
        <w:t> содержит широкий перечень основных прав и свобод, которые должны быть предоставлены каждым государством-участником всем лицам, «находившимся в пределах его территории и под его юрисдикцией», без каких-либо различий (п. 1 ст. 2). В этих целях участники рассматриваемого Пакта взяли на себя обязательство «принять законодательные и другие меры в соответствии со своими конституционными процедурами, которые могут оказаться необходимыми для осуществления прав, признаваемых в Пакте» (п. 2 ст. 2). «Все люди, - подчеркивается в Пакте, - равны перед законом и имеют право без всякой дискриминации на равную защиту закона» (ст. 26). В Пакте специально признается право лиц, принадлежащих к этническим, религиозным и языковым меньшинствам, пользоваться «своей культурой, исповедовать свою религию и исполнять ее обряды, а также пользоваться родным языком» (ст. 27).</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Ряд положений Пакта касается вопросов, которые регулируются также в Пакте об экономических, социальных и культурных правах: право каждого человека на свободу ассоциации с другими, включая право создавать профсоюзы и вступать в них (ст. 22), а также равенство прав и обязанностей супругов и право каждого ребенка «на такие меры защиты, которые требуются в его положении как малолетнего со стороны его семьи, общества и государства» (статьи 23 и 24). Третья часть Пакта (статьи 6 - 27) содержит конкретный перечень гражданских и политических прав, которые должны быть обеспечены в каждом государстве: право на жизнь, запрещение пыток, рабства, работорговли и принудительного труда, право каждого на свободу и личную неприкосновенность, право каждого покидать свою страну и возвращаться обратно, равенство всех лиц перед судами и трибуналами, право на свободу мысли, совести и религии и др. Закреплено право каждого гражданина принимать участие в ведении государственных дел как непосредственно, так и через свободно выбранных представителей, голосовать и быть избранным на подлинных периодических выборах, производимых на основе всеобщего равного избирательного права при тайном голосовании и обеспечивающих свободное волеизъявление избирателей; допускаться в своей стране на общих условиях равенства к государственной службе [2, 379-380].</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Пакт о гражданских и политических правах закрепил принцип современного международного права, согласно которому определенные фундаментальные права и свободы должны соблюдаться в любой ситуации, включая периоды вооруженных конфликтов. В соответствии с п. 1 ст. 4 этого Пакта «во время чрезвычайного положения в государстве, при котором жизнь нации находится под угрозой и о наличии которого официально объявляется», государства «могут принимать меры в отступление от своих обязательств... только в такой степени, в какой это требуется остротой положения, при условии, что такие меры не являются несовместимыми с другими обязательствами по международному праву и не влекут за собой дискриминации исключительно на основе расы, цвета кожи, пола, языка, религии или социального происхождения». «Право отступления» не применяется (п. 2 ст. 4 Пакта) к следующим фундаментальным правам и свободам: праву на жизнь; запрещению подвергать кого-либо пыткам или жестокому, бесчеловечному, унижающему достоинство обращению или наказанию; запрещению рабства, работорговли и подневольного состояния; запрещению лишать свободы за невыполнение какого-либо договорного обязательства; запрещению отмены принципа, согласно которому уголовный закон не имеет обратной силы; праву каждого на признание его правосубъектности; праву каждого на свободу мысли, совести и религии.</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Все эти права, как и многие другие закрепленные в Пакте, в настоящее время приобрели характер jus cogens и должны соблюдаться всеми государствами мира независимо от того, являются ли они участниками Пакта [6, 122-123].</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Согласно ст. 28 Пакта в 1976 году был создан Комитет по правам человека (далее - Комитет), состоящий из 18 экспертов, которые избираются государствами-участниками из числа своих граждан и обладают «высокими нравственными качествами и признанной компетентностью в области прав человека». Одна из основных функций Комитета состоит в рассмотрении докладов государств-участников «о принятых ими мерах по претворению в жизнь прав, признаваемых в Пакте, и о прогрессе, достигнутом в использовании этих прав» (п. 1 ст. 40). Такие доклады представляются в годичный срок после вступления в силу Пакта в отношении соответствующего государства, а затем - каждый раз, когда этого потребует Комитет. Доклады государства состоят из двух частей: первая содержит общие положения, а вторая - информацию по каждому из прав, закрепленных в Пакте [5, 141-142].</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Комитет изучает полученные доклады и делает замечания «общего порядка», которые он считает целесообразными. В общих замечаниях Комитет дает толкование отдельных статей Пакта, предлагает меры, которые должны приниматься государствами для их выполнения, выносит рекомендации относительно того, какие вопросы должны быть отражены в представляемых ими докладах.</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Практика вынесения лишь общих рекомендаций, направляемых всем государствам, значительно снижала эффективность работы Комитета. Поэтому за последние годы этот орган, не изменяя ранее принятых решений, стал включать в свой доклад для ГА ООН конкретные замечания, высказываемые членами Комитета в адрес отдельных государств в результате обсуждения их докладов. Заключительные замечания в настоящее время Комитет делает по каждому рассматриваемому докладу.</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Наряду с докладами Комитет, аналогично другим конвенционным органам, может рассматривать жалобы участников на невыполнение тем или иным государством взятых на себя обязательств. Такие жалобы принимаются и рассматриваются Комитетом только в том случае, если они представлены государством, сделавшим специальное заявление, депонируемое у Генерального секретаря ООН, о признании для себя такой компетенции Комитета (ст. 41 Пакта). Следовательно, процедура рассмотрения жалоб одного государства на другое носит факультативный характер.</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разработке Пакта о гражданских и политических правах длительное время обсуждался сложный и спорный вопрос о процедуре рассмотрения жалоб отдельных лиц. При этом вносились различные предложения. Австралия, например, предложила создать в рамках Пакта специальный международный суд по правам человека. Возбуждать дело могли бы не только государства, но и отдельные индивиды, группы лиц и неправительственные организации; при этом все стороны в суде ставились бы в равное положение [3, 39-40].</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Протокол был принят ГА ООН вместе с Пактом 16 декабря 1966 г. Согласно Протоколу Комитет правомочен принимать и рассматривать жалобы от отдельных лиц только в том случае, если государство, под юрисдикцией которого они находятся, является участником Пакта и признало подобную компетенцию Комитета, ратифицировав Протокол или присоединившись к нему (ст. 1). Комитет не рассматривает никаких сообщений от отдельных лиц, пока не удостоверится в том, что данное лицо исчерпало все доступные внутренние средства правовой защиты и этот вопрос не обсуждается в соответствии с другой процедурой международного разбирательства или урегулирования.</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защиту прав человека должны обеспечивать в первую очередь национальные органы, включая суды. Однако в случае, если в стране отсутствует независимый или беспристрастный суд, если государственные органы не обеспечивают эффективную правовую защиту, то индивид может непосредственно обратиться в Комитет. Решая вопрос о процедуре исчерпания внутренних средств защиты, Комитет придает значение критериям, выявляющим бессмысленность или бесполезность обращения в судебные или административные органы конкретного государства, когда сложившаяся в них правоприменительная практика не оставляет никаких шансов на удовлетворение жалобы.</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Разбор индивидуальных сообщений играет значительную роль в имплементации Пакта. Именно их рассмотрение позволяет Комитету делать выводы о соответствии законов, судебной и административной практики того или иного государства требованиям Пакта. Приводя свое законодательство в соответствие с Пактом, государство тем самым создает условия для того, чтобы впредь подобное нарушение прав человека не совершалось.</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Процедура рассмотрения индивидуальных жалоб в рамках Протокола показала свою эффективность как в восстановлении нарушенных прав, так и в выявлении несоответствия между национальными законами и практикой их осуществления, с одной стороны, и международными нормами - с другой [1].</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Развитие межгосударственных отношений за последние годы неизменно свидетельствует о том, что многие вопросы, которые ранее относились к внутренней компетенции государств, стали подвергаться международно-правовому регулированию. Сфера внутренней юрисдикции государств постоянно сужается, а суверенитет государств ограничивается нормами международного права [4, 49-50].</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1989 году был принят Второй факультативный протокол к Пакту о гражданских и политических правах, направленный на отмену смертной казни. Он стал неотъемлемой частью Международного билля о правах человека. В настоящее время подавляющее большинство государств - членов ООН являются участниками Пакта о гражданских и политических правах и Факультативных протоколов к нему.</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Style w:val="ab"/>
          <w:rFonts w:ascii="Arial" w:hAnsi="Arial" w:cs="Arial"/>
          <w:b w:val="0"/>
          <w:color w:val="000000" w:themeColor="text1"/>
          <w:sz w:val="22"/>
          <w:szCs w:val="22"/>
        </w:rPr>
        <w:t>Пакт об экономических, социальных и культурных правах</w:t>
      </w:r>
      <w:r w:rsidRPr="00DA76A7">
        <w:rPr>
          <w:rFonts w:ascii="Arial" w:hAnsi="Arial" w:cs="Arial"/>
          <w:color w:val="000000" w:themeColor="text1"/>
          <w:sz w:val="22"/>
          <w:szCs w:val="22"/>
        </w:rPr>
        <w:t> был также принят 16 декабря 1966 г. Законодательные акты и конституции XVIII - XIX веков содержали в основном перечень гражданских и политических прав. Экономические и социальные права тогда рассматривались как побочный продукт их развития. Лишь с начала XX века в конституциях ряда государств все больший упор стал делаться на социально-экономические права. К документам такого характера относятся Веймарская конституция Германии 1919 года, Конституция Испанской Республики 1931 года, Конституция СССР 1936 года, Конституция Ирландии 1937 года.</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начале XX века были заключены первые международные соглашения в этой области, регулирующие в основном трудовые отношения. К ним прежде всего следует отнести Статут Лиги Наций, а также конвенции, принятые в рамках Международной организации труда (МОТ). С принятием Устава ООН, а затем Всеобщей декларации начался качественно новый этап в международно-правовой регламентации таких прав. Конкретный их перечень в Пакте об экономических, социальных и культурных правах начинается с провозглашения права на труд (ст. 6), права каждого на благоприятные и справедливые условия труда (ст. 7), права на социальное обеспечение, включая социальное страхование (ст. 9), права каждого на достойный уровень жизни (ст. 11), образование (ст. 13) и др.</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Совершенно очевидно, что только менее развитые страны в силу низкого уровня экономического развития и недостатка средств могут ссылаться на данную статью для установления приоритетов в постепенном предоставлении и обеспечении тех или иных прав, закрепленных в Пакте. Развитые же страны с рыночной экономикой не могут говорить о недостатке ресурсов для обеспечения всех лиц, находящихся под их юрисдикцией, экономическими, социальными и культурными правами.</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настоящее время всеобщее признание со стороны государств - членов ООН получило положение Пакта о том, что «идеал свободной человеческой личности, свободной от страха и нужды, может быть осуществлен, только если будут созданы такие условия, при которых каждый может пользоваться своими экономическими, социальными и культурными правами, так же как своими гражданскими и политическими правами».</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Нельзя не согласиться с тем, что результаты, достигнутые международным сообществом на пути осуществления социально-экономических прав, менее значительны, чем в области реализации гражданских и политических прав. Экономическая нестабильность, рост численности населения, бремя задолженности и другие факторы препятствуют повсеместному обеспечению социально-экономических прав.</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в многочисленных исследованиях, проведенных ООН, делается вывод, что эти права юридически обязательны и экономически осуществимы и для их реализации государства должны разработать соответствующие планы и предпринять конкретные меры [7].</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Отрицательное отношение многих стран к социально-экономическим правам в процессе разработки Пактов привело к тому, что создание разветвленной системы международного контрольного механизма было предусмотрено только применительно к Пакту о гражданских и политических правах. Согласно Пакту об экономических, социальных и культурных правах государства-участники должны были представлять лишь доклады «о принимаемых ими мерах и о прогрессе на пути к достижению прав, признаваемых в этом Пакте, на рассмотрение Экономического и Социального Совета ООН» (ст. 16). Однако в этом международном договоре не было предусмотрено создание какого-либо специального органа для обсуждения докладов государств. Такой орган - Комитет по экономическим, социальным и культурным правам - был учрежден ООН лишь в 1985 году.</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развитием межгосударственных отношений в сфере прав человека неизбежно будут заключаться новые международные конвенции, которые тоже станут составной частью Международного билля о правах человека.</w:t>
      </w:r>
    </w:p>
    <w:p w:rsidR="005B31C6" w:rsidRPr="00DA76A7" w:rsidRDefault="005B31C6" w:rsidP="005B31C6">
      <w:pPr>
        <w:pStyle w:val="a7"/>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Пятьдесят лет, прошедшие после принятия Пактов, свидетельствуют о значительном расширении сотрудничества между государствами в сфере прав человека. Многие разногласия, существовавшие в ходе разработки Пактов и их последующей имплементации (особенно применительно к социально-экономическим правам, рассмотрению индивидуальных жалоб, толкованию различных положений Пактов), были в значительной степени преодолены. Эти процессы отражают громадные изменения, которые произошли в мире на рубеже XXI века. В то же время следует признать, что в ходе развития межгосударственных отношений возникают серьезные вызовы и преграды. Для их преодоления необходимо идти на взаимные уступки и компромиссы, согласовывать противоречивые интересы государств исходя из интересов обеспечения прав личности и всеобщей безопасности.</w:t>
      </w:r>
    </w:p>
    <w:p w:rsidR="005B31C6" w:rsidRPr="00DA76A7" w:rsidRDefault="005B31C6" w:rsidP="005B31C6">
      <w:pPr>
        <w:pStyle w:val="a7"/>
        <w:spacing w:before="0" w:beforeAutospacing="0" w:after="0" w:afterAutospacing="0"/>
        <w:ind w:firstLine="567"/>
        <w:jc w:val="both"/>
        <w:rPr>
          <w:rStyle w:val="ab"/>
          <w:rFonts w:ascii="Arial" w:hAnsi="Arial" w:cs="Arial"/>
          <w:color w:val="000000" w:themeColor="text1"/>
          <w:sz w:val="22"/>
          <w:szCs w:val="22"/>
        </w:rPr>
      </w:pPr>
    </w:p>
    <w:p w:rsidR="005B31C6" w:rsidRPr="00DA76A7" w:rsidRDefault="005B31C6" w:rsidP="005B31C6">
      <w:pPr>
        <w:pStyle w:val="a7"/>
        <w:spacing w:before="0" w:beforeAutospacing="0" w:after="0" w:afterAutospacing="0"/>
        <w:ind w:firstLine="567"/>
        <w:jc w:val="center"/>
        <w:rPr>
          <w:rStyle w:val="ab"/>
          <w:rFonts w:ascii="Arial" w:hAnsi="Arial" w:cs="Arial"/>
          <w:color w:val="000000" w:themeColor="text1"/>
          <w:sz w:val="22"/>
          <w:szCs w:val="22"/>
        </w:rPr>
      </w:pPr>
      <w:r w:rsidRPr="00DA76A7">
        <w:rPr>
          <w:rStyle w:val="ab"/>
          <w:rFonts w:ascii="Arial" w:hAnsi="Arial" w:cs="Arial"/>
          <w:color w:val="000000" w:themeColor="text1"/>
          <w:sz w:val="22"/>
          <w:szCs w:val="22"/>
        </w:rPr>
        <w:t>Список литературы:</w:t>
      </w:r>
    </w:p>
    <w:p w:rsidR="005B31C6" w:rsidRPr="00DA76A7" w:rsidRDefault="005B31C6" w:rsidP="00D45D6B">
      <w:pPr>
        <w:pStyle w:val="a7"/>
        <w:numPr>
          <w:ilvl w:val="0"/>
          <w:numId w:val="155"/>
        </w:numPr>
        <w:tabs>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Факультативный протокол к Международному пакту об экономических, социальных и культурных правах, утв. резолюцией ГА ООН 63/117 от 10.12.2008.   </w:t>
      </w:r>
    </w:p>
    <w:p w:rsidR="005B31C6" w:rsidRPr="00DA76A7" w:rsidRDefault="005B31C6" w:rsidP="00D45D6B">
      <w:pPr>
        <w:pStyle w:val="a7"/>
        <w:numPr>
          <w:ilvl w:val="0"/>
          <w:numId w:val="155"/>
        </w:numPr>
        <w:tabs>
          <w:tab w:val="left" w:pos="284"/>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Вышинский А.Я. Вопросы международного права и международной политики. - М., 1951. - С. 379 - 390.</w:t>
      </w:r>
    </w:p>
    <w:p w:rsidR="005B31C6" w:rsidRPr="00DA76A7" w:rsidRDefault="005B31C6" w:rsidP="00D45D6B">
      <w:pPr>
        <w:pStyle w:val="a7"/>
        <w:numPr>
          <w:ilvl w:val="0"/>
          <w:numId w:val="155"/>
        </w:numPr>
        <w:tabs>
          <w:tab w:val="left" w:pos="284"/>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Карташкин В.А. Всеобщая декларация и права человека в современном мире // Советский ежегодник международного права. - М., 1989. - С. 39-50.</w:t>
      </w:r>
    </w:p>
    <w:p w:rsidR="005B31C6" w:rsidRPr="00DA76A7" w:rsidRDefault="005B31C6" w:rsidP="00D45D6B">
      <w:pPr>
        <w:pStyle w:val="a7"/>
        <w:numPr>
          <w:ilvl w:val="0"/>
          <w:numId w:val="155"/>
        </w:numPr>
        <w:tabs>
          <w:tab w:val="left" w:pos="284"/>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Карташкин В.А. Организация Объединенных Наций и международная защита прав человека в XXI веке. - М., 2015. - С. 49 - 53.</w:t>
      </w:r>
    </w:p>
    <w:p w:rsidR="005B31C6" w:rsidRPr="00DA76A7" w:rsidRDefault="005B31C6" w:rsidP="00D45D6B">
      <w:pPr>
        <w:pStyle w:val="a7"/>
        <w:numPr>
          <w:ilvl w:val="0"/>
          <w:numId w:val="155"/>
        </w:numPr>
        <w:tabs>
          <w:tab w:val="left" w:pos="284"/>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Мовчан А.П. Международная защита прав человека. - М., 1958. - С. 141-145.</w:t>
      </w:r>
    </w:p>
    <w:p w:rsidR="005B31C6" w:rsidRPr="00DA76A7" w:rsidRDefault="005B31C6" w:rsidP="00D45D6B">
      <w:pPr>
        <w:pStyle w:val="a7"/>
        <w:numPr>
          <w:ilvl w:val="0"/>
          <w:numId w:val="155"/>
        </w:numPr>
        <w:tabs>
          <w:tab w:val="left" w:pos="284"/>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Островский Я.А. ООН и права человека. - М., 1965. - С. 122.</w:t>
      </w:r>
    </w:p>
    <w:p w:rsidR="005B31C6" w:rsidRPr="00DA76A7" w:rsidRDefault="005B31C6" w:rsidP="00D45D6B">
      <w:pPr>
        <w:pStyle w:val="a7"/>
        <w:numPr>
          <w:ilvl w:val="0"/>
          <w:numId w:val="155"/>
        </w:numPr>
        <w:tabs>
          <w:tab w:val="left" w:pos="851"/>
          <w:tab w:val="left" w:pos="993"/>
        </w:tabs>
        <w:spacing w:before="0" w:beforeAutospacing="0" w:after="0" w:afterAutospacing="0"/>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 на достаточное питание как одно из прав человека. - Нью-Йорк: ООН, 1989.</w:t>
      </w:r>
    </w:p>
    <w:p w:rsidR="005B31C6" w:rsidRPr="00DA76A7" w:rsidRDefault="005B31C6" w:rsidP="005B31C6">
      <w:pPr>
        <w:ind w:firstLine="567"/>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ПРАВО ГРАЖДАН НА УЧАСТИЕ В УПРАВЛЕНИИ ДЕЛАМИ ГОСУДАРСТВА КАК ДЕМОКРАТИЧЕСКИЙ ПРИНЦИП РОССИЙСКОЙ ФЕДЕРАЦИИ И РЕСПУБЛИКИ ТАДЖИКИСТАН</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Копылов Игорь Николаевич</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B31C6" w:rsidRPr="00DA76A7" w:rsidRDefault="005B31C6" w:rsidP="005B31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Северо-Кавказский филиал Российского государственного университета правосудия</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350002, Российская Федерация, г. Краснодар, ул. Леваневского 187/1</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9298384538,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378" w:history="1">
        <w:r w:rsidRPr="00DA76A7">
          <w:rPr>
            <w:rStyle w:val="af0"/>
            <w:rFonts w:ascii="Arial" w:hAnsi="Arial" w:cs="Arial"/>
            <w:color w:val="000000" w:themeColor="text1"/>
            <w:sz w:val="22"/>
            <w:szCs w:val="22"/>
            <w:u w:val="none"/>
            <w:lang w:val="en-US"/>
          </w:rPr>
          <w:t>salayrik</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B31C6" w:rsidRPr="00DA76A7" w:rsidRDefault="005B31C6" w:rsidP="005B31C6">
      <w:pPr>
        <w:jc w:val="center"/>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RIGHT TO PARTICIPATE IN THE ADMINISTRATION OF STATE AFFAIRS AS DEMOCRATIC PRINCIPLE OF RUSSIAN FEDERATION AND REPUBLIC OF TADJIKISTAN</w:t>
      </w:r>
    </w:p>
    <w:p w:rsidR="005B31C6" w:rsidRPr="00DA76A7" w:rsidRDefault="005B31C6" w:rsidP="005B31C6">
      <w:pPr>
        <w:jc w:val="center"/>
        <w:rPr>
          <w:rFonts w:ascii="Arial" w:hAnsi="Arial" w:cs="Arial"/>
          <w:b/>
          <w:color w:val="000000" w:themeColor="text1"/>
          <w:sz w:val="22"/>
          <w:szCs w:val="22"/>
          <w:lang w:val="en-US"/>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Kopylov Igor Nikolaevich</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Undergraduate 2nd year student of distant education department of the law faculty</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 state-run university of justice North-Caucasian branch</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350002, Russian Federation, Krasnodar, Levanevskogo st.,187/1</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9298384538, e-mail: </w:t>
      </w:r>
      <w:hyperlink r:id="rId379" w:history="1">
        <w:r w:rsidRPr="00DA76A7">
          <w:rPr>
            <w:rStyle w:val="af0"/>
            <w:rFonts w:ascii="Arial" w:hAnsi="Arial" w:cs="Arial"/>
            <w:color w:val="000000" w:themeColor="text1"/>
            <w:sz w:val="22"/>
            <w:szCs w:val="22"/>
            <w:u w:val="none"/>
            <w:lang w:val="en-US"/>
          </w:rPr>
          <w:t>salayrik@mail.ru</w:t>
        </w:r>
      </w:hyperlink>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статье рассматривается право граждан на участие в управлении делами государства, его роль в становлении и развитии демократии и формировании правового государства на примере Российской Федерации и Республики Таджикистан, национального и международного законодательства. Определяется важность практической реализации права граждан на участие в управлении государственными делами в контексте современных демократических правовых систем. </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is about right to participate in the administration of state affairs, its role in the making and development of democracy, forming of law-based state by way of example Russian Federation and Republic of Tajikistan, national and international legislation. It was defined importance of practical realization of rights to take part in the government state affairs in the context of present democratic legal systems. </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гражданин; государство; государственная власть; право; законодательство; демократия; гражданское общество; правовое государство; практическая реализация права.</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citizen; state; state authority; right; legislation; democracy; civil society; law-based state.</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Государство является организующим институтом, который определяет, регулирует, контролирует, гарантирует и обеспечивает условия, возможности для жизнедеятельности многомиллионного общества граждан. В настоящее время подобная ответственность государства, его властных структур перед народом оказывается принципиальным положением, подразумевающим и характеризующий государство как современное, подвижное, активно развивающееся, а значит, и демократическое, что непременно дополняет положительных характеристик государству как внутри страны, так и за ее пределами. И здесь возникает вопрос, а что же именно есть это государство? Кто именно создает его привлекательный образ и направляет по демократическому пути? Ответ на эти вопросы можно найти уже в первой главе Основного закона Российской Федерации и Основного закона Республики Таджикистан, где права и свободы человека и гражданина, народ и его воля устанавливаются как главные критерии для государственной деятельности. Так, Конституция РФ, а за ней и другие нормативно-правовые, составляющие систему российского законодательства, определяют принципы действия, методы осуществления государственной ответственности перед народом, то есть перед гражданами. Конституция Республики Таджикистан в соответствии с важнейшими демократическими принципами утверждает и признает человека, его права и свободы высшей ценностью, народ – носителем суверенитета и единственным источником государственной власти [2].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гражданин являются важнейшей единицей в жизнедеятельности и работоспособности государства, одновременно, участником, наблюдателем, активным объектом, выражающим суть реальных государственных намерений. Здесь конституционное право граждан на участие в управлении делами государства, закрепленное в Конституции РФ (ст. 30, 31, 32, 33) и Конституции Республики Таджикистан (ст. 27, 28, 29) является одновременно непременным условием для осуществления политики и деятельности в соответствии с демократическими принципами развития государства; самовыражением, формированием института гражданства как эффективного механизма в сфере государственного управления, так и основой отождествления интересов отдельного гражданина, совокупности граждан, так и всего народа и государства в целом.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известно, право граждан на участие в управлении делами государства имеет место и возможность реализации в нескольких сферах, а именно: в избирательном процессе, где институт выборов и возможность проведения референдума есть важнейшее условие, как для выражения воли народа, так и для жизнеспособности демократического государства; в положении о допуске граждан к государственной службе, здесь подчеркнут принцип равноправия, как в отношении равных стартовых возможностей граждан, так и в дальнейшей работе, где соответствие квалификационным требованиям де-юре является ключевым фактором для выбора должностного лица; возможность граждан объединяться в партии и организации, что также демонстрирует различные способы выражения гражданами своего права на участие в государственных делах, его фактическая реализация. Естественно, что данное право является политическим, на что указывает, в первую очередь, наличие гражданства, однако и в контексте наличия данного условия существуют ограничения, закрепленные, прежде всего, Основными законами Российской Федерации и Республики Таджикистан: недостигнут должный возрастной ценз, наличие судимости, недостаточный уровень образования, квалификации, стажа и пр. Поэтому право граждан на участие в управлении делами государства есть одно из важнейших политических прав, успешная реализация которого оказывает принципиальное значение и на отдельного гражданина, и на государство, что вызвано соизмерением общих и частных интересов, возможностей, обусловленных определенной политико-правовой культурой общества и уровнем заинтересованности государства в реализации демократических прав и принципов.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отношении права граждан на участие в управлении делами государства сложилась определенная система законодательства, для которой характерна иерархичность, обусловленная верховенством положений и принципов Конституций, и следование им в других нормативно-правовых актах по вопросам регулирования, установления порядка реализации гражданами их конституционных прав. Однако практическая сторона осуществления правовых механизмов в вопросе участия граждан в государственных делах требует доработки, устранения недостатков, в том числе нивелирования личностного субъективного фактора, предотвращение гражданской пассивности в отношении деятельности государства, развитие современных технологий в вопросах упрощения, прозрачности гражданских процедур, таких как выборы, референдум. Здесь для оптимизации работы в аспекте реализации гражданами права на участие в управлении делами государства, а также, естественно, другими правами и свободами, которым наделен человек и гражданин как Конституцией РФ, так и Конституцией Республики Таджикистан, необходимо соблюдение демократических, прогрессивных принципов развития, в том числе равенства граждан, народовластия, национального суверенитета, легитимности власти, которые обеспечивают стабильность государства, а значит, и его безопасность, что непременно влечет и его развитие.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Конечно, существуют определенные законодательные механизмы, призванные осуществлять контроль и организовывать порядок в реализации гражданами их прав. Однако, полагаем, что помимо юридических обстоятельств, которые, естественно, являются важнейшими способами защиты прав, имеют место и роль в вопросах успешной деятельности, как в правовом, так и в общественно-политическом отношении, повышение заинтересованности государства в установлении и активизации гражданских инициатив, развитие политко-правовой культуры населения страны. Подобная обстановка дополнит комплекс законодательных мер, обеспечит формирование, становление действенной системы гражданско-правового регулирования, взаимодействия государства и общества.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Очевидно, что механизм защиты и фактического осуществления гражданами их прав и свобод находится в процессе своего становления и требует времени, поиска методов для осуществления поставленных в современном обществе целей, а также заинтересованности власти и государства в реализации заявленных демократических принципов на практике. «В России еще не сформировалось настоящее гражданское общество с такими присущими ему атрибутами, как полноправное участие граждан в делах государства, осуществление свободы слова в полной мере» [4, </w:t>
      </w: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 11]. Но, несмотря на подобное утверждение, Конституция РФ провозгласила приоритет общечеловеческих ценностей над всеми другими ценностями государства и общества [1, Ст. 2]. Положения Конституций определяют особое место человека, его прав и свобод в системе конституционных отношений, выдвигают защиту его прав в качестве принципа, действующего в обществе и государстве. Итак, каждый человек должен быть обеспечен возможностью пользоваться всеми основными правами и свободами, в свою очередь,  государство обязано гарантировать их реальное осуществление целым спектром возможных средств, входящих в особый механизм защиты и контроля, исполнения и их реализации. Полагаем, что формирование, развитие и дальнейшее совершенствование подобных механизмов, правовых обстоятельств, является одним из важнейших условием в вопросе оформленности правовой государственности.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Важнейшей предпосылкой и в тоже время фактором формирования политической демократической системы оказывается наличие гражданского общества, которое характеризует всю совокупность разнообразных форм активности населения, не определенной деятельностью государственных органов, а выражающей реальный уровень самоорганизации социума. Гражданское общество является качественным показателем гражданской активности жителей той или иной страны, основным критерием распределения функций государства и общества, а также критерием общественных связей и отношений. Между понятием «гражданское общество» и подобным ему понятием «общество» есть не только взаимосвязь, но и существенные различия, где общество как совокупность отношений между людьми становится гражданским только при достижении определенной стадии своего развития, при определенных условиях. Здесь категория гражданского общества отражает новое качественное состояние государственности, которое основано на расширенных формах ее самоорганизации и саморегуляции, на оптимальном сочетании публичных (государственно-общественных) и частных (индивидуально-личностных) интересов, где определяющее значение у последних, что подразумевает признание в качестве высшей ценности человека, его прав и свобод. Но реальная свобода личности становится возможной в обществе подлинной демократии, и не государство, политическая власть довлеет над обществом и его членами, а общество само обладает приоритетом по отношению к государству.</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Естественно, что переход к такому обществу — исторически длительный процесс, и он связан с формированием гражданского общества, которое возникает и изменяется в ходе естественноисторического развития как автономная, непосредственно не зависимая от государства сфера. Гражданское общество  также сопряжено с понятием правового государства, они взаимодополняют друг друга. Гражданское общество представляет собой многообразие взаимоотношений свободных и равноправных индивидов в условиях демократического правового государства, и, как правило, является инициативой граждан, которые стремятся преобразовать свое государство. Таким образом, участие граждан в управлении делами государства является одним из важнейших условий для формирования, развития и обеспечения в дальнейшем жизнеспособности гражданского общества и его институтов. Гражданское общество имеет сложную структуру, в которую входят хозяйственные, экономические, этнические, семейно-родственные религиозные и правовые отношения, мораль, политические отношения между индивидами как первичными субъектами власти, партиями, организациями, группами интересов. Политической основой гражданского общества является правовое государство, обеспечивающее права и свободы личности. В подобных обстоятельствах поведение гражданина определено его собственными интересами и на него ложится ответственность за его действия, вследствие чего, индивид заинтересован в открытости и доступности участия граждан в управлении делами государства, он готов к активной социальной, общественной политической деятельности, превыше всего ставит собственную свободу, уважая при этом законные интересы других людей. Так формируется политическая культура населения, готовность граждан к активному участию в жизни страны, являющаяся безусловным катализатором в вопросе построения гражданского общества. В свою очередь, правовое государство представляет собой такую форму организации деятельности государственной власти, при которой само государство, все социальные общности, отдельные индивиды уважают право и находятся в одинаковом отношении к нему. Право здесь выступает способом взаимосвязи государства, общества и индивида, а право граждан на участие в управлении государством, закрепленное в Конституции РФ и Конституции РТ, становится связующим звеном в формировании и функционировании гражданского общества и правового государства.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Но на практике осуществление гражданских инициатив и построение правового государства испытывает ряд трудностей. Так, политические органы и пути принятия решений представляют собой систему, которая остается практически закрытой для представителей гражданского общества. Однако в современных реалиях можно сказать, что гражданское общество существует, точнее, формируется; нарождается процесс взаимодействия государства и общества, происходит процесс становления политической культуры граждан, которая помогает в применении конституционного права граждан на участие в управлении делами государства. Здесь речь идет не о пробелах в демократическом статусе государства и о структурных проблемах гражданской активности, но о динамике процесса развития, об освоении политической инициативности населения, что имеет место не только вокруг процессов политического волеизъявления, принятия решений и контроля, но и вокруг широкого понимания гражданского общества в результате открытой, коллективной деятельности, а также участие через политическую активность в партиях, неправительственных организациях, в гражданских инициативах или социальных движениях, как и соучастие в других полезных для общества организациях. Таким образом, понятие гражданского общества тесно взаимосвязано с гражданской активностью и политической культурой общества.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некоторым оценкам количество людей, проявляющих гражданскую активность в России, находится в пределах одного-двух миллионов человек, что при учете общей численности населения, составляющей 150 миллионов человек [13], это кажется немного. При более детальном рассмотрении в России зарегистрировано более 220 тыс. [10] некоммерческих гражданских организаций, однако реально осуществляют свою деятельность лишь малая часть из заявленного списка. Гражданское сознание в России имеет свои особенные черты, которые выражаются в жестком противопоставлении государства и гражданского общества, своеобразном выделении политической общественности и выраженной институциональной зависимости. Здесь гражданское общество понимается как антипод государства, что определяет отсутствие прочной взаимосвязи и сотрудничества между общественными организациями и государственными институтами. Однако есть признаки того, что прежние оппозиционные настроения в обществе имеют тенденцию к преобразованию, при этом характерны сопричастность граждан к делам государства, которая дает возможность на реализацию своих собственных представлений и интересов. Представители гражданского общества в России зачастую видят свою роль в осуществлении контроля над правительством, и в то же время, понимание проблемы определения границ своих собственных возможностей выражено слабо. Для российского гражданского общества также характерны институциональная и организационная направленность, при которой общественные организации являются наиболее важным субъектом, способным участвовать в общественных и государственных делах, а участие граждан в качестве субъектов гражданского общества встречается намного реже и имеет форму преимущественно профессиональной деятельности, либо «носит персонифицированный характер (общение с каким-либо конкретным человеком во властной структуре) и поэтому неустойчиво и не всегда эффективно в долгосрочном плане» [14]. Кроме того, для России характерно наличие существенных региональных различий по качеству и масштабам процесса развития гражданского общества. Так, в европейской части страны политически активное гражданское общество выражено более определенно, оно наиболее активно в Москве и в Санкт-Петербурге. «Если на севере страны существуют организационно оформленные структуры гражданского общества, то в южных районах социальное взаимодействие осуществляется на семейном уровне, то есть, через совершенно иные формы обобществления» [3].</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Итак, в процессе формирования и реализации гражданского общества в России имеют место свои трудности и недостатки, вызванные как субъективными факторами, так и огромным количеством априори существующих различий в культуре, менталитете и пр. среди субъектов федерации и их жителей, что на практике вызывает сложности в процессе становления и осуществления принципов, декларирующих права и свободы человека, а также права граждан, в том числе и права на участие в управлении делами государства.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Однако, в последние годы ситуация начинает меняться, наметилась тенденция к повышению политической ответственности населения, что вызвано широкими информационными возможностями, доступ граждан к публичному выражению своей точки зрения, активность и деятельность молодежи и людей среднего возраста, обусловленные стремлением и готовностью сделать жизнь страны лучше, а для этого необходимо донести свои чаяния до властных органов, что и побуждает граждан к стремлению открыть и наладить адекватный диалог с властью. Так, на примере прошедших недавно выборов в Государственную Думу РФ, исследования показывают, что интерес россиян к политике вырос. «Исследование показало, что политической ситуацией интересуются в основном мужчины (72%) и пенсионеры (77%). Об отсутствии интереса к политическим делам заявили 32% респондентов. Отмечается, что количество аполитично настроенных граждан в России за последние три года уменьшилось вдвое. Как пояснил руководитель Управления мониторинговых и электоральных исследований ВЦИОМ Степан Львов, повышенное внимание к политике объясняется не только предстоящими выборами, но и ситуацией в стране и мире в целом» [6]. Что касается постоянных цифр, активность граждан РФ в выборах, то «41% голосует на выборах в качестве избирателей, а 6% - работают во время кампаний как агитаторы, наблюдатели, сборщики подписей и т.д.» [9]. Данные цифры достаточно содержательны, но необходимо развивать и поддерживать инициативность граждан, их готовность в осуществлении своих конституционных прав на участие в управлении делами государства. «В целом, считают социологи ИС РАН, при благоприятных условиях каждый пятый россиянин (20%) на сегодня готов «делать политику» и участвовать в принятии важных для страны решений. Хотя от намерений к делам путь не самый близкий» [9].</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Полученные выше положения нельзя в полной мере отнести к реализации права граждан на участие в управлении делами государства в контексте формирующегося гражданского общества в Республике Таджикистан. При детальном рассмотрении, а также в ходе сопоставления общественно-политической обстановке в государствах, важно отметить высокую заинтересованность граждан Республики Таджикистан в социально-экономических и социально-политических процессах, происходящих в стране, что обуславливает политическую активность. Здесь имеет место политический и общественный плюрализм мнений и объединений, однако в силу тяжелого исторически недавнего прошлого, властные структуры вынуждены придерживаться их чрезвычайного контроля, ограничения. В День празднования двадцатилетней годовщины независимости Республики Таджикистан Президент РФ В. В Путин выразил надежды на наращивание всего комплекса партнерских связей между двумя государствами «в интересах дружественных народов двух стран, в русле укрепления безопасности и стабильности в Центральной Азии» [15]. Превентивные меры в политической жизни Республики Таджикистан на данный момент остаются важным оплотом стабилизации как внутриполитического, так и социально-экономического секторов. Известно, что безопасность идет рука об руку с понятием стабильности, в условиях которой у граждан страны существует больше возможностей для реализации своих конституционных прав, в том числе права на участие в управлении делами государства.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Безусловно, закрепленные в Конституциях двух стран права и обязанности человека и гражданина, а также конституционные принципы являются незыблемым приоритетом в осуществлении деятельности органов государственной власти и органов местного самоуправления: «Российскую государственность рассматривают как с политических, экономических, социальных, так и с культурологических позиций» [11, с. 48]. Б. С. Гадоев справедливо отмечает: «В Конституции РТ говорится о том, что местное самоуправление в пределах своих полномочий и обеспечивает самостоятельное решение населением вопросов местного значения, так местное самоуправление - это одна из форм реализации народом принадлежащей ему власти, участие в управлении делами государства является конституционным правом граждан. При этом Конституция Республики Таджикистан исходит из того, что гражданин принимает участие в управлении государством в тех формах, которые установлены ею» [7]. Однако, человеческий фактор, образ мысли и своеобразный уклад остаются характерными для каждого региона, что накладывает отпечаток и на реализацию диалога населения с властью.  Здесь также встречаются стереотипное мышление граждан о государственной власти и возможности проявления их собственной политической активности, «к политике как таковой у граждан отношение достаточно настороженное, и 43% граждан предпочитают в нее «не лезть» ни в какой форме» [9]. «Общественность находится на значительной дистанции от центров принятия решений, что не даёт возможности своевременно решать возникающие конфликты в социальной и иных сферах, снижает устойчивость всей системы государственного управления» [8]. К тому же, население традиционно возлагает большие надежды на государство, при этом сами граждане часто придерживаются позиции бездействия, что приносит настроения постоянного разочарования и осознания того, что государство не готово заботиться о каждом человеке, что о себе надо позаботиться самому. Но подобные умонастроения, по всей вероятности, рано или поздно должны привести к прорыву в деле гражданской самоорганизации, постепенной перестройке менталитета для активизации своей гражданской позиции. Тем не менее, есть признаки процесса обретения опыта, как со стороны государственной власти, так и со стороны гражданского общества, что весьма важно для стран, где в политической культуре давно укоренилось отделение государственной власти, ее монополия на политику от граждан, т.е. границы между государством и гражданским обществом стали более размытыми. Организация гражданского общества находится на пути перехода от стратегии оппозиционности к стратегии соучастия, растет понимание, что реализация своих целей в решающей степени зависит от наличия доступа к структурам в политической системе, принимающим решения. В изменении стратегии перехода также осуществляется замещение нравственных и партийно-демократических призывов на выделение полезности процесса взаимодействия. Один из аспектов необходимости активной гражданской позиции в качестве партнера в процессе преобразований выразил сам президент: «Правительству нужны компетентные люди из негосударственных структур, которые мыслят современными категориями. Их помощь имеет неоценимое значение» [5].</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реализация конституционного права граждан на участие в управлении делами государства является необходимым условием формирования современного гражданского общества, воплощением демократического пути развития стран. Для осуществления данной цели важно создать и выстроить действенную системы взаимодействия граждан, общественных организаций и государственной власти (социальные ценности справедливости, равенства, закрепленные в Конституции, являются ориентиром для правового закрепления целей и задач, стоящих перед государством по отношению к обществу, индивиду) [12, с. 49], что можно сделать через институциональные механизмы, через партии, выборы, представительные органы власти; посредством функционального представительства, то есть развитие каналов связи между государством и обществом в виде различного рода консультационных комитетов и комиссий при государственных структурах, в которых участвуют представители групп и объединений по интересам, наладить практическое применение права граждан на равный доступ к государственной службе, процесса отправления правосудия, а также сформировать доверительные отношения между гражданами и властными структурами, что несет в себе цель сократить дистанцию в отношениях государство-народ, государство-гражданин, теоретически создавая условия для минимизирования притязаний со стороны населения на невозможность выражения личного мнения и интересов в отношении многих общественно важных вопросов. </w:t>
      </w:r>
    </w:p>
    <w:p w:rsidR="005B31C6" w:rsidRPr="00DA76A7" w:rsidRDefault="005B31C6" w:rsidP="005B31C6">
      <w:pPr>
        <w:ind w:firstLine="567"/>
        <w:jc w:val="both"/>
        <w:rPr>
          <w:rFonts w:ascii="Arial" w:hAnsi="Arial" w:cs="Arial"/>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 [Электронный ресурс] // Официальный интернет портал правовой информации. – Режим доступа: </w:t>
      </w:r>
      <w:hyperlink r:id="rId380"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constitution</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/10003000/10003000-3.</w:t>
        </w:r>
        <w:r w:rsidRPr="00DA76A7">
          <w:rPr>
            <w:rStyle w:val="af0"/>
            <w:rFonts w:ascii="Arial" w:hAnsi="Arial" w:cs="Arial"/>
            <w:color w:val="000000" w:themeColor="text1"/>
            <w:u w:val="none"/>
            <w:lang w:val="en-US"/>
          </w:rPr>
          <w:t>htm</w:t>
        </w:r>
      </w:hyperlink>
      <w:r w:rsidRPr="00DA76A7">
        <w:rPr>
          <w:rFonts w:ascii="Arial" w:hAnsi="Arial" w:cs="Arial"/>
          <w:color w:val="000000" w:themeColor="text1"/>
        </w:rPr>
        <w:t xml:space="preserve"> (дата обращения: 02.03.2018).</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Республики Таджикистан (принята всенародным референдумом 6.11.1994) (с учетом поправок, изменений и дополнений от 26.09.1999, 22.06.2003 и 22.05.2016) [Электронный ресурс] // Официальный сайт Президента Республики Таджикистан. – Режим доступа:  </w:t>
      </w:r>
      <w:hyperlink r:id="rId381"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president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tj</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taxonomy</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term</w:t>
        </w:r>
        <w:r w:rsidRPr="00DA76A7">
          <w:rPr>
            <w:rStyle w:val="af0"/>
            <w:rFonts w:ascii="Arial" w:hAnsi="Arial" w:cs="Arial"/>
            <w:color w:val="000000" w:themeColor="text1"/>
            <w:u w:val="none"/>
          </w:rPr>
          <w:t>/5/112</w:t>
        </w:r>
      </w:hyperlink>
      <w:r w:rsidRPr="00DA76A7">
        <w:rPr>
          <w:rFonts w:ascii="Arial" w:hAnsi="Arial" w:cs="Arial"/>
          <w:color w:val="000000" w:themeColor="text1"/>
        </w:rPr>
        <w:t xml:space="preserve"> (дата обращения: 03.03.2018).</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Акопян А. К. Гражданское общество в России: реальность или перспектива? [Электронный ресурс] // Платформа для публикаций. – Режим доступа: </w:t>
      </w:r>
      <w:hyperlink r:id="rId382"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pandia</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text</w:t>
        </w:r>
        <w:r w:rsidRPr="00DA76A7">
          <w:rPr>
            <w:rStyle w:val="af0"/>
            <w:rFonts w:ascii="Arial" w:hAnsi="Arial" w:cs="Arial"/>
            <w:color w:val="000000" w:themeColor="text1"/>
            <w:u w:val="none"/>
          </w:rPr>
          <w:t>/78/199/20418.</w:t>
        </w:r>
        <w:r w:rsidRPr="00DA76A7">
          <w:rPr>
            <w:rStyle w:val="af0"/>
            <w:rFonts w:ascii="Arial" w:hAnsi="Arial" w:cs="Arial"/>
            <w:color w:val="000000" w:themeColor="text1"/>
            <w:u w:val="none"/>
            <w:lang w:val="en-US"/>
          </w:rPr>
          <w:t>php</w:t>
        </w:r>
      </w:hyperlink>
      <w:r w:rsidRPr="00DA76A7">
        <w:rPr>
          <w:rFonts w:ascii="Arial" w:hAnsi="Arial" w:cs="Arial"/>
          <w:color w:val="000000" w:themeColor="text1"/>
        </w:rPr>
        <w:t xml:space="preserve"> (дата обращения: 03.11.2017).</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Бутылин В.К., Гончаров И.В. Обеспечение конституционных прав и свобод человека и гражданина в деятельности органов внутренних дел. М., -2002. - 64 с.</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Выступление Путина В. В. на открытии Гражданского форума от 21. 11. 2001 [Электронный ресурс] // Официальный сайт Президента России. – Режим доступа: </w:t>
      </w:r>
      <w:hyperlink r:id="rId383"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kremlin</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events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president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transcripts</w:t>
        </w:r>
        <w:r w:rsidRPr="00DA76A7">
          <w:rPr>
            <w:rStyle w:val="af0"/>
            <w:rFonts w:ascii="Arial" w:hAnsi="Arial" w:cs="Arial"/>
            <w:color w:val="000000" w:themeColor="text1"/>
            <w:u w:val="none"/>
          </w:rPr>
          <w:t>/21408</w:t>
        </w:r>
      </w:hyperlink>
      <w:r w:rsidRPr="00DA76A7">
        <w:rPr>
          <w:rFonts w:ascii="Arial" w:hAnsi="Arial" w:cs="Arial"/>
          <w:color w:val="000000" w:themeColor="text1"/>
        </w:rPr>
        <w:t xml:space="preserve"> (дата обращения: 06.11.2017). </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ВЦИОМ отметил рост интересующихся политикой россиян [Электронный ресурс] // Портал ПРАВДА.РУ. - 2016. – Режим доступа: </w:t>
      </w:r>
      <w:hyperlink r:id="rId384" w:history="1">
        <w:r w:rsidRPr="00DA76A7">
          <w:rPr>
            <w:rStyle w:val="af0"/>
            <w:rFonts w:ascii="Arial" w:hAnsi="Arial" w:cs="Arial"/>
            <w:color w:val="000000" w:themeColor="text1"/>
            <w:u w:val="none"/>
            <w:lang w:val="en-US"/>
          </w:rPr>
          <w:t>https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pravda</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news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politics</w:t>
        </w:r>
        <w:r w:rsidRPr="00DA76A7">
          <w:rPr>
            <w:rStyle w:val="af0"/>
            <w:rFonts w:ascii="Arial" w:hAnsi="Arial" w:cs="Arial"/>
            <w:color w:val="000000" w:themeColor="text1"/>
            <w:u w:val="none"/>
          </w:rPr>
          <w:t xml:space="preserve">/ </w:t>
        </w:r>
        <w:r w:rsidRPr="00DA76A7">
          <w:rPr>
            <w:rStyle w:val="af0"/>
            <w:rFonts w:ascii="Arial" w:hAnsi="Arial" w:cs="Arial"/>
            <w:color w:val="000000" w:themeColor="text1"/>
            <w:u w:val="none"/>
            <w:lang w:val="en-US"/>
          </w:rPr>
          <w:t>elections</w:t>
        </w:r>
        <w:r w:rsidRPr="00DA76A7">
          <w:rPr>
            <w:rStyle w:val="af0"/>
            <w:rFonts w:ascii="Arial" w:hAnsi="Arial" w:cs="Arial"/>
            <w:color w:val="000000" w:themeColor="text1"/>
            <w:u w:val="none"/>
          </w:rPr>
          <w:t>/29-08-2016/1311466-</w:t>
        </w:r>
        <w:r w:rsidRPr="00DA76A7">
          <w:rPr>
            <w:rStyle w:val="af0"/>
            <w:rFonts w:ascii="Arial" w:hAnsi="Arial" w:cs="Arial"/>
            <w:color w:val="000000" w:themeColor="text1"/>
            <w:u w:val="none"/>
            <w:lang w:val="en-US"/>
          </w:rPr>
          <w:t>politika</w:t>
        </w:r>
        <w:r w:rsidRPr="00DA76A7">
          <w:rPr>
            <w:rStyle w:val="af0"/>
            <w:rFonts w:ascii="Arial" w:hAnsi="Arial" w:cs="Arial"/>
            <w:color w:val="000000" w:themeColor="text1"/>
            <w:u w:val="none"/>
          </w:rPr>
          <w:t>-0/</w:t>
        </w:r>
      </w:hyperlink>
      <w:r w:rsidRPr="00DA76A7">
        <w:rPr>
          <w:rFonts w:ascii="Arial" w:hAnsi="Arial" w:cs="Arial"/>
          <w:color w:val="000000" w:themeColor="text1"/>
        </w:rPr>
        <w:t xml:space="preserve"> (дата обращения: 06.11.2017).</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Гадоев Б. С. Местное самоуправление – форма народовластия в Республике Таджикистан [Электронный ресурс] //Конституционное и муниципальное право.–2016.-№5. – Режим доступа: </w:t>
      </w:r>
      <w:hyperlink r:id="rId385"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justicemaker</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view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article</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php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id</w:t>
        </w:r>
        <w:r w:rsidRPr="00DA76A7">
          <w:rPr>
            <w:rStyle w:val="af0"/>
            <w:rFonts w:ascii="Arial" w:hAnsi="Arial" w:cs="Arial"/>
            <w:color w:val="000000" w:themeColor="text1"/>
            <w:u w:val="none"/>
          </w:rPr>
          <w:t>=13&amp;</w:t>
        </w:r>
        <w:r w:rsidRPr="00DA76A7">
          <w:rPr>
            <w:rStyle w:val="af0"/>
            <w:rFonts w:ascii="Arial" w:hAnsi="Arial" w:cs="Arial"/>
            <w:color w:val="000000" w:themeColor="text1"/>
            <w:u w:val="none"/>
            <w:lang w:val="en-US"/>
          </w:rPr>
          <w:t>art</w:t>
        </w:r>
        <w:r w:rsidRPr="00DA76A7">
          <w:rPr>
            <w:rStyle w:val="af0"/>
            <w:rFonts w:ascii="Arial" w:hAnsi="Arial" w:cs="Arial"/>
            <w:color w:val="000000" w:themeColor="text1"/>
            <w:u w:val="none"/>
          </w:rPr>
          <w:t>=6003</w:t>
        </w:r>
      </w:hyperlink>
      <w:r w:rsidRPr="00DA76A7">
        <w:rPr>
          <w:rFonts w:ascii="Arial" w:hAnsi="Arial" w:cs="Arial"/>
          <w:color w:val="000000" w:themeColor="text1"/>
        </w:rPr>
        <w:t xml:space="preserve"> (дата обращения: 05.03.2108).</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Дзялошинский И. М. Гражданское общество в России: настоящее смутно, будущее туманно [Электронный ресурс] //Аналитический портал гуманитарные технологии. – 26. 10. 2010. – Режим доступа: </w:t>
      </w:r>
      <w:hyperlink r:id="rId386"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gtmarket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laboratory</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expertize</w:t>
        </w:r>
        <w:r w:rsidRPr="00DA76A7">
          <w:rPr>
            <w:rStyle w:val="af0"/>
            <w:rFonts w:ascii="Arial" w:hAnsi="Arial" w:cs="Arial"/>
            <w:color w:val="000000" w:themeColor="text1"/>
            <w:u w:val="none"/>
          </w:rPr>
          <w:t>/5118</w:t>
        </w:r>
      </w:hyperlink>
      <w:r w:rsidRPr="00DA76A7">
        <w:rPr>
          <w:rFonts w:ascii="Arial" w:hAnsi="Arial" w:cs="Arial"/>
          <w:color w:val="000000" w:themeColor="text1"/>
        </w:rPr>
        <w:t xml:space="preserve"> (дата обращения: 04.11.2017).</w:t>
      </w:r>
    </w:p>
    <w:p w:rsidR="005B31C6" w:rsidRPr="00DA76A7" w:rsidRDefault="005B31C6" w:rsidP="00D45D6B">
      <w:pPr>
        <w:pStyle w:val="a6"/>
        <w:numPr>
          <w:ilvl w:val="0"/>
          <w:numId w:val="157"/>
        </w:numPr>
        <w:tabs>
          <w:tab w:val="left" w:pos="851"/>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Добрынина Е. Кампания за компанию [Электронный ресурс] //Российская газета.- 2014. - №6476(204). – Режим доступа: </w:t>
      </w:r>
      <w:hyperlink r:id="rId387" w:history="1">
        <w:r w:rsidRPr="00DA76A7">
          <w:rPr>
            <w:rStyle w:val="af0"/>
            <w:rFonts w:ascii="Arial" w:hAnsi="Arial" w:cs="Arial"/>
            <w:color w:val="000000" w:themeColor="text1"/>
            <w:u w:val="none"/>
            <w:lang w:val="en-US"/>
          </w:rPr>
          <w:t>https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rg</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/2014/09/09/</w:t>
        </w:r>
        <w:r w:rsidRPr="00DA76A7">
          <w:rPr>
            <w:rStyle w:val="af0"/>
            <w:rFonts w:ascii="Arial" w:hAnsi="Arial" w:cs="Arial"/>
            <w:color w:val="000000" w:themeColor="text1"/>
            <w:u w:val="none"/>
            <w:lang w:val="en-US"/>
          </w:rPr>
          <w:t>peremen</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html</w:t>
        </w:r>
      </w:hyperlink>
      <w:r w:rsidRPr="00DA76A7">
        <w:rPr>
          <w:rFonts w:ascii="Arial" w:hAnsi="Arial" w:cs="Arial"/>
          <w:color w:val="000000" w:themeColor="text1"/>
        </w:rPr>
        <w:t xml:space="preserve"> (дата обращения: 05.11.2017).</w:t>
      </w:r>
    </w:p>
    <w:p w:rsidR="005B31C6" w:rsidRPr="00DA76A7" w:rsidRDefault="005B31C6" w:rsidP="00D45D6B">
      <w:pPr>
        <w:pStyle w:val="a6"/>
        <w:numPr>
          <w:ilvl w:val="0"/>
          <w:numId w:val="15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Информация о зарегистрированных НКО в РФ [Электронный ресурс] //Информационный портал Министерства юстиции Российской Федерации. 2018. – Режим доступа: </w:t>
      </w:r>
      <w:hyperlink r:id="rId388"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unro</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minjust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NKOs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aspx</w:t>
        </w:r>
      </w:hyperlink>
      <w:r w:rsidRPr="00DA76A7">
        <w:rPr>
          <w:rFonts w:ascii="Arial" w:hAnsi="Arial" w:cs="Arial"/>
          <w:color w:val="000000" w:themeColor="text1"/>
        </w:rPr>
        <w:t xml:space="preserve"> (дата обращения: 02.11.2017).</w:t>
      </w:r>
    </w:p>
    <w:p w:rsidR="005B31C6" w:rsidRPr="00DA76A7" w:rsidRDefault="005B31C6" w:rsidP="00D45D6B">
      <w:pPr>
        <w:pStyle w:val="a6"/>
        <w:numPr>
          <w:ilvl w:val="0"/>
          <w:numId w:val="15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Матюшева Т.Н. Государственность — социально-политический фактор функционирования и развития национальной системы образования // Наука и образование: хозяйство и экономика; предпринимательство; право и управление. 2012. N2 4(23). C. 48-54.</w:t>
      </w:r>
    </w:p>
    <w:p w:rsidR="005B31C6" w:rsidRPr="00DA76A7" w:rsidRDefault="005B31C6" w:rsidP="00D45D6B">
      <w:pPr>
        <w:pStyle w:val="a6"/>
        <w:numPr>
          <w:ilvl w:val="0"/>
          <w:numId w:val="15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Матюшева Т.Н. Обеспечение права на образование детей со специальным статусом — функция социального государства // Современное право . 2010. № 5. С. 49-53.</w:t>
      </w:r>
    </w:p>
    <w:p w:rsidR="005B31C6" w:rsidRPr="00DA76A7" w:rsidRDefault="005B31C6" w:rsidP="00D45D6B">
      <w:pPr>
        <w:pStyle w:val="a6"/>
        <w:numPr>
          <w:ilvl w:val="0"/>
          <w:numId w:val="15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Население России: численность, динамика, статистика [Электронный ресурс] //  Сайт о странах и городах. – Режим доступа: </w:t>
      </w:r>
      <w:hyperlink r:id="rId389"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statdata</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russia</w:t>
        </w:r>
      </w:hyperlink>
      <w:r w:rsidRPr="00DA76A7">
        <w:rPr>
          <w:rFonts w:ascii="Arial" w:hAnsi="Arial" w:cs="Arial"/>
          <w:color w:val="000000" w:themeColor="text1"/>
        </w:rPr>
        <w:t xml:space="preserve"> (дата обращения: 29.10.2017).</w:t>
      </w:r>
    </w:p>
    <w:p w:rsidR="005B31C6" w:rsidRPr="00DA76A7" w:rsidRDefault="005B31C6" w:rsidP="00D45D6B">
      <w:pPr>
        <w:pStyle w:val="a6"/>
        <w:numPr>
          <w:ilvl w:val="0"/>
          <w:numId w:val="15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Петров Н. Проблемы и перспективы развития гражданского общества в России [Электронный ресурс] // Московский Центр Карнеги. – 2010. – Режим доступа:  </w:t>
      </w:r>
      <w:hyperlink r:id="rId390"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carnegie</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/2010/05/26/</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event</w:t>
        </w:r>
        <w:r w:rsidRPr="00DA76A7">
          <w:rPr>
            <w:rStyle w:val="af0"/>
            <w:rFonts w:ascii="Arial" w:hAnsi="Arial" w:cs="Arial"/>
            <w:color w:val="000000" w:themeColor="text1"/>
            <w:u w:val="none"/>
          </w:rPr>
          <w:t>-2926</w:t>
        </w:r>
      </w:hyperlink>
      <w:r w:rsidRPr="00DA76A7">
        <w:rPr>
          <w:rFonts w:ascii="Arial" w:hAnsi="Arial" w:cs="Arial"/>
          <w:color w:val="000000" w:themeColor="text1"/>
        </w:rPr>
        <w:t xml:space="preserve"> (дата обращения: 02.11.2017).</w:t>
      </w:r>
    </w:p>
    <w:p w:rsidR="005B31C6" w:rsidRPr="00DA76A7" w:rsidRDefault="005B31C6" w:rsidP="00D45D6B">
      <w:pPr>
        <w:pStyle w:val="a6"/>
        <w:numPr>
          <w:ilvl w:val="0"/>
          <w:numId w:val="157"/>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Путин поздравил Рахмона с Днем независимости Таджикистана [Электронный ресурс] // Новостной портал МИР24. – 2017. – Режим доступа: </w:t>
      </w:r>
      <w:hyperlink r:id="rId391" w:history="1">
        <w:r w:rsidRPr="00DA76A7">
          <w:rPr>
            <w:rStyle w:val="af0"/>
            <w:rFonts w:ascii="Arial" w:hAnsi="Arial" w:cs="Arial"/>
            <w:color w:val="000000" w:themeColor="text1"/>
            <w:u w:val="none"/>
            <w:lang w:val="en-US"/>
          </w:rPr>
          <w:t>https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mir</w:t>
        </w:r>
        <w:r w:rsidRPr="00DA76A7">
          <w:rPr>
            <w:rStyle w:val="af0"/>
            <w:rFonts w:ascii="Arial" w:hAnsi="Arial" w:cs="Arial"/>
            <w:color w:val="000000" w:themeColor="text1"/>
            <w:u w:val="none"/>
          </w:rPr>
          <w:t>24.</w:t>
        </w:r>
        <w:r w:rsidRPr="00DA76A7">
          <w:rPr>
            <w:rStyle w:val="af0"/>
            <w:rFonts w:ascii="Arial" w:hAnsi="Arial" w:cs="Arial"/>
            <w:color w:val="000000" w:themeColor="text1"/>
            <w:u w:val="none"/>
            <w:lang w:val="en-US"/>
          </w:rPr>
          <w:t>tv</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news</w:t>
        </w:r>
        <w:r w:rsidRPr="00DA76A7">
          <w:rPr>
            <w:rStyle w:val="af0"/>
            <w:rFonts w:ascii="Arial" w:hAnsi="Arial" w:cs="Arial"/>
            <w:color w:val="000000" w:themeColor="text1"/>
            <w:u w:val="none"/>
          </w:rPr>
          <w:t>/16266778/</w:t>
        </w:r>
        <w:r w:rsidRPr="00DA76A7">
          <w:rPr>
            <w:rStyle w:val="af0"/>
            <w:rFonts w:ascii="Arial" w:hAnsi="Arial" w:cs="Arial"/>
            <w:color w:val="000000" w:themeColor="text1"/>
            <w:u w:val="none"/>
            <w:lang w:val="en-US"/>
          </w:rPr>
          <w:t>putin</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pozdravil</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rahmona</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dnem</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nezavisimosti</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tadzhikistana</w:t>
        </w:r>
      </w:hyperlink>
      <w:r w:rsidRPr="00DA76A7">
        <w:rPr>
          <w:rFonts w:ascii="Arial" w:hAnsi="Arial" w:cs="Arial"/>
          <w:color w:val="000000" w:themeColor="text1"/>
        </w:rPr>
        <w:t xml:space="preserve"> (дата обращения: 11.03.2018).</w:t>
      </w:r>
    </w:p>
    <w:p w:rsidR="00197CE7" w:rsidRPr="00DA76A7" w:rsidRDefault="00197CE7" w:rsidP="005B31C6">
      <w:pPr>
        <w:ind w:firstLine="567"/>
        <w:jc w:val="center"/>
        <w:rPr>
          <w:rFonts w:ascii="Arial" w:hAnsi="Arial" w:cs="Arial"/>
          <w:b/>
          <w:caps/>
          <w:color w:val="000000" w:themeColor="text1"/>
          <w:sz w:val="22"/>
          <w:szCs w:val="22"/>
        </w:rPr>
      </w:pPr>
    </w:p>
    <w:p w:rsidR="00197CE7" w:rsidRPr="00DA76A7" w:rsidRDefault="00197CE7" w:rsidP="005B31C6">
      <w:pPr>
        <w:ind w:firstLine="567"/>
        <w:jc w:val="center"/>
        <w:rPr>
          <w:rFonts w:ascii="Arial" w:hAnsi="Arial" w:cs="Arial"/>
          <w:b/>
          <w:caps/>
          <w:color w:val="000000" w:themeColor="text1"/>
          <w:sz w:val="22"/>
          <w:szCs w:val="22"/>
        </w:rPr>
      </w:pPr>
    </w:p>
    <w:p w:rsidR="005B31C6" w:rsidRPr="00DA76A7" w:rsidRDefault="005B31C6" w:rsidP="005B31C6">
      <w:pPr>
        <w:ind w:firstLine="567"/>
        <w:jc w:val="center"/>
        <w:rPr>
          <w:rFonts w:ascii="Arial" w:hAnsi="Arial" w:cs="Arial"/>
          <w:b/>
          <w:caps/>
          <w:color w:val="000000" w:themeColor="text1"/>
          <w:sz w:val="22"/>
          <w:szCs w:val="22"/>
        </w:rPr>
      </w:pPr>
      <w:r w:rsidRPr="00DA76A7">
        <w:rPr>
          <w:rFonts w:ascii="Arial" w:hAnsi="Arial" w:cs="Arial"/>
          <w:b/>
          <w:caps/>
          <w:color w:val="000000" w:themeColor="text1"/>
          <w:sz w:val="22"/>
          <w:szCs w:val="22"/>
        </w:rPr>
        <w:t>Система национальной безопасности как непременный атрибут государственности в контексте международного сотрудничества Российской Федерации и Республики Таджикистан</w:t>
      </w:r>
    </w:p>
    <w:p w:rsidR="005B31C6" w:rsidRPr="00DA76A7" w:rsidRDefault="005B31C6" w:rsidP="005B31C6">
      <w:pPr>
        <w:ind w:firstLine="567"/>
        <w:jc w:val="center"/>
        <w:rPr>
          <w:rFonts w:ascii="Arial" w:hAnsi="Arial" w:cs="Arial"/>
          <w:b/>
          <w:caps/>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Копылова Ирина Александровна</w:t>
      </w:r>
    </w:p>
    <w:p w:rsidR="005B31C6" w:rsidRPr="00DA76A7" w:rsidRDefault="005B31C6" w:rsidP="005B31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1-го года обучения заочного отделения юридического факультета</w:t>
      </w:r>
    </w:p>
    <w:p w:rsidR="005B31C6" w:rsidRPr="00DA76A7" w:rsidRDefault="005B31C6" w:rsidP="005B31C6">
      <w:pPr>
        <w:jc w:val="center"/>
        <w:rPr>
          <w:rFonts w:ascii="Arial" w:hAnsi="Arial" w:cs="Arial"/>
          <w:bCs/>
          <w:color w:val="000000" w:themeColor="text1"/>
          <w:sz w:val="22"/>
          <w:szCs w:val="22"/>
        </w:rPr>
      </w:pPr>
      <w:r w:rsidRPr="00DA76A7">
        <w:rPr>
          <w:rFonts w:ascii="Arial" w:hAnsi="Arial" w:cs="Arial"/>
          <w:bCs/>
          <w:color w:val="000000" w:themeColor="text1"/>
          <w:sz w:val="22"/>
          <w:szCs w:val="22"/>
        </w:rPr>
        <w:t>Северо-Кавказский филиал Российского государственного университета правосудия</w:t>
      </w:r>
    </w:p>
    <w:p w:rsidR="005B31C6" w:rsidRPr="00DA76A7" w:rsidRDefault="005B31C6" w:rsidP="005B31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350002, Российская Федерация, г. Краснодар, ул. Леваневского 187/1</w:t>
      </w:r>
    </w:p>
    <w:p w:rsidR="005B31C6" w:rsidRPr="00DA76A7" w:rsidRDefault="005B31C6" w:rsidP="005B31C6">
      <w:pPr>
        <w:ind w:firstLine="567"/>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9530692847, </w:t>
      </w:r>
      <w:r w:rsidRPr="00DA76A7">
        <w:rPr>
          <w:rFonts w:ascii="Arial" w:hAnsi="Arial" w:cs="Arial"/>
          <w:color w:val="000000" w:themeColor="text1"/>
          <w:sz w:val="22"/>
          <w:szCs w:val="22"/>
          <w:lang w:val="en-US"/>
        </w:rPr>
        <w:t>e</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mamaizya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p>
    <w:p w:rsidR="005B31C6" w:rsidRPr="00DA76A7" w:rsidRDefault="005B31C6" w:rsidP="005B31C6">
      <w:pPr>
        <w:ind w:firstLine="567"/>
        <w:jc w:val="center"/>
        <w:rPr>
          <w:rFonts w:ascii="Arial" w:hAnsi="Arial" w:cs="Arial"/>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THE SYSTEM OF NATIONAL SECURITY AS INDISPENSABLE ATTRIBUTE OF STATEHOOD IN THE CONTEXT OF INTERNATIONAL COOPERATION OF RUSSIAN FEDERATION AND REPUBLIC OF TAJIKISTAN</w:t>
      </w:r>
    </w:p>
    <w:p w:rsidR="005B31C6" w:rsidRPr="00DA76A7" w:rsidRDefault="005B31C6" w:rsidP="005B31C6">
      <w:pPr>
        <w:ind w:firstLine="567"/>
        <w:jc w:val="center"/>
        <w:rPr>
          <w:rFonts w:ascii="Arial" w:hAnsi="Arial" w:cs="Arial"/>
          <w:b/>
          <w:color w:val="000000" w:themeColor="text1"/>
          <w:sz w:val="22"/>
          <w:szCs w:val="22"/>
          <w:lang w:val="en-US"/>
        </w:rPr>
      </w:pPr>
    </w:p>
    <w:p w:rsidR="005B31C6" w:rsidRPr="00DA76A7" w:rsidRDefault="005B31C6" w:rsidP="005B31C6">
      <w:pPr>
        <w:ind w:firstLine="567"/>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Kopylova Irina Alexandrovna</w:t>
      </w:r>
    </w:p>
    <w:p w:rsidR="005B31C6" w:rsidRPr="00DA76A7" w:rsidRDefault="005B31C6" w:rsidP="005B31C6">
      <w:pPr>
        <w:ind w:firstLine="567"/>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Undergraduate 1st year student of distant education department of the law faculty</w:t>
      </w:r>
    </w:p>
    <w:p w:rsidR="005B31C6" w:rsidRPr="00DA76A7" w:rsidRDefault="005B31C6" w:rsidP="005B31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Russian state-run university of justice North-Caucasian branch</w:t>
      </w:r>
    </w:p>
    <w:p w:rsidR="005B31C6" w:rsidRPr="00DA76A7" w:rsidRDefault="005B31C6" w:rsidP="005B31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350002, Russian Federation, Krasnodar, st. Levanevskogo 187/1</w:t>
      </w:r>
    </w:p>
    <w:p w:rsidR="005B31C6" w:rsidRPr="00DA76A7" w:rsidRDefault="005B31C6" w:rsidP="005B31C6">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9530692847, e-mail: mamaizya@mail.ru</w:t>
      </w:r>
    </w:p>
    <w:p w:rsidR="005B31C6" w:rsidRPr="00DA76A7" w:rsidRDefault="005B31C6" w:rsidP="005B31C6">
      <w:pPr>
        <w:ind w:firstLine="567"/>
        <w:jc w:val="center"/>
        <w:rPr>
          <w:rFonts w:ascii="Arial" w:hAnsi="Arial" w:cs="Arial"/>
          <w:b/>
          <w:i/>
          <w:color w:val="000000" w:themeColor="text1"/>
          <w:sz w:val="22"/>
          <w:szCs w:val="22"/>
          <w:lang w:val="en-US"/>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aps/>
          <w:color w:val="000000" w:themeColor="text1"/>
          <w:sz w:val="22"/>
          <w:szCs w:val="22"/>
        </w:rPr>
        <w:t>А</w:t>
      </w:r>
      <w:r w:rsidRPr="00DA76A7">
        <w:rPr>
          <w:rFonts w:ascii="Arial" w:hAnsi="Arial" w:cs="Arial"/>
          <w:b/>
          <w:i/>
          <w:color w:val="000000" w:themeColor="text1"/>
          <w:sz w:val="22"/>
          <w:szCs w:val="22"/>
        </w:rPr>
        <w:t>ннотация.</w:t>
      </w:r>
      <w:r w:rsidRPr="00DA76A7">
        <w:rPr>
          <w:rFonts w:ascii="Arial" w:hAnsi="Arial" w:cs="Arial"/>
          <w:i/>
          <w:color w:val="000000" w:themeColor="text1"/>
          <w:sz w:val="22"/>
          <w:szCs w:val="22"/>
        </w:rPr>
        <w:t xml:space="preserve"> Статья посвящена системе национальной безопасности, которая формируется в рамках государств в соответствии с внутренним и международным законодательством. Рассматривается вопрос о взаимосвязи государственных и межгосударственных интересов, которые реализует система национальной безопасности и выражает политико-правовые, социально-экономические, общественные реалии.</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is about system of national security that forms within the scope of states in compliance with domestic and international legislation. It is considered the issue about interrelation of national and intergovernmental interests, which the system of national security realizes and it expresses political and legal, socio-economic, social actual conditions.</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национальная безопасность; законодательство; национальные интересы; партнерство; стабильность; Конституция; правовые нормы; демократические институты.</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national security; legislation; domestic interests; partnership; stability; Constitution; principles of law; democratic institutions.</w:t>
      </w:r>
    </w:p>
    <w:p w:rsidR="005B31C6" w:rsidRPr="00DA76A7" w:rsidRDefault="005B31C6" w:rsidP="005B31C6">
      <w:pPr>
        <w:ind w:firstLine="567"/>
        <w:jc w:val="both"/>
        <w:rPr>
          <w:rFonts w:ascii="Arial" w:hAnsi="Arial" w:cs="Arial"/>
          <w:i/>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Государства являются не просто отдельными территориями, населенными людьми, они являются системами, для каждой из которых характерен свой порядок, определенная деятельность, сферы интересов. В условиях современных отношений как внутри государства между людьми, гражданами и государственной властью, так между государствами, будь то территориально расположенные по соседству страны или находящиеся на другом континенте, складывается порядок, система писаных и неписаных законов, в соответствии с которыми развиваются отношения. Здесь возникает вопрос, в соответствии с какими принципами происходит взаимодействие? По всей видимости, наиболее важной, определяющей, его движущей силой оказываются национальные интересы государства, которые в первую очередь, выражают интересы населения, граждан страны. Какой интерес в приоритете у каждого человека, гражданина, народа, государства в современном мире? При детальном рассмотрении возникает единственный ответ – безопасность: личная, своих близких, страны, нашего мира. Конечно, ничего нельзя гарантировать, иметь абсолютную уверенность в завтрашнем дне, возможны миллионы обстоятельств, подвергающих нас угрозе. Однако убеждена, люди в состоянии предотвратить многие беды, скоординировать концепцию защиты в рамках государства, союза государств, что и призвана сделать система национальной безопасности.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Система безопасности формируется в рамках правовой политики государства, осуществляющейся в соответствии с национальными интересами, а также общемировыми ценностями. Так Концепция правовой политики Республики Таджикистан на 2018-2028 годы утверждает ориентир на снижение  негативного воздействия глобализации, противостояние глобальным угрозам и рискам (терроризму, экстремизму и другим), защиту информационной безопасности республики от информационных угроз современного мира; также правовая система Таджикистана должна способствовать расширению правовых основ демократического, правового и светского государства, определяющим в формировании и развитии, которого должны быть права и свободы человека [9]. Вместе с тем, Указ Президента РФ «О Стратегии национальной безопасности Российской Федерации» также выражает ряд приоритетов, реализация которых позволит успешно следовать долгосрочным национальным интересам, заявленным в документе: укрепление обороны страны, обеспечение незыблемости конституционного строя, суверенитета, независимости, государственной и территориальной целостности Российской Федерации; укрепление национального согласия, политической и социальной стабильности, развитие демократических институтов, совершенствование механизмов взаимодействия государства и гражданского общества; повышение качества жизни, укрепление здоровья населения, обеспечение стабильного демографического развития страны; сохранение и развитие культуры, традиционных российских духовно-нравственных ценностей; повышение конкурентоспособности национальной экономики [6].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Проанализировав положения указанных и иных документов [3], [4], [7], [8]  российского и таджикского законодательства в области правовой политики и национальной безопасности, можно утверждать о схожести положений, которых придерживаются Россия и Таджикистан в своей национально-правовой политике. По своей сути, в соответствии с Конституциями обеих стран, государства являются суверенными, демократическими, правовыми [1], [2]. Кроме того, в контексте развития этих стран имеются схожие интересы и цели, намерения, а также пути их достижения, что было документально зафиксировано еще в Договоре о дружбе, сотрудничестве и взаимной помощи между Российской Федерацией и Республикой Таджикистан, где среди положений сотрудничества и взаимодействия в различных областях Высокие Договаривающиеся  Стороны  взаимодействуют   в   целях укрепления  мира,  повышения  стабильности  и  безопасности  как  в глобальном, так и региональном масштабе [5]. Безусловно, к понятию безопасности необходимо подходить комплексно в связи с многообразием угроз и вызовов в современном многополярном мире, здесь, прежде всего, важна внутренняя стабильность, и с другой стороны, внешняя, международная безопасность, которая априори зависит от всех участников политико-правового процесса.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Во-первых, безопасность внутри государства является не только оплотом стабильности и уверенности граждан в своем государстве, но и условием развития, что непременно сказывается на социально-экономических и общественных отношениях, культурных связях, что также способствует развитию взаимодействия с другими странами, прежде всего соседними. Здесь возникает своего рода закономерность – чем стабильнее ситуация внутри страны, тем успешнее отношения с соседями, ведь партнерские отношения развиваются, как правило, в контексте равноправия, взаимоуважения интересов и соблюдения суверенитетов. Не будем говорить о ситуациях в мировой политике, где взаимодействие осуществляется по схеме главный и подчиненный, полагаем, такие отношения уже никак нельзя назвать партнерством.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Во-вторых, внешнюю безопасность можно назвать средой, где имеют место разнообразные интересы, ограниченные общемировыми нормами права и морали, общечеловеческими ценностями, принципами гуманизма и справедливости, являющиеся своего рода ориентиром развития международных отношений. К сожалению, на практике данные положения часто ставятся под сомнения, не их природа, а реальность применения. Для успешной реализации внешней, межнациональной безопасности, считаем, важно отдать предпочтение партнерским отношениям, взаимовыгодному сотрудничеству, которое, известно, может проявляться в самых разнообразных сферах: экономика, правовые, общественно-политические процессы, социальные механизмы, культурно-религиозный опыт, общественно-гражданские связи и пр. Так необходимо отметить, что, прежде всего, государства являются ключевыми акторами формирования и функционирования системы национальной безопасности; в контексте государственности существуют народы и национальности, а значит, их интересы априори должны быть тождественны, осуществлению которых и способствуют национальные системы безопасности стран. Рассматривая вопрос о системе национальной безопасности в государственности в современном мире, становится очевидной тенденция к всеобщей взаимосвязи, нет, это не сближение, все они отделены друг от друга, но одновременно связаны и взаимодействую, являясь по своей сути комплексом структурных элементов. Итак, внутренняя, национальная безопасность, безусловно, сопряжена с внешней безопасностью, что непременно осуществляется именно в контексте государства, где подразумевается деятельность государственной власти, главных должностных лиц, руководителей государства, государственной политики и стратегического планирования, законодательной правовой государственной системы, выражение волеизъявления граждан в рамках национальных интересов. Со стороны внешней безопасности также наблюдается взаимосвязь с национальной безопасностью отдельных государств, при условии их внутренней стабильности, национальном единстве, т.е. отождествлении гражданами себя единым народом, независимо от религии, национальности, духовного воспитания, в условиях свободы от предрассудков и предубеждений. При условии ощущения единства среди населения, проживающего в государстве, общего духовного стержня, на фоне которого возникает также важный фактор безопасности в рамках государственности – патриотизм, формируется и укореняется гармоничное развитие внутри страны, что в дальнейшем вызывает заинтересованность внешними делами, желанием завязать партнерские и дружеские отношения с соседними государствами, установить контакты и наладить сотрудничество с другими странами мира с целью обеспечения как внешней безопасности, так и готовности принять участие в организации глобальной системы безопасности, по сути объединяющей национальные системы безопасности государств.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Кроме того, двустороннюю взаимосвязь внутренней и внешней безопасности в контексте государственности обеспечивает внутреннее законодательство стран, прежде всего, Конституции, как это предусмотрено в Российской Федерации и Республике Таджикистан, в соответствии с Основными законами стран формируются стратегии национальной безопасности, являющиеся продуктом реализации интересов государства посредством общественно-политической, правовой деятельности государственной власти. Однако и здесь наблюдается взаимосвязь в области внутреннего и международного законодательства, которые оказываются связаны определенными общемировыми принципами, но при этом не тождественны, ведь помимо глобальных, существуют наиболее важные, как это видно на практике, национальные интересы государств. Следует отметить, что в процессе рассмотрения системы национальной безопасности государств автор не придает понятию национального интереса характер могущества и силы государства, что было свойственно концепции политического реализма конца ХХ в. Здесь национальный интерес имеет субъективное значение, то есть интерес отдельной нации, ее реальные стремления и цели в вопросах жизнедеятельности внутри своего государства и его роль в общественно-политических мировых процессах. Полагаю, что в данном контексте понятие национального интереса более связано с правом, нежели с международной политикой и системой международных отношений, поскольку здесь национальный интерес есть интерес граждан государства, а право является механизмом его реализации, где государство оказывается сферой применения права, также гарантом гражданских прав и свобод. В результате успешного осуществления заявленных процессов формируется и действует система национальной безопасности, фактически являющаяся практическим продуктом реализации национальных интересов, выраженных через законодательство страны, а именно: Конституцию, Федеральные законы, Указы Президента, Стратегию национальной безопасности.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систему национальной безопасности можно определить как совокупность практических выражений государственных и межгосударственных правовых и общественно-политических процессов, носящую структурный характер и входящую в комплекс взаимного действия между гражданами и государством, между государствами и мировым сообществом. Возвращаясь к положениям национальной безопасности в Российской Федерации и Республики Таджикистан необходимо отметить частные случаи, характерные для указанных стран. Во-первых, внутреннее положение свидетельствует о важности выработки и реализации стратегий национальной безопасности, где приоритет отдается социально-экономическому развитию, укреплению государственной власти, ее легитимности, авторитета для упрочнения общественно-политической стабильности государства. Во-вторых, со стороны внешней безопасности для обеих стран чрезвычайно актуальны доверительные, дружеские отношения, что усилит внутреннюю защищенность. Так в результате встречи Лидеров Российской Федерации и Республики Таджикистан Президента В. В. Путина и Президента Э. Рахмона в феврале 2017 года стороны подчеркнули дружеский характер отношений между двумя странами, выразив намерение продолжать развитие торгово-экономических связей [11].</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примере двух наших стран можно проследить успешный пример взаимодействия суверенных государств, основанный на принципе партнерства и дружбы, здесь отношения  имеют характер взаимовыгодного сотрудничества, что в результате дает положительный результат для обеих стран в социально-экономических, общественно-политических, правовых, культурных, национальных связях. Подобного рода отношения, безусловно, оказывают положительный эффект и на развитие системы национальной безопасности как отдельно взятого государства, так и их союза, что может служить своего рода моделью для сотрудничества в контексте системы национальной безопасности государств. Полагаю, государства, являясь представителями национальных интересов, а значит, интересов своих граждан в мировом сообществе, должны быть заинтересованы и стремиться к формированию и упрочнению многополярной, но одновременно коллективной, системы национальной безопасности, реализовать которую нужно в соответствии с принципами, дружбы и партнерства, союзничества, («государственность как сложный комплекс элементов, структур, институтов публичной власти; как свойство, состояние общества, строй общественных отношений, влияет на общественные институты») [10, с. 48], здоровой конкуренции, которая возможна в различных сферах деятельности государства. Подобные положения возможно реализовать посредством реального соблюдения уже существующих правовых норм международного законодательства, следует придерживаться их, а также развивать и совершенствовать решение вопросов, затрагивающих общемировые интересы. Итак, можно сделать два вывода относительно системы национальной безопасности в контексте государственности: во-первых, система национальной безопасности имеет двойственный характер, являясь как государственной (гражданской), так и глобальной (общемировые интересы); во-вторых, концепция национальной безопасности является выражением современного права, представляя интересы государств в законодательстве, как внутреннем, так и международном. Подобные утверждения выражают важность роли права в вопросе реализации стратегий национальной безопасности, суть которых заключается в интересах государств, воплощение которых должно осуществляться подобающим образом, а именно в соответствии с принципами государственного суверенитета, взаимовыгодного сотрудничества и партнерства в целях усиления защищенности и стабильности жизни граждан. </w:t>
      </w:r>
    </w:p>
    <w:p w:rsidR="005B31C6" w:rsidRPr="00DA76A7" w:rsidRDefault="005B31C6" w:rsidP="005B31C6">
      <w:pPr>
        <w:ind w:firstLine="567"/>
        <w:jc w:val="both"/>
        <w:rPr>
          <w:rFonts w:ascii="Arial" w:hAnsi="Arial" w:cs="Arial"/>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 [Электронный ресурс] // Интернет портал правовой информации. – Режим доступа: </w:t>
      </w:r>
      <w:hyperlink r:id="rId392"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consultant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document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w:t>
        </w:r>
        <w:r w:rsidRPr="00DA76A7">
          <w:rPr>
            <w:rStyle w:val="af0"/>
            <w:rFonts w:ascii="Arial" w:hAnsi="Arial" w:cs="Arial"/>
            <w:color w:val="000000" w:themeColor="text1"/>
            <w:u w:val="none"/>
          </w:rPr>
          <w:t>_</w:t>
        </w:r>
        <w:r w:rsidRPr="00DA76A7">
          <w:rPr>
            <w:rStyle w:val="af0"/>
            <w:rFonts w:ascii="Arial" w:hAnsi="Arial" w:cs="Arial"/>
            <w:color w:val="000000" w:themeColor="text1"/>
            <w:u w:val="none"/>
            <w:lang w:val="en-US"/>
          </w:rPr>
          <w:t>doc</w:t>
        </w:r>
        <w:r w:rsidRPr="00DA76A7">
          <w:rPr>
            <w:rStyle w:val="af0"/>
            <w:rFonts w:ascii="Arial" w:hAnsi="Arial" w:cs="Arial"/>
            <w:color w:val="000000" w:themeColor="text1"/>
            <w:u w:val="none"/>
          </w:rPr>
          <w:t>_</w:t>
        </w:r>
        <w:r w:rsidRPr="00DA76A7">
          <w:rPr>
            <w:rStyle w:val="af0"/>
            <w:rFonts w:ascii="Arial" w:hAnsi="Arial" w:cs="Arial"/>
            <w:color w:val="000000" w:themeColor="text1"/>
            <w:u w:val="none"/>
            <w:lang w:val="en-US"/>
          </w:rPr>
          <w:t>LAW</w:t>
        </w:r>
        <w:r w:rsidRPr="00DA76A7">
          <w:rPr>
            <w:rStyle w:val="af0"/>
            <w:rFonts w:ascii="Arial" w:hAnsi="Arial" w:cs="Arial"/>
            <w:color w:val="000000" w:themeColor="text1"/>
            <w:u w:val="none"/>
          </w:rPr>
          <w:t>_28399/</w:t>
        </w:r>
      </w:hyperlink>
      <w:r w:rsidRPr="00DA76A7">
        <w:rPr>
          <w:rFonts w:ascii="Arial" w:hAnsi="Arial" w:cs="Arial"/>
          <w:color w:val="000000" w:themeColor="text1"/>
        </w:rPr>
        <w:t xml:space="preserve"> (дата обращения: 27.02.2018).</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Конституция Республики Таджикистан [Электронный ресурс] // Официальный сайт Президента Республики Таджикистан. – Режим доступа: </w:t>
      </w:r>
      <w:hyperlink r:id="rId393"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president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tj</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taxonomy</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term</w:t>
        </w:r>
        <w:r w:rsidRPr="00DA76A7">
          <w:rPr>
            <w:rStyle w:val="af0"/>
            <w:rFonts w:ascii="Arial" w:hAnsi="Arial" w:cs="Arial"/>
            <w:color w:val="000000" w:themeColor="text1"/>
            <w:u w:val="none"/>
          </w:rPr>
          <w:t>/5/112</w:t>
        </w:r>
      </w:hyperlink>
      <w:r w:rsidRPr="00DA76A7">
        <w:rPr>
          <w:rFonts w:ascii="Arial" w:hAnsi="Arial" w:cs="Arial"/>
          <w:color w:val="000000" w:themeColor="text1"/>
        </w:rPr>
        <w:t xml:space="preserve"> (дата обращения: 01.03.2018).</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Федеральный закон от 28.12.2010 N 390-ФЗ (ред. от 05.10.2015) «О безопасности» [Электронный ресурс] // Интернет портал правовой информации. – Режим доступа: </w:t>
      </w:r>
      <w:hyperlink r:id="rId394" w:anchor="08384144292307703"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consultant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cgi</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online</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cgi</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req</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doc</w:t>
        </w:r>
        <w:r w:rsidRPr="00DA76A7">
          <w:rPr>
            <w:rStyle w:val="af0"/>
            <w:rFonts w:ascii="Arial" w:hAnsi="Arial" w:cs="Arial"/>
            <w:color w:val="000000" w:themeColor="text1"/>
            <w:u w:val="none"/>
          </w:rPr>
          <w:t>&amp;</w:t>
        </w:r>
        <w:r w:rsidRPr="00DA76A7">
          <w:rPr>
            <w:rStyle w:val="af0"/>
            <w:rFonts w:ascii="Arial" w:hAnsi="Arial" w:cs="Arial"/>
            <w:color w:val="000000" w:themeColor="text1"/>
            <w:u w:val="none"/>
            <w:lang w:val="en-US"/>
          </w:rPr>
          <w:t>base</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LAW</w:t>
        </w:r>
        <w:r w:rsidRPr="00DA76A7">
          <w:rPr>
            <w:rStyle w:val="af0"/>
            <w:rFonts w:ascii="Arial" w:hAnsi="Arial" w:cs="Arial"/>
            <w:color w:val="000000" w:themeColor="text1"/>
            <w:u w:val="none"/>
          </w:rPr>
          <w:t>&amp;</w:t>
        </w:r>
        <w:r w:rsidRPr="00DA76A7">
          <w:rPr>
            <w:rStyle w:val="af0"/>
            <w:rFonts w:ascii="Arial" w:hAnsi="Arial" w:cs="Arial"/>
            <w:color w:val="000000" w:themeColor="text1"/>
            <w:u w:val="none"/>
            <w:lang w:val="en-US"/>
          </w:rPr>
          <w:t>n</w:t>
        </w:r>
        <w:r w:rsidRPr="00DA76A7">
          <w:rPr>
            <w:rStyle w:val="af0"/>
            <w:rFonts w:ascii="Arial" w:hAnsi="Arial" w:cs="Arial"/>
            <w:color w:val="000000" w:themeColor="text1"/>
            <w:u w:val="none"/>
          </w:rPr>
          <w:t>=187049&amp;</w:t>
        </w:r>
        <w:r w:rsidRPr="00DA76A7">
          <w:rPr>
            <w:rStyle w:val="af0"/>
            <w:rFonts w:ascii="Arial" w:hAnsi="Arial" w:cs="Arial"/>
            <w:color w:val="000000" w:themeColor="text1"/>
            <w:u w:val="none"/>
            <w:lang w:val="en-US"/>
          </w:rPr>
          <w:t>rnd</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B</w:t>
        </w:r>
        <w:r w:rsidRPr="00DA76A7">
          <w:rPr>
            <w:rStyle w:val="af0"/>
            <w:rFonts w:ascii="Arial" w:hAnsi="Arial" w:cs="Arial"/>
            <w:color w:val="000000" w:themeColor="text1"/>
            <w:u w:val="none"/>
          </w:rPr>
          <w:t>2</w:t>
        </w:r>
        <w:r w:rsidRPr="00DA76A7">
          <w:rPr>
            <w:rStyle w:val="af0"/>
            <w:rFonts w:ascii="Arial" w:hAnsi="Arial" w:cs="Arial"/>
            <w:color w:val="000000" w:themeColor="text1"/>
            <w:u w:val="none"/>
            <w:lang w:val="en-US"/>
          </w:rPr>
          <w:t>F</w:t>
        </w:r>
        <w:r w:rsidRPr="00DA76A7">
          <w:rPr>
            <w:rStyle w:val="af0"/>
            <w:rFonts w:ascii="Arial" w:hAnsi="Arial" w:cs="Arial"/>
            <w:color w:val="000000" w:themeColor="text1"/>
            <w:u w:val="none"/>
          </w:rPr>
          <w:t>557</w:t>
        </w:r>
        <w:r w:rsidRPr="00DA76A7">
          <w:rPr>
            <w:rStyle w:val="af0"/>
            <w:rFonts w:ascii="Arial" w:hAnsi="Arial" w:cs="Arial"/>
            <w:color w:val="000000" w:themeColor="text1"/>
            <w:u w:val="none"/>
            <w:lang w:val="en-US"/>
          </w:rPr>
          <w:t>CB</w:t>
        </w:r>
        <w:r w:rsidRPr="00DA76A7">
          <w:rPr>
            <w:rStyle w:val="af0"/>
            <w:rFonts w:ascii="Arial" w:hAnsi="Arial" w:cs="Arial"/>
            <w:color w:val="000000" w:themeColor="text1"/>
            <w:u w:val="none"/>
          </w:rPr>
          <w:t>0</w:t>
        </w:r>
        <w:r w:rsidRPr="00DA76A7">
          <w:rPr>
            <w:rStyle w:val="af0"/>
            <w:rFonts w:ascii="Arial" w:hAnsi="Arial" w:cs="Arial"/>
            <w:color w:val="000000" w:themeColor="text1"/>
            <w:u w:val="none"/>
            <w:lang w:val="en-US"/>
          </w:rPr>
          <w:t>CADC</w:t>
        </w:r>
        <w:r w:rsidRPr="00DA76A7">
          <w:rPr>
            <w:rStyle w:val="af0"/>
            <w:rFonts w:ascii="Arial" w:hAnsi="Arial" w:cs="Arial"/>
            <w:color w:val="000000" w:themeColor="text1"/>
            <w:u w:val="none"/>
          </w:rPr>
          <w:t>43</w:t>
        </w:r>
        <w:r w:rsidRPr="00DA76A7">
          <w:rPr>
            <w:rStyle w:val="af0"/>
            <w:rFonts w:ascii="Arial" w:hAnsi="Arial" w:cs="Arial"/>
            <w:color w:val="000000" w:themeColor="text1"/>
            <w:u w:val="none"/>
            <w:lang w:val="en-US"/>
          </w:rPr>
          <w:t>F</w:t>
        </w:r>
        <w:r w:rsidRPr="00DA76A7">
          <w:rPr>
            <w:rStyle w:val="af0"/>
            <w:rFonts w:ascii="Arial" w:hAnsi="Arial" w:cs="Arial"/>
            <w:color w:val="000000" w:themeColor="text1"/>
            <w:u w:val="none"/>
          </w:rPr>
          <w:t>0</w:t>
        </w:r>
        <w:r w:rsidRPr="00DA76A7">
          <w:rPr>
            <w:rStyle w:val="af0"/>
            <w:rFonts w:ascii="Arial" w:hAnsi="Arial" w:cs="Arial"/>
            <w:color w:val="000000" w:themeColor="text1"/>
            <w:u w:val="none"/>
            <w:lang w:val="en-US"/>
          </w:rPr>
          <w:t>E</w:t>
        </w:r>
        <w:r w:rsidRPr="00DA76A7">
          <w:rPr>
            <w:rStyle w:val="af0"/>
            <w:rFonts w:ascii="Arial" w:hAnsi="Arial" w:cs="Arial"/>
            <w:color w:val="000000" w:themeColor="text1"/>
            <w:u w:val="none"/>
          </w:rPr>
          <w:t>49</w:t>
        </w:r>
        <w:r w:rsidRPr="00DA76A7">
          <w:rPr>
            <w:rStyle w:val="af0"/>
            <w:rFonts w:ascii="Arial" w:hAnsi="Arial" w:cs="Arial"/>
            <w:color w:val="000000" w:themeColor="text1"/>
            <w:u w:val="none"/>
            <w:lang w:val="en-US"/>
          </w:rPr>
          <w:t>ECAF</w:t>
        </w:r>
        <w:r w:rsidRPr="00DA76A7">
          <w:rPr>
            <w:rStyle w:val="af0"/>
            <w:rFonts w:ascii="Arial" w:hAnsi="Arial" w:cs="Arial"/>
            <w:color w:val="000000" w:themeColor="text1"/>
            <w:u w:val="none"/>
          </w:rPr>
          <w:t>5</w:t>
        </w:r>
        <w:r w:rsidRPr="00DA76A7">
          <w:rPr>
            <w:rStyle w:val="af0"/>
            <w:rFonts w:ascii="Arial" w:hAnsi="Arial" w:cs="Arial"/>
            <w:color w:val="000000" w:themeColor="text1"/>
            <w:u w:val="none"/>
            <w:lang w:val="en-US"/>
          </w:rPr>
          <w:t>DBD</w:t>
        </w:r>
        <w:r w:rsidRPr="00DA76A7">
          <w:rPr>
            <w:rStyle w:val="af0"/>
            <w:rFonts w:ascii="Arial" w:hAnsi="Arial" w:cs="Arial"/>
            <w:color w:val="000000" w:themeColor="text1"/>
            <w:u w:val="none"/>
          </w:rPr>
          <w:t>0332&amp;</w:t>
        </w:r>
        <w:r w:rsidRPr="00DA76A7">
          <w:rPr>
            <w:rStyle w:val="af0"/>
            <w:rFonts w:ascii="Arial" w:hAnsi="Arial" w:cs="Arial"/>
            <w:color w:val="000000" w:themeColor="text1"/>
            <w:u w:val="none"/>
            <w:lang w:val="en-US"/>
          </w:rPr>
          <w:t>dst</w:t>
        </w:r>
        <w:r w:rsidRPr="00DA76A7">
          <w:rPr>
            <w:rStyle w:val="af0"/>
            <w:rFonts w:ascii="Arial" w:hAnsi="Arial" w:cs="Arial"/>
            <w:color w:val="000000" w:themeColor="text1"/>
            <w:u w:val="none"/>
          </w:rPr>
          <w:t>=100053&amp;</w:t>
        </w:r>
        <w:r w:rsidRPr="00DA76A7">
          <w:rPr>
            <w:rStyle w:val="af0"/>
            <w:rFonts w:ascii="Arial" w:hAnsi="Arial" w:cs="Arial"/>
            <w:color w:val="000000" w:themeColor="text1"/>
            <w:u w:val="none"/>
            <w:lang w:val="en-US"/>
          </w:rPr>
          <w:t>fld</w:t>
        </w:r>
        <w:r w:rsidRPr="00DA76A7">
          <w:rPr>
            <w:rStyle w:val="af0"/>
            <w:rFonts w:ascii="Arial" w:hAnsi="Arial" w:cs="Arial"/>
            <w:color w:val="000000" w:themeColor="text1"/>
            <w:u w:val="none"/>
          </w:rPr>
          <w:t>=134#08384144292307703</w:t>
        </w:r>
      </w:hyperlink>
      <w:r w:rsidRPr="00DA76A7">
        <w:rPr>
          <w:rFonts w:ascii="Arial" w:hAnsi="Arial" w:cs="Arial"/>
          <w:color w:val="000000" w:themeColor="text1"/>
        </w:rPr>
        <w:t xml:space="preserve"> (дата обращения: 03.03.2018).</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Закон Республики Таджикистан «О безопасности» от 28. 06. 2011 г. № 721 (В редакции Законов Республики Таджикистан от 27.11.2014 г. №1137, 15.03.2016 г. №1283) [Электронный ресурс] // Законодательство стран СНГ. – Режим доступа: </w:t>
      </w:r>
      <w:hyperlink r:id="rId395"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base</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spinform</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show</w:t>
        </w:r>
        <w:r w:rsidRPr="00DA76A7">
          <w:rPr>
            <w:rStyle w:val="af0"/>
            <w:rFonts w:ascii="Arial" w:hAnsi="Arial" w:cs="Arial"/>
            <w:color w:val="000000" w:themeColor="text1"/>
            <w:u w:val="none"/>
          </w:rPr>
          <w:t>_</w:t>
        </w:r>
        <w:r w:rsidRPr="00DA76A7">
          <w:rPr>
            <w:rStyle w:val="af0"/>
            <w:rFonts w:ascii="Arial" w:hAnsi="Arial" w:cs="Arial"/>
            <w:color w:val="000000" w:themeColor="text1"/>
            <w:u w:val="none"/>
            <w:lang w:val="en-US"/>
          </w:rPr>
          <w:t>doc</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fwx</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rgn</w:t>
        </w:r>
        <w:r w:rsidRPr="00DA76A7">
          <w:rPr>
            <w:rStyle w:val="af0"/>
            <w:rFonts w:ascii="Arial" w:hAnsi="Arial" w:cs="Arial"/>
            <w:color w:val="000000" w:themeColor="text1"/>
            <w:u w:val="none"/>
          </w:rPr>
          <w:t>=46031</w:t>
        </w:r>
      </w:hyperlink>
      <w:r w:rsidRPr="00DA76A7">
        <w:rPr>
          <w:rFonts w:ascii="Arial" w:hAnsi="Arial" w:cs="Arial"/>
          <w:color w:val="000000" w:themeColor="text1"/>
        </w:rPr>
        <w:t xml:space="preserve"> (дата обращения: 03.03.2018).</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Договор о дружбе, Сотрудничестве и взаимной помощи между Российской Федерацией и Республикой Таджикистан от 25. 05. 1993 [Электронный ресурс] // Официальный интернет портал правовой информации. – Режим доступа: </w:t>
      </w:r>
      <w:hyperlink r:id="rId396"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pravo</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gov</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proxy</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ips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docbody</w:t>
        </w:r>
        <w:r w:rsidRPr="00DA76A7">
          <w:rPr>
            <w:rStyle w:val="af0"/>
            <w:rFonts w:ascii="Arial" w:hAnsi="Arial" w:cs="Arial"/>
            <w:color w:val="000000" w:themeColor="text1"/>
            <w:u w:val="none"/>
          </w:rPr>
          <w:t>=&amp;</w:t>
        </w:r>
        <w:r w:rsidRPr="00DA76A7">
          <w:rPr>
            <w:rStyle w:val="af0"/>
            <w:rFonts w:ascii="Arial" w:hAnsi="Arial" w:cs="Arial"/>
            <w:color w:val="000000" w:themeColor="text1"/>
            <w:u w:val="none"/>
            <w:lang w:val="en-US"/>
          </w:rPr>
          <w:t>firstDoc</w:t>
        </w:r>
        <w:r w:rsidRPr="00DA76A7">
          <w:rPr>
            <w:rStyle w:val="af0"/>
            <w:rFonts w:ascii="Arial" w:hAnsi="Arial" w:cs="Arial"/>
            <w:color w:val="000000" w:themeColor="text1"/>
            <w:u w:val="none"/>
          </w:rPr>
          <w:t>=1&amp;</w:t>
        </w:r>
        <w:r w:rsidRPr="00DA76A7">
          <w:rPr>
            <w:rStyle w:val="af0"/>
            <w:rFonts w:ascii="Arial" w:hAnsi="Arial" w:cs="Arial"/>
            <w:color w:val="000000" w:themeColor="text1"/>
            <w:u w:val="none"/>
            <w:lang w:val="en-US"/>
          </w:rPr>
          <w:t>lastDoc</w:t>
        </w:r>
        <w:r w:rsidRPr="00DA76A7">
          <w:rPr>
            <w:rStyle w:val="af0"/>
            <w:rFonts w:ascii="Arial" w:hAnsi="Arial" w:cs="Arial"/>
            <w:color w:val="000000" w:themeColor="text1"/>
            <w:u w:val="none"/>
          </w:rPr>
          <w:t>=1&amp;</w:t>
        </w:r>
        <w:r w:rsidRPr="00DA76A7">
          <w:rPr>
            <w:rStyle w:val="af0"/>
            <w:rFonts w:ascii="Arial" w:hAnsi="Arial" w:cs="Arial"/>
            <w:color w:val="000000" w:themeColor="text1"/>
            <w:u w:val="none"/>
            <w:lang w:val="en-US"/>
          </w:rPr>
          <w:t>nd</w:t>
        </w:r>
        <w:r w:rsidRPr="00DA76A7">
          <w:rPr>
            <w:rStyle w:val="af0"/>
            <w:rFonts w:ascii="Arial" w:hAnsi="Arial" w:cs="Arial"/>
            <w:color w:val="000000" w:themeColor="text1"/>
            <w:u w:val="none"/>
          </w:rPr>
          <w:t>=102023634</w:t>
        </w:r>
      </w:hyperlink>
      <w:r w:rsidRPr="00DA76A7">
        <w:rPr>
          <w:rFonts w:ascii="Arial" w:hAnsi="Arial" w:cs="Arial"/>
          <w:color w:val="000000" w:themeColor="text1"/>
        </w:rPr>
        <w:t xml:space="preserve"> (дата обращения: 14.03.2018).</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Указ Президента РФ о Стратегии национальной безопасности Российской Федерации от 31. 12. 2015 №683 [Электронный ресурс] // Интернет портал правовой информации. – Режим доступа: </w:t>
      </w:r>
      <w:hyperlink r:id="rId397" w:anchor="06201938404262077"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www</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consultant</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cons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cgi</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online</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cgi</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req</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doc</w:t>
        </w:r>
        <w:r w:rsidRPr="00DA76A7">
          <w:rPr>
            <w:rStyle w:val="af0"/>
            <w:rFonts w:ascii="Arial" w:hAnsi="Arial" w:cs="Arial"/>
            <w:color w:val="000000" w:themeColor="text1"/>
            <w:u w:val="none"/>
          </w:rPr>
          <w:t>&amp;</w:t>
        </w:r>
        <w:r w:rsidRPr="00DA76A7">
          <w:rPr>
            <w:rStyle w:val="af0"/>
            <w:rFonts w:ascii="Arial" w:hAnsi="Arial" w:cs="Arial"/>
            <w:color w:val="000000" w:themeColor="text1"/>
            <w:u w:val="none"/>
            <w:lang w:val="en-US"/>
          </w:rPr>
          <w:t>base</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LAW</w:t>
        </w:r>
        <w:r w:rsidRPr="00DA76A7">
          <w:rPr>
            <w:rStyle w:val="af0"/>
            <w:rFonts w:ascii="Arial" w:hAnsi="Arial" w:cs="Arial"/>
            <w:color w:val="000000" w:themeColor="text1"/>
            <w:u w:val="none"/>
          </w:rPr>
          <w:t>&amp;</w:t>
        </w:r>
        <w:r w:rsidRPr="00DA76A7">
          <w:rPr>
            <w:rStyle w:val="af0"/>
            <w:rFonts w:ascii="Arial" w:hAnsi="Arial" w:cs="Arial"/>
            <w:color w:val="000000" w:themeColor="text1"/>
            <w:u w:val="none"/>
            <w:lang w:val="en-US"/>
          </w:rPr>
          <w:t>n</w:t>
        </w:r>
        <w:r w:rsidRPr="00DA76A7">
          <w:rPr>
            <w:rStyle w:val="af0"/>
            <w:rFonts w:ascii="Arial" w:hAnsi="Arial" w:cs="Arial"/>
            <w:color w:val="000000" w:themeColor="text1"/>
            <w:u w:val="none"/>
          </w:rPr>
          <w:t>=191669&amp;</w:t>
        </w:r>
        <w:r w:rsidRPr="00DA76A7">
          <w:rPr>
            <w:rStyle w:val="af0"/>
            <w:rFonts w:ascii="Arial" w:hAnsi="Arial" w:cs="Arial"/>
            <w:color w:val="000000" w:themeColor="text1"/>
            <w:u w:val="none"/>
            <w:lang w:val="en-US"/>
          </w:rPr>
          <w:t>fld</w:t>
        </w:r>
        <w:r w:rsidRPr="00DA76A7">
          <w:rPr>
            <w:rStyle w:val="af0"/>
            <w:rFonts w:ascii="Arial" w:hAnsi="Arial" w:cs="Arial"/>
            <w:color w:val="000000" w:themeColor="text1"/>
            <w:u w:val="none"/>
          </w:rPr>
          <w:t>=134&amp;</w:t>
        </w:r>
        <w:r w:rsidRPr="00DA76A7">
          <w:rPr>
            <w:rStyle w:val="af0"/>
            <w:rFonts w:ascii="Arial" w:hAnsi="Arial" w:cs="Arial"/>
            <w:color w:val="000000" w:themeColor="text1"/>
            <w:u w:val="none"/>
            <w:lang w:val="en-US"/>
          </w:rPr>
          <w:t>dst</w:t>
        </w:r>
        <w:r w:rsidRPr="00DA76A7">
          <w:rPr>
            <w:rStyle w:val="af0"/>
            <w:rFonts w:ascii="Arial" w:hAnsi="Arial" w:cs="Arial"/>
            <w:color w:val="000000" w:themeColor="text1"/>
            <w:u w:val="none"/>
          </w:rPr>
          <w:t>=100014,0&amp;</w:t>
        </w:r>
        <w:r w:rsidRPr="00DA76A7">
          <w:rPr>
            <w:rStyle w:val="af0"/>
            <w:rFonts w:ascii="Arial" w:hAnsi="Arial" w:cs="Arial"/>
            <w:color w:val="000000" w:themeColor="text1"/>
            <w:u w:val="none"/>
            <w:lang w:val="en-US"/>
          </w:rPr>
          <w:t>rnd</w:t>
        </w:r>
        <w:r w:rsidRPr="00DA76A7">
          <w:rPr>
            <w:rStyle w:val="af0"/>
            <w:rFonts w:ascii="Arial" w:hAnsi="Arial" w:cs="Arial"/>
            <w:color w:val="000000" w:themeColor="text1"/>
            <w:u w:val="none"/>
          </w:rPr>
          <w:t>=0.43395633317100657#06201938404262077</w:t>
        </w:r>
      </w:hyperlink>
      <w:r w:rsidRPr="00DA76A7">
        <w:rPr>
          <w:rFonts w:ascii="Arial" w:hAnsi="Arial" w:cs="Arial"/>
          <w:color w:val="000000" w:themeColor="text1"/>
        </w:rPr>
        <w:t xml:space="preserve">   (дата обращения: 01.03.2018).</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kern w:val="36"/>
        </w:rPr>
        <w:t>Указ Президента Российской Федерации от 05.06.2012 г. № 776 «</w:t>
      </w:r>
      <w:r w:rsidRPr="00DA76A7">
        <w:rPr>
          <w:rFonts w:ascii="Arial" w:hAnsi="Arial" w:cs="Arial"/>
          <w:color w:val="000000" w:themeColor="text1"/>
        </w:rPr>
        <w:t xml:space="preserve">О Совете при Президенте Российской Федерации по межнациональным отношениям» [Электронный ресурс] // Официальный сайт Президента РФ. – Режим доступа: </w:t>
      </w:r>
      <w:hyperlink r:id="rId398" w:history="1">
        <w:r w:rsidRPr="00DA76A7">
          <w:rPr>
            <w:rStyle w:val="af0"/>
            <w:rFonts w:ascii="Arial" w:hAnsi="Arial" w:cs="Arial"/>
            <w:color w:val="000000" w:themeColor="text1"/>
            <w:u w:val="none"/>
            <w:lang w:val="en-US"/>
          </w:rPr>
          <w:t>http</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kremlin</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ru</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acts</w:t>
        </w:r>
        <w:r w:rsidRPr="00DA76A7">
          <w:rPr>
            <w:rStyle w:val="af0"/>
            <w:rFonts w:ascii="Arial" w:hAnsi="Arial" w:cs="Arial"/>
            <w:color w:val="000000" w:themeColor="text1"/>
            <w:u w:val="none"/>
          </w:rPr>
          <w:t>/</w:t>
        </w:r>
        <w:r w:rsidRPr="00DA76A7">
          <w:rPr>
            <w:rStyle w:val="af0"/>
            <w:rFonts w:ascii="Arial" w:hAnsi="Arial" w:cs="Arial"/>
            <w:color w:val="000000" w:themeColor="text1"/>
            <w:u w:val="none"/>
            <w:lang w:val="en-US"/>
          </w:rPr>
          <w:t>bank</w:t>
        </w:r>
        <w:r w:rsidRPr="00DA76A7">
          <w:rPr>
            <w:rStyle w:val="af0"/>
            <w:rFonts w:ascii="Arial" w:hAnsi="Arial" w:cs="Arial"/>
            <w:color w:val="000000" w:themeColor="text1"/>
            <w:u w:val="none"/>
          </w:rPr>
          <w:t>/35435</w:t>
        </w:r>
      </w:hyperlink>
      <w:r w:rsidRPr="00DA76A7">
        <w:rPr>
          <w:rFonts w:ascii="Arial" w:hAnsi="Arial" w:cs="Arial"/>
          <w:color w:val="000000" w:themeColor="text1"/>
        </w:rPr>
        <w:t xml:space="preserve"> (дата обращения: 04.03.2018).</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Указ Президента  Республики Таджикистан «Об утверждении Положений о Совете безопасности Республики Таджикистан и об аппарате Совета безопасности Республики Таджикистан» от 20. 03. 2003. №1037 [Электронный ресурс] // Законодательство стран СНГ. – Режим доступа: </w:t>
      </w:r>
      <w:hyperlink r:id="rId399" w:history="1">
        <w:r w:rsidRPr="00DA76A7">
          <w:rPr>
            <w:rStyle w:val="af0"/>
            <w:rFonts w:ascii="Arial" w:hAnsi="Arial" w:cs="Arial"/>
            <w:color w:val="000000" w:themeColor="text1"/>
            <w:u w:val="none"/>
          </w:rPr>
          <w:t>https://base.spinform.ru/show_doc.fwx?rgn=5876</w:t>
        </w:r>
      </w:hyperlink>
      <w:r w:rsidRPr="00DA76A7">
        <w:rPr>
          <w:rFonts w:ascii="Arial" w:hAnsi="Arial" w:cs="Arial"/>
          <w:color w:val="000000" w:themeColor="text1"/>
        </w:rPr>
        <w:t xml:space="preserve"> (дата обращения: 04.03.2018).</w:t>
      </w:r>
    </w:p>
    <w:p w:rsidR="005B31C6" w:rsidRPr="00DA76A7" w:rsidRDefault="005B31C6" w:rsidP="00D45D6B">
      <w:pPr>
        <w:pStyle w:val="a6"/>
        <w:numPr>
          <w:ilvl w:val="0"/>
          <w:numId w:val="158"/>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Проект Концепции правовой политики Республики Таджикистан на 2018-2028 годы [Электронный ресурс] // Законодательство стран СНГ. – Режим доступа:  </w:t>
      </w:r>
      <w:hyperlink r:id="rId400" w:anchor="A54Z0RM7AK" w:history="1">
        <w:r w:rsidRPr="00DA76A7">
          <w:rPr>
            <w:rStyle w:val="af0"/>
            <w:rFonts w:ascii="Arial" w:hAnsi="Arial" w:cs="Arial"/>
            <w:color w:val="000000" w:themeColor="text1"/>
            <w:u w:val="none"/>
          </w:rPr>
          <w:t>https://base.spinform.ru/show_doc.fwx?rgn=104408#A54Z0RM7AK</w:t>
        </w:r>
      </w:hyperlink>
      <w:r w:rsidRPr="00DA76A7">
        <w:rPr>
          <w:rFonts w:ascii="Arial" w:hAnsi="Arial" w:cs="Arial"/>
          <w:color w:val="000000" w:themeColor="text1"/>
        </w:rPr>
        <w:t xml:space="preserve"> (дата обращения: 28.02.2018).</w:t>
      </w:r>
    </w:p>
    <w:p w:rsidR="005B31C6" w:rsidRPr="00DA76A7" w:rsidRDefault="005B31C6" w:rsidP="00D45D6B">
      <w:pPr>
        <w:pStyle w:val="a6"/>
        <w:numPr>
          <w:ilvl w:val="0"/>
          <w:numId w:val="158"/>
        </w:numPr>
        <w:tabs>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Матюшева Т.Н. Государственность — социально-политический фактор функционирования и развития национальной системы образования // Наука и образование: хозяйство и экономика; предпринимательство; право и управление. 2012. №2 4(23). C. 48-54.</w:t>
      </w:r>
    </w:p>
    <w:p w:rsidR="005B31C6" w:rsidRPr="00DA76A7" w:rsidRDefault="005B31C6" w:rsidP="00D45D6B">
      <w:pPr>
        <w:pStyle w:val="a6"/>
        <w:numPr>
          <w:ilvl w:val="0"/>
          <w:numId w:val="158"/>
        </w:numPr>
        <w:tabs>
          <w:tab w:val="left" w:pos="993"/>
        </w:tabs>
        <w:spacing w:after="0" w:line="240" w:lineRule="auto"/>
        <w:ind w:left="0" w:firstLine="567"/>
        <w:jc w:val="both"/>
        <w:rPr>
          <w:rFonts w:ascii="Arial" w:hAnsi="Arial" w:cs="Arial"/>
          <w:color w:val="000000" w:themeColor="text1"/>
        </w:rPr>
      </w:pPr>
      <w:r w:rsidRPr="00DA76A7">
        <w:rPr>
          <w:rFonts w:ascii="Arial" w:hAnsi="Arial" w:cs="Arial"/>
          <w:bCs/>
          <w:color w:val="000000" w:themeColor="text1"/>
          <w:spacing w:val="3"/>
          <w:kern w:val="36"/>
        </w:rPr>
        <w:t xml:space="preserve">Россия и Таджикистан решат проблему невъездных мигрантов [Электронный ресурс] //  Российская газета. – 2017. – Режим доступа: </w:t>
      </w:r>
      <w:hyperlink r:id="rId401" w:history="1">
        <w:r w:rsidRPr="00DA76A7">
          <w:rPr>
            <w:rStyle w:val="af0"/>
            <w:rFonts w:ascii="Arial" w:hAnsi="Arial" w:cs="Arial"/>
            <w:bCs/>
            <w:color w:val="000000" w:themeColor="text1"/>
            <w:spacing w:val="3"/>
            <w:kern w:val="36"/>
            <w:u w:val="none"/>
            <w:lang w:val="en-US"/>
          </w:rPr>
          <w:t>https</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rg</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ru</w:t>
        </w:r>
        <w:r w:rsidRPr="00DA76A7">
          <w:rPr>
            <w:rStyle w:val="af0"/>
            <w:rFonts w:ascii="Arial" w:hAnsi="Arial" w:cs="Arial"/>
            <w:bCs/>
            <w:color w:val="000000" w:themeColor="text1"/>
            <w:spacing w:val="3"/>
            <w:kern w:val="36"/>
            <w:u w:val="none"/>
          </w:rPr>
          <w:t>/2017/02/27/</w:t>
        </w:r>
        <w:r w:rsidRPr="00DA76A7">
          <w:rPr>
            <w:rStyle w:val="af0"/>
            <w:rFonts w:ascii="Arial" w:hAnsi="Arial" w:cs="Arial"/>
            <w:bCs/>
            <w:color w:val="000000" w:themeColor="text1"/>
            <w:spacing w:val="3"/>
            <w:kern w:val="36"/>
            <w:u w:val="none"/>
            <w:lang w:val="en-US"/>
          </w:rPr>
          <w:t>rossiia</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i</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tadzhikistan</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reshat</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problemu</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nevezdnyh</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migrantov</w:t>
        </w:r>
        <w:r w:rsidRPr="00DA76A7">
          <w:rPr>
            <w:rStyle w:val="af0"/>
            <w:rFonts w:ascii="Arial" w:hAnsi="Arial" w:cs="Arial"/>
            <w:bCs/>
            <w:color w:val="000000" w:themeColor="text1"/>
            <w:spacing w:val="3"/>
            <w:kern w:val="36"/>
            <w:u w:val="none"/>
          </w:rPr>
          <w:t>.</w:t>
        </w:r>
        <w:r w:rsidRPr="00DA76A7">
          <w:rPr>
            <w:rStyle w:val="af0"/>
            <w:rFonts w:ascii="Arial" w:hAnsi="Arial" w:cs="Arial"/>
            <w:bCs/>
            <w:color w:val="000000" w:themeColor="text1"/>
            <w:spacing w:val="3"/>
            <w:kern w:val="36"/>
            <w:u w:val="none"/>
            <w:lang w:val="en-US"/>
          </w:rPr>
          <w:t>html</w:t>
        </w:r>
      </w:hyperlink>
      <w:r w:rsidRPr="00DA76A7">
        <w:rPr>
          <w:rFonts w:ascii="Arial" w:hAnsi="Arial" w:cs="Arial"/>
          <w:bCs/>
          <w:color w:val="000000" w:themeColor="text1"/>
          <w:spacing w:val="3"/>
          <w:kern w:val="36"/>
        </w:rPr>
        <w:t xml:space="preserve"> (дата обращения: 01.03.2018).</w:t>
      </w:r>
    </w:p>
    <w:p w:rsidR="005B31C6" w:rsidRPr="00DA76A7" w:rsidRDefault="005B31C6" w:rsidP="005B31C6">
      <w:pPr>
        <w:tabs>
          <w:tab w:val="left" w:pos="851"/>
        </w:tabs>
        <w:ind w:firstLine="567"/>
        <w:rPr>
          <w:rFonts w:ascii="Arial" w:hAnsi="Arial" w:cs="Arial"/>
          <w:b/>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p>
    <w:p w:rsidR="00197CE7" w:rsidRPr="00DA76A7" w:rsidRDefault="00197CE7" w:rsidP="00197CE7">
      <w:pPr>
        <w:tabs>
          <w:tab w:val="left" w:pos="4395"/>
        </w:tabs>
        <w:jc w:val="center"/>
        <w:rPr>
          <w:rFonts w:ascii="Arial" w:hAnsi="Arial" w:cs="Arial"/>
          <w:b/>
          <w:color w:val="000000" w:themeColor="text1"/>
          <w:sz w:val="22"/>
          <w:szCs w:val="22"/>
        </w:rPr>
      </w:pPr>
      <w:r w:rsidRPr="00DA76A7">
        <w:rPr>
          <w:rFonts w:ascii="Arial" w:hAnsi="Arial" w:cs="Arial"/>
          <w:b/>
          <w:color w:val="000000" w:themeColor="text1"/>
          <w:sz w:val="22"/>
          <w:szCs w:val="22"/>
        </w:rPr>
        <w:t>КОНЦЕПТУАЛЬНОЕ  РАЗВИТИЕ  ПАРЛАМЕНТАРИЗМА КАК ИНСТИТУТ ГОСУДАРСТВЕННОЙ ВЛАСТИ</w:t>
      </w:r>
    </w:p>
    <w:p w:rsidR="00197CE7" w:rsidRPr="00DA76A7" w:rsidRDefault="00197CE7" w:rsidP="00197CE7">
      <w:pPr>
        <w:tabs>
          <w:tab w:val="left" w:pos="4395"/>
        </w:tabs>
        <w:jc w:val="center"/>
        <w:rPr>
          <w:rFonts w:ascii="Arial" w:hAnsi="Arial" w:cs="Arial"/>
          <w:b/>
          <w:color w:val="000000" w:themeColor="text1"/>
          <w:sz w:val="22"/>
          <w:szCs w:val="22"/>
        </w:rPr>
      </w:pPr>
    </w:p>
    <w:p w:rsidR="00197CE7" w:rsidRPr="00DA76A7" w:rsidRDefault="00197CE7" w:rsidP="00197CE7">
      <w:pPr>
        <w:shd w:val="clear" w:color="auto" w:fill="FFFFFF"/>
        <w:jc w:val="center"/>
        <w:rPr>
          <w:rFonts w:ascii="Arial" w:hAnsi="Arial" w:cs="Arial"/>
          <w:color w:val="000000" w:themeColor="text1"/>
          <w:sz w:val="22"/>
          <w:szCs w:val="22"/>
        </w:rPr>
      </w:pPr>
      <w:r w:rsidRPr="00DA76A7">
        <w:rPr>
          <w:rFonts w:ascii="Arial" w:hAnsi="Arial" w:cs="Arial"/>
          <w:b/>
          <w:color w:val="000000" w:themeColor="text1"/>
          <w:sz w:val="22"/>
          <w:szCs w:val="22"/>
        </w:rPr>
        <w:t>Маджидзода Джурахон Зоир</w:t>
      </w:r>
    </w:p>
    <w:p w:rsidR="00197CE7" w:rsidRPr="00DA76A7" w:rsidRDefault="00197CE7" w:rsidP="00197CE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доктор юридических наук, профессор, Председатель Комитета Маджлиси намояндагон Маджлиси Оли Республики Таджикистан по правопорядку, обороне и</w:t>
      </w:r>
    </w:p>
    <w:p w:rsidR="00197CE7" w:rsidRPr="00DA76A7" w:rsidRDefault="00197CE7" w:rsidP="00197CE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безопасности</w:t>
      </w:r>
    </w:p>
    <w:p w:rsidR="00197CE7" w:rsidRPr="00DA76A7" w:rsidRDefault="00197CE7" w:rsidP="00197CE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734025, Республика Таджикистан, г. Душанбе, ул. М. Турсунзаде, 30</w:t>
      </w:r>
    </w:p>
    <w:p w:rsidR="00197CE7" w:rsidRPr="00DA76A7" w:rsidRDefault="00197CE7" w:rsidP="00197CE7">
      <w:pPr>
        <w:jc w:val="center"/>
        <w:rPr>
          <w:rFonts w:ascii="Arial" w:eastAsia="Calibri" w:hAnsi="Arial" w:cs="Arial"/>
          <w:b/>
          <w:color w:val="000000" w:themeColor="text1"/>
          <w:sz w:val="22"/>
          <w:szCs w:val="22"/>
        </w:rPr>
      </w:pPr>
      <w:r w:rsidRPr="00DA76A7">
        <w:rPr>
          <w:rFonts w:ascii="Arial" w:eastAsia="Calibri" w:hAnsi="Arial" w:cs="Arial"/>
          <w:color w:val="000000" w:themeColor="text1"/>
          <w:sz w:val="22"/>
          <w:szCs w:val="22"/>
        </w:rPr>
        <w:t xml:space="preserve">тел.: 985038585, </w:t>
      </w:r>
      <w:r w:rsidRPr="00DA76A7">
        <w:rPr>
          <w:rFonts w:ascii="Arial" w:eastAsia="Calibri" w:hAnsi="Arial" w:cs="Arial"/>
          <w:color w:val="000000" w:themeColor="text1"/>
          <w:sz w:val="22"/>
          <w:szCs w:val="22"/>
          <w:lang w:val="en-US"/>
        </w:rPr>
        <w:t>e</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 xml:space="preserve">: </w:t>
      </w:r>
      <w:r w:rsidRPr="00DA76A7">
        <w:rPr>
          <w:rFonts w:ascii="Arial" w:eastAsia="Calibri" w:hAnsi="Arial" w:cs="Arial"/>
          <w:color w:val="000000" w:themeColor="text1"/>
          <w:sz w:val="22"/>
          <w:szCs w:val="22"/>
          <w:lang w:val="en-US"/>
        </w:rPr>
        <w:t>zoirov</w:t>
      </w:r>
      <w:r w:rsidRPr="00DA76A7">
        <w:rPr>
          <w:rFonts w:ascii="Arial" w:eastAsia="Calibri" w:hAnsi="Arial" w:cs="Arial"/>
          <w:color w:val="000000" w:themeColor="text1"/>
          <w:sz w:val="22"/>
          <w:szCs w:val="22"/>
        </w:rPr>
        <w:t>2009@</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ru</w:t>
      </w:r>
    </w:p>
    <w:p w:rsidR="00197CE7" w:rsidRPr="00DA76A7" w:rsidRDefault="00197CE7" w:rsidP="00197CE7">
      <w:pPr>
        <w:shd w:val="clear" w:color="auto" w:fill="FFFFFF"/>
        <w:jc w:val="center"/>
        <w:rPr>
          <w:rFonts w:ascii="Arial" w:hAnsi="Arial" w:cs="Arial"/>
          <w:b/>
          <w:bCs/>
          <w:i/>
          <w:color w:val="000000" w:themeColor="text1"/>
          <w:sz w:val="22"/>
          <w:szCs w:val="22"/>
        </w:rPr>
      </w:pPr>
    </w:p>
    <w:p w:rsidR="00197CE7" w:rsidRPr="00DA76A7" w:rsidRDefault="00197CE7" w:rsidP="00197CE7">
      <w:pPr>
        <w:shd w:val="clear" w:color="auto" w:fill="FFFFFF"/>
        <w:jc w:val="center"/>
        <w:rPr>
          <w:rFonts w:ascii="Arial" w:hAnsi="Arial" w:cs="Arial"/>
          <w:b/>
          <w:bCs/>
          <w:color w:val="000000" w:themeColor="text1"/>
          <w:sz w:val="22"/>
          <w:szCs w:val="22"/>
        </w:rPr>
      </w:pPr>
      <w:r w:rsidRPr="00DA76A7">
        <w:rPr>
          <w:rFonts w:ascii="Arial" w:hAnsi="Arial" w:cs="Arial"/>
          <w:b/>
          <w:bCs/>
          <w:color w:val="000000" w:themeColor="text1"/>
          <w:sz w:val="22"/>
          <w:szCs w:val="22"/>
        </w:rPr>
        <w:t>Кудратбекова Шахло Маджнуновна</w:t>
      </w:r>
    </w:p>
    <w:p w:rsidR="00197CE7" w:rsidRPr="00DA76A7" w:rsidRDefault="00197CE7" w:rsidP="00197CE7">
      <w:pPr>
        <w:shd w:val="clear" w:color="auto" w:fill="FFFFFF"/>
        <w:jc w:val="center"/>
        <w:rPr>
          <w:rFonts w:ascii="Arial" w:hAnsi="Arial" w:cs="Arial"/>
          <w:bCs/>
          <w:color w:val="000000" w:themeColor="text1"/>
          <w:sz w:val="22"/>
          <w:szCs w:val="22"/>
        </w:rPr>
      </w:pPr>
      <w:r w:rsidRPr="00DA76A7">
        <w:rPr>
          <w:rFonts w:ascii="Arial" w:hAnsi="Arial" w:cs="Arial"/>
          <w:bCs/>
          <w:color w:val="000000" w:themeColor="text1"/>
          <w:sz w:val="22"/>
          <w:szCs w:val="22"/>
        </w:rPr>
        <w:t>аспирант отдела истории государства и права Института философии, политологии и права им. А.М. Баховаддинова</w:t>
      </w:r>
    </w:p>
    <w:p w:rsidR="00197CE7" w:rsidRPr="00DA76A7" w:rsidRDefault="00197CE7" w:rsidP="00197CE7">
      <w:pPr>
        <w:shd w:val="clear" w:color="auto" w:fill="FFFFFF"/>
        <w:jc w:val="center"/>
        <w:rPr>
          <w:rFonts w:ascii="Arial" w:hAnsi="Arial" w:cs="Arial"/>
          <w:color w:val="000000" w:themeColor="text1"/>
          <w:sz w:val="22"/>
          <w:szCs w:val="22"/>
        </w:rPr>
      </w:pPr>
      <w:r w:rsidRPr="00DA76A7">
        <w:rPr>
          <w:rFonts w:ascii="Arial" w:hAnsi="Arial" w:cs="Arial"/>
          <w:bCs/>
          <w:color w:val="000000" w:themeColor="text1"/>
          <w:sz w:val="22"/>
          <w:szCs w:val="22"/>
        </w:rPr>
        <w:t xml:space="preserve">Академия наук Республики Таджикистан </w:t>
      </w:r>
    </w:p>
    <w:p w:rsidR="00197CE7" w:rsidRPr="00DA76A7" w:rsidRDefault="00197CE7" w:rsidP="00197CE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734025, Республика Таджикистан, г. Душанбе, ул. М. Турсунзаде, 30</w:t>
      </w:r>
    </w:p>
    <w:p w:rsidR="00197CE7" w:rsidRPr="00DA76A7" w:rsidRDefault="00197CE7" w:rsidP="00197CE7">
      <w:pPr>
        <w:jc w:val="center"/>
        <w:rPr>
          <w:rFonts w:ascii="Arial" w:eastAsia="Calibri" w:hAnsi="Arial" w:cs="Arial"/>
          <w:b/>
          <w:color w:val="000000" w:themeColor="text1"/>
          <w:sz w:val="22"/>
          <w:szCs w:val="22"/>
        </w:rPr>
      </w:pPr>
      <w:r w:rsidRPr="00DA76A7">
        <w:rPr>
          <w:rFonts w:ascii="Arial" w:eastAsia="Calibri" w:hAnsi="Arial" w:cs="Arial"/>
          <w:color w:val="000000" w:themeColor="text1"/>
          <w:sz w:val="22"/>
          <w:szCs w:val="22"/>
        </w:rPr>
        <w:t xml:space="preserve">тел.: 985038585, </w:t>
      </w:r>
      <w:r w:rsidRPr="00DA76A7">
        <w:rPr>
          <w:rFonts w:ascii="Arial" w:eastAsia="Calibri" w:hAnsi="Arial" w:cs="Arial"/>
          <w:color w:val="000000" w:themeColor="text1"/>
          <w:sz w:val="22"/>
          <w:szCs w:val="22"/>
          <w:lang w:val="en-US"/>
        </w:rPr>
        <w:t>e</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 xml:space="preserve">: </w:t>
      </w:r>
      <w:r w:rsidRPr="00DA76A7">
        <w:rPr>
          <w:rFonts w:ascii="Arial" w:eastAsia="Calibri" w:hAnsi="Arial" w:cs="Arial"/>
          <w:color w:val="000000" w:themeColor="text1"/>
          <w:sz w:val="22"/>
          <w:szCs w:val="22"/>
          <w:lang w:val="en-US"/>
        </w:rPr>
        <w:t>zoirov</w:t>
      </w:r>
      <w:r w:rsidRPr="00DA76A7">
        <w:rPr>
          <w:rFonts w:ascii="Arial" w:eastAsia="Calibri" w:hAnsi="Arial" w:cs="Arial"/>
          <w:color w:val="000000" w:themeColor="text1"/>
          <w:sz w:val="22"/>
          <w:szCs w:val="22"/>
        </w:rPr>
        <w:t>2009@</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ru</w:t>
      </w:r>
    </w:p>
    <w:p w:rsidR="00197CE7" w:rsidRPr="00DA76A7" w:rsidRDefault="00197CE7" w:rsidP="00197CE7">
      <w:pPr>
        <w:shd w:val="clear" w:color="auto" w:fill="FFFFFF"/>
        <w:jc w:val="center"/>
        <w:rPr>
          <w:rFonts w:ascii="Arial" w:hAnsi="Arial" w:cs="Arial"/>
          <w:i/>
          <w:color w:val="000000" w:themeColor="text1"/>
          <w:sz w:val="22"/>
          <w:szCs w:val="22"/>
        </w:rPr>
      </w:pPr>
    </w:p>
    <w:p w:rsidR="00197CE7" w:rsidRPr="00DA76A7" w:rsidRDefault="00197CE7" w:rsidP="00197CE7">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CONCEPTUAL DEVELOPMENT OF PARLIAMENTARISM AS AN INSTITUTE OF STATE POWER</w:t>
      </w:r>
    </w:p>
    <w:p w:rsidR="00197CE7" w:rsidRPr="00DA76A7" w:rsidRDefault="00197CE7" w:rsidP="00197CE7">
      <w:pPr>
        <w:shd w:val="clear" w:color="auto" w:fill="FFFFFF"/>
        <w:jc w:val="center"/>
        <w:rPr>
          <w:rFonts w:ascii="Arial" w:hAnsi="Arial" w:cs="Arial"/>
          <w:b/>
          <w:i/>
          <w:color w:val="000000" w:themeColor="text1"/>
          <w:sz w:val="22"/>
          <w:szCs w:val="22"/>
          <w:lang w:val="en-US"/>
        </w:rPr>
      </w:pPr>
    </w:p>
    <w:p w:rsidR="00197CE7" w:rsidRPr="00DA76A7" w:rsidRDefault="00197CE7" w:rsidP="00197CE7">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Majidzoda Jurakhon Zoir</w:t>
      </w:r>
    </w:p>
    <w:p w:rsidR="00197CE7" w:rsidRPr="00DA76A7" w:rsidRDefault="00197CE7" w:rsidP="00197CE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doctor of law, professor, Chairman of the Committee of the Majlisi Namoyandagon of the Majlisi Oli of the Republic of Tajikistan on the Rule of Law, Defense and Security</w:t>
      </w:r>
    </w:p>
    <w:p w:rsidR="00197CE7" w:rsidRPr="00DA76A7" w:rsidRDefault="00197CE7" w:rsidP="00197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97CE7" w:rsidRPr="00DA76A7" w:rsidRDefault="00197CE7" w:rsidP="00197CE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985038585, e-mail: zoirov2009@mail.ru</w:t>
      </w:r>
    </w:p>
    <w:p w:rsidR="00197CE7" w:rsidRPr="00DA76A7" w:rsidRDefault="00197CE7" w:rsidP="00197CE7">
      <w:pPr>
        <w:shd w:val="clear" w:color="auto" w:fill="FFFFFF"/>
        <w:ind w:firstLine="567"/>
        <w:jc w:val="both"/>
        <w:rPr>
          <w:rFonts w:ascii="Arial" w:hAnsi="Arial" w:cs="Arial"/>
          <w:i/>
          <w:color w:val="000000" w:themeColor="text1"/>
          <w:sz w:val="22"/>
          <w:szCs w:val="22"/>
          <w:lang w:val="en-US"/>
        </w:rPr>
      </w:pPr>
      <w:r w:rsidRPr="00DA76A7">
        <w:rPr>
          <w:rFonts w:ascii="Arial" w:hAnsi="Arial" w:cs="Arial"/>
          <w:i/>
          <w:color w:val="000000" w:themeColor="text1"/>
          <w:sz w:val="22"/>
          <w:szCs w:val="22"/>
          <w:lang w:val="en-US"/>
        </w:rPr>
        <w:t xml:space="preserve">      </w:t>
      </w:r>
      <w:r w:rsidRPr="00DA76A7">
        <w:rPr>
          <w:rFonts w:ascii="Arial" w:hAnsi="Arial" w:cs="Arial"/>
          <w:b/>
          <w:bCs/>
          <w:i/>
          <w:color w:val="000000" w:themeColor="text1"/>
          <w:sz w:val="22"/>
          <w:szCs w:val="22"/>
          <w:lang w:val="en-US"/>
        </w:rPr>
        <w:t xml:space="preserve">  </w:t>
      </w:r>
    </w:p>
    <w:p w:rsidR="00197CE7" w:rsidRPr="00DA76A7" w:rsidRDefault="00197CE7" w:rsidP="00197CE7">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Kudratbekova Shahlo Majnunovna</w:t>
      </w:r>
    </w:p>
    <w:p w:rsidR="00197CE7" w:rsidRPr="00DA76A7" w:rsidRDefault="00197CE7" w:rsidP="00197CE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graduate student of the department of the history of state and law of the Institute of philosophy, political science and law by name A.M. Bahovaddinova</w:t>
      </w:r>
    </w:p>
    <w:p w:rsidR="00197CE7" w:rsidRPr="00DA76A7" w:rsidRDefault="00197CE7" w:rsidP="00197CE7">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Academy of sciences of the Republic of Tajikistan</w:t>
      </w:r>
    </w:p>
    <w:p w:rsidR="00197CE7" w:rsidRPr="00DA76A7" w:rsidRDefault="00197CE7" w:rsidP="00197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197CE7" w:rsidRPr="00DA76A7" w:rsidRDefault="00197CE7" w:rsidP="00197CE7">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985038585, e-mail: zoirov2009@mail.ru</w:t>
      </w:r>
    </w:p>
    <w:p w:rsidR="00197CE7" w:rsidRPr="00DA76A7" w:rsidRDefault="00197CE7" w:rsidP="00197CE7">
      <w:pPr>
        <w:tabs>
          <w:tab w:val="left" w:pos="4395"/>
        </w:tabs>
        <w:ind w:firstLine="567"/>
        <w:jc w:val="center"/>
        <w:rPr>
          <w:rFonts w:ascii="Arial" w:hAnsi="Arial" w:cs="Arial"/>
          <w:b/>
          <w:color w:val="000000" w:themeColor="text1"/>
          <w:sz w:val="22"/>
          <w:szCs w:val="22"/>
          <w:lang w:val="en-US"/>
        </w:rPr>
      </w:pPr>
    </w:p>
    <w:p w:rsidR="00197CE7" w:rsidRPr="00DA76A7" w:rsidRDefault="00197CE7" w:rsidP="00197CE7">
      <w:pPr>
        <w:tabs>
          <w:tab w:val="left" w:pos="4395"/>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статье анализируется сравнительно - правовое исследования парламентаризма, как одной из важнейших форм реализации идей и принципов демократического правового государства и особенности формы государственного устройства и управления</w:t>
      </w:r>
    </w:p>
    <w:p w:rsidR="00197CE7" w:rsidRPr="00DA76A7" w:rsidRDefault="00197CE7" w:rsidP="00197CE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analyzes the comparative legal studies of parliamentary, as one of the most important forms of realization of the ideas and principles of a democratic legal state and features of the form of government and management</w:t>
      </w:r>
    </w:p>
    <w:p w:rsidR="00197CE7" w:rsidRPr="00DA76A7" w:rsidRDefault="00197CE7" w:rsidP="00197CE7">
      <w:pPr>
        <w:tabs>
          <w:tab w:val="left" w:pos="4395"/>
        </w:tabs>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Конституция; парламентаризм; государства; государственное устройства; принципы</w:t>
      </w:r>
    </w:p>
    <w:p w:rsidR="00197CE7" w:rsidRPr="00DA76A7" w:rsidRDefault="00197CE7" w:rsidP="00197CE7">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Constitution, parliamentary system, state, government, principles</w:t>
      </w:r>
    </w:p>
    <w:p w:rsidR="00197CE7" w:rsidRPr="00DA76A7" w:rsidRDefault="00197CE7" w:rsidP="00197CE7">
      <w:pPr>
        <w:tabs>
          <w:tab w:val="left" w:pos="4395"/>
        </w:tabs>
        <w:ind w:firstLine="567"/>
        <w:jc w:val="both"/>
        <w:rPr>
          <w:rFonts w:ascii="Arial" w:hAnsi="Arial" w:cs="Arial"/>
          <w:color w:val="000000" w:themeColor="text1"/>
          <w:sz w:val="22"/>
          <w:szCs w:val="22"/>
          <w:lang w:val="en-US"/>
        </w:rPr>
      </w:pP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eastAsia="Calibri" w:hAnsi="Arial" w:cs="Arial"/>
          <w:color w:val="000000" w:themeColor="text1"/>
          <w:sz w:val="22"/>
          <w:szCs w:val="22"/>
        </w:rPr>
        <w:t>В Республике Таджикистан согласно статьи 9 Конституции государственную власть осуществляется на основе ее разделения на законодательную, исполнительную и судебную, который происходит становление новой формы правления  государственности, адекватной современному мировому уровню развития гражданского общества. В этом процессе важное значение приобретает Конституционное определение взаимоотношений между органами государственной власти в Республике Таджикистан, которые затрагивают сущностные вопросы построения и организации механизма осуществления государственной власти. Таким образом, механизм современного государства отличается высокой степенью сложности, многообразием ветвей власти, органов и учреждений, подразделяется на крупные подсистемы. Так, одну его подсистему (часть) образуют высшие органы государства: законодательное, глава государства, правительство.</w:t>
      </w:r>
    </w:p>
    <w:p w:rsidR="00197CE7" w:rsidRPr="00DA76A7" w:rsidRDefault="00197CE7" w:rsidP="00197CE7">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Общепризнанным является тот факт, что парламентаризм является одной из главных рычагов законодательной власти и механизм  законотворческого управления государственной власти, это одной из важнейший неотъемлемый элемент любого государства, одно из его высших проявлений.  Парламентаризм призван показать, что законодательная власть, проявляется во множестве принятых нормативно-правовых актов, которые органы государства управомочены совершать действия от имени государства. </w:t>
      </w:r>
      <w:r w:rsidRPr="00DA76A7">
        <w:rPr>
          <w:rFonts w:ascii="Arial" w:eastAsia="Calibri" w:hAnsi="Arial" w:cs="Arial"/>
          <w:color w:val="000000" w:themeColor="text1"/>
          <w:sz w:val="22"/>
          <w:szCs w:val="22"/>
        </w:rPr>
        <w:tab/>
        <w:t xml:space="preserve">В  нем выражена законотворческая сущность государства, так как  государственная деятельность не должна носить стихийный характер. Только в рамках законодательной деятельности функционирование специальной системы органов и учреждений, входящих в государственный механизм, позволяет организованно и эффективно реализовывать задачи и функции государства, его предназначение в обществе[3, 25]. </w:t>
      </w:r>
    </w:p>
    <w:p w:rsidR="00197CE7" w:rsidRPr="00DA76A7" w:rsidRDefault="00197CE7" w:rsidP="00197CE7">
      <w:pPr>
        <w:ind w:firstLine="567"/>
        <w:jc w:val="both"/>
        <w:rPr>
          <w:rFonts w:ascii="Arial" w:hAnsi="Arial" w:cs="Arial"/>
          <w:color w:val="000000" w:themeColor="text1"/>
          <w:sz w:val="22"/>
          <w:szCs w:val="22"/>
          <w:lang w:val="tg-Cyrl-TJ" w:eastAsia="tg-Cyrl-TJ"/>
        </w:rPr>
      </w:pPr>
      <w:r w:rsidRPr="00DA76A7">
        <w:rPr>
          <w:rFonts w:ascii="Arial" w:hAnsi="Arial" w:cs="Arial"/>
          <w:color w:val="000000" w:themeColor="text1"/>
          <w:sz w:val="22"/>
          <w:szCs w:val="22"/>
          <w:lang w:val="tg-Cyrl-TJ" w:eastAsia="tg-Cyrl-TJ"/>
        </w:rPr>
        <w:t xml:space="preserve">В научной литературе уже обращалось внимание на многообразие понимания механизма парламентаризма, анализировались его законотворчес- кое и функционирование, структура, принципы построения, однако проблема выработки единого определения данного института парламентаризма в </w:t>
      </w:r>
      <w:r w:rsidRPr="00DA76A7">
        <w:rPr>
          <w:rFonts w:ascii="Arial" w:hAnsi="Arial" w:cs="Arial"/>
          <w:color w:val="000000" w:themeColor="text1"/>
          <w:sz w:val="22"/>
          <w:szCs w:val="22"/>
          <w:lang w:eastAsia="tg-Cyrl-TJ"/>
        </w:rPr>
        <w:t>таджикской</w:t>
      </w:r>
      <w:r w:rsidRPr="00DA76A7">
        <w:rPr>
          <w:rFonts w:ascii="Arial" w:hAnsi="Arial" w:cs="Arial"/>
          <w:color w:val="000000" w:themeColor="text1"/>
          <w:sz w:val="22"/>
          <w:szCs w:val="22"/>
          <w:lang w:val="tg-Cyrl-TJ" w:eastAsia="tg-Cyrl-TJ"/>
        </w:rPr>
        <w:t xml:space="preserve"> юридической науке до настоящего времени остаётся актуальной. </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Парламентаризм как политическая практика представляет собой непосредственную реализацию принципов демократического, республиканского, правового государства. Парламентаризм как идея дополняет содержание этих принципов, служит их концептуальному развитию. Детально рассматривая отличия монархической формы правления от республиканской, известный русский философ и юрист И.А. Ильин отказывается проводить их по формальным признакам. По его мнению, необходимо вести речь о различиях монархического и республиканского правосознания [4, 123-130].  Исходя из этой точки зрения к идеям парламентаризма можно отнести все, что объективно способствует воспитанию республиканского правосознания. Широкий подход к пониманию парламентаризма используется и в современном конституционном праве, в том числе и в сравнительно-правовых исследованиях.</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И.М. Степанов описывает такие виды парламентаризма, как парламентаризм развитой, открытый, приглушенный (в зависимости от фактической полноты и силы, действующих в нем нормативов), парламентаризм рационализированный, министериальный, номенклатурный (в зависимости от конституированного порядка взаимоотношений между парламентом и другими высшими органами государственной власти) и др. В моделях парламентаризма первого ряда отражены особенности политического режима (демократического, либерального), характерного для той или иной страны; в моделях парламентаризма второго ряда – особенности формы государства,  государственного устройства и правления [6, 6].</w:t>
      </w:r>
    </w:p>
    <w:p w:rsidR="00197CE7" w:rsidRPr="00DA76A7" w:rsidRDefault="00197CE7" w:rsidP="00197CE7">
      <w:pPr>
        <w:tabs>
          <w:tab w:val="left" w:pos="4395"/>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 Парламентаризм как конституционно-правовое явление, с одной стороны, опирается на целый ряд общих принципов – разделение властей, непосредственная и представительная демократия, правовой характер государства, обеспечивающий верховенство закона, законность и т.д., выступающих в качестве основ конституционного строя. С другой стороны, он непосредственно  проявляется в определенном положении, функциях и компетенции парламента, коллегиальных, гласных процедурах его работы, определенном правовом и социальным статусе депутатов и т. д. [7, 14].</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научной литературе, таким образом, предложены различные трактовки парламентаризма. Можно вести речь о существовании парламентаризма при признании ценностей демократии, разделения властей, верховенства закона, при свободной деятельности парламента и его реальном влиянии на политическую жизнь. Ограничительное понимание парламентаризма предполагает верховенство парламента, его определяющее положение в системе органов государственной власти. Более широкая трактовка парламентаризма позволяет вести речь о нем при наличии представительного (представляющего народ или сословия), как правило, выборного коллегиального законодательного (законосовещательного) органа, даже весьма ограниченного в своих правах. </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Парламентаризм как конституционно-правовое явление, с одной стороны, опирается на целый ряд общих принципов – разделение властей, непосредственная и представительная демократия, правовой характер государства, обеспечивающий верховенство закона, законность и т.д., выступающих в качестве основ конституционного строя. С другой стороны, он непосредственно  проявляется в определенном положении, функциях и компетенции парламента, коллегиальных, гласных процедурах его работы, определенном правовом и социальным статусе депутатов и т.д. [7, 14].</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отмечает И.М. Степанов, «нарастающее влияние идей и принципов парламентаризма стало преобладающей тенденцией мирового государственного строительства. Именно парламентаризм постепенно становится средоточием приоритетных ценностей представительной демократии, способом ее организации, инструментом функционирования – в сочетании с ценностями, формами и методами демократии непосредственной, прямой»[5, 135-138].</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мнению Н.А. Богдановой конституционализма – это система идей, взглядов, в которых воплощены представления о конституционном государстве, их конституционное оформление, а также политико-правовая практика реализации таких идей и закрепляющих их норм. Одним из универсальных признаков конституционного государства, наряду с идеей верховенства права, обеспечением свободы и достойного существования человека, разделением (и взаимодействием) властей, является и воплощение идеи народного представительства в порядке формирования и деятельности органов власти и обеспечение непосредственного участия народа в осуществлении власти, в том числе в принятии решений и контроле за функционированием власти. Также отмечается, что понятие «конституционализм» играет роль системообразующей категории, ей присущ наиболее высокий уровень обобщения, сферой которого выступает весь предмет науки конституционного права, во всем его многообразии. Эта категория объединяет все другие категории конституционного права, а любое его понятие проявляется в категории «конституционализма»[5, 135-138].</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Напомним еще раз нашу позицию: конституционализм- это некий идеал, к которому должно стремиться государственно-организованное общество, идущее по пути социального прогресса. Несмотря на все успехи «коммунистического строительства» и декларируемые политические лозунги об интернационализме, формировании единой социальной общности «советский народ» и т.д. Советский союз и его лидеры избрали тупиковый и регрессивный путь развития, а не путь социального прогресса. Иначе и не может оцениваться деятельность государства, которое, например, в ходе своего национально-территориального строительства произвольно перекраивала карту страны, игнорируя исторически сложившиеся ареалы расселения тех или иных народностей, уничтожало национальную элиту субэтносов, объявляла отдельные народы предателями и изменниками. Советской конституционализм, в том числе Конституция СССР и конституции союзных республик были политической ширмой, политическим декором тоталитарной государственности, а тоталитаризм по определению не может быть прогрессивным.</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этой связи, учитывая историческое прошлое, в равной степени одинаковое для всех национальных государств постсоветского пространства, очень важно сделать так, чтобы конституционные нормы не были ширмой фактического произвола и беззакония, чтобы функционирование государственного аппарата, основной которого является конституция, подкреплялась внятной, понятной населению государственной политикой, которая бы не дискредитировала идеи конституционализма о народовластии, самостоятельности и независимости ветвей власти.</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постсоветской России и ее партнеров по СНГ проблема укрепления государственной власти является болезненной, поскольку а общественном сознании любые шаги в этом направлении нередко воспринимаются как возврат к тоталитарному прошлому. В этой связи нелишне напомнить, что сама по себе большая власть не является источником авторитарной формы правления, для установления последней важны иные факторы- монополия на власть и отсутствие демократического контроля над нею. Достижение же достаточной степени централизации властных структур, обретение каждой ветвью  власти прописанного ей в конституции «лица» предотвращает две опасности развития государственности: с одной стороны, появление всекомпетентных, всевластных органов, с другой, - «рассеивание» власти, «расползание» властных структур. И в федеративном, и в унитарном государстве нельзя игнорировать и еще одно правило распределения власти: каждый государственный орган, каждое должностное лицо должны иметь столько власти, сколько необходимо для выполнения их функций и задач. Не менее важно и другое правило распределение власти: в условиях демократического правового государства власть не может игнорировать институты гражданского общества, не может присваивать себе те полномочия, которыми эти институты наделены конституцией.</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Нередко допускаемое в правовой теории и практике использование терминов «федерализм» в качестве синонимов стирает содержательную разницу этих понятий. Федерация – это легитимация принципов федерализма и их выборочное, обусловленное историческими традициями формально-юридическое закрепление в Основном законе в виде основ конституционного строя и организации территориального устройства конкретного государства, определяющее существующее в мировой практике разнообразие моделей федеративных отношений.</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i/>
          <w:color w:val="000000" w:themeColor="text1"/>
          <w:sz w:val="22"/>
          <w:szCs w:val="22"/>
        </w:rPr>
        <w:t>Федерализм является многомерной категорий</w:t>
      </w:r>
      <w:r w:rsidRPr="00DA76A7">
        <w:rPr>
          <w:rFonts w:ascii="Arial" w:hAnsi="Arial" w:cs="Arial"/>
          <w:color w:val="000000" w:themeColor="text1"/>
          <w:sz w:val="22"/>
          <w:szCs w:val="22"/>
        </w:rPr>
        <w:t xml:space="preserve">, отражающей не только формально-юридические, но и социально-исторические, философско-мировоззренческие аспекты государственного устройства и системы распределения власти отношений, и выступающей в силу этого в качестве </w:t>
      </w:r>
      <w:r w:rsidRPr="00DA76A7">
        <w:rPr>
          <w:rFonts w:ascii="Arial" w:hAnsi="Arial" w:cs="Arial"/>
          <w:i/>
          <w:color w:val="000000" w:themeColor="text1"/>
          <w:sz w:val="22"/>
          <w:szCs w:val="22"/>
        </w:rPr>
        <w:t>универсального</w:t>
      </w:r>
      <w:r w:rsidRPr="00DA76A7">
        <w:rPr>
          <w:rFonts w:ascii="Arial" w:hAnsi="Arial" w:cs="Arial"/>
          <w:color w:val="000000" w:themeColor="text1"/>
          <w:sz w:val="22"/>
          <w:szCs w:val="22"/>
        </w:rPr>
        <w:t xml:space="preserve"> демократического принципа государственно устройства, альтернативы избыточной централизации управления путем преимущественной концентрации властных полномочий на нижних уровнях власти при сохранении за федеральным центром предметов ведения и полномочий, обеспечивающих поддержание государственного суверенитета, мира между членами федерации, гарантию прав и свобод граждан на всей территории государства.</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выражению П. Кинга «хотя федерализм и может существовать без федерации, но невозможно существование федерации без федерализма» [12, 70]. В этой связи основные идеи федерализма, касающиеся распределения государственной  власти, в равной степени могут быть использованы и в федеративных, и в унитарных государствах, исключая ее сверхцентрализацию, а в ряде случаев и узурпацию, обеспечивая возможность  децентрализовать и распределять власть по вертикали; интегрировать территориальные сообщества в единое политическое целое (посредством разделения компетенции) с сохранением политической свободы (посредством самоуправления).</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i/>
          <w:color w:val="000000" w:themeColor="text1"/>
          <w:sz w:val="22"/>
          <w:szCs w:val="22"/>
        </w:rPr>
        <w:t>Второе. Одним из условий обеспечения государственности является совершенствование системного по своим внутренним свойствам механизма государственного управления</w:t>
      </w:r>
      <w:r w:rsidRPr="00DA76A7">
        <w:rPr>
          <w:rFonts w:ascii="Arial" w:hAnsi="Arial" w:cs="Arial"/>
          <w:color w:val="000000" w:themeColor="text1"/>
          <w:sz w:val="22"/>
          <w:szCs w:val="22"/>
        </w:rPr>
        <w:t>. Он  должен иметь многоуровневый и много функциональный характер, обеспечивая выработку единой государственной политики (экономической, социальной, правовой и т.д.) и ее последовательную реализацию как на всей территории страны (пространственно-территориальное действие механизма), так и всеми органами исполнительной власти в пределах их компетенции и с учетом разграничения предметов ведения (</w:t>
      </w:r>
      <w:r w:rsidRPr="00DA76A7">
        <w:rPr>
          <w:rFonts w:ascii="Arial" w:hAnsi="Arial" w:cs="Arial"/>
          <w:i/>
          <w:color w:val="000000" w:themeColor="text1"/>
          <w:sz w:val="22"/>
          <w:szCs w:val="22"/>
        </w:rPr>
        <w:t>субъектно-функциональное действие механизма</w:t>
      </w:r>
      <w:r w:rsidRPr="00DA76A7">
        <w:rPr>
          <w:rFonts w:ascii="Arial" w:hAnsi="Arial" w:cs="Arial"/>
          <w:color w:val="000000" w:themeColor="text1"/>
          <w:sz w:val="22"/>
          <w:szCs w:val="22"/>
        </w:rPr>
        <w:t>). Системность механизма государственного управления предполагает, что в качестве его подсистем выступают соответствующие организационно-правовые механизмы отраслевых и межотраслевых министерств и ведомств центра (федерального, если речь идет о федерации, и республиканского, если речь идет об унитарном государстве) и регионального уровней.</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Одним из условий легитимного и эффективного функционирования системы государственной власти выступает наличие соответствующей нормативно-правовой базы. Нормативную базу функционирования государственной власти в данном случае можно рассматривать в широком м узком смысле. В широком смысле она фактически совпадает с национальной системной позитивного права, закрепляющей всю систему общественных отношений, находящихся под юридической защитой государства. Особое значение здесь имеют институты и нормы, непосредственно ориентированные на юридическую защиту конституционного строя, территориальной целостности государства, государственного суверенитета,  а также устанавливающие специальные правовые режимы обеспечения государственности, в частности, режим государственной границы, режим чрезвычайного или военного положения.</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более узком смысле нормативно-правовую базу функционирования системы государственной власти можно рассматривать как часть национальной системы права, непосредственно связанной с ее легитимацией и легализацией; нормативно-правовым закреплением компетенции государственного аппарата; регламентацией процессуально- процедурных вопросов его функционирования; а также юридической защитой представителей государственной власти.</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Можно выделить два основных общих требований к юридической основе функционирования государственной власти. Во-первых, она содержательно должна обеспечивать сохранение сущностных характеристик государственности, закрепленных в основном Законе. Для всех государств постсоветского пространства в качестве таковых выступает признание государства демократическим, правовым, социальным. Конституции Азербайджана, Кыргызстана, Казахстана, Таджикистана и ряда других стран особо оговаривают светский характер своей государственности. Во-вторых, она должна служить ограничителем политической и правовой конъюнктуры, ограничителем репрессивной власти государства, что обеспечивается установлением и реализацией режима правозаконности [4; 10, 33-34].</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Обобщая содержащиеся в литературе идеи о совершенствовании нормотворческого процесса как одном из условий юридического обеспечения государственности, можно назвать ряд мероприятий,  которые необходимы для этого.</w:t>
      </w:r>
    </w:p>
    <w:p w:rsidR="00197CE7" w:rsidRPr="00DA76A7" w:rsidRDefault="00197CE7" w:rsidP="00197CE7">
      <w:pPr>
        <w:tabs>
          <w:tab w:val="left" w:pos="4395"/>
        </w:tabs>
        <w:ind w:firstLine="567"/>
        <w:jc w:val="both"/>
        <w:rPr>
          <w:rFonts w:ascii="Arial" w:hAnsi="Arial" w:cs="Arial"/>
          <w:i/>
          <w:color w:val="000000" w:themeColor="text1"/>
          <w:sz w:val="22"/>
          <w:szCs w:val="22"/>
        </w:rPr>
      </w:pPr>
      <w:r w:rsidRPr="00DA76A7">
        <w:rPr>
          <w:rFonts w:ascii="Arial" w:hAnsi="Arial" w:cs="Arial"/>
          <w:i/>
          <w:color w:val="000000" w:themeColor="text1"/>
          <w:sz w:val="22"/>
          <w:szCs w:val="22"/>
        </w:rPr>
        <w:t>1. Проведение основных мероприятий общего характера:</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проведение активной и хорошо продуманной государственной политики в сфере обеспечения национальной безопасности, структурированной по соответствующим сферам (экономика, противодействие преступности, геополитика, социальная защита населения и т.п.);</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осуществление мероприятий по достижению гражданского согласия в отношении политико-правового устройства государства;</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фактическое обеспечение принципа разделения властей при наличии эффективной системы сдержек и противовесов;</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четкое регулирование взаимодействия всех ветвей власти на всех этапах правотворческого и правореализационного процессов;</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имплементация в национальное законодательство положений конвенции ООН о противодействии терроризму, экстремизму, незаконному обороту наркотиков и оружия, легализации (отмывании) денежных средств или иного имущества, приобретенных преступным путем и т.д., а также унификация национального законодательства стран СНГ на основе модельных законодательных актов.</w:t>
      </w:r>
    </w:p>
    <w:p w:rsidR="00197CE7" w:rsidRPr="00DA76A7" w:rsidRDefault="00197CE7" w:rsidP="00197CE7">
      <w:pPr>
        <w:pStyle w:val="a6"/>
        <w:tabs>
          <w:tab w:val="left" w:pos="4395"/>
        </w:tabs>
        <w:spacing w:after="0" w:line="240" w:lineRule="auto"/>
        <w:ind w:left="0" w:firstLine="567"/>
        <w:rPr>
          <w:rFonts w:ascii="Arial" w:hAnsi="Arial" w:cs="Arial"/>
          <w:i/>
          <w:color w:val="000000" w:themeColor="text1"/>
        </w:rPr>
      </w:pPr>
      <w:r w:rsidRPr="00DA76A7">
        <w:rPr>
          <w:rFonts w:ascii="Arial" w:hAnsi="Arial" w:cs="Arial"/>
          <w:i/>
          <w:color w:val="000000" w:themeColor="text1"/>
        </w:rPr>
        <w:t>2. Проведение основных мероприятий содержательного характера:</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разработка стандартов нормативных правовых актов, отражающих наивысший уровень их качества, в том числе отраслевых;</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законодательное закрепление научно обоснованных требований, предъявляемых к форме закона, которая существенно значима для реализации правовых норм;</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упорядочение законодательной техники;</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нормотворческая разработка лингвистических стандартов языка закона; </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законодательное закрепление таких основных требований к законопроекту как: полнота регулирования соответствующей сферы  общественных отношений, отсутствие в законе упущений и пробелов; определенность и точность формулировок, выражений и отдельных категорий, терминов, понятий; доступность и ясность языка закона для субъектов права (адресатов), на которых распространяется его действие; функциональный стиль языка; конкретность регулирования, четкое определение всех необходимых элементов закона; четкая система построения закона (целостность, сбалансированность, внутренняя связь и взаимозависимость всех частей законодательной конструкции, логическая последовательность изложения мысли законодателя); унификация, единообразие формы, структуры закона, способов приемов изложения нормативных правовых предписаний; максимальный емкость, экономичность и компактность законодательных формул;</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 унификация и стандартизация законодательной терминологии; </w:t>
      </w:r>
    </w:p>
    <w:p w:rsidR="00197CE7" w:rsidRPr="00DA76A7" w:rsidRDefault="00197CE7" w:rsidP="00197CE7">
      <w:pPr>
        <w:pStyle w:val="a6"/>
        <w:tabs>
          <w:tab w:val="left" w:pos="4395"/>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усиление системности законодательства.</w:t>
      </w:r>
    </w:p>
    <w:p w:rsidR="00197CE7" w:rsidRPr="00DA76A7" w:rsidRDefault="00197CE7" w:rsidP="00197CE7">
      <w:pPr>
        <w:tabs>
          <w:tab w:val="left" w:pos="4395"/>
        </w:tabs>
        <w:ind w:firstLine="567"/>
        <w:rPr>
          <w:rFonts w:ascii="Arial" w:hAnsi="Arial" w:cs="Arial"/>
          <w:i/>
          <w:color w:val="000000" w:themeColor="text1"/>
          <w:sz w:val="22"/>
          <w:szCs w:val="22"/>
        </w:rPr>
      </w:pPr>
      <w:r w:rsidRPr="00DA76A7">
        <w:rPr>
          <w:rFonts w:ascii="Arial" w:hAnsi="Arial" w:cs="Arial"/>
          <w:i/>
          <w:color w:val="000000" w:themeColor="text1"/>
          <w:sz w:val="22"/>
          <w:szCs w:val="22"/>
        </w:rPr>
        <w:t>3. Проведение основных мероприятий процессуального характера:</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разработка методики оценки необходимости принятия нормативного правового акта;</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исследование и учет общественного мнения и общественных интересов на всех этапах нормотворческой деятельности;</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определение связи и взаимодействия проектируемого акта с другими нормами данной правой системы, правовых систем других государств, а также с другими социальными регуляторами;</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законодательное установление ответственность конкретных лиц, разрабатывающих законопроекты, за нарушение в них норм Конституции и других законов;</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 обязательное проведение независимой правовой и лингвистической экспертиз каждого законопроекта; </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внедрение практики проведения в целесообразных и возможных случаях социальных экспериментов для определения оптимального варианта правового регулирования соответствующих групп общественных отношений и выработки наиболее эффективной формы правого воздействия на эти отношения;</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совершенствование правового регулирования законодательного процесса: определение предмета и пределов законотворческой деятельности; включение в конституции раздела о правотворческой деятельности государственных органов с четким разграничением предметов ведения Парламента и Президента; определение компетенции каждого правотворческого органа.</w:t>
      </w:r>
    </w:p>
    <w:p w:rsidR="00197CE7" w:rsidRPr="00DA76A7" w:rsidRDefault="00197CE7" w:rsidP="00197CE7">
      <w:pPr>
        <w:tabs>
          <w:tab w:val="left" w:pos="4395"/>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Законодательный процесс является упорядочение новых общественных отношений, возникших у юридических и физических лицах в период становления независимости, в том числе определение единой таможенной политики как составной части внешней и внутренней политики государства в области перемещения товаров и других работ, пересмотр закупочных цен на сельскохозяйственную продукцию в связи с переходом на новые рыночные отношения, упорядочение системы налогообложения доходов граждан, занятых индивидуальным предпринимательством, а также решение вопросов социальной защиты беженцев и т.д. </w:t>
      </w:r>
    </w:p>
    <w:p w:rsidR="00197CE7" w:rsidRPr="00DA76A7" w:rsidRDefault="00197CE7" w:rsidP="00197CE7">
      <w:pPr>
        <w:tabs>
          <w:tab w:val="left" w:pos="4395"/>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Иными словами, вся функциональная деятельность государственной власти, по сути, сводится к решению триединой задачи – </w:t>
      </w:r>
      <w:r w:rsidRPr="00DA76A7">
        <w:rPr>
          <w:rFonts w:ascii="Arial" w:eastAsia="Calibri" w:hAnsi="Arial" w:cs="Arial"/>
          <w:i/>
          <w:color w:val="000000" w:themeColor="text1"/>
          <w:sz w:val="22"/>
          <w:szCs w:val="22"/>
        </w:rPr>
        <w:t>создать и поддерживать</w:t>
      </w:r>
      <w:r w:rsidRPr="00DA76A7">
        <w:rPr>
          <w:rFonts w:ascii="Arial" w:eastAsia="Calibri" w:hAnsi="Arial" w:cs="Arial"/>
          <w:color w:val="000000" w:themeColor="text1"/>
          <w:sz w:val="22"/>
          <w:szCs w:val="22"/>
        </w:rPr>
        <w:t xml:space="preserve"> такой государственно-правовой порядок, при котором </w:t>
      </w:r>
      <w:r w:rsidRPr="00DA76A7">
        <w:rPr>
          <w:rFonts w:ascii="Arial" w:eastAsia="Calibri" w:hAnsi="Arial" w:cs="Arial"/>
          <w:i/>
          <w:color w:val="000000" w:themeColor="text1"/>
          <w:sz w:val="22"/>
          <w:szCs w:val="22"/>
        </w:rPr>
        <w:t>обеспечивается благосостояние и безопасность населения только конституционном порядке</w:t>
      </w:r>
      <w:r w:rsidRPr="00DA76A7">
        <w:rPr>
          <w:rFonts w:ascii="Arial" w:eastAsia="Calibri" w:hAnsi="Arial" w:cs="Arial"/>
          <w:color w:val="000000" w:themeColor="text1"/>
          <w:sz w:val="22"/>
          <w:szCs w:val="22"/>
        </w:rPr>
        <w:t>. Принимаемые для этого меры, связанные обеспечением суверенитета и госу4дарственной целостности, развитием экономики, охранной прав и законных интересов граждан и т.д., в известной степени носят вторичный, производный характер, отражая детализацию этих задач и технологию их решения различными ветвями государственной власти. Как представляется, этот тезис имеет чрезвычайно важное значение, поскольку акцентирует внимание на том, что государственно-правовой порядок реализации общественных отношений выступает юридической основной функционирования государственной власти в целом и реализации экономической, политической, социальной функций государства в частности.</w:t>
      </w:r>
    </w:p>
    <w:p w:rsidR="00197CE7" w:rsidRPr="00DA76A7" w:rsidRDefault="00197CE7" w:rsidP="00197CE7">
      <w:pPr>
        <w:tabs>
          <w:tab w:val="left" w:pos="4395"/>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Какие же функции или направления государственной деятельности необходимы для установления государственно-правового порядка как основы государственности? Как представляется, в качестве интегративных функций государства, обеспечивающих решение названной задачи и самосохранение государственности, выступают </w:t>
      </w:r>
      <w:r w:rsidRPr="00DA76A7">
        <w:rPr>
          <w:rFonts w:ascii="Arial" w:eastAsia="Calibri" w:hAnsi="Arial" w:cs="Arial"/>
          <w:i/>
          <w:color w:val="000000" w:themeColor="text1"/>
          <w:sz w:val="22"/>
          <w:szCs w:val="22"/>
        </w:rPr>
        <w:t>правоустановительная</w:t>
      </w:r>
      <w:r w:rsidRPr="00DA76A7">
        <w:rPr>
          <w:rFonts w:ascii="Arial" w:eastAsia="Calibri" w:hAnsi="Arial" w:cs="Arial"/>
          <w:color w:val="000000" w:themeColor="text1"/>
          <w:sz w:val="22"/>
          <w:szCs w:val="22"/>
        </w:rPr>
        <w:t xml:space="preserve"> функция, связанная с установлением всех источников и норм действующего права; правореализаторская функция, связанная с претворением в жизнь нормативных предписаний, определяющих «правила игры» всех коллективных и индивидуальных субъектов права; правоохранительная функция, связанная с охраной и защитой самого права [8, 369], т.е. «защита от нарушений есть существенная потребность бытия права, она может быть различной, полная и неполная, но без всякой защиты немыслимо никакое право».  В интересах обеспечения прав и свобод человека и гражданина, утверждения законности и правопорядка во всех сферах общественной жизни.</w:t>
      </w:r>
    </w:p>
    <w:p w:rsidR="00197CE7" w:rsidRPr="00DA76A7" w:rsidRDefault="00197CE7" w:rsidP="00197CE7">
      <w:pPr>
        <w:tabs>
          <w:tab w:val="left" w:pos="4395"/>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Предлагая выделение названных функций в качестве   атрибутивных функций государства, мы не претендуем на оригинальность классификации, поскольку в той или иной постановке вопроса эти функции в качестве основных называются многими исследователями. Суть авторской позиции заключается в констатации того, что атрибутивные функции государства лежат в основе структурирования и функционирования системы государственной власти. Иной подход вызывает определение трудности в интерпретации этой системы. </w:t>
      </w:r>
    </w:p>
    <w:p w:rsidR="00197CE7" w:rsidRPr="00DA76A7" w:rsidRDefault="00197CE7" w:rsidP="00197CE7">
      <w:pPr>
        <w:tabs>
          <w:tab w:val="left" w:pos="4395"/>
        </w:tabs>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Например, В.С. Нерсесянц, говоря о принципе разделения властей как основании выделения таких внутренних функций, как законодательной, исполнительной и судебной, вынужден делать оговорку, что «такая классификация не имеет принципиального значения, поскольку не соответствует функциональной деятельности государств других исторических типов, в которых еще не было разделения властей, присущего современному правовому государству» [5, 261].</w:t>
      </w:r>
    </w:p>
    <w:p w:rsidR="00197CE7" w:rsidRPr="00DA76A7" w:rsidRDefault="00197CE7" w:rsidP="00197CE7">
      <w:pPr>
        <w:ind w:firstLine="567"/>
        <w:rPr>
          <w:rFonts w:ascii="Arial" w:hAnsi="Arial" w:cs="Arial"/>
          <w:color w:val="000000" w:themeColor="text1"/>
          <w:sz w:val="22"/>
          <w:szCs w:val="22"/>
        </w:rPr>
      </w:pPr>
    </w:p>
    <w:p w:rsidR="00197CE7" w:rsidRPr="00DA76A7" w:rsidRDefault="00197CE7" w:rsidP="00197CE7">
      <w:pPr>
        <w:ind w:firstLine="567"/>
        <w:jc w:val="center"/>
        <w:outlineLvl w:val="1"/>
        <w:rPr>
          <w:rFonts w:ascii="Arial" w:hAnsi="Arial" w:cs="Arial"/>
          <w:color w:val="000000" w:themeColor="text1"/>
          <w:sz w:val="22"/>
          <w:szCs w:val="22"/>
        </w:rPr>
      </w:pPr>
      <w:r w:rsidRPr="00DA76A7">
        <w:rPr>
          <w:rFonts w:ascii="Arial" w:hAnsi="Arial" w:cs="Arial"/>
          <w:b/>
          <w:bCs/>
          <w:color w:val="000000" w:themeColor="text1"/>
          <w:sz w:val="22"/>
          <w:szCs w:val="22"/>
        </w:rPr>
        <w:t>Список литературы:</w:t>
      </w:r>
    </w:p>
    <w:p w:rsidR="00197CE7" w:rsidRPr="00DA76A7" w:rsidRDefault="00197CE7" w:rsidP="00197CE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 Конституция Республики Таджикистан 1994 г. с измен. и доп. от 22.05.2016 </w:t>
      </w:r>
    </w:p>
    <w:p w:rsidR="00197CE7" w:rsidRPr="00DA76A7" w:rsidRDefault="00197CE7" w:rsidP="00197CE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Алиев З.М. Некоторые вопросы становления парламентаризма в Республике Таджикистан //Вестник Межпарламентской Ассамблеи стран –участников СНГ. - СПб., 2001. - № 4. – С. 213-220.</w:t>
      </w:r>
    </w:p>
    <w:p w:rsidR="00197CE7" w:rsidRPr="00DA76A7" w:rsidRDefault="00197CE7" w:rsidP="00197CE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Алексеев.С.С. Социальная ценность права в советском обществе. - М., 1971. – 345 с.</w:t>
      </w:r>
    </w:p>
    <w:p w:rsidR="00197CE7" w:rsidRPr="00DA76A7" w:rsidRDefault="00197CE7" w:rsidP="00197CE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Богданова Н.А. Категория «конституционализм» в науке конституционного права // Российский конституционализм: проблемы и решения: материалы международной конференции. - М., 1999 . - С. 136-138.</w:t>
      </w:r>
    </w:p>
    <w:p w:rsidR="00197CE7" w:rsidRPr="00DA76A7" w:rsidRDefault="00197CE7" w:rsidP="00197CE7">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Маджидзода Д.З. Конституция Республики Таджикистан 20-лет: мнография. – Душанбе, 2014. – 154 с.</w:t>
      </w:r>
    </w:p>
    <w:p w:rsidR="00197CE7" w:rsidRPr="00DA76A7" w:rsidRDefault="00197CE7" w:rsidP="00197CE7">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Ильин И.А. О монархии и республике // Вопросы философии.- 1991.- № 4. - С.123-130.</w:t>
      </w:r>
    </w:p>
    <w:p w:rsidR="00197CE7" w:rsidRPr="00DA76A7" w:rsidRDefault="00197CE7" w:rsidP="00197CE7">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8. Нерсесянц В.С. Общая теория права и государства.-  М., 2002. – 261 с. </w:t>
      </w:r>
    </w:p>
    <w:p w:rsidR="00197CE7" w:rsidRPr="00DA76A7" w:rsidRDefault="00197CE7" w:rsidP="00197CE7">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9. Парламентское право России: учебное пособие / под ред. И.М. Степанова, Т.Я. Хабриевой. - М., 1999. – 291 с.</w:t>
      </w:r>
    </w:p>
    <w:p w:rsidR="00197CE7" w:rsidRPr="00DA76A7" w:rsidRDefault="00197CE7" w:rsidP="00197CE7">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10. Онишко Н.В. Парламентаризма в России: история становления и эволюция. СПб., 2002. – 183 с.</w:t>
      </w:r>
    </w:p>
    <w:p w:rsidR="00197CE7" w:rsidRPr="00DA76A7" w:rsidRDefault="00197CE7" w:rsidP="00197CE7">
      <w:pPr>
        <w:pStyle w:val="af2"/>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rPr>
        <w:t xml:space="preserve">11. Талянин В.В. Правозаконность и демократия // Демократия и тоталитаризм: проблемы противостояния (политические режимы в современном мире): материалы межвузовского научно-практического семинара. </w:t>
      </w:r>
      <w:r w:rsidRPr="00DA76A7">
        <w:rPr>
          <w:rFonts w:ascii="Arial" w:hAnsi="Arial" w:cs="Arial"/>
          <w:color w:val="000000" w:themeColor="text1"/>
          <w:sz w:val="22"/>
          <w:szCs w:val="22"/>
          <w:lang w:val="en-US"/>
        </w:rPr>
        <w:t>(</w:t>
      </w:r>
      <w:r w:rsidRPr="00DA76A7">
        <w:rPr>
          <w:rFonts w:ascii="Arial" w:hAnsi="Arial" w:cs="Arial"/>
          <w:color w:val="000000" w:themeColor="text1"/>
          <w:sz w:val="22"/>
          <w:szCs w:val="22"/>
        </w:rPr>
        <w:t>Санкт</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Петербург</w:t>
      </w:r>
      <w:r w:rsidRPr="00DA76A7">
        <w:rPr>
          <w:rFonts w:ascii="Arial" w:hAnsi="Arial" w:cs="Arial"/>
          <w:color w:val="000000" w:themeColor="text1"/>
          <w:sz w:val="22"/>
          <w:szCs w:val="22"/>
          <w:lang w:val="en-US"/>
        </w:rPr>
        <w:t xml:space="preserve">. 15 </w:t>
      </w:r>
      <w:r w:rsidRPr="00DA76A7">
        <w:rPr>
          <w:rFonts w:ascii="Arial" w:hAnsi="Arial" w:cs="Arial"/>
          <w:color w:val="000000" w:themeColor="text1"/>
          <w:sz w:val="22"/>
          <w:szCs w:val="22"/>
        </w:rPr>
        <w:t>ноября</w:t>
      </w:r>
      <w:r w:rsidRPr="00DA76A7">
        <w:rPr>
          <w:rFonts w:ascii="Arial" w:hAnsi="Arial" w:cs="Arial"/>
          <w:color w:val="000000" w:themeColor="text1"/>
          <w:sz w:val="22"/>
          <w:szCs w:val="22"/>
          <w:lang w:val="en-US"/>
        </w:rPr>
        <w:t xml:space="preserve"> 1999 </w:t>
      </w:r>
      <w:r w:rsidRPr="00DA76A7">
        <w:rPr>
          <w:rFonts w:ascii="Arial" w:hAnsi="Arial" w:cs="Arial"/>
          <w:color w:val="000000" w:themeColor="text1"/>
          <w:sz w:val="22"/>
          <w:szCs w:val="22"/>
        </w:rPr>
        <w:t>г</w:t>
      </w:r>
      <w:r w:rsidRPr="00DA76A7">
        <w:rPr>
          <w:rFonts w:ascii="Arial" w:hAnsi="Arial" w:cs="Arial"/>
          <w:color w:val="000000" w:themeColor="text1"/>
          <w:sz w:val="22"/>
          <w:szCs w:val="22"/>
          <w:lang w:val="en-US"/>
        </w:rPr>
        <w:t xml:space="preserve">.). - </w:t>
      </w:r>
      <w:r w:rsidRPr="00DA76A7">
        <w:rPr>
          <w:rFonts w:ascii="Arial" w:hAnsi="Arial" w:cs="Arial"/>
          <w:color w:val="000000" w:themeColor="text1"/>
          <w:sz w:val="22"/>
          <w:szCs w:val="22"/>
        </w:rPr>
        <w:t>СПб</w:t>
      </w:r>
      <w:r w:rsidRPr="00DA76A7">
        <w:rPr>
          <w:rFonts w:ascii="Arial" w:hAnsi="Arial" w:cs="Arial"/>
          <w:color w:val="000000" w:themeColor="text1"/>
          <w:sz w:val="22"/>
          <w:szCs w:val="22"/>
          <w:lang w:val="en-US"/>
        </w:rPr>
        <w:t xml:space="preserve">., 1999. - </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.33-34.</w:t>
      </w:r>
    </w:p>
    <w:p w:rsidR="00197CE7" w:rsidRPr="00DA76A7" w:rsidRDefault="00197CE7" w:rsidP="00197CE7">
      <w:pPr>
        <w:ind w:firstLine="567"/>
        <w:jc w:val="both"/>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13. King P. Federalism and Federation. - Baltimure, 1982. – 70 </w:t>
      </w:r>
      <w:r w:rsidRPr="00DA76A7">
        <w:rPr>
          <w:rFonts w:ascii="Arial" w:hAnsi="Arial" w:cs="Arial"/>
          <w:color w:val="000000" w:themeColor="text1"/>
          <w:sz w:val="22"/>
          <w:szCs w:val="22"/>
        </w:rPr>
        <w:t>р</w:t>
      </w:r>
      <w:r w:rsidRPr="00DA76A7">
        <w:rPr>
          <w:rFonts w:ascii="Arial" w:hAnsi="Arial" w:cs="Arial"/>
          <w:color w:val="000000" w:themeColor="text1"/>
          <w:sz w:val="22"/>
          <w:szCs w:val="22"/>
          <w:lang w:val="en-US"/>
        </w:rPr>
        <w:t>.</w:t>
      </w:r>
    </w:p>
    <w:p w:rsidR="00197CE7" w:rsidRPr="005D1C4B" w:rsidRDefault="00197CE7" w:rsidP="005B31C6">
      <w:pPr>
        <w:ind w:firstLine="567"/>
        <w:jc w:val="center"/>
        <w:rPr>
          <w:rFonts w:ascii="Arial" w:hAnsi="Arial" w:cs="Arial"/>
          <w:b/>
          <w:color w:val="000000" w:themeColor="text1"/>
          <w:sz w:val="22"/>
          <w:szCs w:val="22"/>
          <w:lang w:val="en-US"/>
        </w:rPr>
      </w:pPr>
    </w:p>
    <w:p w:rsidR="00197CE7" w:rsidRPr="005D1C4B" w:rsidRDefault="00197CE7" w:rsidP="005B31C6">
      <w:pPr>
        <w:ind w:firstLine="567"/>
        <w:jc w:val="center"/>
        <w:rPr>
          <w:rFonts w:ascii="Arial" w:hAnsi="Arial" w:cs="Arial"/>
          <w:b/>
          <w:color w:val="000000" w:themeColor="text1"/>
          <w:sz w:val="22"/>
          <w:szCs w:val="22"/>
          <w:lang w:val="en-US"/>
        </w:rPr>
      </w:pPr>
    </w:p>
    <w:p w:rsidR="005B31C6" w:rsidRPr="00DA76A7" w:rsidRDefault="005B31C6" w:rsidP="005B31C6">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К ВОПРОСУ ОБ ОСОБЕННОСТЯХ ФОРМИРОВАНИЯ ПРАВОСОЗНАНИЯ МОЛОДЕЖИ ТАДЖИКИСТАНА В УСЛОВИЯХ ГЛОБАЛИЗАЦИИ</w:t>
      </w:r>
    </w:p>
    <w:p w:rsidR="005B31C6" w:rsidRPr="00DA76A7" w:rsidRDefault="005B31C6" w:rsidP="005B31C6">
      <w:pPr>
        <w:jc w:val="both"/>
        <w:rPr>
          <w:rFonts w:ascii="Arial" w:eastAsia="Calibri" w:hAnsi="Arial" w:cs="Arial"/>
          <w:b/>
          <w:color w:val="000000" w:themeColor="text1"/>
          <w:sz w:val="22"/>
          <w:szCs w:val="22"/>
        </w:rPr>
      </w:pPr>
    </w:p>
    <w:p w:rsidR="005B31C6" w:rsidRPr="00DA76A7" w:rsidRDefault="005B31C6" w:rsidP="005B31C6">
      <w:pPr>
        <w:shd w:val="clear" w:color="auto" w:fill="FFFFFF"/>
        <w:jc w:val="center"/>
        <w:rPr>
          <w:rFonts w:ascii="Arial" w:hAnsi="Arial" w:cs="Arial"/>
          <w:color w:val="000000" w:themeColor="text1"/>
          <w:sz w:val="22"/>
          <w:szCs w:val="22"/>
        </w:rPr>
      </w:pPr>
      <w:r w:rsidRPr="00DA76A7">
        <w:rPr>
          <w:rFonts w:ascii="Arial" w:hAnsi="Arial" w:cs="Arial"/>
          <w:b/>
          <w:color w:val="000000" w:themeColor="text1"/>
          <w:sz w:val="22"/>
          <w:szCs w:val="22"/>
        </w:rPr>
        <w:t>Маджидзода Джурахон Зоир</w:t>
      </w:r>
    </w:p>
    <w:p w:rsidR="005B31C6" w:rsidRPr="00DA76A7" w:rsidRDefault="005B31C6" w:rsidP="005B31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доктор юридических наук, профессор, Председатель Комитета Маджлиси намояндагон Маджлиси Оли Республики Таджикистан по правопорядку, обороне и</w:t>
      </w:r>
    </w:p>
    <w:p w:rsidR="005B31C6" w:rsidRPr="00DA76A7" w:rsidRDefault="005B31C6" w:rsidP="005B31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безопасности</w:t>
      </w:r>
    </w:p>
    <w:p w:rsidR="005B31C6" w:rsidRPr="00DA76A7" w:rsidRDefault="005B31C6" w:rsidP="005B31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734025, Республика Таджикистан, г. Душанбе, ул. М. Турсунзаде, 30</w:t>
      </w:r>
    </w:p>
    <w:p w:rsidR="005B31C6" w:rsidRPr="00DA76A7" w:rsidRDefault="005B31C6" w:rsidP="005B31C6">
      <w:pPr>
        <w:jc w:val="center"/>
        <w:rPr>
          <w:rFonts w:ascii="Arial" w:eastAsia="Calibri" w:hAnsi="Arial" w:cs="Arial"/>
          <w:b/>
          <w:color w:val="000000" w:themeColor="text1"/>
          <w:sz w:val="22"/>
          <w:szCs w:val="22"/>
        </w:rPr>
      </w:pPr>
      <w:r w:rsidRPr="00DA76A7">
        <w:rPr>
          <w:rFonts w:ascii="Arial" w:eastAsia="Calibri" w:hAnsi="Arial" w:cs="Arial"/>
          <w:color w:val="000000" w:themeColor="text1"/>
          <w:sz w:val="22"/>
          <w:szCs w:val="22"/>
        </w:rPr>
        <w:t xml:space="preserve">тел.: 985038585, </w:t>
      </w:r>
      <w:r w:rsidRPr="00DA76A7">
        <w:rPr>
          <w:rFonts w:ascii="Arial" w:eastAsia="Calibri" w:hAnsi="Arial" w:cs="Arial"/>
          <w:color w:val="000000" w:themeColor="text1"/>
          <w:sz w:val="22"/>
          <w:szCs w:val="22"/>
          <w:lang w:val="en-US"/>
        </w:rPr>
        <w:t>e</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 xml:space="preserve">: </w:t>
      </w:r>
      <w:r w:rsidRPr="00DA76A7">
        <w:rPr>
          <w:rFonts w:ascii="Arial" w:eastAsia="Calibri" w:hAnsi="Arial" w:cs="Arial"/>
          <w:color w:val="000000" w:themeColor="text1"/>
          <w:sz w:val="22"/>
          <w:szCs w:val="22"/>
          <w:lang w:val="en-US"/>
        </w:rPr>
        <w:t>zoirov</w:t>
      </w:r>
      <w:r w:rsidRPr="00DA76A7">
        <w:rPr>
          <w:rFonts w:ascii="Arial" w:eastAsia="Calibri" w:hAnsi="Arial" w:cs="Arial"/>
          <w:color w:val="000000" w:themeColor="text1"/>
          <w:sz w:val="22"/>
          <w:szCs w:val="22"/>
        </w:rPr>
        <w:t>2009@</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ru</w:t>
      </w:r>
    </w:p>
    <w:p w:rsidR="005B31C6" w:rsidRPr="00DA76A7" w:rsidRDefault="005B31C6" w:rsidP="005B31C6">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Насков Диловар Сайдуллоевич</w:t>
      </w:r>
    </w:p>
    <w:p w:rsidR="005B31C6" w:rsidRPr="00DA76A7" w:rsidRDefault="005B31C6" w:rsidP="005B31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соискатель кафедры государственно-правовых дисциплин, ведущий специалист юридической клиники юридического факультета </w:t>
      </w:r>
    </w:p>
    <w:p w:rsidR="005B31C6" w:rsidRPr="00DA76A7" w:rsidRDefault="005B31C6" w:rsidP="005B31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734025, Таджикистан, г. Душанбе, ул. Турсунзаде, 30</w:t>
      </w:r>
    </w:p>
    <w:p w:rsidR="005B31C6" w:rsidRPr="00DA76A7" w:rsidRDefault="005B31C6" w:rsidP="005B31C6">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е-</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 xml:space="preserve">: </w:t>
      </w:r>
      <w:hyperlink r:id="rId402" w:history="1">
        <w:r w:rsidRPr="00DA76A7">
          <w:rPr>
            <w:rStyle w:val="af0"/>
            <w:rFonts w:ascii="Arial" w:eastAsia="Calibri" w:hAnsi="Arial" w:cs="Arial"/>
            <w:color w:val="000000" w:themeColor="text1"/>
            <w:sz w:val="22"/>
            <w:szCs w:val="22"/>
            <w:u w:val="none"/>
            <w:lang w:val="en-US"/>
          </w:rPr>
          <w:t>dilovar</w:t>
        </w:r>
        <w:r w:rsidRPr="00DA76A7">
          <w:rPr>
            <w:rStyle w:val="af0"/>
            <w:rFonts w:ascii="Arial" w:eastAsia="Calibri" w:hAnsi="Arial" w:cs="Arial"/>
            <w:color w:val="000000" w:themeColor="text1"/>
            <w:sz w:val="22"/>
            <w:szCs w:val="22"/>
            <w:u w:val="none"/>
          </w:rPr>
          <w:t>.</w:t>
        </w:r>
        <w:r w:rsidRPr="00DA76A7">
          <w:rPr>
            <w:rStyle w:val="af0"/>
            <w:rFonts w:ascii="Arial" w:eastAsia="Calibri" w:hAnsi="Arial" w:cs="Arial"/>
            <w:color w:val="000000" w:themeColor="text1"/>
            <w:sz w:val="22"/>
            <w:szCs w:val="22"/>
            <w:u w:val="none"/>
            <w:lang w:val="en-US"/>
          </w:rPr>
          <w:t>naskov</w:t>
        </w:r>
        <w:r w:rsidRPr="00DA76A7">
          <w:rPr>
            <w:rStyle w:val="af0"/>
            <w:rFonts w:ascii="Arial" w:eastAsia="Calibri" w:hAnsi="Arial" w:cs="Arial"/>
            <w:color w:val="000000" w:themeColor="text1"/>
            <w:sz w:val="22"/>
            <w:szCs w:val="22"/>
            <w:u w:val="none"/>
          </w:rPr>
          <w:t>@</w:t>
        </w:r>
        <w:r w:rsidRPr="00DA76A7">
          <w:rPr>
            <w:rStyle w:val="af0"/>
            <w:rFonts w:ascii="Arial" w:eastAsia="Calibri" w:hAnsi="Arial" w:cs="Arial"/>
            <w:color w:val="000000" w:themeColor="text1"/>
            <w:sz w:val="22"/>
            <w:szCs w:val="22"/>
            <w:u w:val="none"/>
            <w:lang w:val="en-US"/>
          </w:rPr>
          <w:t>mail</w:t>
        </w:r>
        <w:r w:rsidRPr="00DA76A7">
          <w:rPr>
            <w:rStyle w:val="af0"/>
            <w:rFonts w:ascii="Arial" w:eastAsia="Calibri" w:hAnsi="Arial" w:cs="Arial"/>
            <w:color w:val="000000" w:themeColor="text1"/>
            <w:sz w:val="22"/>
            <w:szCs w:val="22"/>
            <w:u w:val="none"/>
          </w:rPr>
          <w:t>.</w:t>
        </w:r>
        <w:r w:rsidRPr="00DA76A7">
          <w:rPr>
            <w:rStyle w:val="af0"/>
            <w:rFonts w:ascii="Arial" w:eastAsia="Calibri" w:hAnsi="Arial" w:cs="Arial"/>
            <w:color w:val="000000" w:themeColor="text1"/>
            <w:sz w:val="22"/>
            <w:szCs w:val="22"/>
            <w:u w:val="none"/>
            <w:lang w:val="en-US"/>
          </w:rPr>
          <w:t>ru</w:t>
        </w:r>
      </w:hyperlink>
    </w:p>
    <w:p w:rsidR="005B31C6" w:rsidRPr="00DA76A7" w:rsidRDefault="005B31C6" w:rsidP="005B31C6">
      <w:pPr>
        <w:jc w:val="center"/>
        <w:rPr>
          <w:rFonts w:ascii="Arial" w:eastAsia="Calibri" w:hAnsi="Arial" w:cs="Arial"/>
          <w:b/>
          <w:color w:val="000000" w:themeColor="text1"/>
          <w:sz w:val="22"/>
          <w:szCs w:val="22"/>
        </w:rPr>
      </w:pPr>
    </w:p>
    <w:p w:rsidR="005B31C6" w:rsidRPr="00DA76A7" w:rsidRDefault="005B31C6" w:rsidP="005B31C6">
      <w:pPr>
        <w:jc w:val="center"/>
        <w:rPr>
          <w:rFonts w:ascii="Arial" w:eastAsia="Calibri" w:hAnsi="Arial" w:cs="Arial"/>
          <w:b/>
          <w:color w:val="000000" w:themeColor="text1"/>
          <w:sz w:val="22"/>
          <w:szCs w:val="22"/>
          <w:lang w:val="en-US"/>
        </w:rPr>
      </w:pPr>
      <w:r w:rsidRPr="00DA76A7">
        <w:rPr>
          <w:rFonts w:ascii="Arial" w:eastAsia="Calibri" w:hAnsi="Arial" w:cs="Arial"/>
          <w:b/>
          <w:color w:val="000000" w:themeColor="text1"/>
          <w:sz w:val="22"/>
          <w:szCs w:val="22"/>
          <w:lang w:val="en-US"/>
        </w:rPr>
        <w:t>TO THE QUESTION ABOUT THE PECULIARITIES OF FORMATION OF LEGAL CONSCIOUSNESS OF YOUTH OF TAJIKISTAN IN THE CONDITIONS OF GLOBALIZATION</w:t>
      </w:r>
    </w:p>
    <w:p w:rsidR="005B31C6" w:rsidRPr="00DA76A7" w:rsidRDefault="005B31C6" w:rsidP="005B31C6">
      <w:pPr>
        <w:jc w:val="center"/>
        <w:rPr>
          <w:rFonts w:ascii="Arial" w:hAnsi="Arial" w:cs="Arial"/>
          <w:b/>
          <w:color w:val="000000" w:themeColor="text1"/>
          <w:sz w:val="22"/>
          <w:szCs w:val="22"/>
          <w:lang w:val="en-US"/>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Majidzoda Jurakhon Zoir</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doctor of law, professor, Chairman of the Committee of the Majlisi Namoyandagon of the Majlisi Oli of the Republic of Tajikistan on the Rule of Law, Defense and Security</w:t>
      </w:r>
    </w:p>
    <w:p w:rsidR="005B31C6" w:rsidRPr="00DA76A7" w:rsidRDefault="005B31C6" w:rsidP="005B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M. Tursunzade str., 30</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985038585, e-mail: zoirov2009@mail.ru</w:t>
      </w:r>
    </w:p>
    <w:p w:rsidR="005B31C6" w:rsidRPr="00DA76A7" w:rsidRDefault="005B31C6" w:rsidP="005B31C6">
      <w:pPr>
        <w:jc w:val="both"/>
        <w:rPr>
          <w:rFonts w:ascii="Arial" w:eastAsia="Calibri" w:hAnsi="Arial" w:cs="Arial"/>
          <w:color w:val="000000" w:themeColor="text1"/>
          <w:sz w:val="22"/>
          <w:szCs w:val="22"/>
          <w:lang w:val="en-US"/>
        </w:rPr>
      </w:pPr>
    </w:p>
    <w:p w:rsidR="005B31C6" w:rsidRPr="00DA76A7" w:rsidRDefault="005B31C6" w:rsidP="005B31C6">
      <w:pPr>
        <w:jc w:val="center"/>
        <w:rPr>
          <w:rFonts w:ascii="Arial" w:eastAsia="Calibri" w:hAnsi="Arial" w:cs="Arial"/>
          <w:b/>
          <w:color w:val="000000" w:themeColor="text1"/>
          <w:sz w:val="22"/>
          <w:szCs w:val="22"/>
          <w:lang w:val="en-US"/>
        </w:rPr>
      </w:pPr>
      <w:r w:rsidRPr="00DA76A7">
        <w:rPr>
          <w:rFonts w:ascii="Arial" w:eastAsia="Calibri" w:hAnsi="Arial" w:cs="Arial"/>
          <w:b/>
          <w:color w:val="000000" w:themeColor="text1"/>
          <w:sz w:val="22"/>
          <w:szCs w:val="22"/>
          <w:lang w:val="en-US"/>
        </w:rPr>
        <w:t>Naskov Dilovar Saydulloevich</w:t>
      </w:r>
    </w:p>
    <w:p w:rsidR="005B31C6" w:rsidRPr="00DA76A7" w:rsidRDefault="005B31C6" w:rsidP="005B31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 xml:space="preserve">applicant of the department of state and legal disciplines, leading specialist of legal clinic law faculty </w:t>
      </w:r>
    </w:p>
    <w:p w:rsidR="005B31C6" w:rsidRPr="00DA76A7" w:rsidRDefault="005B31C6" w:rsidP="005B31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Russian-Tajik (Slavic) university</w:t>
      </w:r>
    </w:p>
    <w:p w:rsidR="005B31C6" w:rsidRPr="00DA76A7" w:rsidRDefault="005B31C6" w:rsidP="005B31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lang w:val="en-US"/>
        </w:rPr>
        <w:t xml:space="preserve"> 734025, Tajikistan, Dushanbe, </w:t>
      </w:r>
      <w:r w:rsidRPr="00DA76A7">
        <w:rPr>
          <w:rFonts w:ascii="Arial" w:eastAsia="Calibri" w:hAnsi="Arial" w:cs="Arial"/>
          <w:color w:val="000000" w:themeColor="text1"/>
          <w:sz w:val="22"/>
          <w:szCs w:val="22"/>
        </w:rPr>
        <w:t>М</w:t>
      </w:r>
      <w:r w:rsidRPr="00DA76A7">
        <w:rPr>
          <w:rFonts w:ascii="Arial" w:eastAsia="Calibri" w:hAnsi="Arial" w:cs="Arial"/>
          <w:color w:val="000000" w:themeColor="text1"/>
          <w:sz w:val="22"/>
          <w:szCs w:val="22"/>
          <w:lang w:val="en-US"/>
        </w:rPr>
        <w:t>. Tursunzade str., 30</w:t>
      </w:r>
    </w:p>
    <w:p w:rsidR="005B31C6" w:rsidRPr="00DA76A7" w:rsidRDefault="005B31C6" w:rsidP="005B31C6">
      <w:pPr>
        <w:jc w:val="center"/>
        <w:rPr>
          <w:rFonts w:ascii="Arial" w:eastAsia="Calibri" w:hAnsi="Arial" w:cs="Arial"/>
          <w:color w:val="000000" w:themeColor="text1"/>
          <w:sz w:val="22"/>
          <w:szCs w:val="22"/>
          <w:lang w:val="en-US"/>
        </w:rPr>
      </w:pPr>
      <w:r w:rsidRPr="00DA76A7">
        <w:rPr>
          <w:rFonts w:ascii="Arial" w:eastAsia="Calibri" w:hAnsi="Arial" w:cs="Arial"/>
          <w:color w:val="000000" w:themeColor="text1"/>
          <w:sz w:val="22"/>
          <w:szCs w:val="22"/>
        </w:rPr>
        <w:t>е</w:t>
      </w:r>
      <w:r w:rsidRPr="00DA76A7">
        <w:rPr>
          <w:rFonts w:ascii="Arial" w:eastAsia="Calibri" w:hAnsi="Arial" w:cs="Arial"/>
          <w:color w:val="000000" w:themeColor="text1"/>
          <w:sz w:val="22"/>
          <w:szCs w:val="22"/>
          <w:lang w:val="en-US"/>
        </w:rPr>
        <w:t xml:space="preserve">-mail: </w:t>
      </w:r>
      <w:hyperlink r:id="rId403" w:history="1">
        <w:r w:rsidRPr="00DA76A7">
          <w:rPr>
            <w:rStyle w:val="af0"/>
            <w:rFonts w:ascii="Arial" w:eastAsia="Calibri" w:hAnsi="Arial" w:cs="Arial"/>
            <w:color w:val="000000" w:themeColor="text1"/>
            <w:sz w:val="22"/>
            <w:szCs w:val="22"/>
            <w:u w:val="none"/>
            <w:lang w:val="en-US"/>
          </w:rPr>
          <w:t>dilovar.naskov@mail.ru</w:t>
        </w:r>
      </w:hyperlink>
    </w:p>
    <w:p w:rsidR="005B31C6" w:rsidRPr="00DA76A7" w:rsidRDefault="005B31C6" w:rsidP="005B31C6">
      <w:pPr>
        <w:ind w:firstLine="567"/>
        <w:jc w:val="center"/>
        <w:rPr>
          <w:rFonts w:ascii="Arial" w:eastAsia="Calibri" w:hAnsi="Arial" w:cs="Arial"/>
          <w:color w:val="000000" w:themeColor="text1"/>
          <w:sz w:val="22"/>
          <w:szCs w:val="22"/>
          <w:lang w:val="en-US"/>
        </w:rPr>
      </w:pPr>
    </w:p>
    <w:p w:rsidR="005B31C6" w:rsidRPr="00DA76A7" w:rsidRDefault="005B31C6" w:rsidP="005B31C6">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Аннотация.</w:t>
      </w:r>
      <w:r w:rsidRPr="00DA76A7">
        <w:rPr>
          <w:rFonts w:ascii="Arial" w:eastAsia="Calibri" w:hAnsi="Arial" w:cs="Arial"/>
          <w:i/>
          <w:color w:val="000000" w:themeColor="text1"/>
          <w:sz w:val="22"/>
          <w:szCs w:val="22"/>
        </w:rPr>
        <w:t xml:space="preserve"> В данной статье авторы утверждают, что на процесс формирования правосознания влияет социальная среда индивида, рассматривается влияние глобализации на формирование правосознания. Выделяют правовое информирование как одно из главных направлений формирования правового сознания.  </w:t>
      </w:r>
    </w:p>
    <w:p w:rsidR="005B31C6" w:rsidRPr="00DA76A7" w:rsidRDefault="005B31C6" w:rsidP="005B31C6">
      <w:pPr>
        <w:ind w:firstLine="567"/>
        <w:jc w:val="both"/>
        <w:rPr>
          <w:rFonts w:ascii="Arial" w:eastAsia="Calibri" w:hAnsi="Arial" w:cs="Arial"/>
          <w:i/>
          <w:color w:val="000000" w:themeColor="text1"/>
          <w:sz w:val="22"/>
          <w:szCs w:val="22"/>
          <w:lang w:val="en-US"/>
        </w:rPr>
      </w:pPr>
      <w:r w:rsidRPr="00DA76A7">
        <w:rPr>
          <w:rFonts w:ascii="Arial" w:eastAsia="Calibri" w:hAnsi="Arial" w:cs="Arial"/>
          <w:b/>
          <w:i/>
          <w:color w:val="000000" w:themeColor="text1"/>
          <w:sz w:val="22"/>
          <w:szCs w:val="22"/>
          <w:lang w:val="en-US"/>
        </w:rPr>
        <w:t>Annotation.</w:t>
      </w:r>
      <w:r w:rsidRPr="00DA76A7">
        <w:rPr>
          <w:rFonts w:ascii="Arial" w:eastAsia="Calibri" w:hAnsi="Arial" w:cs="Arial"/>
          <w:i/>
          <w:color w:val="000000" w:themeColor="text1"/>
          <w:sz w:val="22"/>
          <w:szCs w:val="22"/>
          <w:lang w:val="en-US"/>
        </w:rPr>
        <w:t xml:space="preserve"> In this article, the authors argue that the social environment of the individual influences the process of formation of legal consciousness, the impact of globalization on the formation of legal consciousness is considered. Legal information is singled out as one of the main directions of formation of legal consciousness.</w:t>
      </w:r>
    </w:p>
    <w:p w:rsidR="005B31C6" w:rsidRPr="00DA76A7" w:rsidRDefault="005B31C6" w:rsidP="005B31C6">
      <w:pPr>
        <w:ind w:firstLine="567"/>
        <w:jc w:val="both"/>
        <w:rPr>
          <w:rFonts w:ascii="Arial" w:eastAsia="Calibri" w:hAnsi="Arial" w:cs="Arial"/>
          <w:i/>
          <w:color w:val="000000" w:themeColor="text1"/>
          <w:sz w:val="22"/>
          <w:szCs w:val="22"/>
        </w:rPr>
      </w:pPr>
      <w:r w:rsidRPr="00DA76A7">
        <w:rPr>
          <w:rFonts w:ascii="Arial" w:eastAsia="Calibri" w:hAnsi="Arial" w:cs="Arial"/>
          <w:b/>
          <w:i/>
          <w:color w:val="000000" w:themeColor="text1"/>
          <w:sz w:val="22"/>
          <w:szCs w:val="22"/>
        </w:rPr>
        <w:t>Ключевые слова:</w:t>
      </w:r>
      <w:r w:rsidRPr="00DA76A7">
        <w:rPr>
          <w:rFonts w:ascii="Arial" w:eastAsia="Calibri" w:hAnsi="Arial" w:cs="Arial"/>
          <w:i/>
          <w:color w:val="000000" w:themeColor="text1"/>
          <w:sz w:val="22"/>
          <w:szCs w:val="22"/>
        </w:rPr>
        <w:t xml:space="preserve"> глобализация, правосознание, правовой нигилизм, правовая информированность.</w:t>
      </w:r>
    </w:p>
    <w:p w:rsidR="005B31C6" w:rsidRPr="00DA76A7" w:rsidRDefault="005B31C6" w:rsidP="005B31C6">
      <w:pPr>
        <w:ind w:firstLine="567"/>
        <w:jc w:val="both"/>
        <w:rPr>
          <w:rFonts w:ascii="Arial" w:eastAsia="Calibri" w:hAnsi="Arial" w:cs="Arial"/>
          <w:color w:val="000000" w:themeColor="text1"/>
          <w:sz w:val="22"/>
          <w:szCs w:val="22"/>
          <w:lang w:val="en-US"/>
        </w:rPr>
      </w:pPr>
      <w:r w:rsidRPr="00DA76A7">
        <w:rPr>
          <w:rFonts w:ascii="Arial" w:eastAsia="Calibri" w:hAnsi="Arial" w:cs="Arial"/>
          <w:b/>
          <w:i/>
          <w:color w:val="000000" w:themeColor="text1"/>
          <w:sz w:val="22"/>
          <w:szCs w:val="22"/>
          <w:lang w:val="en-US"/>
        </w:rPr>
        <w:t>Key words:</w:t>
      </w:r>
      <w:r w:rsidRPr="00DA76A7">
        <w:rPr>
          <w:rFonts w:ascii="Arial" w:eastAsia="Calibri" w:hAnsi="Arial" w:cs="Arial"/>
          <w:i/>
          <w:color w:val="000000" w:themeColor="text1"/>
          <w:sz w:val="22"/>
          <w:szCs w:val="22"/>
          <w:lang w:val="en-US"/>
        </w:rPr>
        <w:t xml:space="preserve"> globalization, legal awareness, legal nihilism, legal awareness</w:t>
      </w:r>
      <w:r w:rsidRPr="00DA76A7">
        <w:rPr>
          <w:rFonts w:ascii="Arial" w:eastAsia="Calibri" w:hAnsi="Arial" w:cs="Arial"/>
          <w:color w:val="000000" w:themeColor="text1"/>
          <w:sz w:val="22"/>
          <w:szCs w:val="22"/>
          <w:lang w:val="en-US"/>
        </w:rPr>
        <w:t>.</w:t>
      </w:r>
    </w:p>
    <w:p w:rsidR="005B31C6" w:rsidRPr="00DA76A7" w:rsidRDefault="005B31C6" w:rsidP="005B31C6">
      <w:pPr>
        <w:ind w:firstLine="567"/>
        <w:jc w:val="both"/>
        <w:rPr>
          <w:rFonts w:ascii="Arial" w:eastAsia="Calibri" w:hAnsi="Arial" w:cs="Arial"/>
          <w:color w:val="000000" w:themeColor="text1"/>
          <w:sz w:val="22"/>
          <w:szCs w:val="22"/>
          <w:lang w:val="en-US"/>
        </w:rPr>
      </w:pP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Глобализация – это объективный процесс, который затрагивает все сферы жизнедеятельности современного мира, в том числе и сферу правового сознания современной молодежи. Уместно и своевременно в глобализационном периоде дают понятия правосознания многие российские ученные, в том, числе касающейся социализации правосознании в молодёжной среде. Правосознание – это форма общественного сознания, состоящую из комплекса идеологических и психологических, культурно-исторически обусловленных составляющих, выражающих отношение людей к праву и правовым явлениям, а также их оценку с точки зрения справедливости, необходимости, обоснованности и выполняющую регулирующую роль поведения людей посредством категорий законности, прав и обязанностей в юридически значимых ситуациях. [9, 39; 11, 547] </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Перемены в политической, экономической и общественной жизни, которые происходят в нашей стране и во всем мире в условиях глобализации, формируют сознание современной молодежи. В таких условиях как рыночная экономика, противостояние новым вызовам и угрозам, такие противоправные проявления как экстремизм и терроризм, употребление наркотических веществ и т. д, в этих тяжёлых условиях, молодежь готовит себя для самореализации. Очень важно на данном этапе не допустить искажения сознания молодежи, которая в погоне за материальным достатком оставляет позади себя духовные ценности предпринимая противоправные действия. Поэтому в каждой семье, в средних общеобразовательных школах, учебных заведениях, в махаллях и джамоатах и каждому здравомыслящему семьянину необходимо проводить постоянную работу по правовому воспитанию на всех этапах становления личности.</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iCs/>
          <w:color w:val="000000" w:themeColor="text1"/>
          <w:sz w:val="22"/>
          <w:szCs w:val="22"/>
        </w:rPr>
        <w:t>Правовое воспитание</w:t>
      </w:r>
      <w:r w:rsidRPr="00DA76A7">
        <w:rPr>
          <w:rFonts w:ascii="Arial" w:eastAsia="Calibri" w:hAnsi="Arial" w:cs="Arial"/>
          <w:i/>
          <w:iCs/>
          <w:color w:val="000000" w:themeColor="text1"/>
          <w:sz w:val="22"/>
          <w:szCs w:val="22"/>
        </w:rPr>
        <w:t xml:space="preserve"> – э</w:t>
      </w:r>
      <w:r w:rsidRPr="00DA76A7">
        <w:rPr>
          <w:rFonts w:ascii="Arial" w:eastAsia="Calibri" w:hAnsi="Arial" w:cs="Arial"/>
          <w:color w:val="000000" w:themeColor="text1"/>
          <w:sz w:val="22"/>
          <w:szCs w:val="22"/>
        </w:rPr>
        <w:t>то часть правовой социализации личности в правовом пространстве общества, представляющее собой процесс организованного и целенаправленного воздействия агентов правовой социализации на правосознание и правовое поведение. [5, 60]</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hAnsi="Arial" w:cs="Arial"/>
          <w:color w:val="000000" w:themeColor="text1"/>
          <w:sz w:val="22"/>
          <w:szCs w:val="22"/>
        </w:rPr>
        <w:t xml:space="preserve">В юридической литературе существуют различные определения форм организации правового воспитания. Причем, </w:t>
      </w:r>
      <w:r w:rsidRPr="00DA76A7">
        <w:rPr>
          <w:rFonts w:ascii="Arial" w:eastAsia="Calibri" w:hAnsi="Arial" w:cs="Arial"/>
          <w:color w:val="000000" w:themeColor="text1"/>
          <w:sz w:val="22"/>
          <w:szCs w:val="22"/>
        </w:rPr>
        <w:t>различные подходы к понятию формы организации правового воспитания отмечались еще в советской период, когда разные авторы, при выработке определения формы правового воспитания, в первую очередь, обращали внимание на виды организационной деятельности ее субъектов. Организационных форм правового воспитания - множество, но некоторые ученые выделяют следующие группы: 1. Правовое обучение. 2. Правовое информирование, просвещение, пропаганда. 3. Юридическая практика.  Перечисленные формы организации правового воспитания отличаются друг от друга по содержанию и способам применения. [7, 43-50]</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Из этого можно сделать вывод о том, что</w:t>
      </w:r>
      <w:r w:rsidRPr="00DA76A7">
        <w:rPr>
          <w:rFonts w:ascii="Arial" w:hAnsi="Arial" w:cs="Arial"/>
          <w:color w:val="000000" w:themeColor="text1"/>
          <w:sz w:val="22"/>
          <w:szCs w:val="22"/>
        </w:rPr>
        <w:t xml:space="preserve"> </w:t>
      </w:r>
      <w:r w:rsidRPr="00DA76A7">
        <w:rPr>
          <w:rFonts w:ascii="Arial" w:eastAsia="Calibri" w:hAnsi="Arial" w:cs="Arial"/>
          <w:color w:val="000000" w:themeColor="text1"/>
          <w:sz w:val="22"/>
          <w:szCs w:val="22"/>
        </w:rPr>
        <w:t xml:space="preserve">действительно в процессе изучения права и возрождения правовых ценностей решаются важные вопросы, связанные с развитием правовой грамотности и правового мышления, исходной базой для которых выступает система правовых норм, осваиваемых в этом процессе, а основными формами выступают мероприятия по правовому воспитанию. [7, 43-50]  </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hAnsi="Arial" w:cs="Arial"/>
          <w:color w:val="000000" w:themeColor="text1"/>
          <w:sz w:val="22"/>
          <w:szCs w:val="22"/>
        </w:rPr>
        <w:t xml:space="preserve">Остановимся на одном из главных направлений формирования правового сознания личности которое является </w:t>
      </w:r>
      <w:r w:rsidRPr="00DA76A7">
        <w:rPr>
          <w:rFonts w:ascii="Arial" w:hAnsi="Arial" w:cs="Arial"/>
          <w:i/>
          <w:color w:val="000000" w:themeColor="text1"/>
          <w:sz w:val="22"/>
          <w:szCs w:val="22"/>
        </w:rPr>
        <w:t xml:space="preserve">правовое информирование. </w:t>
      </w:r>
      <w:r w:rsidRPr="00DA76A7">
        <w:rPr>
          <w:rFonts w:ascii="Arial" w:hAnsi="Arial" w:cs="Arial"/>
          <w:color w:val="000000" w:themeColor="text1"/>
          <w:sz w:val="22"/>
          <w:szCs w:val="22"/>
        </w:rPr>
        <w:t xml:space="preserve">В этой связи, мы </w:t>
      </w:r>
      <w:r w:rsidRPr="00DA76A7">
        <w:rPr>
          <w:rFonts w:ascii="Arial" w:eastAsia="Calibri" w:hAnsi="Arial" w:cs="Arial"/>
          <w:color w:val="000000" w:themeColor="text1"/>
          <w:sz w:val="22"/>
          <w:szCs w:val="22"/>
        </w:rPr>
        <w:t xml:space="preserve">разделяем мнение В.П. Казимирчука и В.Н. Кудрявцева, которые считают, что правовая информированность гражданина и правосознание – тесно взаимосвязанные категории. [8, 125] Источником же формирования правосознания являются правовые знания, так как </w:t>
      </w:r>
      <w:r w:rsidRPr="00DA76A7">
        <w:rPr>
          <w:rFonts w:ascii="Arial" w:hAnsi="Arial" w:cs="Arial"/>
          <w:color w:val="000000" w:themeColor="text1"/>
          <w:sz w:val="22"/>
          <w:szCs w:val="22"/>
        </w:rPr>
        <w:t xml:space="preserve">они составляют интеллектуальный компонент правосознания и основу его познавательной функции. Без глубокого знания права невозможна правильная оценка правовых явлений, формирование установок, ориентации в поведении личности. [13, 39] </w:t>
      </w:r>
      <w:r w:rsidRPr="00DA76A7">
        <w:rPr>
          <w:rFonts w:ascii="Arial" w:eastAsia="Calibri" w:hAnsi="Arial" w:cs="Arial"/>
          <w:color w:val="000000" w:themeColor="text1"/>
          <w:sz w:val="22"/>
          <w:szCs w:val="22"/>
        </w:rPr>
        <w:t xml:space="preserve">И в этом отношении нет сомнений, что источником правовых знаний выступает правовая информированность. В научной литературе предлагается несколько определений понятия правовой информированности личности. Так, по словам В.М. Боера, «правовая информированность личности выступает как степень овладения правовой информацией, обусловленная образованием, правовым опытом, социальным статусом, интересом и психологической установкой индивида». [4, 7]  Более расширенно рассматривая данный вопрос, ученный В.М. Боер отмечает, что </w:t>
      </w:r>
      <w:r w:rsidRPr="00DA76A7">
        <w:rPr>
          <w:rFonts w:ascii="Arial" w:hAnsi="Arial" w:cs="Arial"/>
          <w:color w:val="000000" w:themeColor="text1"/>
          <w:sz w:val="22"/>
          <w:szCs w:val="22"/>
        </w:rPr>
        <w:t xml:space="preserve">правовое информирование  определяется как разновидность социальной информации общества, охватывающая все ценности, которые созданы людьми в области права, составляющие их правовую культуру в реальном ее функционировании, а также динамичном процессе формирования социально-правовой памяти общества по накоплению, систематизации, хранению, передаче и использованию знаний, умений, навыков, оценок, понятий и т.п. во всех областях юридической практики. [3, 37] Совершенно справедливо отмечает, </w:t>
      </w:r>
      <w:r w:rsidRPr="00DA76A7">
        <w:rPr>
          <w:rFonts w:ascii="Arial" w:eastAsia="Calibri" w:hAnsi="Arial" w:cs="Arial"/>
          <w:color w:val="000000" w:themeColor="text1"/>
          <w:sz w:val="22"/>
          <w:szCs w:val="22"/>
        </w:rPr>
        <w:t>В.П.</w:t>
      </w:r>
      <w:r w:rsidRPr="00DA76A7">
        <w:rPr>
          <w:rFonts w:ascii="Arial" w:hAnsi="Arial" w:cs="Arial"/>
          <w:color w:val="000000" w:themeColor="text1"/>
          <w:sz w:val="22"/>
          <w:szCs w:val="22"/>
        </w:rPr>
        <w:t xml:space="preserve"> </w:t>
      </w:r>
      <w:r w:rsidRPr="00DA76A7">
        <w:rPr>
          <w:rFonts w:ascii="Arial" w:eastAsia="Calibri" w:hAnsi="Arial" w:cs="Arial"/>
          <w:color w:val="000000" w:themeColor="text1"/>
          <w:sz w:val="22"/>
          <w:szCs w:val="22"/>
        </w:rPr>
        <w:t xml:space="preserve">Сальников, что </w:t>
      </w:r>
      <w:r w:rsidRPr="00DA76A7">
        <w:rPr>
          <w:rFonts w:ascii="Arial" w:hAnsi="Arial" w:cs="Arial"/>
          <w:color w:val="000000" w:themeColor="text1"/>
          <w:sz w:val="22"/>
          <w:szCs w:val="22"/>
        </w:rPr>
        <w:t xml:space="preserve">правовое информирование  способствует приобретению и поддержанию на должном уровне правовых знаний, что, в свою очередь, ведет к волевому, активному использованию субъектом его прав, свобод и законных интересов и добровольному, полному и своевременному исполнению тех обязанностей, что возложило на него государство.[12, 52-57] </w:t>
      </w:r>
      <w:r w:rsidRPr="00DA76A7">
        <w:rPr>
          <w:rFonts w:ascii="Arial" w:eastAsia="Calibri" w:hAnsi="Arial" w:cs="Arial"/>
          <w:color w:val="000000" w:themeColor="text1"/>
          <w:sz w:val="22"/>
          <w:szCs w:val="22"/>
        </w:rPr>
        <w:t>По словам другого российского ученного Р.А</w:t>
      </w:r>
      <w:r w:rsidRPr="00DA76A7">
        <w:rPr>
          <w:rFonts w:ascii="Arial" w:hAnsi="Arial" w:cs="Arial"/>
          <w:i/>
          <w:color w:val="000000" w:themeColor="text1"/>
          <w:sz w:val="22"/>
          <w:szCs w:val="22"/>
        </w:rPr>
        <w:t xml:space="preserve"> </w:t>
      </w:r>
      <w:r w:rsidRPr="00DA76A7">
        <w:rPr>
          <w:rFonts w:ascii="Arial" w:eastAsia="Calibri" w:hAnsi="Arial" w:cs="Arial"/>
          <w:color w:val="000000" w:themeColor="text1"/>
          <w:sz w:val="22"/>
          <w:szCs w:val="22"/>
        </w:rPr>
        <w:t xml:space="preserve">Осипова, который отмечает, что </w:t>
      </w:r>
      <w:r w:rsidRPr="00DA76A7">
        <w:rPr>
          <w:rFonts w:ascii="Arial" w:hAnsi="Arial" w:cs="Arial"/>
          <w:i/>
          <w:color w:val="000000" w:themeColor="text1"/>
          <w:sz w:val="22"/>
          <w:szCs w:val="22"/>
        </w:rPr>
        <w:t>«</w:t>
      </w:r>
      <w:r w:rsidRPr="00DA76A7">
        <w:rPr>
          <w:rFonts w:ascii="Arial" w:eastAsia="Calibri" w:hAnsi="Arial" w:cs="Arial"/>
          <w:color w:val="000000" w:themeColor="text1"/>
          <w:sz w:val="22"/>
          <w:szCs w:val="22"/>
        </w:rPr>
        <w:t>правовая информированность – это своеобразный «мостик» между содержанием юридических предписаний и их воплощением в жизнь», [10, 308], является уместным. Однако, как показывает практика и изучение опыта прошлых лет, формирование правосознания молодежи не может происходить стихийно. Для этого необходимо разработать систему социальных институтов и государственно-правовых дисциплин социализации в молодёжной среде.</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Развитие современного демократического молодёжного общества, Республики Таджикистан как правового государства зависит от большинства жителей, т. е, молодежного состава населения республики, призванных определять будущее государства. Молодежь Таджикистана должна обладать высоким уровнем правосознания. Влияние социально-правовой среды на правосознание личности не подлежит сомнению. По словам А. М. Столяренко «любая среда является воспитывающей, поскольку под ее влиянием формируются те качества личности, усваиваются те нормы, которые являются наиболее приоритетными в данной среде». [14, 39]</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По мнению Будякиной М.П. «воспитание и развитие человека происходят под влиянием социальной среды, социальное воспитание помогает человеку совершенствовать себя, достигнуть успеха в определенной жизненной ситуации, ориентироваться в общественных отношениях. Процесс социального воспитания происходит в семье, в школе, во всех звеньях образования, в труде. Основными очагами социального воспитания ребенка (подростка) являются семья, школа, такая среда как улица». [6, 97] Первичное правосознание формируется в семье, руководствуясь нормами морали и религии, родители дают детям первые представления о правомерном поведении. Учитывая географическое расположение нашего государства (в основном горная и труднодоступная местность) мы можем говорить о том, что у жителей отдаленных районов нет возможности получать правовую информацию в полном объеме (большая загруженность и трудоемкость в личном хозяйстве, в связи с этим нет необходимого времени для дополнительного образования. </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Вторичное правосознание у человека формируется уже в более старшем возрасте. Когда ребенок идет в школу, затем в другие учебные заведения у него меняется социальная среда (одноклассники, однокурсники, педагоги и т.д.). Личность приобретает новые навыки не только в социальной жизни, но и получает правовые знания (уроки по основам государства и права, встречи с представителями государственных органов и органов местного самоуправления). Однако, необходимо отметить, что в молодежной среде не всегда формируется положительное отношение к праву. Есть отдельные личности, группы молодых людей (неформалы, лица из неблагополучных семей), которые иначе трактуют нормы права. Возникает непринятие права как такового, т.е. правовой нигилизм.  </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Выше было отмечено, что правосознание не может формироваться стихийно и в этом процессе принимают активное участие государственные органы. Так, уже по сложившейся практике, представители органов государственной власти, местных государственных органов и общественности выезжают по районам с разъяснениями посланий Лидера наций Президента Республики Таджикистан уважаемого Эмомали Рахмона, в которых отражены основные направления общественной и государственной жизни, законов РТ «Об упорядочении традиций, торжеств и обрядов в Республике Таджикистан» [2], «Об ответственности родителей за обучение и воспитание детей» [1] и т.д.  Без сомнения, такая работа с населением повышает уровень информированности населения, тем самым формирует положительное отношение к законам и к праву в целом.</w:t>
      </w:r>
    </w:p>
    <w:p w:rsidR="005B31C6" w:rsidRPr="00DA76A7" w:rsidRDefault="005B31C6" w:rsidP="005B31C6">
      <w:pPr>
        <w:ind w:firstLine="567"/>
        <w:jc w:val="both"/>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Таким образом, формы, методы и средства социализации, как инструментальное обеспечение достижения целей и задач правового воспитания молодёжи в условиях глобализации, являются, по нашему мнению, еще и объектами, выполняющими функции «мостика» между воспитателем и воспитуемым. А умелое использование их в процессе изучения права не только обеспечивает системное воздействие на правовое развитие молодого поколения, но и положительно влияет на решение сложной задачи правовой социализации этой социальной категории общества. Кроме того, формирование правосознания в современном обществе – это процесс, который охватывает все стороны жизни человека с самого рождения, и на который влияет среда обитания (общество, семья, школа, вуз, сверстники, педагоги и т.д.).</w:t>
      </w:r>
    </w:p>
    <w:p w:rsidR="005B31C6" w:rsidRPr="00DA76A7" w:rsidRDefault="005B31C6" w:rsidP="005B31C6">
      <w:pPr>
        <w:ind w:firstLine="567"/>
        <w:jc w:val="both"/>
        <w:rPr>
          <w:rFonts w:ascii="Arial" w:eastAsia="Calibri" w:hAnsi="Arial" w:cs="Arial"/>
          <w:color w:val="000000" w:themeColor="text1"/>
          <w:sz w:val="22"/>
          <w:szCs w:val="22"/>
        </w:rPr>
      </w:pPr>
    </w:p>
    <w:p w:rsidR="005B31C6" w:rsidRPr="00DA76A7" w:rsidRDefault="005B31C6" w:rsidP="005B31C6">
      <w:pPr>
        <w:ind w:firstLine="567"/>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Список литературы:</w:t>
      </w:r>
    </w:p>
    <w:p w:rsidR="005B31C6" w:rsidRPr="00DA76A7" w:rsidRDefault="005B31C6" w:rsidP="00D45D6B">
      <w:pPr>
        <w:pStyle w:val="af2"/>
        <w:numPr>
          <w:ilvl w:val="0"/>
          <w:numId w:val="16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Об ответственности родителей за обучение и воспитание детей Закон Республики Таджикистан от 2 августа 2011 года № 762.</w:t>
      </w:r>
    </w:p>
    <w:p w:rsidR="005B31C6" w:rsidRPr="00DA76A7" w:rsidRDefault="005B31C6" w:rsidP="00D45D6B">
      <w:pPr>
        <w:pStyle w:val="af2"/>
        <w:numPr>
          <w:ilvl w:val="0"/>
          <w:numId w:val="16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Об упорядочении традиций, торжеств и обрядов в Республике Таджикистан. Закон Республики Таджикистан от 08 июня 2007 г. № 272.</w:t>
      </w:r>
    </w:p>
    <w:p w:rsidR="005B31C6" w:rsidRPr="00DA76A7" w:rsidRDefault="005B31C6" w:rsidP="00D45D6B">
      <w:pPr>
        <w:pStyle w:val="af2"/>
        <w:numPr>
          <w:ilvl w:val="0"/>
          <w:numId w:val="16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Боер В.М. Правовая информированность и формирование правовой культуры личности (вопросы теории): автореф. дис. …канд. юрид. наук. - СПб.,1993. – 22 с.  </w:t>
      </w:r>
    </w:p>
    <w:p w:rsidR="005B31C6" w:rsidRPr="00DA76A7" w:rsidRDefault="005B31C6" w:rsidP="00D45D6B">
      <w:pPr>
        <w:pStyle w:val="af2"/>
        <w:numPr>
          <w:ilvl w:val="0"/>
          <w:numId w:val="16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Бондарев А.С. Объект, предмет и методы правового воспитания   в их соотношении // Учен</w:t>
      </w:r>
      <w:r w:rsidRPr="00DA76A7">
        <w:rPr>
          <w:rFonts w:ascii="Arial" w:hAnsi="Arial" w:cs="Arial"/>
          <w:bCs/>
          <w:color w:val="000000" w:themeColor="text1"/>
          <w:sz w:val="22"/>
          <w:szCs w:val="22"/>
        </w:rPr>
        <w:t>. зап. юрид. фак</w:t>
      </w:r>
      <w:r w:rsidRPr="00DA76A7">
        <w:rPr>
          <w:rFonts w:ascii="Arial" w:hAnsi="Arial" w:cs="Arial"/>
          <w:color w:val="000000" w:themeColor="text1"/>
          <w:sz w:val="22"/>
          <w:szCs w:val="22"/>
        </w:rPr>
        <w:t>. / Под ред. А. А. Ливеровского. СПБ.: изд-во Санкт-Петерб. гос. ун-та экономики и финансов. – 2010. - Вып. 18 (28). – С. 56-65.</w:t>
      </w:r>
    </w:p>
    <w:p w:rsidR="005B31C6" w:rsidRPr="00DA76A7" w:rsidRDefault="005B31C6" w:rsidP="00D45D6B">
      <w:pPr>
        <w:pStyle w:val="af2"/>
        <w:numPr>
          <w:ilvl w:val="0"/>
          <w:numId w:val="16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Будякина М.П. Социальная психология. – СПб.: Питер, 2003. – 97 с.</w:t>
      </w:r>
    </w:p>
    <w:p w:rsidR="005B31C6" w:rsidRPr="00DA76A7" w:rsidRDefault="005B31C6" w:rsidP="00D45D6B">
      <w:pPr>
        <w:pStyle w:val="a6"/>
        <w:numPr>
          <w:ilvl w:val="0"/>
          <w:numId w:val="164"/>
        </w:numPr>
        <w:tabs>
          <w:tab w:val="left" w:pos="851"/>
        </w:tabs>
        <w:spacing w:after="0" w:line="240" w:lineRule="auto"/>
        <w:ind w:left="0" w:firstLine="567"/>
        <w:jc w:val="both"/>
        <w:rPr>
          <w:rFonts w:ascii="Arial" w:eastAsia="Calibri" w:hAnsi="Arial" w:cs="Arial"/>
          <w:color w:val="000000" w:themeColor="text1"/>
        </w:rPr>
      </w:pPr>
      <w:r w:rsidRPr="00DA76A7">
        <w:rPr>
          <w:rFonts w:ascii="Arial" w:eastAsia="Calibri" w:hAnsi="Arial" w:cs="Arial"/>
          <w:color w:val="000000" w:themeColor="text1"/>
        </w:rPr>
        <w:t>Кудрявцев В.Н., Казимирчук В.П. Современная социология права: Учеб. для вузов. / В.Н. Кудрявцев, В.П. Казимирчук. – М.: 1995. – 297 c.</w:t>
      </w:r>
    </w:p>
    <w:p w:rsidR="005B31C6" w:rsidRPr="00DA76A7" w:rsidRDefault="005B31C6" w:rsidP="00D45D6B">
      <w:pPr>
        <w:pStyle w:val="af2"/>
        <w:numPr>
          <w:ilvl w:val="0"/>
          <w:numId w:val="16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Кравченко О.В. Правовоспитательные формы правовой социализации несовершеннолетних/ Вестник университета. - № 3 (59). – Душанбе, 2017. – С. 43-50.</w:t>
      </w:r>
    </w:p>
    <w:p w:rsidR="005B31C6" w:rsidRPr="00DA76A7" w:rsidRDefault="005B31C6" w:rsidP="00D45D6B">
      <w:pPr>
        <w:pStyle w:val="af2"/>
        <w:numPr>
          <w:ilvl w:val="0"/>
          <w:numId w:val="16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Нусратов Л.М. проблемы формирования правосознания в современном Таджикистане (теоретико-методологический аспект). – Душанбе, 2012. – 142 с.</w:t>
      </w:r>
    </w:p>
    <w:p w:rsidR="005B31C6" w:rsidRPr="00DA76A7" w:rsidRDefault="005B31C6" w:rsidP="00D45D6B">
      <w:pPr>
        <w:pStyle w:val="af2"/>
        <w:numPr>
          <w:ilvl w:val="0"/>
          <w:numId w:val="164"/>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Пиголкин А.С. Теория государства и права/под. ред. А.С. Пиголкина. – М.: Юрайт-Издат, 2005. – С. 547.</w:t>
      </w:r>
    </w:p>
    <w:p w:rsidR="005B31C6" w:rsidRPr="00DA76A7" w:rsidRDefault="005B31C6" w:rsidP="00D45D6B">
      <w:pPr>
        <w:pStyle w:val="af2"/>
        <w:numPr>
          <w:ilvl w:val="0"/>
          <w:numId w:val="164"/>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Соколов Н.Я. Правовая информированность общества: сущность и содержание // Советское государство и право. - М.: Наука, 1981, № 11. - С. 37-44.</w:t>
      </w:r>
    </w:p>
    <w:p w:rsidR="005B31C6" w:rsidRPr="00DA76A7" w:rsidRDefault="005B31C6" w:rsidP="00D45D6B">
      <w:pPr>
        <w:pStyle w:val="af2"/>
        <w:numPr>
          <w:ilvl w:val="0"/>
          <w:numId w:val="164"/>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Столяренко Психология и педагогика: Учеб. пособие для вузов. — М.: ЮНИТИ-ДАНА, 2004. – 423 с.</w:t>
      </w:r>
    </w:p>
    <w:p w:rsidR="005B31C6" w:rsidRPr="00DA76A7" w:rsidRDefault="005B31C6" w:rsidP="005B31C6">
      <w:pPr>
        <w:tabs>
          <w:tab w:val="left" w:pos="851"/>
        </w:tabs>
        <w:ind w:firstLine="567"/>
        <w:jc w:val="both"/>
        <w:rPr>
          <w:rFonts w:ascii="Arial" w:eastAsia="Calibri" w:hAnsi="Arial" w:cs="Arial"/>
          <w:color w:val="000000" w:themeColor="text1"/>
          <w:sz w:val="22"/>
          <w:szCs w:val="22"/>
        </w:rPr>
      </w:pPr>
    </w:p>
    <w:p w:rsidR="005B31C6" w:rsidRPr="00DA76A7" w:rsidRDefault="005B31C6" w:rsidP="005B31C6">
      <w:pPr>
        <w:tabs>
          <w:tab w:val="left" w:pos="851"/>
        </w:tabs>
        <w:ind w:firstLine="567"/>
        <w:jc w:val="both"/>
        <w:rPr>
          <w:rFonts w:ascii="Arial" w:eastAsia="Calibri" w:hAnsi="Arial" w:cs="Arial"/>
          <w:color w:val="000000" w:themeColor="text1"/>
          <w:sz w:val="22"/>
          <w:szCs w:val="22"/>
        </w:rPr>
      </w:pPr>
    </w:p>
    <w:p w:rsidR="00197CE7" w:rsidRPr="00DA76A7" w:rsidRDefault="00197CE7" w:rsidP="00197CE7">
      <w:pPr>
        <w:pStyle w:val="24"/>
        <w:spacing w:line="240" w:lineRule="auto"/>
        <w:ind w:firstLine="0"/>
        <w:jc w:val="center"/>
        <w:rPr>
          <w:rFonts w:ascii="Arial" w:hAnsi="Arial" w:cs="Arial"/>
          <w:b/>
          <w:color w:val="000000" w:themeColor="text1"/>
          <w:sz w:val="22"/>
          <w:szCs w:val="22"/>
          <w:lang w:val="ru-RU"/>
        </w:rPr>
      </w:pPr>
      <w:r w:rsidRPr="00DA76A7">
        <w:rPr>
          <w:rFonts w:ascii="Arial" w:hAnsi="Arial" w:cs="Arial"/>
          <w:b/>
          <w:color w:val="000000" w:themeColor="text1"/>
          <w:sz w:val="22"/>
          <w:szCs w:val="22"/>
          <w:lang w:val="ru-RU"/>
        </w:rPr>
        <w:t>ОСОБЕННОСТИ КОНСТИТУЦИОННО-ПРАВОВОГО СТАТУСА ИНОСТРАНЦЕВ В  ТАДЖИКИСТАНЕ НА СОВРЕМЕННОМ ЭТАПЕ РАЗВИТИЯ ОБЩЕСТВА</w:t>
      </w:r>
    </w:p>
    <w:p w:rsidR="00197CE7" w:rsidRPr="00DA76A7" w:rsidRDefault="00197CE7" w:rsidP="00197CE7">
      <w:pPr>
        <w:jc w:val="both"/>
        <w:rPr>
          <w:rFonts w:ascii="Arial" w:eastAsia="Calibri" w:hAnsi="Arial" w:cs="Arial"/>
          <w:b/>
          <w:color w:val="000000" w:themeColor="text1"/>
          <w:sz w:val="22"/>
          <w:szCs w:val="22"/>
        </w:rPr>
      </w:pPr>
    </w:p>
    <w:p w:rsidR="00197CE7" w:rsidRPr="00DA76A7" w:rsidRDefault="00197CE7" w:rsidP="00197CE7">
      <w:pPr>
        <w:jc w:val="center"/>
        <w:rPr>
          <w:rFonts w:ascii="Arial" w:eastAsia="Calibri" w:hAnsi="Arial" w:cs="Arial"/>
          <w:b/>
          <w:color w:val="000000" w:themeColor="text1"/>
          <w:sz w:val="22"/>
          <w:szCs w:val="22"/>
        </w:rPr>
      </w:pPr>
      <w:r w:rsidRPr="00DA76A7">
        <w:rPr>
          <w:rFonts w:ascii="Arial" w:eastAsia="Calibri" w:hAnsi="Arial" w:cs="Arial"/>
          <w:b/>
          <w:color w:val="000000" w:themeColor="text1"/>
          <w:sz w:val="22"/>
          <w:szCs w:val="22"/>
        </w:rPr>
        <w:t xml:space="preserve">Муминов Улугбек Каримович </w:t>
      </w:r>
    </w:p>
    <w:p w:rsidR="00197CE7" w:rsidRPr="00DA76A7" w:rsidRDefault="00197CE7" w:rsidP="00197CE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 xml:space="preserve">майор милиции, адъюнкт кафедры государственно-правовых дисциплин </w:t>
      </w:r>
    </w:p>
    <w:p w:rsidR="00197CE7" w:rsidRPr="00DA76A7" w:rsidRDefault="00197CE7" w:rsidP="00197CE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Академия управления МВД Российской Федерации</w:t>
      </w:r>
    </w:p>
    <w:p w:rsidR="00197CE7" w:rsidRPr="00DA76A7" w:rsidRDefault="00197CE7" w:rsidP="00197CE7">
      <w:pPr>
        <w:jc w:val="center"/>
        <w:rPr>
          <w:rFonts w:ascii="Arial" w:eastAsia="Calibri" w:hAnsi="Arial" w:cs="Arial"/>
          <w:color w:val="000000" w:themeColor="text1"/>
          <w:sz w:val="22"/>
          <w:szCs w:val="22"/>
        </w:rPr>
      </w:pPr>
      <w:r w:rsidRPr="00DA76A7">
        <w:rPr>
          <w:rFonts w:ascii="Arial" w:eastAsia="Calibri" w:hAnsi="Arial" w:cs="Arial"/>
          <w:color w:val="000000" w:themeColor="text1"/>
          <w:sz w:val="22"/>
          <w:szCs w:val="22"/>
        </w:rPr>
        <w:t>125171, Российская Федерация, г. Москва, ул. З. и А. Космодемьянских, 8</w:t>
      </w:r>
    </w:p>
    <w:p w:rsidR="00197CE7" w:rsidRPr="00DA76A7" w:rsidRDefault="00197CE7" w:rsidP="00197CE7">
      <w:pPr>
        <w:jc w:val="center"/>
        <w:rPr>
          <w:rFonts w:ascii="Arial" w:hAnsi="Arial" w:cs="Arial"/>
          <w:color w:val="000000" w:themeColor="text1"/>
          <w:sz w:val="22"/>
          <w:szCs w:val="22"/>
        </w:rPr>
      </w:pPr>
      <w:r w:rsidRPr="00DA76A7">
        <w:rPr>
          <w:rFonts w:ascii="Arial" w:eastAsia="Calibri" w:hAnsi="Arial" w:cs="Arial"/>
          <w:color w:val="000000" w:themeColor="text1"/>
          <w:sz w:val="22"/>
          <w:szCs w:val="22"/>
          <w:lang w:val="en-US"/>
        </w:rPr>
        <w:t>e</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 xml:space="preserve">: </w:t>
      </w:r>
      <w:hyperlink r:id="rId404" w:history="1">
        <w:r w:rsidRPr="00DA76A7">
          <w:rPr>
            <w:rFonts w:ascii="Arial" w:eastAsia="Calibri" w:hAnsi="Arial" w:cs="Arial"/>
            <w:color w:val="000000" w:themeColor="text1"/>
            <w:sz w:val="22"/>
            <w:szCs w:val="22"/>
            <w:lang w:val="en-US"/>
          </w:rPr>
          <w:t>Muminov</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U</w:t>
        </w:r>
        <w:r w:rsidRPr="00DA76A7">
          <w:rPr>
            <w:rFonts w:ascii="Arial" w:eastAsia="Calibri" w:hAnsi="Arial" w:cs="Arial"/>
            <w:color w:val="000000" w:themeColor="text1"/>
            <w:sz w:val="22"/>
            <w:szCs w:val="22"/>
          </w:rPr>
          <w:t>85@</w:t>
        </w:r>
        <w:r w:rsidRPr="00DA76A7">
          <w:rPr>
            <w:rFonts w:ascii="Arial" w:eastAsia="Calibri" w:hAnsi="Arial" w:cs="Arial"/>
            <w:color w:val="000000" w:themeColor="text1"/>
            <w:sz w:val="22"/>
            <w:szCs w:val="22"/>
            <w:lang w:val="en-US"/>
          </w:rPr>
          <w:t>mail</w:t>
        </w:r>
        <w:r w:rsidRPr="00DA76A7">
          <w:rPr>
            <w:rFonts w:ascii="Arial" w:eastAsia="Calibri" w:hAnsi="Arial" w:cs="Arial"/>
            <w:color w:val="000000" w:themeColor="text1"/>
            <w:sz w:val="22"/>
            <w:szCs w:val="22"/>
          </w:rPr>
          <w:t>.</w:t>
        </w:r>
        <w:r w:rsidRPr="00DA76A7">
          <w:rPr>
            <w:rFonts w:ascii="Arial" w:eastAsia="Calibri" w:hAnsi="Arial" w:cs="Arial"/>
            <w:color w:val="000000" w:themeColor="text1"/>
            <w:sz w:val="22"/>
            <w:szCs w:val="22"/>
            <w:lang w:val="en-US"/>
          </w:rPr>
          <w:t>ru</w:t>
        </w:r>
      </w:hyperlink>
    </w:p>
    <w:p w:rsidR="00197CE7" w:rsidRPr="00DA76A7" w:rsidRDefault="00197CE7" w:rsidP="00197CE7">
      <w:pPr>
        <w:pStyle w:val="aff2"/>
        <w:spacing w:before="0" w:line="240" w:lineRule="auto"/>
        <w:ind w:firstLine="0"/>
        <w:rPr>
          <w:rFonts w:ascii="Arial" w:hAnsi="Arial" w:cs="Arial"/>
          <w:color w:val="000000" w:themeColor="text1"/>
          <w:sz w:val="22"/>
          <w:szCs w:val="22"/>
          <w:lang w:val="ru-RU"/>
        </w:rPr>
      </w:pPr>
    </w:p>
    <w:p w:rsidR="00197CE7" w:rsidRPr="00DA76A7" w:rsidRDefault="00197CE7" w:rsidP="00197CE7">
      <w:pPr>
        <w:pStyle w:val="aff2"/>
        <w:spacing w:before="0" w:line="240" w:lineRule="auto"/>
        <w:ind w:firstLine="0"/>
        <w:jc w:val="center"/>
        <w:rPr>
          <w:rFonts w:ascii="Arial" w:hAnsi="Arial" w:cs="Arial"/>
          <w:b/>
          <w:color w:val="000000" w:themeColor="text1"/>
          <w:sz w:val="22"/>
          <w:szCs w:val="22"/>
        </w:rPr>
      </w:pPr>
      <w:r w:rsidRPr="00DA76A7">
        <w:rPr>
          <w:rFonts w:ascii="Arial" w:hAnsi="Arial" w:cs="Arial"/>
          <w:b/>
          <w:color w:val="000000" w:themeColor="text1"/>
          <w:sz w:val="22"/>
          <w:szCs w:val="22"/>
        </w:rPr>
        <w:t>PECULIARITIES OF THE CONSTITUTIONAL AND LEGAL STATUS OF FOREIGNERS IN TAJIKISTAN AT THE PRESENT STAGE OF THE DEVELOPMENT OF THE COMPANY</w:t>
      </w:r>
    </w:p>
    <w:p w:rsidR="00197CE7" w:rsidRPr="00DA76A7" w:rsidRDefault="00197CE7" w:rsidP="00197CE7">
      <w:pPr>
        <w:pStyle w:val="aff2"/>
        <w:spacing w:before="0" w:line="240" w:lineRule="auto"/>
        <w:ind w:firstLine="0"/>
        <w:rPr>
          <w:rFonts w:ascii="Arial" w:hAnsi="Arial" w:cs="Arial"/>
          <w:color w:val="000000" w:themeColor="text1"/>
          <w:sz w:val="22"/>
          <w:szCs w:val="22"/>
        </w:rPr>
      </w:pPr>
    </w:p>
    <w:p w:rsidR="00197CE7" w:rsidRPr="00DA76A7" w:rsidRDefault="00197CE7" w:rsidP="00197CE7">
      <w:pPr>
        <w:pStyle w:val="aff2"/>
        <w:spacing w:before="0" w:line="240" w:lineRule="auto"/>
        <w:ind w:firstLine="0"/>
        <w:jc w:val="center"/>
        <w:rPr>
          <w:rFonts w:ascii="Arial" w:hAnsi="Arial" w:cs="Arial"/>
          <w:b/>
          <w:color w:val="000000" w:themeColor="text1"/>
          <w:sz w:val="22"/>
          <w:szCs w:val="22"/>
        </w:rPr>
      </w:pPr>
      <w:r w:rsidRPr="00DA76A7">
        <w:rPr>
          <w:rFonts w:ascii="Arial" w:hAnsi="Arial" w:cs="Arial"/>
          <w:b/>
          <w:color w:val="000000" w:themeColor="text1"/>
          <w:sz w:val="22"/>
          <w:szCs w:val="22"/>
        </w:rPr>
        <w:t>Muminov Ulugbek Karimovich</w:t>
      </w:r>
    </w:p>
    <w:p w:rsidR="00197CE7" w:rsidRPr="00DA76A7" w:rsidRDefault="00197CE7" w:rsidP="00197CE7">
      <w:pPr>
        <w:pStyle w:val="aff2"/>
        <w:ind w:firstLine="0"/>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мajor of рolice, аdjunct of the department of state and legal disciplines </w:t>
      </w:r>
    </w:p>
    <w:p w:rsidR="00197CE7" w:rsidRPr="00DA76A7" w:rsidRDefault="00197CE7" w:rsidP="00197CE7">
      <w:pPr>
        <w:pStyle w:val="aff2"/>
        <w:spacing w:before="0" w:line="240" w:lineRule="auto"/>
        <w:ind w:firstLine="0"/>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Academy of мanagement of the Ministry of the interior of the Russian Federation, </w:t>
      </w:r>
    </w:p>
    <w:p w:rsidR="00197CE7" w:rsidRPr="00DA76A7" w:rsidRDefault="00197CE7" w:rsidP="00197CE7">
      <w:pPr>
        <w:pStyle w:val="aff2"/>
        <w:spacing w:before="0" w:line="240" w:lineRule="auto"/>
        <w:ind w:firstLine="0"/>
        <w:jc w:val="center"/>
        <w:rPr>
          <w:rFonts w:ascii="Arial" w:hAnsi="Arial" w:cs="Arial"/>
          <w:color w:val="000000" w:themeColor="text1"/>
          <w:sz w:val="22"/>
          <w:szCs w:val="22"/>
        </w:rPr>
      </w:pPr>
      <w:r w:rsidRPr="00DA76A7">
        <w:rPr>
          <w:rFonts w:ascii="Arial" w:hAnsi="Arial" w:cs="Arial"/>
          <w:color w:val="000000" w:themeColor="text1"/>
          <w:sz w:val="22"/>
          <w:szCs w:val="22"/>
        </w:rPr>
        <w:t>125171, Russian Federation, Moscow, Z. and A. Kosmodemyanskikh str., 8</w:t>
      </w:r>
    </w:p>
    <w:p w:rsidR="00197CE7" w:rsidRPr="00DA76A7" w:rsidRDefault="00197CE7" w:rsidP="00197CE7">
      <w:pPr>
        <w:jc w:val="center"/>
        <w:rPr>
          <w:rFonts w:ascii="Arial" w:hAnsi="Arial" w:cs="Arial"/>
          <w:color w:val="000000" w:themeColor="text1"/>
          <w:sz w:val="22"/>
          <w:szCs w:val="22"/>
          <w:lang w:val="en-US"/>
        </w:rPr>
      </w:pPr>
      <w:r w:rsidRPr="00DA76A7">
        <w:rPr>
          <w:rFonts w:ascii="Arial" w:eastAsia="Calibri" w:hAnsi="Arial" w:cs="Arial"/>
          <w:color w:val="000000" w:themeColor="text1"/>
          <w:sz w:val="22"/>
          <w:szCs w:val="22"/>
        </w:rPr>
        <w:t>е</w:t>
      </w:r>
      <w:r w:rsidRPr="00DA76A7">
        <w:rPr>
          <w:rFonts w:ascii="Arial" w:eastAsia="Calibri" w:hAnsi="Arial" w:cs="Arial"/>
          <w:color w:val="000000" w:themeColor="text1"/>
          <w:sz w:val="22"/>
          <w:szCs w:val="22"/>
          <w:lang w:val="en-US"/>
        </w:rPr>
        <w:t xml:space="preserve">-mail: </w:t>
      </w:r>
      <w:hyperlink r:id="rId405" w:history="1">
        <w:r w:rsidRPr="00DA76A7">
          <w:rPr>
            <w:rFonts w:ascii="Arial" w:eastAsia="Calibri" w:hAnsi="Arial" w:cs="Arial"/>
            <w:color w:val="000000" w:themeColor="text1"/>
            <w:sz w:val="22"/>
            <w:szCs w:val="22"/>
            <w:lang w:val="en-US"/>
          </w:rPr>
          <w:t>Muminov-U85@mail.ru</w:t>
        </w:r>
      </w:hyperlink>
    </w:p>
    <w:p w:rsidR="00197CE7" w:rsidRPr="00DA76A7" w:rsidRDefault="00197CE7" w:rsidP="00197CE7">
      <w:pPr>
        <w:pStyle w:val="aff2"/>
        <w:spacing w:before="0" w:line="240" w:lineRule="auto"/>
        <w:ind w:firstLine="0"/>
        <w:jc w:val="center"/>
        <w:rPr>
          <w:rFonts w:ascii="Arial" w:hAnsi="Arial" w:cs="Arial"/>
          <w:color w:val="000000" w:themeColor="text1"/>
          <w:sz w:val="22"/>
          <w:szCs w:val="22"/>
        </w:rPr>
      </w:pPr>
    </w:p>
    <w:p w:rsidR="00197CE7" w:rsidRPr="00DA76A7" w:rsidRDefault="00197CE7" w:rsidP="00197CE7">
      <w:pPr>
        <w:pStyle w:val="aff2"/>
        <w:spacing w:before="0" w:line="240" w:lineRule="auto"/>
        <w:ind w:firstLine="0"/>
        <w:jc w:val="right"/>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Научный руководитель: к.ю.н, доцент, полковник полиции </w:t>
      </w:r>
    </w:p>
    <w:p w:rsidR="00197CE7" w:rsidRPr="00DA76A7" w:rsidRDefault="00197CE7" w:rsidP="00197CE7">
      <w:pPr>
        <w:pStyle w:val="aff2"/>
        <w:spacing w:before="0" w:line="240" w:lineRule="auto"/>
        <w:ind w:firstLine="0"/>
        <w:jc w:val="right"/>
        <w:rPr>
          <w:rFonts w:ascii="Arial" w:hAnsi="Arial" w:cs="Arial"/>
          <w:color w:val="000000" w:themeColor="text1"/>
          <w:sz w:val="22"/>
          <w:szCs w:val="22"/>
          <w:lang w:val="ru-RU"/>
        </w:rPr>
      </w:pPr>
      <w:r w:rsidRPr="00DA76A7">
        <w:rPr>
          <w:rFonts w:ascii="Arial" w:hAnsi="Arial" w:cs="Arial"/>
          <w:color w:val="000000" w:themeColor="text1"/>
          <w:sz w:val="22"/>
          <w:szCs w:val="22"/>
          <w:lang w:val="ru-RU"/>
        </w:rPr>
        <w:t>Громова О.Н.</w:t>
      </w:r>
    </w:p>
    <w:p w:rsidR="00197CE7" w:rsidRPr="00DA76A7" w:rsidRDefault="00197CE7" w:rsidP="00197CE7">
      <w:pPr>
        <w:pStyle w:val="aff2"/>
        <w:spacing w:before="0" w:line="240" w:lineRule="auto"/>
        <w:ind w:firstLine="0"/>
        <w:rPr>
          <w:rFonts w:ascii="Arial" w:hAnsi="Arial" w:cs="Arial"/>
          <w:color w:val="000000" w:themeColor="text1"/>
          <w:sz w:val="22"/>
          <w:szCs w:val="22"/>
          <w:lang w:val="ru-RU"/>
        </w:rPr>
      </w:pPr>
      <w:r w:rsidRPr="00DA76A7">
        <w:rPr>
          <w:rFonts w:ascii="Arial" w:hAnsi="Arial" w:cs="Arial"/>
          <w:color w:val="000000" w:themeColor="text1"/>
          <w:sz w:val="22"/>
          <w:szCs w:val="22"/>
          <w:lang w:val="ru-RU"/>
        </w:rPr>
        <w:t xml:space="preserve"> </w:t>
      </w:r>
    </w:p>
    <w:p w:rsidR="00197CE7" w:rsidRPr="00DA76A7" w:rsidRDefault="00197CE7" w:rsidP="00197CE7">
      <w:pPr>
        <w:pStyle w:val="aff2"/>
        <w:spacing w:before="0" w:line="240" w:lineRule="auto"/>
        <w:ind w:firstLine="567"/>
        <w:rPr>
          <w:rFonts w:ascii="Arial" w:hAnsi="Arial" w:cs="Arial"/>
          <w:i/>
          <w:color w:val="000000" w:themeColor="text1"/>
          <w:sz w:val="22"/>
          <w:szCs w:val="22"/>
          <w:lang w:val="ru-RU"/>
        </w:rPr>
      </w:pPr>
      <w:r w:rsidRPr="00DA76A7">
        <w:rPr>
          <w:rFonts w:ascii="Arial" w:hAnsi="Arial" w:cs="Arial"/>
          <w:b/>
          <w:i/>
          <w:color w:val="000000" w:themeColor="text1"/>
          <w:sz w:val="22"/>
          <w:szCs w:val="22"/>
          <w:lang w:val="ru-RU"/>
        </w:rPr>
        <w:t>Аннотация.</w:t>
      </w:r>
      <w:r w:rsidRPr="00DA76A7">
        <w:rPr>
          <w:rFonts w:ascii="Arial" w:hAnsi="Arial" w:cs="Arial"/>
          <w:i/>
          <w:color w:val="000000" w:themeColor="text1"/>
          <w:sz w:val="22"/>
          <w:szCs w:val="22"/>
          <w:lang w:val="ru-RU"/>
        </w:rPr>
        <w:t xml:space="preserve"> В статье рассматривается вопрос об определении правового статуса иностранного гражданина и лица без гражданства, представляется отношение отечественного законодателя к определению правового положения этой категории лиц в Республике Таджикистан. Автором проводится анализ понятий «иностранный гражданин» и «лицо без гражданства» с учетом опыта зарубежных и отечественных ученых.</w:t>
      </w:r>
    </w:p>
    <w:p w:rsidR="00197CE7" w:rsidRPr="00DA76A7" w:rsidRDefault="00197CE7" w:rsidP="00197CE7">
      <w:pPr>
        <w:pStyle w:val="aff2"/>
        <w:spacing w:before="0" w:line="240" w:lineRule="auto"/>
        <w:ind w:firstLine="567"/>
        <w:rPr>
          <w:rFonts w:ascii="Arial" w:hAnsi="Arial" w:cs="Arial"/>
          <w:i/>
          <w:color w:val="000000" w:themeColor="text1"/>
          <w:sz w:val="22"/>
          <w:szCs w:val="22"/>
        </w:rPr>
      </w:pPr>
      <w:r w:rsidRPr="00DA76A7">
        <w:rPr>
          <w:rFonts w:ascii="Arial" w:hAnsi="Arial" w:cs="Arial"/>
          <w:b/>
          <w:i/>
          <w:color w:val="000000" w:themeColor="text1"/>
          <w:sz w:val="22"/>
          <w:szCs w:val="22"/>
        </w:rPr>
        <w:t>Annotation.</w:t>
      </w:r>
      <w:r w:rsidRPr="00DA76A7">
        <w:rPr>
          <w:rFonts w:ascii="Arial" w:hAnsi="Arial" w:cs="Arial"/>
          <w:i/>
          <w:color w:val="000000" w:themeColor="text1"/>
          <w:sz w:val="22"/>
          <w:szCs w:val="22"/>
        </w:rPr>
        <w:t xml:space="preserve"> The article examines the issue of determining the legal status of a foreign citizen and a stateless person, the attitude of the domestic legislator to determining the legal status of this category of persons in the Republic of Tajikistan appears. The author analyzes the concepts of «foreign citizen» and «stateless person» taking into account the experience of foreign and domestic scientists.</w:t>
      </w:r>
    </w:p>
    <w:p w:rsidR="00197CE7" w:rsidRPr="00DA76A7" w:rsidRDefault="00197CE7" w:rsidP="00197CE7">
      <w:pPr>
        <w:pStyle w:val="aff2"/>
        <w:spacing w:before="0" w:line="240" w:lineRule="auto"/>
        <w:ind w:firstLine="567"/>
        <w:rPr>
          <w:rFonts w:ascii="Arial" w:hAnsi="Arial" w:cs="Arial"/>
          <w:i/>
          <w:color w:val="000000" w:themeColor="text1"/>
          <w:sz w:val="22"/>
          <w:szCs w:val="22"/>
          <w:lang w:val="ru-RU"/>
        </w:rPr>
      </w:pPr>
      <w:r w:rsidRPr="00DA76A7">
        <w:rPr>
          <w:rFonts w:ascii="Arial" w:hAnsi="Arial" w:cs="Arial"/>
          <w:b/>
          <w:i/>
          <w:color w:val="000000" w:themeColor="text1"/>
          <w:sz w:val="22"/>
          <w:szCs w:val="22"/>
          <w:lang w:val="ru-RU"/>
        </w:rPr>
        <w:t>Ключевые слова:</w:t>
      </w:r>
      <w:r w:rsidRPr="00DA76A7">
        <w:rPr>
          <w:rFonts w:ascii="Arial" w:hAnsi="Arial" w:cs="Arial"/>
          <w:i/>
          <w:color w:val="000000" w:themeColor="text1"/>
          <w:sz w:val="22"/>
          <w:szCs w:val="22"/>
          <w:lang w:val="ru-RU"/>
        </w:rPr>
        <w:t xml:space="preserve"> статус, иностранный гражданин, лицо без гражданства, государство, права и свободы</w:t>
      </w:r>
    </w:p>
    <w:p w:rsidR="00197CE7" w:rsidRPr="00DA76A7" w:rsidRDefault="00197CE7" w:rsidP="00197CE7">
      <w:pPr>
        <w:pStyle w:val="aff2"/>
        <w:spacing w:before="0" w:line="240" w:lineRule="auto"/>
        <w:ind w:firstLine="567"/>
        <w:rPr>
          <w:rFonts w:ascii="Arial" w:hAnsi="Arial" w:cs="Arial"/>
          <w:i/>
          <w:color w:val="000000" w:themeColor="text1"/>
          <w:sz w:val="22"/>
          <w:szCs w:val="22"/>
        </w:rPr>
      </w:pPr>
      <w:r w:rsidRPr="00DA76A7">
        <w:rPr>
          <w:rFonts w:ascii="Arial" w:hAnsi="Arial" w:cs="Arial"/>
          <w:b/>
          <w:i/>
          <w:color w:val="000000" w:themeColor="text1"/>
          <w:sz w:val="22"/>
          <w:szCs w:val="22"/>
        </w:rPr>
        <w:t>Key words</w:t>
      </w:r>
      <w:r w:rsidRPr="00DA76A7">
        <w:rPr>
          <w:rFonts w:ascii="Arial" w:hAnsi="Arial" w:cs="Arial"/>
          <w:i/>
          <w:color w:val="000000" w:themeColor="text1"/>
          <w:sz w:val="22"/>
          <w:szCs w:val="22"/>
        </w:rPr>
        <w:t>: status, foreign citizen, stateless person, state, rights and freedoms</w:t>
      </w:r>
    </w:p>
    <w:p w:rsidR="00197CE7" w:rsidRPr="00DA76A7" w:rsidRDefault="00197CE7" w:rsidP="00197CE7">
      <w:pPr>
        <w:pStyle w:val="aff2"/>
        <w:spacing w:before="0" w:line="240" w:lineRule="auto"/>
        <w:ind w:firstLine="567"/>
        <w:rPr>
          <w:rFonts w:ascii="Arial" w:hAnsi="Arial" w:cs="Arial"/>
          <w:color w:val="000000" w:themeColor="text1"/>
          <w:sz w:val="22"/>
          <w:szCs w:val="22"/>
        </w:rPr>
      </w:pP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Иностранные граждане и лица без гражданства составляют категорию иностранцев, входящую в состав населения Республики Таджикистан. Термин «иностранец» поддерживается далеко не всеми отечественными и зарубежными учеными. Законодательство Республики Таджикистан связанные с регулированием правового статуса иностранных граждан и лиц без гражданства избегают применения термина «иностранец» вследствие его неопределенности и неоднозначности. В отдельных случаях, отделение иностранных граждан от лиц без гражданства при рассмотрении их статуса обоснованно. В тоже время, во многих случаях отечественное законодательство и международные обязательства Республики Таджикистан не устанавливают различий в статусе иностранных граждан и лиц без гражданства, что позволяет по нашему мнению с некоторыми оговорками апеллировать термином «иностранец».</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В юридической литературе понятие «иностранец» имеет неоднозначное толкование. Некоторые авторы, например Л.Н. Галенская,  трактуют термин «иностранец» как иностранный гражданин и лицо без гражданства. Она под иностранным гражданином подразумевает лицо, которое не является гражданином данного  государства или же не имеет гражданства какого-либо государства [6, 54]. М.М. Богуславский и С.С. Гридин иностранцами считают как иностранных граждан, так и лиц без гражданства [3, 24]. А.А. Рубанов под иностранцами подразумевает всех лиц, находящихся на территории какого-либо государства, не являющихся его гражданами и состоящими в гражданстве другого государства [4, 4].</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Согласно  ст.2 Закона «О правовом положении иностранных граждан и лиц без гражданства в Республике Таджикистан» от 3 января 2018 года, иностранным гражданином признается – лицо, не имеющее гражданства Республики Таджикистан и являющееся гражданином иностранного государства. Лицом без гражданства признается – лицо, не считающееся в соответствии с законодательством какого-либо государства его гражданином [2].</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Различие между иностранцами и лицами без гражданства в основном состоит в том, что иностранцы имеют юридическую связь с отечественным государством и это государство несет определенную ответственность за своего гражданина и обязано в случае возникновения  необходимости придти к нему на помощь. Что же касается лиц без гражданства,  то   единственным  защитником  их  прав  и  свобод  является государство места их пребывания. На это обстоятельство указывает Н.В. Витрук, который пишет: «Правовой статус гражданина и лица без гражданства всегда один: он определяется тем государством, гражданином которого данное лицо является или на территории которого лицо без гражданства проживает. Правовой статус иностранца по существу имеет двойной характер: это правовой статус гражданина конкретного государства и правовой статус собственно иностранца. Последний определяется тем государством, на территории которого данное лицо пребывает как иностранный гражданин» [5, 162].</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Правовой статус - это емкое понятие. Объем прав и обязанностей общего правового статуса регулируется почти всеми отраслями права. Исходя из особенностей общественных отношений, являющихся предметом регулирования каждой из отраслей права, допустимо говорить об отраслевом аспекте правового положения гражданина, в частности, гражданском,  уголовном, уголовно-процессуальном и т.д. То же самое можно сказать и об иностранцах.</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Основы правового статуса иностранцев, находящихся на территории Республики Таджикистан, определяются частью 2 ст. 16 Конституции Республики Таджикистан, содержащей норму прямого действия: «Иностранные граждане и лица без гражданства пользуются установленными правами и свободами и имеют равные с гражданами Таджикистана обязанности и ответственность, за исключением случаев, предусмотренных законом» [1].</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В Таджикистан, в специальном порядке регулирует правовое положение и деятельность иностранных граждан в Республике Таджикистан, закон «О правовом положении иностранных граждан и лиц без гражданства в Республики Таджикистан», от 3 января 2018 года. Данный закон устанавливает правовой статус иностранных граждан и лиц без гражданства, порядок пребывания, а также их права и обязанности на территории Республики Таджикистан.</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Объем прав и обязанностей иностранца определяется не только национальным законодательством, но и международными договорами  государства. Определение этого объема - дело внутренней компетенции каждого государства. Однако государство должно исходить из международных стандартов, являющихся общепризнанными нормами международного права. В первую очередь эти стандарты закреплены в Международном пакте о гражданских и политических правах 1966 года и в Международном пакте об экономических, социальных и культурных правах 1966 года. В обоих пактах множество статей, касающихся прав и свобод лиц, начинается со слов: «каждый человек...», т.е. любой человек, находящийся на территории данного государства, в том числе и иностранец, обладает указанными в пактах правами и свободами.</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Следовательно, международно-правовые стандарты в области прав человека имеют универсальное значение. Они явились конкретизацией принципа уважения прав и основных свобод человека, обязательного для всех государств. Каждое государство, опираясь на этот принцип и исходя из своего суверенитета, само устанавливает правила пребывания иностранцев на своей территории. В связи с этим государство распространяет на иностранцев, находящихся на его территории, свою юрисдикцию и требует, чтобы иностранцы выполняли установленные ими правила. Несоблюдение правил влечет ответственность, от которой освобождается достаточно узкий круг иностранцев. В то же время государство, на территории которого находится иностранец, должно защищать его права, особенно связанные с личностью иностранца и его имуществом.</w:t>
      </w:r>
    </w:p>
    <w:p w:rsidR="00197CE7" w:rsidRPr="00DA76A7" w:rsidRDefault="00197CE7" w:rsidP="00197CE7">
      <w:pPr>
        <w:pStyle w:val="aff2"/>
        <w:spacing w:before="0" w:line="240" w:lineRule="auto"/>
        <w:ind w:firstLine="567"/>
        <w:rPr>
          <w:rFonts w:ascii="Arial" w:hAnsi="Arial" w:cs="Arial"/>
          <w:color w:val="000000" w:themeColor="text1"/>
          <w:sz w:val="22"/>
          <w:szCs w:val="22"/>
          <w:lang w:val="ru-RU"/>
        </w:rPr>
      </w:pPr>
      <w:r w:rsidRPr="00DA76A7">
        <w:rPr>
          <w:rFonts w:ascii="Arial" w:hAnsi="Arial" w:cs="Arial"/>
          <w:color w:val="000000" w:themeColor="text1"/>
          <w:sz w:val="22"/>
          <w:szCs w:val="22"/>
          <w:lang w:val="ru-RU"/>
        </w:rPr>
        <w:t>Государство пребывания не должно препятствовать иностранцам в праве выезда со своей территории. Оно не должно ущемлять права отдельных групп иностранцев по признакам расы, вероисповедания, языка и религии и т.п., т.е. подвергать их дискриминации. Дискриминацией является лишение физического лица основных прав и свобод человека или целенаправленное и существенное ущемление этих прав, что является нарушением норм международного права. А это недопустимо. В то же время государство в определенных областях может предоставить иностранцам меньший объем прав, чем собственным гражданам. Такие ограничения возможны, но в рамках требований национального закона и соответствующих норм международного права. Например, международные пакты о правах человека не препятствуют государствам делать изъятия в отношении иностранцев в сфере избирательного права. Иностранцы не могут быть избраны или назначены в законодательные, исполнительные и судебные органы, а также принимать участие в выборах и на референдумах</w:t>
      </w:r>
      <w:r w:rsidRPr="00DA76A7">
        <w:rPr>
          <w:rStyle w:val="af3"/>
          <w:rFonts w:ascii="Arial" w:hAnsi="Arial" w:cs="Arial"/>
          <w:color w:val="000000" w:themeColor="text1"/>
          <w:sz w:val="22"/>
          <w:szCs w:val="22"/>
          <w:lang w:val="ru-RU"/>
        </w:rPr>
        <w:t xml:space="preserve"> </w:t>
      </w:r>
      <w:r w:rsidRPr="00DA76A7">
        <w:rPr>
          <w:rFonts w:ascii="Arial" w:hAnsi="Arial" w:cs="Arial"/>
          <w:color w:val="000000" w:themeColor="text1"/>
          <w:sz w:val="22"/>
          <w:szCs w:val="22"/>
          <w:lang w:val="ru-RU"/>
        </w:rPr>
        <w:t xml:space="preserve">[2]. Что же касается ответственности иностранных граждан, то иностранный гражданин, виновный в нарушении законодательства Республики Таджикистан, привлекается к ответственности в соответствии с законодательством Республики Таджикистан на общих основаниях. </w:t>
      </w:r>
    </w:p>
    <w:p w:rsidR="00197CE7" w:rsidRPr="00DA76A7" w:rsidRDefault="00197CE7" w:rsidP="00197CE7">
      <w:pPr>
        <w:pStyle w:val="af2"/>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при рассмотрении вопроса о правовом статусе иностранных граждан и лиц без гражданства в Республике Таджикистан,  учитывая многообразие общественных отношений, в которых участвуют иностранные граждане и лица без гражданства, их правовой статус включает конституционный, гражданско-правовой, административно-правовой, уголовно-правовой и иные аспекты, которые находятся в системном единстве, и, следовательно, могут быть выделены условно теоретически. С учетом этого и изложенного выше можно сделать вывод о том, что правовой статус иностранных граждан и лиц без гражданства в Таджикистане определяется внутренним законодательством, международными договорами Республики Таджикистан с зарубежными государствами, а также иными актами международного права.</w:t>
      </w:r>
    </w:p>
    <w:p w:rsidR="00197CE7" w:rsidRPr="00DA76A7" w:rsidRDefault="00197CE7" w:rsidP="00197CE7">
      <w:pPr>
        <w:pStyle w:val="af2"/>
        <w:ind w:firstLine="567"/>
        <w:jc w:val="both"/>
        <w:rPr>
          <w:rFonts w:ascii="Arial" w:hAnsi="Arial" w:cs="Arial"/>
          <w:color w:val="000000" w:themeColor="text1"/>
          <w:sz w:val="22"/>
          <w:szCs w:val="22"/>
        </w:rPr>
      </w:pPr>
    </w:p>
    <w:p w:rsidR="00197CE7" w:rsidRPr="00DA76A7" w:rsidRDefault="00197CE7" w:rsidP="00197CE7">
      <w:pPr>
        <w:pStyle w:val="af2"/>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197CE7" w:rsidRPr="00DA76A7" w:rsidRDefault="00197CE7" w:rsidP="00197CE7">
      <w:pPr>
        <w:widowControl/>
        <w:numPr>
          <w:ilvl w:val="0"/>
          <w:numId w:val="163"/>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Конституция Республики Таджикистан от 6 ноября 1994 г. (с изменениями и дополнениями от 26 сентября 1999, 22 июня 2003 и 22 мая 2016 гг.) // Электронный ресурс: http://base.mmk.tj/ (дата обращения 26.11.2017).</w:t>
      </w:r>
    </w:p>
    <w:p w:rsidR="00197CE7" w:rsidRPr="00DA76A7" w:rsidRDefault="00197CE7" w:rsidP="00197CE7">
      <w:pPr>
        <w:widowControl/>
        <w:numPr>
          <w:ilvl w:val="0"/>
          <w:numId w:val="163"/>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Закон Республики Таджикистан «О правовом статусе иностранных граждан и лиц без гражданства в Республике Таджикистан» от 2 январи 2018 года  № 1471 // Электронный ресурс: http: // base.mmk.tj/ (дата обращения 26.01.2018).</w:t>
      </w:r>
    </w:p>
    <w:p w:rsidR="00197CE7" w:rsidRPr="00DA76A7" w:rsidRDefault="00197CE7" w:rsidP="00197CE7">
      <w:pPr>
        <w:widowControl/>
        <w:numPr>
          <w:ilvl w:val="0"/>
          <w:numId w:val="163"/>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Богуславский М.М., Гридин С.С. Статус иностранцев в СССР. М., 1984. – 104 с.</w:t>
      </w:r>
    </w:p>
    <w:p w:rsidR="00197CE7" w:rsidRPr="00DA76A7" w:rsidRDefault="00197CE7" w:rsidP="00197CE7">
      <w:pPr>
        <w:widowControl/>
        <w:numPr>
          <w:ilvl w:val="0"/>
          <w:numId w:val="163"/>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Богуславский М.М., Рубанов А.А. Правовое положение иностранцев в СССР. 2-е изд., перераб и доп. - М.: Изд-во ИМО, 1962. – 148 с. </w:t>
      </w:r>
    </w:p>
    <w:p w:rsidR="00197CE7" w:rsidRPr="00DA76A7" w:rsidRDefault="00197CE7" w:rsidP="00197CE7">
      <w:pPr>
        <w:widowControl/>
        <w:numPr>
          <w:ilvl w:val="0"/>
          <w:numId w:val="163"/>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Витрук Н.В. Основы теории правового положения личности в социалистическом обществе / Под ред. Патюлина В.А.. </w:t>
      </w:r>
      <w:r w:rsidRPr="00DA76A7">
        <w:rPr>
          <w:rFonts w:ascii="Arial" w:hAnsi="Arial" w:cs="Arial"/>
          <w:b/>
          <w:color w:val="000000" w:themeColor="text1"/>
          <w:sz w:val="22"/>
          <w:szCs w:val="22"/>
        </w:rPr>
        <w:t xml:space="preserve"> - </w:t>
      </w:r>
      <w:r w:rsidRPr="00DA76A7">
        <w:rPr>
          <w:rFonts w:ascii="Arial" w:hAnsi="Arial" w:cs="Arial"/>
          <w:color w:val="000000" w:themeColor="text1"/>
          <w:sz w:val="22"/>
          <w:szCs w:val="22"/>
        </w:rPr>
        <w:t>М.:  Наука, 1979. – 229 с.</w:t>
      </w:r>
    </w:p>
    <w:p w:rsidR="00197CE7" w:rsidRPr="00DA76A7" w:rsidRDefault="00197CE7" w:rsidP="00197CE7">
      <w:pPr>
        <w:widowControl/>
        <w:numPr>
          <w:ilvl w:val="0"/>
          <w:numId w:val="163"/>
        </w:numPr>
        <w:tabs>
          <w:tab w:val="left" w:pos="851"/>
        </w:tabs>
        <w:autoSpaceDE/>
        <w:autoSpaceDN/>
        <w:adjustRightInd/>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Галенская Л.Н. Правовое положение иностранцев в СССР / Л. Н. Галенская. - М.: Международные отношения, 1982. - 160 с.</w:t>
      </w:r>
    </w:p>
    <w:p w:rsidR="00197CE7" w:rsidRPr="00DA76A7" w:rsidRDefault="00197CE7" w:rsidP="00197CE7">
      <w:pPr>
        <w:ind w:firstLine="567"/>
        <w:jc w:val="center"/>
        <w:rPr>
          <w:rFonts w:ascii="Arial" w:eastAsia="Calibri" w:hAnsi="Arial" w:cs="Arial"/>
          <w:b/>
          <w:color w:val="000000" w:themeColor="text1"/>
          <w:sz w:val="22"/>
          <w:szCs w:val="22"/>
        </w:rPr>
      </w:pPr>
    </w:p>
    <w:p w:rsidR="00197CE7" w:rsidRPr="00DA76A7" w:rsidRDefault="00197CE7" w:rsidP="005B31C6">
      <w:pPr>
        <w:tabs>
          <w:tab w:val="left" w:pos="851"/>
        </w:tabs>
        <w:ind w:firstLine="567"/>
        <w:jc w:val="both"/>
        <w:rPr>
          <w:rFonts w:ascii="Arial" w:eastAsia="Calibri"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СРАВНИТЕЛЬНЫЙ АНАЛИЗ ТАМОЖЕННЫХ КОДЕКСОВ </w:t>
      </w:r>
      <w:r w:rsidR="00197CE7" w:rsidRPr="00DA76A7">
        <w:rPr>
          <w:rFonts w:ascii="Arial" w:hAnsi="Arial" w:cs="Arial"/>
          <w:b/>
          <w:color w:val="000000" w:themeColor="text1"/>
          <w:sz w:val="22"/>
          <w:szCs w:val="22"/>
        </w:rPr>
        <w:t>ЕВРОПЕЙСКОГО СОЮЗА И ЕВРАЗИЙСКОГО ЭКОНОМИЧЕСКОГО СОЮЗА</w:t>
      </w:r>
    </w:p>
    <w:p w:rsidR="005B31C6" w:rsidRPr="00DA76A7" w:rsidRDefault="005B31C6" w:rsidP="005B31C6">
      <w:pPr>
        <w:jc w:val="center"/>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Нозирова Умеда Илхомовна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магистрант 1-го года обучения очного отделения международно-правового факультета Московский государственный институт международных отношений </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1194 54, Российская Федерация, г. Москва, проспект Вернадского, 76</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+7(925)-529-57-53, e-mail: umedakhon.nozirova@gmail.com</w:t>
      </w:r>
    </w:p>
    <w:p w:rsidR="005B31C6" w:rsidRPr="00DA76A7" w:rsidRDefault="005B31C6" w:rsidP="005B31C6">
      <w:pPr>
        <w:jc w:val="center"/>
        <w:rPr>
          <w:rFonts w:ascii="Arial" w:hAnsi="Arial" w:cs="Arial"/>
          <w:color w:val="000000" w:themeColor="text1"/>
          <w:sz w:val="22"/>
          <w:szCs w:val="22"/>
          <w:lang w:val="en-US"/>
        </w:rPr>
      </w:pPr>
    </w:p>
    <w:p w:rsidR="00197CE7" w:rsidRPr="00DA76A7" w:rsidRDefault="00197CE7" w:rsidP="00197CE7">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COMPARATIVE ANALYSIS OF CUSTOMS CODE OF </w:t>
      </w:r>
      <w:r w:rsidRPr="005D1C4B">
        <w:rPr>
          <w:rFonts w:ascii="Arial" w:hAnsi="Arial" w:cs="Arial"/>
          <w:b/>
          <w:color w:val="000000" w:themeColor="text1"/>
          <w:sz w:val="22"/>
          <w:szCs w:val="22"/>
          <w:lang w:val="en-US"/>
        </w:rPr>
        <w:t>THE EUROPEAN UNION AND THE EURASIAN ECONOMIC UNION</w:t>
      </w:r>
    </w:p>
    <w:p w:rsidR="005B31C6" w:rsidRPr="00DA76A7" w:rsidRDefault="005B31C6" w:rsidP="005B31C6">
      <w:pPr>
        <w:jc w:val="center"/>
        <w:rPr>
          <w:rFonts w:ascii="Arial" w:hAnsi="Arial" w:cs="Arial"/>
          <w:color w:val="000000" w:themeColor="text1"/>
          <w:sz w:val="22"/>
          <w:szCs w:val="22"/>
          <w:lang w:val="en-US"/>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Nozirova Umeda Ilkhomovna</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undergraduate 1</w:t>
      </w:r>
      <w:r w:rsidRPr="00DA76A7">
        <w:rPr>
          <w:rFonts w:ascii="Arial" w:hAnsi="Arial" w:cs="Arial"/>
          <w:color w:val="000000" w:themeColor="text1"/>
          <w:sz w:val="22"/>
          <w:szCs w:val="22"/>
          <w:vertAlign w:val="superscript"/>
          <w:lang w:val="en-US"/>
        </w:rPr>
        <w:t>st</w:t>
      </w:r>
      <w:r w:rsidRPr="00DA76A7">
        <w:rPr>
          <w:rFonts w:ascii="Arial" w:hAnsi="Arial" w:cs="Arial"/>
          <w:color w:val="000000" w:themeColor="text1"/>
          <w:sz w:val="22"/>
          <w:szCs w:val="22"/>
          <w:lang w:val="en-US"/>
        </w:rPr>
        <w:t xml:space="preserve"> year student of full-time department of international law </w:t>
      </w:r>
    </w:p>
    <w:p w:rsidR="005B31C6" w:rsidRPr="00DA76A7" w:rsidRDefault="005B31C6" w:rsidP="005B31C6">
      <w:pPr>
        <w:pStyle w:val="HTML"/>
        <w:shd w:val="clear" w:color="auto" w:fill="FFFFFF"/>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Moscow state institute of international relations</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 119454, Russia, Moscow, Vernadskiy aven., 76</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tel.: +7(925)-529-57-53, e-mail:umedakhon.nozirova@gmail.com</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Статья посвящена актуальной проблеме таможенного законодательства. В нем рассматриваются кодексы Европейского Союза и Евразийского экономического союза. Прослеживается историческое развитие объединений. Основное содержание исследования является рассмотрение правового регулирования в сфере таможенного права. Автор</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фокусируется</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на</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анализе</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таможенных</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кодексов</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ЕС</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и</w:t>
      </w:r>
      <w:r w:rsidRPr="00DA76A7">
        <w:rPr>
          <w:rFonts w:ascii="Arial" w:hAnsi="Arial" w:cs="Arial"/>
          <w:i/>
          <w:color w:val="000000" w:themeColor="text1"/>
          <w:sz w:val="22"/>
          <w:szCs w:val="22"/>
          <w:lang w:val="en-US"/>
        </w:rPr>
        <w:t xml:space="preserve"> </w:t>
      </w:r>
      <w:r w:rsidRPr="00DA76A7">
        <w:rPr>
          <w:rFonts w:ascii="Arial" w:hAnsi="Arial" w:cs="Arial"/>
          <w:i/>
          <w:color w:val="000000" w:themeColor="text1"/>
          <w:sz w:val="22"/>
          <w:szCs w:val="22"/>
        </w:rPr>
        <w:t>ЕАЭС</w:t>
      </w:r>
      <w:r w:rsidRPr="00DA76A7">
        <w:rPr>
          <w:rFonts w:ascii="Arial" w:hAnsi="Arial" w:cs="Arial"/>
          <w:i/>
          <w:color w:val="000000" w:themeColor="text1"/>
          <w:sz w:val="22"/>
          <w:szCs w:val="22"/>
          <w:lang w:val="en-US"/>
        </w:rPr>
        <w:t>.</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The article is devoted to the urgent problem of customs legislation. It examines the customs of the European Union and the Eurasian Economic Union. The historical development of associations is traced. The main content of the study is the consideration of legal regulation in the field of law. The author focuses on the analysis of EU and EAEU customs codes.</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Европейский Союз, Евразийский экономический союз, таможенное регулирование, таможенный кодекс, таможенное законодательство.</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European Union, Eurasian Economic Union, customs regulation, customs code, customs legislation</w:t>
      </w:r>
    </w:p>
    <w:p w:rsidR="005B31C6" w:rsidRPr="00DA76A7" w:rsidRDefault="005B31C6" w:rsidP="005B31C6">
      <w:pPr>
        <w:ind w:firstLine="567"/>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одним из главных факторов в вопросе об актуальности рассматриваемой статьи можно считать, то, что Европейский союз является самым крупным и самым высокоразвитым таможенным союзом. Вместе с тем после подписания Римского договора таможенный союз стал фундаментом, на котором базируется союз, начальной точкой для дальнейшей экономической интеграции государств-членов. Между тем опыт ЕС накопленный при создании и развитии таможенного союза, приобретает значительную ценность для стран участников интеграционных процессов на постсоветском пространств [11, 114-115].  В тоже время пространство Российской  Федерации вместе четырьмя странами СНГ участвует в договоре о таможенном союзе и Едином экономическом пространстве. Помимо того, в 2000 г. таможенный союз пяти стран перешел на совершенно новый уровень, а именно было создано Евразийское экономическое сообщество. Следовательно, является очевидным тот факт, что именно опыт европейской интеграции будет первостепенным ориентиром для образования и развития интеграционных объединений внутри СНГ [11, 115-116].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практическая значимость основательного изучения таможенного процесса в ЕС и ЕАЭС  заключается в сравнительном анализе развития таможенного регулирования в данных объединениях.</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что Европейский союз является одной из крупнейших и самых развитых интеграционных объединений на современном этапе. Вместе с тем история развития ЕС началась еще в пятидесятые годы прошлого столетия с подписание договора об учреждении Европейского объединения угля и стали в Париже [1]. Между тем вышеуказанное стало принципиально важной основой интеграции в целом.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в частности, Бекяшев К.А. разделяет периоды развития Европейского Союза на восемь этапов [11, 139-140]. Вместе с тем первый этап это непосредственно образование ЕОУС. В тоже время подписание римских договоров 25.03.1957 г. и создание Европейского экономического сообщества и Европейского сообщества по атомной энергетике. Третьим этапом стало подписание единого Европейского акта 1986 г. Создание Европейского Союза в результате подписания договора о Европейском союзе 27.02.1992 г. стало следующим этапом. Между тем пятым этапом становится  заключение амстердамского договора, далее последовал Ниццкий договор 2001 г. [5]. Седьмой этап начался с подготовки договора учреждающий Конституцию для Европы, тем не менее, указанный Основной закон не был принят. Последним этапом стало заключение лиссабонского договора.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рассмотрев более детально вышеупомянутые этапы и сопутствующие к ним договоры, можно заключить, что в Парижском договоре были определены общие начала в таможенном регулировании государств членов сообщества. Так, в частности, статья четвертая договора об учреждении ЕОУС признавала импортные и экспортные пошлины или сборы имеющие эквивалентный эффект, а также количественные ограничения на движение товаров, несовместимыми с общим рынком угля и стали и, соответственно отменила и запрещала их в рамках объединения.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на определенном этапе, европейские государства осознали необходимость образования таможенного союза, которому было дано определение уже в Римском договоре 1957 г. «Об учреждении Европейского экономического Союза», также в данном договоре были определены принципы таможенного союза [3].</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При этом договор о европейском сообществе занимает главное место в системе источников таможенного законодательства таможенного союза.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Необходимо отметить, что Единый Европейский акт подразумевал создание общего рынка, который предполагает также ликвидацию технических барьеров в торговле между странами членами и отмену пограничных контрольных формальностей внутри сообщества.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Значительным этапом в формировании таможенного законодательства стал Маастрихтский договор 1992 г. о Европейском союзе. Вместе с тем на данном этапе предполагалось уже создание внутреннего рынка характеризующегося «отменой препятствий свободному передвижению товаров, лиц, услуг и капитала между государствами-членами». Между тем данным договором было введено положение о таможенном сотрудничестве, сотрудничестве в борьбе с незаконным оборотом наркотиков и другими формами международных преступлений, в том числе и в таможенной сфере. Тем не менее, что касается Евразийского экономического Союза, который был образован относительно недавно, а именно в 2014 г., можно говорить о том, что он уже достиг достаточно многого. Так, в частности, одним из достижений Союза можно считать формирование самого таможенного союза [3].</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для того чтобы наиболее лучше понимать предпосылки и цели образования данного союза, является целесообразным рассмотреть историю эволюции процессов интеграции на постсоветском пространстве. При этом первым этапом было подписание первого соглашения о создании Таможенного союза, Республика Беларусь, Казахстан и Российской Федерации в 1995 г. Между тем в дальнейшем к соглашению присоединились Кыргызстан, Таджикистан и Узбекистан [12, 139-140].</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следующим шагом было заключение договора о Единой таможенной территории и строительство Таможенного союза между Беларусью и Казахстаном и Россией в 2007 г. При этом в 2009 г. конкретным содержанием наполнились ранее заключенные соглашения, было подписано около 40 международных договоров. Вместе с тем было принято решение об образовании с 01.01.2010 г. единого таможенного пространства на территории Белоруссии, России и Казахстана. Между тем в 2010 г. вступил в силу единый таможенный тариф и был принят единый для трех государств таможенный кодекс. Помимо того, таможенный контроль был снят с границ между государствами таможенного союза.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 период с 2011 по 2013 гг. стремительно росло разработка и принятие общих для стран Союза законодательных норм, а также появился первый единый технический регламент о безопасности продукции.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в 2014 г. Армения вступила в союз. На современном этапе, последним этапом стало вступление Кыргызстана в таможенный союз, а именно в 2015 г. Вместе с тем система источников таможенного законодательства таможенного союза представляет собой трехуровневую систему нормативно-правовых актов, которые расположены исходя из критерия убывания юридической силы: а) таможенный кодекс; б) международные договоры государств-членов таможенного союза, регулирующие таможенные отношения в таможенном союзе; в) решение евразийской экономической комиссии [9].</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в иерархии таможенного законодательства таможенного союза актом, который обладает высшей юридической силой, является таможенный кодекс таможенного союза. Вместе с тем формирование таможенного законодательства таможенного союза началось с заключения в Минске от 27.11.2012 г. договора о таможенном кодексе таможенного союза. Между тем таможенное законодательство включает в себя таможенный кодекс, общий таможенный тариф ЕС и Единый таможенный тариф ЕАЭС [7].</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Помимо того общим между ними можно считать, то что и для ЕС и для ЕАЭС таможенный кодекс является приматам по отношению к национальным законодательствам в сфере таможенного регулирования. Тем не менее, в ЕАЭС допускается применение национального законодательства страны участницы таможенном регулировании в части, не урегулированные правом ЕАЭС. Весьма близка и система источников таможенного права данных объединений. Аналогичными по структуре являются и таможенные кодексы, а именно объединение: оба кодекса состоят из 9 глав, однако в то время как таможенный кодекс ЕС состоит из 288 статей и приложения, таможенный кодекс ЕАЭС охватывает 465 статьи и 2 приложения [8].</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 основании вышеизложенного необходимо заключить, что проведенный анализ таможенных кодексов говорит о том, что использование опыта правового развития ЕС применительно к ЕАЭС в сфере таможенного регулирования достаточно успешно реализован, так как в итоге рассмотрения данного вопроса, становится ясно, что во многом таможенное законодательство объединений схожи и дальнейшее их развитие может быть успешно осуществлено.</w:t>
      </w:r>
    </w:p>
    <w:p w:rsidR="005B31C6" w:rsidRPr="00DA76A7" w:rsidRDefault="005B31C6" w:rsidP="005B31C6">
      <w:pPr>
        <w:ind w:firstLine="567"/>
        <w:jc w:val="both"/>
        <w:rPr>
          <w:rFonts w:ascii="Arial" w:hAnsi="Arial" w:cs="Arial"/>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Договор об учреждении первого Европейского объединения угля и стали (электронный ресурс): договор от 18.04.1951 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Договор об учреждении Европейского сообщества по атомной энергии (электронный ресурс): договор от 25.03.1957 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Договор о Европейском союзе (электронный ресурс): договор от 07. 02. 1992 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Единый Европейский акт (электронный ресурс): договор от 17.02. 1986 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Ниццкий договор (электронный ресурс): договор от 26.02.2001 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Таможенный кодекс Европейского Союза (электронный ресурс): учрежден регламентом совета от 12.10 1992 г. - № 2913.</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8. Таможенный кодекс Таможенного союза Евразэс (электронный ресурс): договор о евразийской экономической комиссии от 18.11.2011 г. Бюллетень международных договоров, 2013. - № 1.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9. Договор о евразийской экономической комиссии подписан в г. Москва 18.11.2011 г.; Договор о комиссии Таможенного союза подписан в г. Душанбе от 06.10.2007 г.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10. Соглашение о едином таможенно-тарифном регулировании от 25.01.2008 г.; Бюллетень международных договоров 2010 г. - № 10.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11. Бекяшев К.А. Право Евразийского экономического Союза. – М., 2015. – 459 с.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12. Европейское право / под ред  Л.М. Энтина. – М., 2013. – 437 с.</w:t>
      </w:r>
    </w:p>
    <w:p w:rsidR="005B31C6" w:rsidRPr="00DA76A7" w:rsidRDefault="005B31C6" w:rsidP="005B31C6">
      <w:pPr>
        <w:tabs>
          <w:tab w:val="left" w:pos="851"/>
        </w:tabs>
        <w:ind w:firstLine="567"/>
        <w:jc w:val="both"/>
        <w:rPr>
          <w:rFonts w:ascii="Arial" w:eastAsia="Calibri" w:hAnsi="Arial" w:cs="Arial"/>
          <w:color w:val="000000" w:themeColor="text1"/>
          <w:sz w:val="22"/>
          <w:szCs w:val="22"/>
        </w:rPr>
      </w:pPr>
    </w:p>
    <w:p w:rsidR="005B31C6" w:rsidRPr="00DA76A7" w:rsidRDefault="005B31C6" w:rsidP="005B31C6">
      <w:pPr>
        <w:tabs>
          <w:tab w:val="left" w:pos="851"/>
        </w:tabs>
        <w:ind w:firstLine="567"/>
        <w:jc w:val="both"/>
        <w:rPr>
          <w:rFonts w:ascii="Arial" w:eastAsia="Calibri"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ПРАВОВЫЕ ПОЗИЦИИ КАК ЮРИДИЧЕСКИЕ СРЕДСТВА ВЫРАЖЕНИЯ ПРАВОТВОРЧЕСКОЙ ФУНКЦИИ КОНСТИТУЦИОННОГО ПРАВОСУДИЯ </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Рахманова Екатерина Тимуровна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тел.: 501-29-17-89, </w:t>
      </w:r>
      <w:hyperlink r:id="rId406" w:history="1">
        <w:r w:rsidRPr="00DA76A7">
          <w:rPr>
            <w:rStyle w:val="af0"/>
            <w:rFonts w:ascii="Arial" w:hAnsi="Arial" w:cs="Arial"/>
            <w:color w:val="000000" w:themeColor="text1"/>
            <w:sz w:val="22"/>
            <w:szCs w:val="22"/>
            <w:u w:val="none"/>
            <w:lang w:val="en-US"/>
          </w:rPr>
          <w:t>sekaterinat</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gmail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com</w:t>
        </w:r>
      </w:hyperlink>
    </w:p>
    <w:p w:rsidR="005B31C6" w:rsidRPr="00DA76A7" w:rsidRDefault="005B31C6" w:rsidP="005B31C6">
      <w:pPr>
        <w:jc w:val="center"/>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LEGAL POSITIONS AS LEGAL MEANS OF EXPRESSION </w:t>
      </w: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OF THE RIGHT-CREATIVE FUNCTION OF THE CONSTITUTIONAL JUSTICE</w:t>
      </w:r>
    </w:p>
    <w:p w:rsidR="005B31C6" w:rsidRPr="00DA76A7" w:rsidRDefault="005B31C6" w:rsidP="005B31C6">
      <w:pPr>
        <w:jc w:val="center"/>
        <w:rPr>
          <w:rFonts w:ascii="Arial" w:hAnsi="Arial" w:cs="Arial"/>
          <w:b/>
          <w:color w:val="000000" w:themeColor="text1"/>
          <w:sz w:val="22"/>
          <w:szCs w:val="22"/>
          <w:lang w:val="en-US"/>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Rahmanova Ekaterina Timurovna</w:t>
      </w:r>
    </w:p>
    <w:p w:rsidR="005B31C6" w:rsidRPr="00DA76A7" w:rsidRDefault="005B31C6" w:rsidP="005B31C6">
      <w:pPr>
        <w:tabs>
          <w:tab w:val="left" w:pos="426"/>
        </w:tabs>
        <w:jc w:val="center"/>
        <w:outlineLvl w:val="1"/>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t>graduate student of the second year of correspondence department of the law faculty</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street. M</w:t>
      </w:r>
      <w:r w:rsidRPr="00DA76A7">
        <w:rPr>
          <w:rFonts w:ascii="Arial" w:hAnsi="Arial" w:cs="Arial"/>
          <w:bCs/>
          <w:color w:val="000000" w:themeColor="text1"/>
          <w:sz w:val="22"/>
          <w:szCs w:val="22"/>
        </w:rPr>
        <w:t xml:space="preserve">. </w:t>
      </w:r>
      <w:r w:rsidRPr="00DA76A7">
        <w:rPr>
          <w:rFonts w:ascii="Arial" w:hAnsi="Arial" w:cs="Arial"/>
          <w:bCs/>
          <w:color w:val="000000" w:themeColor="text1"/>
          <w:sz w:val="22"/>
          <w:szCs w:val="22"/>
          <w:lang w:val="en-US"/>
        </w:rPr>
        <w:t>Tursunzade</w:t>
      </w:r>
      <w:r w:rsidRPr="00DA76A7">
        <w:rPr>
          <w:rFonts w:ascii="Arial" w:hAnsi="Arial" w:cs="Arial"/>
          <w:bCs/>
          <w:color w:val="000000" w:themeColor="text1"/>
          <w:sz w:val="22"/>
          <w:szCs w:val="22"/>
        </w:rPr>
        <w:t>, 30</w:t>
      </w:r>
      <w:r w:rsidRPr="00DA76A7">
        <w:rPr>
          <w:rFonts w:ascii="Arial" w:hAnsi="Arial" w:cs="Arial"/>
          <w:bCs/>
          <w:color w:val="000000" w:themeColor="text1"/>
          <w:sz w:val="22"/>
          <w:szCs w:val="22"/>
        </w:rPr>
        <w:br/>
      </w:r>
      <w:r w:rsidRPr="00DA76A7">
        <w:rPr>
          <w:rFonts w:ascii="Arial" w:hAnsi="Arial" w:cs="Arial"/>
          <w:bCs/>
          <w:color w:val="000000" w:themeColor="text1"/>
          <w:sz w:val="22"/>
          <w:szCs w:val="22"/>
          <w:lang w:val="en-US"/>
        </w:rPr>
        <w:t>tel</w:t>
      </w:r>
      <w:r w:rsidRPr="00DA76A7">
        <w:rPr>
          <w:rFonts w:ascii="Arial" w:hAnsi="Arial" w:cs="Arial"/>
          <w:bCs/>
          <w:color w:val="000000" w:themeColor="text1"/>
          <w:sz w:val="22"/>
          <w:szCs w:val="22"/>
        </w:rPr>
        <w:t xml:space="preserve">.: </w:t>
      </w:r>
      <w:r w:rsidRPr="00DA76A7">
        <w:rPr>
          <w:rFonts w:ascii="Arial" w:hAnsi="Arial" w:cs="Arial"/>
          <w:color w:val="000000" w:themeColor="text1"/>
          <w:sz w:val="22"/>
          <w:szCs w:val="22"/>
        </w:rPr>
        <w:t xml:space="preserve">501-29-17-89, </w:t>
      </w:r>
      <w:hyperlink r:id="rId407" w:history="1">
        <w:r w:rsidRPr="00DA76A7">
          <w:rPr>
            <w:rStyle w:val="af0"/>
            <w:rFonts w:ascii="Arial" w:hAnsi="Arial" w:cs="Arial"/>
            <w:color w:val="000000" w:themeColor="text1"/>
            <w:sz w:val="22"/>
            <w:szCs w:val="22"/>
            <w:u w:val="none"/>
            <w:lang w:val="en-US"/>
          </w:rPr>
          <w:t>sekaterinat</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gmail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com</w:t>
        </w:r>
      </w:hyperlink>
    </w:p>
    <w:p w:rsidR="005B31C6" w:rsidRPr="00DA76A7" w:rsidRDefault="005B31C6" w:rsidP="005B31C6">
      <w:pPr>
        <w:ind w:firstLine="567"/>
        <w:jc w:val="center"/>
        <w:rPr>
          <w:rFonts w:ascii="Arial" w:hAnsi="Arial" w:cs="Arial"/>
          <w:color w:val="000000" w:themeColor="text1"/>
          <w:sz w:val="22"/>
          <w:szCs w:val="22"/>
        </w:rPr>
      </w:pPr>
    </w:p>
    <w:p w:rsidR="005B31C6" w:rsidRPr="00DA76A7" w:rsidRDefault="005B31C6" w:rsidP="005B31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 xml:space="preserve"> Научный руководитель: к.ю.н., доцент Эльназаров Д.Х.</w:t>
      </w:r>
    </w:p>
    <w:p w:rsidR="005B31C6" w:rsidRPr="00DA76A7" w:rsidRDefault="005B31C6" w:rsidP="005B31C6">
      <w:pPr>
        <w:ind w:firstLine="567"/>
        <w:rPr>
          <w:rFonts w:ascii="Arial" w:hAnsi="Arial" w:cs="Arial"/>
          <w:color w:val="000000" w:themeColor="text1"/>
          <w:sz w:val="22"/>
          <w:szCs w:val="22"/>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 xml:space="preserve">В данной статье рассматриваются правовые позиции юридических средств выражения правотворческой функции конституционного правосудия, раскрыты средства юридической техники, представлен анализ правотворческой функции конституционного правосудия. </w:t>
      </w:r>
    </w:p>
    <w:p w:rsidR="005B31C6" w:rsidRPr="00DA76A7" w:rsidRDefault="005B31C6" w:rsidP="005B31C6">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This article examines the legal positions of legal means of expressing the law-making function of constitutional justice, the means of legal technology are disclosed, and the analysis of the law-making function of constitutional justice is presented.</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юридические средства, правосудие, юридическая техника, Конституционный суд, правовая позиция, юридическая сила, принцип права.</w:t>
      </w:r>
    </w:p>
    <w:p w:rsidR="005B31C6" w:rsidRPr="00DA76A7" w:rsidRDefault="005B31C6" w:rsidP="005B31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legal means, justice, legal technique, Constitutional court, legal position, legal force, principle of law</w:t>
      </w:r>
    </w:p>
    <w:p w:rsidR="005B31C6" w:rsidRPr="00DA76A7" w:rsidRDefault="005B31C6" w:rsidP="005B31C6">
      <w:pPr>
        <w:ind w:firstLine="567"/>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Прежде чем рассмотреть правовые позиции юридических средств выражения правотворческой функции конституционного правосудия следует определить, что термин «юридические средства» предопределяет анализ понятия «средства юридической техники». Вместе с тем средства юридической техники, по мнению ученого теоретика С.С. Алексеева, следует рассматривать как средства юридического выражения воли законодателя и средства словесно-документального изложения содержания нормативного акта. Между тем доктринальной трансформацией данного феномена выступает представление о конституционной юридической технике, включая конституционную технику правотворчества [7, 252-253].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что юридические средства выражения воли законодателя это безупречные формы, при помощи которых допустимо строить право, создавать определенные конструкции, облачить в юридический вид его содержание, представляющее систему позитивного права. Вместе с тем средства словесно-документального изложения содержания нормативного правового акта это собственно формы, позволяющие закреплять, сосредотачивать должным образом сформулированную волю законодателя. К ним относятся составленный с помощью юридической терминологии текст нормативного правового акта [1, 275-276].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средства выражения правотворческой функции конституционного правосудия можно, следовательно, отнести к категории средств юридической техники, представляющих собой совокупность приемов и инструментов, применяемых для реализации правотворческой функции Конституционного Суда рассматриваемого государства и конституционных судов субъектов данного государства. Вместе с тем наиболее важными и характерными в ряду данных средств выступают, правовые позиции конституционных судов. Вместе с тем в Федеральном конституционном законе «О Конституционном Суде рассматриваемого государства» нет законного определения правовой позиции. Между тем законы о конституционных судах субъектов рассматриваемого государства также не содержат дефиниций правовой позиции надлежащих органов, и характеризуют данные феномены в основном декларативным образом.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толкуя Основной закон рассматриваемого государства, раскрывая конституционность правового акта, рассматривая споры о компетенции и реализуя другие возложенные на него функции, Конституционный суд рассматриваемого государства формулирует правовые позиции, получающие закрепление в различных частях его решений.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 отечественной литературе феномену правовых позиций Конституционного суда рассматриваемого государства уделено самое пристальное внимание, их рассматривают как: отношение суда к содержанию конституционной нормы в итоге ее истолкования [4, 64-65]; некую теоретическую конструкцию, с помощью которой Конституционный суд рассматриваемого государства, используя потенциал науки, преодолевает правовую неопределенность содержания той или другой нормы [2, 59-60]; интерпретацию судом какого-нибудь явления конституционно-правовой действительности, проведенную при рассмотрении конкретного вопроса и выраженную в тексте итогового решения [10, 85-86].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в частности, ученый теоретик Л.В. Лазарев под правовой позицией Конституционного суда рассматриваемого государства понимает систему правовых доводов, правопонимания и образцы, а именно правила прецедентного характера [8, 10-11]. Вместе с тем ученый теоретик М.С. Саликов считает, что правовые позиции Конституционного суда рассматриваемого государства это «система выводов и доводов, раскрытых в процессе рассмотрения конкретных дел по сугубо определенным проблемам и имеющих общий характер, а именно приемлемых и необходимых для решения аналогичных проблем при рассмотрении иных дел» [12, 15-16]. Между тем ученый Г.А. Гаджиев рассматривает правовую позицию как «обнаруженный на примере исследования конституционности оспоренной нормы принцип решения группы подобных дел» [5, 83-84]. Наряду с этим ученый С.П. Маврин считает, что к правовым позициям необходимо отнести только лишь те умозаключения, оценки, представления и выводы по вопросам права, которые высказывает Конституционный суд рассматриваемого государства в процессе решения конкретного дела на основе толкования, истолкования или интерпретации конституционных и других норм права [9, 562-563].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что при определенных различиях приведенные представления, характеризует и известная принципиальная общность видения. Вместе с тем выраженная в конкретном решении правовая позиция в последующем распространяет свое действие на подобные конституционно-правовые ситуации. Между тем как замечает И.А. Чернышов, в науке правовые позиции Конституционного суда рассматриваемого государства существуют собственной, отдельной от его решений жизнью [15, 2-3].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правовая позиция не исчерпывает всех правотворческих проявлений Конституционного суда рассматриваемого государства и конституционных судов субъектов данного государства, однако именно она наиболее наглядно показывает аналогичное проявление как результат процесса обнаружения конституционности правовых актов и связанных с этим процессом суждений, выводов, обобщений и т.п.</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 в частности, в соответствии с мнением Г.А. Гаджиева, особая юридическая сила правовой позиции позволяет рассматривать ее даже в качестве принципа права [5, 84-85]. Между тем, несомненно, отсутствуют  основания противопоставлять какую-либо часть решения Конституционного суда рассматриваемого государства его правовой позиции, изложенной в этом же правовом акте, однако с позиций технико-инструментального анализа, конституционно-правовые конструкции, резолюции и правовые позиции все-таки отличаются, что значительно в сфере данной проблематики.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понимая правовую позицию Конституционного суда рассматриваемого государства как этап познания конституционной нормы права, ученый В.О. Елеонский приходит к заключению, что различное понимание одной и той же конституционной нормы по различным делам свидетельствует о длящемся процессе ее познания. Следовательно, правовая позиция Конституционного суда рассматриваемого государства это непосредственно не сама норма, а именно то или иное понимание ее смысла. Между тем именно представление о практике конституционного судебного правотворчества позволяет объяснить, почему по одному и тому же вопросу с течением определенного времени может быть несколько последовательно выраженных правовых позиций.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конституционное правотворчество есть также и правопознание, а именно: взаимно дополняя и корректируя друг друга, правовые позиции суда представляют все более полное и динамичное понимание надлежащей конституционной нормы. Между тем как верно отмечал ученый Н.В. Витрук, отсутствуют основания считать правовые позиции Конституционного суда рассматриваемого государства только лишь рекомендациями, по меньшей мере, и особого рода. Тем не менее, юридическая сила правовых позиций Конституционного суда рассматриваемого государства составляет главный компонент конституционности и выступает средством выражения правотворческих проявлений в деятельности суда.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При всем том следует указать на некорректность подведения правовой позиции Конституционного суда рассматриваемого государства под понятие источника права. Вместе с тем формой права является решение органа конституционного правосудия в общем, правовая же позиция это средство выражения правотворческой функции, а именно фактически особое правоположение, созданное судом в рамках конституционного судопроизводства.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Следует отметить, что выделяя особое инструментальное значение правовых позиций Конституционного суда рассматриваемого государства, мы не можем согласиться с утверждениями о том, что только лишь они и обладают признаком обязательности в решениях данного высшего органа судебной власти. Вместе с тем такое восприятие не только теоретически несостоятельно, но и противоречит нормам ст. 6 ФКЗ «О Конституционном суде рассматриваемого государства». При этом применительно к названным признакам речь идет именно о решениях в общем, а не о какой-либо их части. Наряду с этим, некорректно, и отождествление правовой позиции с итоговым заключением Конституционного суда рассматриваемого государства или в общем с его решением. Между тем в данном смысле прав ученый Б.С. Эбзеев, утверждающий, что в определенном смысле решения Конституционного суда рассматриваемого государства и его правовые позиции соотносятся как форма и содержание [16, 561-562].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 решениях Конституционного суда рассматриваемого государства, конституционных судов субъектов страны реально можно выделить различающиеся по характеру нормативной определенности фрагменты: помимо самой «нормы» в решении приводятся и определенные аргументы, подкрепляющие ее достоверность, что не свойственно иным источникам права. Поэтому ученый Г.А. Гаджиев, ссылаясь на английскую доктрину [6, 11-12], различает в решениях конституционных судов решающий аргумент и собственно правоположение и заодно вышесказанное [5, 83-84].</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правоустановительное значение данных результатов конституционно-судебной практики связано еще и с тем, что, «выявляя неявный смысл конституционных норм, определяя собственную правовую позицию по оспоренной норме, формирует принцип решения группы подобных дел» [3, 131-132]. Между тем в литературе по-прежнему поднимается вопрос о юридической силе и обязательности для правотворческих и правоприменительных органов правовых позиций, изложенных в резолютивной и мотивировочной частях решений Конституционного суда рассматриваемого государства. Вместе с тем к числу наиболее распространенных можно отнести следующие точки зрения, а именно: постановление обязательно целиком, а резолютивная часть представляет собой его концентрированный вывод [13, 115-116]; правовые позиции содержатся в мотивировочной части решения и не идентичны с итоговым выводом, который обычно представлен краткой фразой [9, 563-564]; правовая позиция может находиться не только в постановлении, но и в определении, которым суд отказывает заявителю в принятии его обращения к рассмотрению [14, 639-640].</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разделяя мнение о том, что толкование конституционных положений непозволительно в отрыве от относящихся к ним правовых позиций Конституционного суда рассматриваемого государства и тем более в противоречии с ними [14, 640-641], полагаем, что непозволительно оспаривать обязательность правовой позиции для любого правоприменителя. Вместе с тем она такой же источник конституционного права, как и всякая норма Основного закона рассматриваемого государства. В связи с этим, верно отмечено, что любая правовая позиция Конституционного суда рассматриваемого государства имеет неоспоримое значение для надлежащего правового регулирования конституционно-правовых отношений и реализации норм конституционного права. Между тем правоприменителю должно быть небезразлично, отменят его решение в последующем или нет, в связи с этим правоприменитель, зная правовые позиции суда, должен избегать принятия решения, основанного на норме, им противоречащей, так как данное решение может быть отменено как принятое на основе положения, противоречащего Основному закону рассматриваемого государства [11, 49-50].</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на основании вышеизложенного, обобщая приведенные высказывания и подходы, полагаем, что под правовыми позициями следует понимать закрепленные в решении органа конституционной юстиции правоположения особого вида и уровня нормативности, служащие образцом для решения аналогичных правовых вопросов, в которых выводы Конституционного суда рассматриваемого государства, конституционных судов субъектов указанного государства, сделанные ими при рассмотрении конкретного дела, подкреплены обусловленными доктринальными суждениями и фактическими основаниями. Между тем ввиду данного обстоятельства такие нормативные положения должны применяться судами, так как это не противоречит принципам национальной конституционной юстиции, конституционной модели федерализма и конституционно выверенной иерархии нормативных положений в системе права рассматриваемого государства.</w:t>
      </w:r>
    </w:p>
    <w:p w:rsidR="005B31C6" w:rsidRPr="00DA76A7" w:rsidRDefault="005B31C6" w:rsidP="005B31C6">
      <w:pPr>
        <w:ind w:firstLine="567"/>
        <w:jc w:val="both"/>
        <w:rPr>
          <w:rFonts w:ascii="Arial" w:hAnsi="Arial" w:cs="Arial"/>
          <w:color w:val="000000" w:themeColor="text1"/>
          <w:sz w:val="22"/>
          <w:szCs w:val="22"/>
        </w:rPr>
      </w:pPr>
    </w:p>
    <w:p w:rsidR="005B31C6" w:rsidRPr="00DA76A7" w:rsidRDefault="005B31C6" w:rsidP="005B31C6">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r w:rsidRPr="00DA76A7">
        <w:rPr>
          <w:rFonts w:ascii="Arial" w:hAnsi="Arial" w:cs="Arial"/>
          <w:color w:val="000000" w:themeColor="text1"/>
          <w:sz w:val="22"/>
          <w:szCs w:val="22"/>
        </w:rPr>
        <w:t xml:space="preserve"> </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Алексеев С.С. Общая теория права: в 2 т. - М.: Юридическая литература, 1981. - Т. 2. – 450 с.</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Богданова Н.А. Конституционный Суд РФ в системе конституционного права // Вестник Конституционного Суда РФ. - 1997. - № 3. - С. 59-68.</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Бондарь Н.С., Капранова Ю.В. Конституционное измерение равноправия граждан Российской Федерации. - Ростов н/Д: Изд-во Рост. ун-та, 2002. – 379 с.</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Гаджиев Г.А. Правовые позиции Конституционного Суда Российской Федерации // Северо-Кавказский юридический вестник. - 1997. - № 3. - С. 64–69.</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Гаджиев Г.А. Правовые позиции Конституционного Суда Российской Федерации как источник конституционного права // Конституционное право: восточноевропейское обозрение. - 1999. - № 3. - С. 79–85.</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Кросс Р. Прецедент в английском праве. - М.: Юрид. лит., 1985. – 385 с.</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Крусс В.И. Конституционные критерии и пределы модернизации правотворческой техники // Юридическая техника. - 2012. - № 6. - С. 250–255.</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Лазарев Л.В. Конституционный Суд России и развитие конституционного права // Журнал российского права. - 1997. - № 1. - С. 9-14.</w:t>
      </w:r>
    </w:p>
    <w:p w:rsidR="005B31C6" w:rsidRPr="00DA76A7" w:rsidRDefault="005B31C6" w:rsidP="00D45D6B">
      <w:pPr>
        <w:pStyle w:val="a6"/>
        <w:numPr>
          <w:ilvl w:val="0"/>
          <w:numId w:val="165"/>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Маврин С.П. Некоторые соображения о понятии правовых позиций Конституционного Суда Российской Федерации // Актуальные вопросы конституционного правосудия. - 2009. – С. 560–565.</w:t>
      </w:r>
    </w:p>
    <w:p w:rsidR="005B31C6" w:rsidRPr="00DA76A7" w:rsidRDefault="005B31C6" w:rsidP="00D45D6B">
      <w:pPr>
        <w:pStyle w:val="a6"/>
        <w:numPr>
          <w:ilvl w:val="0"/>
          <w:numId w:val="165"/>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Романова О.В. К вопросу о понятии и правовой природе правовых позиций Конституционного Суда РФ // Государство и право. - 2001. - № 7. - С. 83-86.</w:t>
      </w:r>
    </w:p>
    <w:p w:rsidR="005B31C6" w:rsidRPr="00DA76A7" w:rsidRDefault="005B31C6" w:rsidP="00D45D6B">
      <w:pPr>
        <w:pStyle w:val="a6"/>
        <w:numPr>
          <w:ilvl w:val="0"/>
          <w:numId w:val="165"/>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Сивицкий В.А. Юридическая сила решений Конституционного Суда. - М., 2007. – 291 с. </w:t>
      </w:r>
    </w:p>
    <w:p w:rsidR="005B31C6" w:rsidRPr="00DA76A7" w:rsidRDefault="005B31C6" w:rsidP="00D45D6B">
      <w:pPr>
        <w:pStyle w:val="a6"/>
        <w:numPr>
          <w:ilvl w:val="0"/>
          <w:numId w:val="165"/>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Саликов М.С. О сущности правовых позиций Конституционного Суда Российской Федерации // Российский юридический журнал. - 2003. - № 1 (37). - С. 12-17.</w:t>
      </w:r>
    </w:p>
    <w:p w:rsidR="005B31C6" w:rsidRPr="00DA76A7" w:rsidRDefault="005B31C6" w:rsidP="00D45D6B">
      <w:pPr>
        <w:pStyle w:val="a6"/>
        <w:numPr>
          <w:ilvl w:val="0"/>
          <w:numId w:val="165"/>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Страшун Б.А. Решения Конституционного Суда Российской Федерации как источник права // Избирательное право и избирательный процесс. - М., 2011. - № 4. - С. 111-116.</w:t>
      </w:r>
    </w:p>
    <w:p w:rsidR="005B31C6" w:rsidRPr="00DA76A7" w:rsidRDefault="005B31C6" w:rsidP="00D45D6B">
      <w:pPr>
        <w:pStyle w:val="a6"/>
        <w:numPr>
          <w:ilvl w:val="0"/>
          <w:numId w:val="165"/>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Страшун Б.А., Сухинина И.В. О базе данных «Правовые позиции Конституционного Суда Российской Федерации». – М., 2008. – 430 с.</w:t>
      </w:r>
    </w:p>
    <w:p w:rsidR="005B31C6" w:rsidRPr="00DA76A7" w:rsidRDefault="005B31C6" w:rsidP="00D45D6B">
      <w:pPr>
        <w:pStyle w:val="a6"/>
        <w:numPr>
          <w:ilvl w:val="0"/>
          <w:numId w:val="165"/>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Чернышов И.А. Правовые позиции в решениях Конституционного Суда России // Журнал конституционного правосудия. - 2009. - № 5. - С. 2-3.</w:t>
      </w:r>
    </w:p>
    <w:p w:rsidR="005B31C6" w:rsidRPr="00DA76A7" w:rsidRDefault="005B31C6" w:rsidP="00D45D6B">
      <w:pPr>
        <w:pStyle w:val="a6"/>
        <w:numPr>
          <w:ilvl w:val="0"/>
          <w:numId w:val="165"/>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Эбзеев Б.С. Человек, народ, государство в конституционном строе Российской Федерации. - М., 2005. – 265 с.</w:t>
      </w:r>
    </w:p>
    <w:p w:rsidR="009F2071" w:rsidRDefault="009F2071" w:rsidP="008855E2">
      <w:pP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ПРАВОВАЯ БАЗА  СТРАН СНГ В СФЕРЕ МИГРАЦИИ</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Рахманова Сабрина Тимуровна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1-го  года обучения очного отделения факультета гуманитарных и социальных наук</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Российский Университет Дружбы Народов</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117198, Российская Федерация, г. Москва, улица Миклухо-Маклая, 6</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+79258676968, e-mail: cabrinka29</w:t>
      </w:r>
      <w:hyperlink r:id="rId408" w:history="1">
        <w:r w:rsidRPr="00DA76A7">
          <w:rPr>
            <w:rStyle w:val="af0"/>
            <w:rFonts w:ascii="Arial" w:hAnsi="Arial" w:cs="Arial"/>
            <w:color w:val="000000" w:themeColor="text1"/>
            <w:sz w:val="22"/>
            <w:szCs w:val="22"/>
            <w:u w:val="none"/>
            <w:lang w:val="en-US"/>
          </w:rPr>
          <w:t>@</w:t>
        </w:r>
      </w:hyperlink>
      <w:r w:rsidRPr="00DA76A7">
        <w:rPr>
          <w:rStyle w:val="af0"/>
          <w:rFonts w:ascii="Arial" w:hAnsi="Arial" w:cs="Arial"/>
          <w:color w:val="000000" w:themeColor="text1"/>
          <w:sz w:val="22"/>
          <w:szCs w:val="22"/>
          <w:u w:val="none"/>
          <w:lang w:val="en-US"/>
        </w:rPr>
        <w:t>mail.ru</w:t>
      </w:r>
      <w:r w:rsidRPr="00DA76A7">
        <w:rPr>
          <w:rFonts w:ascii="Arial" w:hAnsi="Arial" w:cs="Arial"/>
          <w:color w:val="000000" w:themeColor="text1"/>
          <w:sz w:val="22"/>
          <w:szCs w:val="22"/>
          <w:lang w:val="en-US"/>
        </w:rPr>
        <w:t xml:space="preserve"> </w:t>
      </w:r>
    </w:p>
    <w:p w:rsidR="005B31C6" w:rsidRPr="00DA76A7" w:rsidRDefault="005B31C6" w:rsidP="005B31C6">
      <w:pPr>
        <w:jc w:val="center"/>
        <w:rPr>
          <w:rFonts w:ascii="Arial" w:hAnsi="Arial" w:cs="Arial"/>
          <w:color w:val="000000" w:themeColor="text1"/>
          <w:sz w:val="22"/>
          <w:szCs w:val="22"/>
          <w:lang w:val="en-US"/>
        </w:rPr>
      </w:pPr>
    </w:p>
    <w:p w:rsidR="005B31C6" w:rsidRPr="00DA76A7" w:rsidRDefault="005B31C6" w:rsidP="005B31C6">
      <w:pPr>
        <w:jc w:val="center"/>
        <w:rPr>
          <w:rFonts w:ascii="Arial" w:hAnsi="Arial" w:cs="Arial"/>
          <w:color w:val="000000" w:themeColor="text1"/>
          <w:sz w:val="22"/>
          <w:szCs w:val="22"/>
          <w:lang w:val="en-US"/>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LEGAL BASE OF CIS COUNTRIES IN THE SPHERE OF MIGRATION</w:t>
      </w:r>
      <w:r w:rsidRPr="00DA76A7">
        <w:rPr>
          <w:rFonts w:ascii="Arial" w:hAnsi="Arial" w:cs="Arial"/>
          <w:color w:val="000000" w:themeColor="text1"/>
          <w:sz w:val="22"/>
          <w:szCs w:val="22"/>
          <w:lang w:val="en-US"/>
        </w:rPr>
        <w:br/>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Rakhmanova Sabrina Timurovna</w:t>
      </w:r>
      <w:r w:rsidRPr="00DA76A7">
        <w:rPr>
          <w:rFonts w:ascii="Arial" w:hAnsi="Arial" w:cs="Arial"/>
          <w:color w:val="000000" w:themeColor="text1"/>
          <w:sz w:val="22"/>
          <w:szCs w:val="22"/>
          <w:lang w:val="en-US"/>
        </w:rPr>
        <w:br/>
        <w:t>master of 1 st year of full-time department of the Faculty of Humanities and Social Sciences</w:t>
      </w:r>
      <w:r w:rsidRPr="00DA76A7">
        <w:rPr>
          <w:rFonts w:ascii="Arial" w:hAnsi="Arial" w:cs="Arial"/>
          <w:color w:val="000000" w:themeColor="text1"/>
          <w:sz w:val="22"/>
          <w:szCs w:val="22"/>
          <w:lang w:val="en-US"/>
        </w:rPr>
        <w:br/>
        <w:t>Peoples' Friendship University of Russia</w:t>
      </w:r>
      <w:r w:rsidRPr="00DA76A7">
        <w:rPr>
          <w:rFonts w:ascii="Arial" w:hAnsi="Arial" w:cs="Arial"/>
          <w:color w:val="000000" w:themeColor="text1"/>
          <w:sz w:val="22"/>
          <w:szCs w:val="22"/>
          <w:lang w:val="en-US"/>
        </w:rPr>
        <w:br/>
        <w:t>117198, the Russian Federation, Moscow, Miklukho-Maklaya str., 6</w:t>
      </w:r>
      <w:r w:rsidRPr="00DA76A7">
        <w:rPr>
          <w:rFonts w:ascii="Arial" w:hAnsi="Arial" w:cs="Arial"/>
          <w:color w:val="000000" w:themeColor="text1"/>
          <w:sz w:val="22"/>
          <w:szCs w:val="22"/>
          <w:lang w:val="en-US"/>
        </w:rPr>
        <w:br/>
        <w:t>tel.: +79258676968, e-mail: cabrinka29@mail.ru</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д.и.н., доцент-исследователь Курылев К.П.</w:t>
      </w:r>
    </w:p>
    <w:p w:rsidR="005B31C6" w:rsidRPr="00DA76A7" w:rsidRDefault="005B31C6" w:rsidP="005B31C6">
      <w:pPr>
        <w:ind w:firstLine="567"/>
        <w:jc w:val="center"/>
        <w:rPr>
          <w:rFonts w:ascii="Arial" w:hAnsi="Arial" w:cs="Arial"/>
          <w:color w:val="000000" w:themeColor="text1"/>
          <w:sz w:val="22"/>
          <w:szCs w:val="22"/>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рассматривается правовая база стран Содружества Независимых Государств в сфере миграции, а также основные направления ее совершенствования.</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This article examines the legal framework of the countries of the Commonwealth of Independent States in the field of migration, as well as the main directions for its improvement.</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правовая база, миграция, миграционные отношения, миграционные процессы, международная миграция, миграционное законодательство.</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xml:space="preserve"> legal base, migration, migration relations, migration processes, international migration, migration legislation.</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Прежде всего, необходимо рассмотреть формирование правовой базы СНГ и государств-участников содружества в сфере регулирования миграционных отношений, которое  обусловлено общей динамикой развития миграционных процессов в современном мире, непосредственно существующими угрозами, которые влекут за собой нерегулируемую миграцию.</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следствием новых объективных реалий стал ясно наблюдаемый всплеск заинтересованности к исследованию международной миграции, повсюду активизировался поиск совершенно новых концептуальных подходов к усовершенствованию системы управления миграционными процессами, в особенности на межгосударственном уровне. Между тем страны СНГ в данном направлении обладают большими возможностями.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для того чтобы понять пути современного формирования правовой базы СНГ в сфере миграции следует остановить ретроспективный взор на процессы регулирования миграции на постсоветском пространстве. Вместе с тем в самом начале, непосредственно после распада СССР формирование правовой базы в сфере миграции происходило в основном за счет принятия отдельных разрозненных актов вновь образованных государств, а именно России, Казахстана, Украины и ряда иных стран, а также заключаемых между ними, а также с иными государствами двусторонних международных договоров. Между тем в основном это были акты, направленные на регулирование вопросов вынужденной миграции и обеспечение свободы передвижения населения через границы этих стран.</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Тем не менее, уже непосредственно на стадии разработки и принятия соглашения о создании Содружества Независимых Государств [7, 4] вопросы миграционной политики были отнесены собственно к сфере совместной деятельности государств – участников [7, 7]. Следовательно, еще изначально предполагалось создание унифицированной системы правового регулирования миграционных отношений. В тоже время в Уставе Содружества [7, 11]  было закреплено обязательство, государств-членов способствовать сближению национального законодательства. Однако, в случае противоречий между нормами национального законодательства предусматривалось проведение консультаций и переговоров с целью разработки предложений для устранения имеющихся противоречий.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первыми актами Содружества Независимых Государств также явились акты, направленные на регулирование вынужденной миграции, основным из которых стало соглашение о помощи беженцам и вынужденным переселенцам [4, 2]. Между тем это было первой и наиболее гуманной реакцией государств по оказанию поддержки своему населению в условиях возникающих вооруженных конфликтов.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несомненным является то, что за период существования СНГ проведена значительная работа по оптимизации правового регулирования вопросов миграции. Между тем в сфере трудовой миграции были разработаны такие базовые многосторонние акты, как:</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непосредственно соглашение о сотрудничестве в области трудовой миграции и социальной защиты трудящихся – мигрантов [5, 2];</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непосредственно Конвенция о правовом статусе трудящихся-мигрантов и членов их семей государств-участников Содружества Независимых Государств [2, 2].</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в области вынужденной миграции был принят ряд актов, а именно: а) соглашение о сотрудничестве государств-участников Содружества Независимых Государств в борьбе с незаконной миграцией, б) декларация о согласованной миграционной политике государств-участников СНГ; в) концепция сотрудничества государств-участников СНГ в противодействии незаконной миграции; г) программа сотрудничества государств-участников СНГ в противодействии незаконной миграции на 2009 - 2011 гг.</w:t>
      </w:r>
    </w:p>
    <w:p w:rsidR="005B31C6" w:rsidRPr="009F2071" w:rsidRDefault="005B31C6" w:rsidP="005B31C6">
      <w:pPr>
        <w:pStyle w:val="35"/>
        <w:spacing w:line="240" w:lineRule="auto"/>
        <w:ind w:firstLine="567"/>
        <w:jc w:val="both"/>
        <w:rPr>
          <w:rFonts w:ascii="Arial" w:hAnsi="Arial" w:cs="Arial"/>
          <w:b w:val="0"/>
          <w:color w:val="000000" w:themeColor="text1"/>
          <w:sz w:val="22"/>
          <w:szCs w:val="22"/>
          <w:lang w:val="ru-RU"/>
        </w:rPr>
      </w:pPr>
      <w:r w:rsidRPr="009F2071">
        <w:rPr>
          <w:rFonts w:ascii="Arial" w:hAnsi="Arial" w:cs="Arial"/>
          <w:b w:val="0"/>
          <w:color w:val="000000" w:themeColor="text1"/>
          <w:sz w:val="22"/>
          <w:szCs w:val="22"/>
          <w:lang w:val="ru-RU"/>
        </w:rPr>
        <w:t>Необходимо выделить определенный ряд общих тенденций в развитии миграционного законодательства государств-участников СНГ: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 государствах-участниках СНГ было принято много нормативных актов, направленных на регулирование миграционных отношений;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в законодательстве практически всех государств СНГ в последние годы были сделаны уточнения таких базовых понятий, как «мигранты», «нелегальные мигранты», «политические  мигранты», «трудовые мигранты» и т.д. Наряду с этим, в каждой из основных категорий выделяются соответствующие группы мигрантов, чей правовой статус имеет свои особенности. Так, например, в рамках трудовой миграции различают мигрантов, занятых квалифицированным и неквалифицированным трудом, работающих по временным и постоянным визам и т.д.;</w:t>
      </w:r>
    </w:p>
    <w:p w:rsidR="005B31C6" w:rsidRPr="00DA76A7" w:rsidRDefault="005B31C6" w:rsidP="005B31C6">
      <w:pPr>
        <w:pStyle w:val="afff3"/>
        <w:ind w:firstLine="567"/>
        <w:rPr>
          <w:rFonts w:ascii="Arial" w:hAnsi="Arial" w:cs="Arial"/>
          <w:color w:val="000000" w:themeColor="text1"/>
          <w:sz w:val="22"/>
          <w:szCs w:val="22"/>
        </w:rPr>
      </w:pPr>
      <w:r w:rsidRPr="00DA76A7">
        <w:rPr>
          <w:rFonts w:ascii="Arial" w:hAnsi="Arial" w:cs="Arial"/>
          <w:color w:val="000000" w:themeColor="text1"/>
          <w:sz w:val="22"/>
          <w:szCs w:val="22"/>
        </w:rPr>
        <w:t>- законодательство развернуто в сторону борьбы с незаконной миграцией и нелегальными трудовыми мигрантами;</w:t>
      </w:r>
    </w:p>
    <w:p w:rsidR="005B31C6" w:rsidRPr="00DA76A7" w:rsidRDefault="005B31C6" w:rsidP="005B31C6">
      <w:pPr>
        <w:pStyle w:val="afff3"/>
        <w:ind w:firstLine="567"/>
        <w:rPr>
          <w:rFonts w:ascii="Arial" w:hAnsi="Arial" w:cs="Arial"/>
          <w:color w:val="000000" w:themeColor="text1"/>
          <w:sz w:val="22"/>
          <w:szCs w:val="22"/>
        </w:rPr>
      </w:pPr>
      <w:r w:rsidRPr="00DA76A7">
        <w:rPr>
          <w:rFonts w:ascii="Arial" w:hAnsi="Arial" w:cs="Arial"/>
          <w:color w:val="000000" w:themeColor="text1"/>
          <w:sz w:val="22"/>
          <w:szCs w:val="22"/>
        </w:rPr>
        <w:t>- происходит внесение изменений в миграционное законодательство с целью совершенствования правового регулирования законных форм миграции. В последние годы между всеми государствами мира идет ожесточенная конкурентная борьба за привлечение тех мигрантов, которые обладают наиболее высоким профессиональным уровнем и потенциалом.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миграция используется не только для повышения общего уровня экономического развития, но и решения многих других проблем: сохранения либо повышения численности титульной нации, заселения безлюдных регионов, роста деловой активности депрессивных регионов и убыточных отраслей экономики (главным образом, сельского хозяйства, строительства, сферы обслуживания). Именно они становятся основными объектами миграционной политики многих государств [12, 34-35].</w:t>
      </w:r>
    </w:p>
    <w:p w:rsidR="005B31C6" w:rsidRPr="00DA76A7" w:rsidRDefault="005B31C6" w:rsidP="005B31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в частности, в Казахстане реализуется программа добровольного переселения в Республику оралманов (соотечественников), вынужденно или добровольно покинувших в свое время ее территорию. Вместе с тем фактически репатриация является одной из основных целей казахского миграционного законодательства. Между тем каждый год глава рассматриваемой республики по представлению высшего органа исполнительной власти определяет квоту миграции оралманов на грядущий год. Вместе с тем законодательство Казахстана определяет достаточно для них большой круг преимуществ и льгот. Так, например, им оказывают содействие в получении  образования, медицинского и социального обеспечения, в приобретении недвижимости, выделении пастбищ и т.д.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Далее следует определить важнейшие направления совершенствования правовой базы СНГ по вопросам миграции населения [11, 67-68].</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Прежде всего, это обусловлено общими интеграционными процессами внутри СНГ (в том числе формированием Таможенного союза, Единого экономического пространства, планируемыми целями вступления в ВТО), при которых объективно возрастает потребность в использовании международно-правовых норм, регулирующих отношения между государствами-участниками СНГ.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Для обеспечения внутренне согласованной политики государств по осуществлению правового регулирования миграции, необходима дальнейшая гармонизация правовой базы стран СНГ с теми общими подходами, которые были приняты этими странами совместно на данном международном региональном уровне. Одним из механизмов преодоления такой разобщенности является унификация понятийного аппарата миграционного законодательства государств – участников Содружества, приведение его к «единому общему знаменателю».</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 в частности, известны проблемы с определением «трудящийся-мигрант». Вместе с тем на уровне международных актов СНГ данное определение используется, и оно в значительной степени приближено к аналогичному определению, применяемому в некоторых международных документах универсального уровня (например, в Международной конвенции ООН </w:t>
      </w:r>
      <w:r w:rsidRPr="00DA76A7">
        <w:rPr>
          <w:rFonts w:ascii="Arial" w:eastAsia="Calibri" w:hAnsi="Arial" w:cs="Arial"/>
          <w:color w:val="000000" w:themeColor="text1"/>
          <w:sz w:val="22"/>
          <w:szCs w:val="22"/>
        </w:rPr>
        <w:t xml:space="preserve">1990 г. </w:t>
      </w:r>
      <w:r w:rsidRPr="00DA76A7">
        <w:rPr>
          <w:rFonts w:ascii="Arial" w:hAnsi="Arial" w:cs="Arial"/>
          <w:color w:val="000000" w:themeColor="text1"/>
          <w:sz w:val="22"/>
          <w:szCs w:val="22"/>
        </w:rPr>
        <w:t xml:space="preserve">«О </w:t>
      </w:r>
      <w:r w:rsidRPr="00DA76A7">
        <w:rPr>
          <w:rFonts w:ascii="Arial" w:eastAsia="Calibri" w:hAnsi="Arial" w:cs="Arial"/>
          <w:color w:val="000000" w:themeColor="text1"/>
          <w:sz w:val="22"/>
          <w:szCs w:val="22"/>
        </w:rPr>
        <w:t>защите прав всех трудящихся-мигрантов и членов их семей», документах МОТ и др.)</w:t>
      </w:r>
      <w:r w:rsidRPr="00DA76A7">
        <w:rPr>
          <w:rFonts w:ascii="Arial" w:hAnsi="Arial" w:cs="Arial"/>
          <w:color w:val="000000" w:themeColor="text1"/>
          <w:sz w:val="22"/>
          <w:szCs w:val="22"/>
        </w:rPr>
        <w:t>. Между тем в законодательстве ряда стран СНГ, в том числе в Российской Федерации, это определение отсутствует, представлено иное определение, а именно «иностранный работник», которое недостаточно связано с понятием «трудящийся-мигрант». Помимо того имеются проблемы на современном этапе, которые связаны  с определением и иных понятий, таких как, политический мигрант, работодатель, заказчик и многие другие.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Переход к модернизации экономики и социальной сферы, являясь общей тенденцией на всем пространстве СНГ, требует комплексного подхода к регулированию вопросов миграции населения, как на уровне отдельных государств, так и в рамках Содружества в целом.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Необходимо изменить акцент в оценке миграционных процессов на постсоветском пространстве с превалировавшего в прошедшие годы концептуального подхода «миграция – безопасность» на более конструктивный подход «миграция – развитие». При этом сохранение приоритета национальной безопасности гарантируется тем, что ее понимание расширяется: безопасность понимается как обеспечение экономической устойчивости, средство смягчения демографических проблем, социальная и политическая стабильность, что достигается, среди прочего, через снижение уровня бедности, сокращение безработицы, расширение возможностей для населения.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5. Наиболее правильным направлением будет продолжение обновления отдельных международных договоров, принятых на уровне СНГ, их приведения в соответствие с современными реалиями общественной жизни.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6. При реализации правотворчества, государства-участники СНГ должны активнее включаться в регулирование новых видов миграционных процессов. Так, в последние годы одним из перспективных направлений регулирования миграционных процессов, связанных с предотвращением незаконной миграции, стало заключение соглашений о реадмиссии [9, 3-4].</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учитывая заинтересованность значительного числа государств-участников Содружества Независимых Государств в предотвращении незаконной миграции, можно поставить вопрос о целесообразности разработки многостороннего международного регионального договора, в котором бы решались общие проблемы этих государств по предотвращению незаконной миграции и её пресечению с помощью использования такого механизма как реадмиссия.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в рамках данного многостороннего договора было бы возможно установить четкие, прозрачные и справедливые правила в отношении возвращения, выдворения, использования принудительных мер, временного задержания и повторного въезда лиц, незаконно находящихся в странах – участниках договора. Кроме того, в этом договоре могли бы быть установлены минимальные обязательные стандарты обращения в отношении лиц, подвергающихся процедуре реадмиссии, в том числе набор четких процедурных гарантий, включающих поощрение их добровольного возвращения. Безусловно, добиться эффективности такого документа можно только в условиях его признания значительным количеством государств, активно вовлеченных в международные миграционные обмены. Следует отметить, что наличие безвизового режима с большинством стран СНГ не препятствует заключению такого многостороннего соглашения.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7. Важно обратить внимание на необходимость использования в рамках СНГ для регулирования миграционных отношений всех форм международных правовых актов, в том числе и актов нового поколения. Тем не менее, для регламентации наиболее главных проблем, в решении которых заинтересованы все государства СНГ, принципиальное значение имеет принятие именно многосторонних соглашений с тем, чтобы эти вопросы регулировались именно на уровне Содружества в целом, а не только в двустороннем порядке.</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8. Непосредственно серьезной проблемой для СНГ стало не только принятие решений в сфере миграции, но и разработка по ним конкретных правореализационных механизмов [10, 99-101].</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 сожалению, государства нередко не торопятся с ратификацией международных соглашений СНГ, затягивая этот процесс на годы, тем самым ставя под сомнение вообще выполнение этих соглашений. В некоторых случаях, осуществляя ратификацию, страны вносят в международные соглашения такие оговорки, которые сводят «на нет» все усилия по разработке и принятию этих соглашений.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Следует отметить, что контроль за исполнением отдельных соглашений СНГ не ведется или ведется неэффективно, так как создаваемые в рамках соглашений контролирующие органы не всегда имеют реальные рычаги воздействия. Кроме того, существуют примеры, когда государства, приняв на себя соответствующие международные обязательства, не осуществляют их выполнение. Соглашения не всегда сопровождаются приведением законодательства стран СНГ в соответствие с этими документами, по ним не проводится обобщение правоприменительной практики, как следствие, такие соглашения имеют слабую действенность. Все это требует разработки новых подходов к обеспечению реализации международных соглашений на уровне СНГ.</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Необходимо отметить, что решение названных и иных проблем совершенствования правовой базы в сфере миграции должно быть направлено не только на решение внутренних проблем данного региона, но и способствовать включению государств СНГ в мировую, глобальную систему миграции населения. Безусловно, для решения вышеуказанных проблем необходимы не только соответствующие инициативы органов СНГ, а также органов государственной власти государств, входящих в состав СНГ. Кроме того существует определенная потребность в высококвалифицированных специалистах в рассматриваемой области, а также соответствующие усилия ученых-юристов, прежде всего, специалистов в области международного права, занимающихся проблемами миграции населения. При этом объединение данных усилий является залогом успешного решения данных проблем.</w:t>
      </w:r>
    </w:p>
    <w:p w:rsidR="005B31C6" w:rsidRPr="00DA76A7" w:rsidRDefault="005B31C6" w:rsidP="005B31C6">
      <w:pPr>
        <w:ind w:firstLine="567"/>
        <w:jc w:val="center"/>
        <w:rPr>
          <w:rFonts w:ascii="Arial" w:hAnsi="Arial" w:cs="Arial"/>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Декларация о согласованной миграционной политике государств-участников СНГ Душанбе, 5 октября 2007 г.</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Концепция сотрудничества государств-участников СНГ в противодействии незаконной миграции. - Астана, 16 сентября 2004 г.  </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Программа сотрудничества государств-участников СНГ в противодействии незаконной миграции на 2009 - 2011 годы. - Бишкек, 10 октября 2008 г.</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Соглашение о помощи беженцам и вынужденным переселенцам 1993 г. - Москва, 19 марта 1993 г.</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Соглашение о сотрудничестве в области трудовой миграции и социальной защиты трудящихся – мигрантов. - Москва, 15 апреля 1994 г.</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Соглашение о сотрудничестве государств-участников Содружества Независимых Государств в борьбе с незаконной миграцией. - Москва, 6 марта 1998 г. </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Соглашения о создании Содружества Независимых Государств. - Москва, 8 декабря 1991 года.</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Зинченко Н.Н. Миграция населения: теория и практика международно-правового регулирования (монография). – М., 2013. – 264 с. </w:t>
      </w:r>
    </w:p>
    <w:p w:rsidR="005B31C6" w:rsidRPr="00DA76A7" w:rsidRDefault="005B31C6" w:rsidP="00D45D6B">
      <w:pPr>
        <w:pStyle w:val="a6"/>
        <w:numPr>
          <w:ilvl w:val="0"/>
          <w:numId w:val="167"/>
        </w:numPr>
        <w:tabs>
          <w:tab w:val="left" w:pos="284"/>
          <w:tab w:val="left" w:pos="993"/>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Зинченко Н.Н. Международная миграция населения: Россия и современный мир. – М., 2006. – 259 с.</w:t>
      </w:r>
    </w:p>
    <w:p w:rsidR="005B31C6" w:rsidRPr="00DA76A7" w:rsidRDefault="005B31C6" w:rsidP="00D45D6B">
      <w:pPr>
        <w:pStyle w:val="a6"/>
        <w:numPr>
          <w:ilvl w:val="0"/>
          <w:numId w:val="167"/>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Метелев С.Е. Международная трудовая миграция в условиях глобализации и нелегальной миграции в России (монография). – М., 2014. – 175  с.</w:t>
      </w:r>
    </w:p>
    <w:p w:rsidR="005B31C6" w:rsidRPr="00DA76A7" w:rsidRDefault="005B31C6" w:rsidP="00D45D6B">
      <w:pPr>
        <w:pStyle w:val="a6"/>
        <w:numPr>
          <w:ilvl w:val="0"/>
          <w:numId w:val="167"/>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Павлова Л.В., Селиванов А.В. Международно-правовой статус беженца. – Минск, 2015. – 192 с.  </w:t>
      </w:r>
    </w:p>
    <w:p w:rsidR="005B31C6" w:rsidRPr="00DA76A7" w:rsidRDefault="005B31C6" w:rsidP="00D45D6B">
      <w:pPr>
        <w:pStyle w:val="a6"/>
        <w:numPr>
          <w:ilvl w:val="0"/>
          <w:numId w:val="167"/>
        </w:numPr>
        <w:tabs>
          <w:tab w:val="left" w:pos="284"/>
          <w:tab w:val="left" w:pos="993"/>
          <w:tab w:val="left" w:pos="1134"/>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Подшивалов В.Е. Незаконная миграция: международно-правовые проблемы (монография) . – Иркутск, 2016. – 192 с. </w:t>
      </w:r>
    </w:p>
    <w:p w:rsidR="005B31C6" w:rsidRPr="00DA76A7" w:rsidRDefault="005B31C6" w:rsidP="008855E2">
      <w:pP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СУДЫ ОБЩЕЙ ЮРИСДИКЦИИ И ИХ РОЛЬ В СФЕРЕ ЗАЩИТЫ ПРАВ ИНОСТРАННЫХ ГРАЖДАН В РОССИЙСКОЙ ФЕДЕРАЦИИ </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 xml:space="preserve">Сологуб Дмитрий Петрович </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 xml:space="preserve">магистр юриспруденции </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672039, Россия, Забайкальский край, г. Чита, ул. Набережная, д. 54, 31</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тел.: +7</w:t>
      </w:r>
      <w:r w:rsidRPr="00DA76A7">
        <w:rPr>
          <w:rFonts w:ascii="Arial" w:hAnsi="Arial" w:cs="Arial"/>
          <w:color w:val="000000" w:themeColor="text1"/>
          <w:sz w:val="22"/>
          <w:szCs w:val="22"/>
          <w:lang w:val="en-US"/>
        </w:rPr>
        <w:t> </w:t>
      </w:r>
      <w:r w:rsidRPr="00DA76A7">
        <w:rPr>
          <w:rFonts w:ascii="Arial" w:hAnsi="Arial" w:cs="Arial"/>
          <w:color w:val="000000" w:themeColor="text1"/>
          <w:sz w:val="22"/>
          <w:szCs w:val="22"/>
        </w:rPr>
        <w:t>9145003515,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409" w:history="1">
        <w:r w:rsidRPr="00DA76A7">
          <w:rPr>
            <w:rStyle w:val="af0"/>
            <w:rFonts w:ascii="Arial" w:hAnsi="Arial" w:cs="Arial"/>
            <w:color w:val="000000" w:themeColor="text1"/>
            <w:sz w:val="22"/>
            <w:szCs w:val="22"/>
            <w:u w:val="none"/>
            <w:lang w:val="en-US"/>
          </w:rPr>
          <w:t>dandi</w:t>
        </w:r>
        <w:r w:rsidRPr="00DA76A7">
          <w:rPr>
            <w:rStyle w:val="af0"/>
            <w:rFonts w:ascii="Arial" w:hAnsi="Arial" w:cs="Arial"/>
            <w:color w:val="000000" w:themeColor="text1"/>
            <w:sz w:val="22"/>
            <w:szCs w:val="22"/>
            <w:u w:val="none"/>
          </w:rPr>
          <w:t>93_93@</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B31C6" w:rsidRPr="00DA76A7" w:rsidRDefault="005B31C6" w:rsidP="005B31C6">
      <w:pPr>
        <w:jc w:val="center"/>
        <w:rPr>
          <w:rFonts w:ascii="Arial" w:hAnsi="Arial" w:cs="Arial"/>
          <w:color w:val="000000" w:themeColor="text1"/>
          <w:sz w:val="22"/>
          <w:szCs w:val="22"/>
        </w:rPr>
      </w:pPr>
    </w:p>
    <w:p w:rsidR="005B31C6" w:rsidRPr="00DA76A7" w:rsidRDefault="005B31C6" w:rsidP="005B31C6">
      <w:pPr>
        <w:pStyle w:val="Default"/>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COURTS OF GENERAL JURISDICTION AND THEIR ROLE IN PROTECTING THE RIGHTS OF FOREIGN CITIZENS IN THE RUSSIAN FEDERATION</w:t>
      </w:r>
    </w:p>
    <w:p w:rsidR="005B31C6" w:rsidRPr="00DA76A7" w:rsidRDefault="005B31C6" w:rsidP="005B31C6">
      <w:pPr>
        <w:pStyle w:val="Default"/>
        <w:jc w:val="center"/>
        <w:rPr>
          <w:rFonts w:ascii="Arial" w:hAnsi="Arial" w:cs="Arial"/>
          <w:color w:val="000000" w:themeColor="text1"/>
          <w:sz w:val="22"/>
          <w:szCs w:val="22"/>
          <w:lang w:val="en-US"/>
        </w:rPr>
      </w:pPr>
    </w:p>
    <w:p w:rsidR="005B31C6" w:rsidRPr="00DA76A7" w:rsidRDefault="005B31C6" w:rsidP="005B31C6">
      <w:pPr>
        <w:pStyle w:val="Default"/>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 xml:space="preserve">Sologub Dmitry Petrovich </w:t>
      </w:r>
    </w:p>
    <w:p w:rsidR="005B31C6" w:rsidRPr="00DA76A7" w:rsidRDefault="005B31C6" w:rsidP="005B31C6">
      <w:pPr>
        <w:pStyle w:val="Default"/>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master of law </w:t>
      </w:r>
    </w:p>
    <w:p w:rsidR="005B31C6" w:rsidRPr="00DA76A7" w:rsidRDefault="005B31C6" w:rsidP="005B31C6">
      <w:pPr>
        <w:pStyle w:val="Default"/>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672039, Russia, Zabaykalsky Krai, Chita, Naberezhnaya str., 54, 31</w:t>
      </w:r>
    </w:p>
    <w:p w:rsidR="005B31C6" w:rsidRPr="00DA76A7" w:rsidRDefault="005B31C6" w:rsidP="005B31C6">
      <w:pPr>
        <w:pStyle w:val="Default"/>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+ 7 9145003515,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dandi93_93@mail.ru</w:t>
      </w:r>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pStyle w:val="71"/>
        <w:spacing w:line="240" w:lineRule="auto"/>
        <w:ind w:firstLine="567"/>
        <w:jc w:val="both"/>
        <w:rPr>
          <w:rStyle w:val="7Exact"/>
          <w:rFonts w:ascii="Arial" w:hAnsi="Arial" w:cs="Arial"/>
          <w:color w:val="000000" w:themeColor="text1"/>
          <w:spacing w:val="0"/>
          <w:sz w:val="22"/>
          <w:szCs w:val="22"/>
        </w:rPr>
      </w:pPr>
      <w:r w:rsidRPr="00DA76A7">
        <w:rPr>
          <w:rStyle w:val="7Exact"/>
          <w:rFonts w:ascii="Arial" w:hAnsi="Arial" w:cs="Arial"/>
          <w:color w:val="000000" w:themeColor="text1"/>
          <w:spacing w:val="0"/>
          <w:sz w:val="22"/>
          <w:szCs w:val="22"/>
        </w:rPr>
        <w:t xml:space="preserve">Аннотация. В данной работе автор предпринимает попутку раскрыть сущность решений судов общей юрисдикции в части защиты прав иностранных граждан и как данные решения влияют на объем прав иностранных граждан. Исходя, из этого надлежит определить проблемы правового регулирования, учитывая влияние решений, что предполагает собой обозначение направлений в части систематизации действующего российского законодательства.  </w:t>
      </w:r>
    </w:p>
    <w:p w:rsidR="005B31C6" w:rsidRPr="00DA76A7" w:rsidRDefault="005B31C6" w:rsidP="005B31C6">
      <w:pPr>
        <w:pStyle w:val="Default"/>
        <w:ind w:firstLine="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Annotation.</w:t>
      </w:r>
      <w:r w:rsidRPr="00DA76A7">
        <w:rPr>
          <w:rFonts w:ascii="Arial" w:hAnsi="Arial" w:cs="Arial"/>
          <w:color w:val="000000" w:themeColor="text1"/>
          <w:sz w:val="22"/>
          <w:szCs w:val="22"/>
          <w:lang w:val="en-US"/>
        </w:rPr>
        <w:t xml:space="preserve"> In this paper, the author attempts to reveal the essence of decisions of courts of General jurisdiction in terms of protection of the rights of foreign citizens and how these decisions affect the scope of rights of foreign citizens. Based on this, it is necessary to determine the problems of legal regulation, given the impact of decisions, which implies the designation of directions in terms of systematization of the current Russian legislation.  </w:t>
      </w:r>
    </w:p>
    <w:p w:rsidR="005B31C6" w:rsidRPr="00DA76A7" w:rsidRDefault="005B31C6" w:rsidP="005B31C6">
      <w:pPr>
        <w:pStyle w:val="71"/>
        <w:spacing w:line="240" w:lineRule="auto"/>
        <w:ind w:firstLine="567"/>
        <w:jc w:val="both"/>
        <w:rPr>
          <w:rStyle w:val="7Exact"/>
          <w:rFonts w:ascii="Arial" w:hAnsi="Arial" w:cs="Arial"/>
          <w:color w:val="000000" w:themeColor="text1"/>
          <w:spacing w:val="0"/>
          <w:sz w:val="22"/>
          <w:szCs w:val="22"/>
        </w:rPr>
      </w:pPr>
      <w:r w:rsidRPr="00DA76A7">
        <w:rPr>
          <w:rStyle w:val="7Exact"/>
          <w:rFonts w:ascii="Arial" w:hAnsi="Arial" w:cs="Arial"/>
          <w:color w:val="000000" w:themeColor="text1"/>
          <w:spacing w:val="0"/>
          <w:sz w:val="22"/>
          <w:szCs w:val="22"/>
        </w:rPr>
        <w:t xml:space="preserve">Ключевые слова: суды общей юрисдикции, гражданин, иностранный гражданин, российский (национальный) гражданин. </w:t>
      </w:r>
    </w:p>
    <w:p w:rsidR="005B31C6" w:rsidRPr="00DA76A7" w:rsidRDefault="005B31C6" w:rsidP="005B31C6">
      <w:pPr>
        <w:pStyle w:val="Default"/>
        <w:ind w:firstLine="567"/>
        <w:jc w:val="both"/>
        <w:rPr>
          <w:rFonts w:ascii="Arial" w:hAnsi="Arial" w:cs="Arial"/>
          <w:color w:val="000000" w:themeColor="text1"/>
          <w:sz w:val="22"/>
          <w:szCs w:val="22"/>
          <w:lang w:val="en-US"/>
        </w:rPr>
      </w:pPr>
      <w:r w:rsidRPr="00DA76A7">
        <w:rPr>
          <w:rFonts w:ascii="Arial" w:hAnsi="Arial" w:cs="Arial"/>
          <w:b/>
          <w:color w:val="000000" w:themeColor="text1"/>
          <w:sz w:val="22"/>
          <w:szCs w:val="22"/>
          <w:lang w:val="en-US"/>
        </w:rPr>
        <w:t>Key words:</w:t>
      </w:r>
      <w:r w:rsidRPr="00DA76A7">
        <w:rPr>
          <w:rFonts w:ascii="Arial" w:hAnsi="Arial" w:cs="Arial"/>
          <w:color w:val="000000" w:themeColor="text1"/>
          <w:sz w:val="22"/>
          <w:szCs w:val="22"/>
          <w:lang w:val="en-US"/>
        </w:rPr>
        <w:t xml:space="preserve"> </w:t>
      </w:r>
      <w:r w:rsidRPr="00DA76A7">
        <w:rPr>
          <w:rFonts w:ascii="Arial" w:hAnsi="Arial" w:cs="Arial"/>
          <w:color w:val="000000" w:themeColor="text1"/>
          <w:sz w:val="22"/>
          <w:szCs w:val="22"/>
        </w:rPr>
        <w:t>с</w:t>
      </w:r>
      <w:r w:rsidRPr="00DA76A7">
        <w:rPr>
          <w:rFonts w:ascii="Arial" w:hAnsi="Arial" w:cs="Arial"/>
          <w:color w:val="000000" w:themeColor="text1"/>
          <w:sz w:val="22"/>
          <w:szCs w:val="22"/>
          <w:lang w:val="en-US"/>
        </w:rPr>
        <w:t>ourts of General jurisdiction, a citizen, a foreign citizen, the Russian (national) citizen.</w:t>
      </w:r>
    </w:p>
    <w:p w:rsidR="005B31C6" w:rsidRPr="00DA76A7" w:rsidRDefault="005B31C6" w:rsidP="005B31C6">
      <w:pPr>
        <w:pStyle w:val="Default"/>
        <w:ind w:firstLine="567"/>
        <w:jc w:val="center"/>
        <w:rPr>
          <w:rFonts w:ascii="Arial" w:hAnsi="Arial" w:cs="Arial"/>
          <w:b/>
          <w:color w:val="000000" w:themeColor="text1"/>
          <w:sz w:val="22"/>
          <w:szCs w:val="22"/>
          <w:lang w:val="en-US"/>
        </w:rPr>
      </w:pPr>
      <w:r w:rsidRPr="00DA76A7">
        <w:rPr>
          <w:rFonts w:ascii="Arial" w:hAnsi="Arial" w:cs="Arial"/>
          <w:color w:val="000000" w:themeColor="text1"/>
          <w:sz w:val="22"/>
          <w:szCs w:val="22"/>
          <w:lang w:val="en-US"/>
        </w:rPr>
        <w:t xml:space="preserve">   </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bCs/>
          <w:color w:val="000000" w:themeColor="text1"/>
          <w:sz w:val="22"/>
          <w:szCs w:val="22"/>
          <w:shd w:val="clear" w:color="auto" w:fill="FFFFFF"/>
        </w:rPr>
      </w:pPr>
      <w:r w:rsidRPr="00DA76A7">
        <w:rPr>
          <w:rFonts w:ascii="Arial" w:hAnsi="Arial" w:cs="Arial"/>
          <w:color w:val="000000" w:themeColor="text1"/>
          <w:sz w:val="22"/>
          <w:szCs w:val="22"/>
        </w:rPr>
        <w:t xml:space="preserve">Равенство прав и свобод иностранных граждан на территории Российской Федерации (далее РФ) гарантируется ч. 3 статьи 62 Конституции РФ, согласно положениям отмеченной статьи иностранные граждане и лиц без гражданства наделяются равными правами и обязанностями </w:t>
      </w:r>
      <w:r w:rsidRPr="00DA76A7">
        <w:rPr>
          <w:rFonts w:ascii="Arial" w:hAnsi="Arial" w:cs="Arial"/>
          <w:bCs/>
          <w:color w:val="000000" w:themeColor="text1"/>
          <w:sz w:val="22"/>
          <w:szCs w:val="22"/>
          <w:shd w:val="clear" w:color="auto" w:fill="FFFFFF"/>
        </w:rPr>
        <w:t xml:space="preserve">наравне с национальными гражданами, за исключением случаев, установленных федеральным законом или международным договором РФ [1]. </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bCs/>
          <w:color w:val="000000" w:themeColor="text1"/>
          <w:sz w:val="22"/>
          <w:szCs w:val="22"/>
          <w:shd w:val="clear" w:color="auto" w:fill="FFFFFF"/>
        </w:rPr>
        <w:t>Кроме того, иностранные граждане и лица без гражданства вправе обращаться в суд за защитой собственных прав и законных интересов, что</w:t>
      </w:r>
      <w:r w:rsidRPr="00DA76A7">
        <w:rPr>
          <w:rFonts w:ascii="Arial" w:hAnsi="Arial" w:cs="Arial"/>
          <w:color w:val="000000" w:themeColor="text1"/>
          <w:sz w:val="22"/>
          <w:szCs w:val="22"/>
        </w:rPr>
        <w:t xml:space="preserve"> гарантируется ст. 46 Конституции РФ и гл. 22 Кодекса административного судопроизводства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[3], а также оспаривание решений Управления по вопросам миграции МВД России и его территориальных подразделений в субъектах Федерации проводится по правилам установленным российским административным процессуальным законодательством. </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Правоприменительная практика суд общей юрисдикции свидетельствует о том, что иностранные граждане обращаются за защитой собственных прав, чаще всего это выражается в оспаривании решений Управления по вопросам миграции МВД России в части аннулирования ранее выданных правоустанавливающих документов (регистрации на временное проживание либо вида на жительство).</w:t>
      </w:r>
    </w:p>
    <w:p w:rsidR="005B31C6" w:rsidRPr="00DA76A7" w:rsidRDefault="005B31C6" w:rsidP="005B31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случае аннулирования документов по основаниям предусмотренным ст. 7 и ст. 9 Федерального закона от 25 июля 2002 года № 115-ФЗ «О правовом положении иностранных граждан в Российской Федерации». В случаи вступления в законную силу решения органа ведающего вопросами миграции или суда последствия такого решения выражаются в применении в отношении иностранного гражданина и возлагается на него обязанность покинуть территорию РФ в течении 15 дней со дня получения уведомления [2]. </w:t>
      </w:r>
    </w:p>
    <w:p w:rsidR="005B31C6" w:rsidRPr="00DA76A7" w:rsidRDefault="005B31C6" w:rsidP="005B31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При таких обстоятельствах за частую иностранные граждане обращаются за судебной нарушенных прав мотивирую тем, что состоят в брачных отношениях (не зарегистрированном браке) с российскими гражданами в связи с чем полагают, что нельзя обязывать иностранного гражданина покинуть территорию РФ. </w:t>
      </w:r>
    </w:p>
    <w:p w:rsidR="005B31C6" w:rsidRPr="008855E2" w:rsidRDefault="005B31C6" w:rsidP="005B31C6">
      <w:pPr>
        <w:ind w:firstLine="567"/>
        <w:jc w:val="both"/>
        <w:rPr>
          <w:rFonts w:ascii="Arial" w:hAnsi="Arial" w:cs="Arial"/>
          <w:color w:val="000000" w:themeColor="text1"/>
          <w:spacing w:val="-6"/>
          <w:sz w:val="22"/>
          <w:szCs w:val="22"/>
        </w:rPr>
      </w:pPr>
      <w:r w:rsidRPr="00DA76A7">
        <w:rPr>
          <w:rFonts w:ascii="Arial" w:hAnsi="Arial" w:cs="Arial"/>
          <w:color w:val="000000" w:themeColor="text1"/>
          <w:sz w:val="22"/>
          <w:szCs w:val="22"/>
        </w:rPr>
        <w:t xml:space="preserve">Разрешение подобного рода вопросов имеет место в правоприменительной практики российских судебных органов. В связи с чем Конституционный Суд РФ в своих позициях не однократно обращал внимание в определениях (от 02 марта 2006 года № 55-О, от 25 января 2012 года № 179-О-О и др.), на то, что исходя из общих принципов права, установление ответственности за нарушение порядка пребывания (проживания) иностранных граждан в РФ и, соответственно, конкретной санкции, ограничивающей конституционные права граждан, должно отвечать требованиям справедливости, соразмерности конституционно закрепленным целям (ч.3 ст. 55 Конституции РФ), а также отвечать характеру совершенного деяния. Данный вывод корреспондирует международно-правовым предписаниям, согласно которым каждый человек при </w:t>
      </w:r>
      <w:r w:rsidRPr="008855E2">
        <w:rPr>
          <w:rFonts w:ascii="Arial" w:hAnsi="Arial" w:cs="Arial"/>
          <w:color w:val="000000" w:themeColor="text1"/>
          <w:spacing w:val="-6"/>
          <w:sz w:val="22"/>
          <w:szCs w:val="22"/>
        </w:rPr>
        <w:t>осуществлении своих прав и свобод должен подвергаться только таким ограничениям, какие установлены законом, необходимы для обеспечения должного признания и уважения прав и свобод других лиц, для охраны государственной (национальной) безопасности, территориальной целостности, публичного (общественного) порядка, предотвращения преступления, защиты здоровья или нравственности населения (добрых нравов), удовлетворения справедливых требований морали и общего благосостояния в демократическом обществе и совместимы с другими правами, признанными нормами международного права (п. ст. 29 Всеобщей декларации прав человека, п. 3 ст. 12 Международного пакта о гражданских и политических правах, п. 2 ст. 10 и п. 2 ст. 11 Конвенции о защите прав человека и основных свобод, а также п. 3 ст. 2 Протокола № 4 к ней).</w:t>
      </w:r>
    </w:p>
    <w:p w:rsidR="005B31C6" w:rsidRPr="00DA76A7" w:rsidRDefault="005B31C6" w:rsidP="005B31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Европейский Суд по правам человека неоднократно отмечал, что лежащая на государствах ответственность за обеспечение публичного порядка обязывает их контролировать въезд в страну и пребывание иностранцев и высылать за пределы страны правонарушителей из их числа, однако подобные решения, поскольку они могут нарушить право на уважение личной и семейной жизни, охраняемое в демократическом обществе ст. 8 Конвенции о защите прав человека и основных свобод, должны быть оправданы крайней социальной необходимостью и соответствовать правомерной цели.</w:t>
      </w:r>
    </w:p>
    <w:p w:rsidR="005B31C6" w:rsidRPr="00DA76A7" w:rsidRDefault="005B31C6" w:rsidP="005B31C6">
      <w:pPr>
        <w:shd w:val="clear" w:color="auto" w:fill="FFFFFF"/>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Следовательно, при рассмотрения таких дел надлежит оценивать нарушение тех или иных правил пребывания (проживания) иностранным гражданином в РФ как противоправное деяние, а именно как административный проступок, и, следовательно, требующее применения мер государственного принуждения, в том числе в виде высылки за пределы РФ, отказа в выдаче разрешения на временное пребывание или аннулирования ранее выданного разрешения, уполномоченные органы исполнительной власти и суды обязаны соблюдать вытекающие из Основного закона требования справедливости и соразмерности, которые предполагают дифференциацию публично-правовой ответственности в зависимости от тяжести содеянного, размера и характера причиненного ущерба, степени вины правонарушителя и иных существенных обстоятельств, обусловливающих индивидуализацию при применении взыскания.</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Рассмотрение данного вопроса не представляется возможным в отрыве от правоприменительной практики российских судебных органов. В целях иллюстрации примера обратимся к Решению Центрального районного суда г. Читы [4] в котором суд отмечает то, что доводы стороны административного истца о том, что на территории России административный истец проживает с гражданкой России без регистрации брака, при этом факт установления отцовства в отношении ребенка однозначно не свидетельствует о крепких семейных связях на территории РФ, а также суд принимает во внимание, что аннулирование решения на временное проживание не влечет за собой такое негативное последствие, как запрет на въезд на территорию Российской Федерации в будущем. В данном случае полагаем, что суд вошел </w:t>
      </w:r>
      <w:r w:rsidRPr="00DA76A7">
        <w:rPr>
          <w:rFonts w:ascii="Arial" w:hAnsi="Arial" w:cs="Arial"/>
          <w:color w:val="000000" w:themeColor="text1"/>
          <w:sz w:val="22"/>
          <w:szCs w:val="22"/>
          <w:shd w:val="clear" w:color="auto" w:fill="FFFFFF"/>
        </w:rPr>
        <w:t xml:space="preserve">в обсуждение вопроса о </w:t>
      </w:r>
      <w:r w:rsidRPr="00DA76A7">
        <w:rPr>
          <w:rFonts w:ascii="Arial" w:hAnsi="Arial" w:cs="Arial"/>
          <w:color w:val="000000" w:themeColor="text1"/>
          <w:sz w:val="22"/>
          <w:szCs w:val="22"/>
        </w:rPr>
        <w:t xml:space="preserve">наличии брачных отношений, хотя таких требований заявлено не было исходя из содержания требований. </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Возникшие правоотношения между национальным гражданином и иностранным гражданином применительно к данному случаю, свидетельствуют о наличии исключительного случая, когда нельзя обязать иностранного гражданина покинуть территорию РФ, в данном случае обязание иностранного гражданина покинуть территорию РФ не возможно без нарушения прав российских граждан в данном случае имеющих совместного ребенка и состоящего в брачных отношениях (не зарегистрированном браке) с национальным гражданином. По нашему мнению, принятие того рода решений противоречит вышеизложенным правовым позициям выше стоящих судебных инстанций и номам международного права. С учетом всех обстоятельствах полагаем, что у суда не имелось оснований для отказа в удовлетворения иска.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shd w:val="clear" w:color="auto" w:fill="FEFEFE"/>
        </w:rPr>
        <w:t xml:space="preserve">Изложенное позволяет констатировать, то, что в данной области выявлены проблемы и полагаем, что при принятии решения об обязании покинуть территорию РФ необходимо исследовав личное дело иностранного гражданина которое имеется в органе ведающим вопросами миграции исходя из которого следует выявлять не только отрицательные моменты, характеризующие иностранного гражданина, а также и положительные обстоятельства, характеризующие иностранного гражданина как добросовестного и законопослушного. В связи, с чем полагаем возможным предложить внести изменения в Федеральный закон от 25 июля 2002 г. № 115-ФЗ «О правовом положении иностранных граждан в Российской Федерации» а именно в </w:t>
      </w:r>
      <w:r w:rsidRPr="00DA76A7">
        <w:rPr>
          <w:rFonts w:ascii="Arial" w:hAnsi="Arial" w:cs="Arial"/>
          <w:color w:val="000000" w:themeColor="text1"/>
          <w:sz w:val="22"/>
          <w:szCs w:val="22"/>
        </w:rPr>
        <w:t>ч. 2 ст. 31 изложив её следующим образом – в случае, если разрешение на временное проживание или вид на жительство, выданные иностранному гражданину (лицу без гражданства), аннулированы, данный иностранный гражданин (лицо без гражданства) обязан выехать из Российской Федерации в течение пятнадцати дней, а в случае установления органом ведающим вопросами миграции либо судом обстоятельств положительно характеризующих иностранного гражданина ему не вменяется обязанность покинуть территорию Российской Федерации.</w:t>
      </w:r>
    </w:p>
    <w:p w:rsidR="005B31C6" w:rsidRPr="00DA76A7" w:rsidRDefault="005B31C6" w:rsidP="005B31C6">
      <w:pPr>
        <w:ind w:firstLine="567"/>
        <w:jc w:val="center"/>
        <w:rPr>
          <w:rFonts w:ascii="Arial" w:hAnsi="Arial" w:cs="Arial"/>
          <w:b/>
          <w:color w:val="000000" w:themeColor="text1"/>
          <w:sz w:val="22"/>
          <w:szCs w:val="22"/>
          <w:shd w:val="clear" w:color="auto" w:fill="FEFEFE"/>
        </w:rPr>
      </w:pPr>
    </w:p>
    <w:p w:rsidR="005B31C6" w:rsidRPr="00DA76A7" w:rsidRDefault="005B31C6" w:rsidP="005B31C6">
      <w:pPr>
        <w:ind w:firstLine="567"/>
        <w:jc w:val="center"/>
        <w:rPr>
          <w:rFonts w:ascii="Arial" w:hAnsi="Arial" w:cs="Arial"/>
          <w:b/>
          <w:color w:val="000000" w:themeColor="text1"/>
          <w:sz w:val="22"/>
          <w:szCs w:val="22"/>
          <w:shd w:val="clear" w:color="auto" w:fill="FEFEFE"/>
        </w:rPr>
      </w:pPr>
      <w:r w:rsidRPr="00DA76A7">
        <w:rPr>
          <w:rFonts w:ascii="Arial" w:hAnsi="Arial" w:cs="Arial"/>
          <w:b/>
          <w:color w:val="000000" w:themeColor="text1"/>
          <w:sz w:val="22"/>
          <w:szCs w:val="22"/>
          <w:shd w:val="clear" w:color="auto" w:fill="FEFEFE"/>
        </w:rPr>
        <w:t>Список литературы:</w:t>
      </w:r>
    </w:p>
    <w:p w:rsidR="005B31C6" w:rsidRPr="00DA76A7" w:rsidRDefault="005B31C6" w:rsidP="00D45D6B">
      <w:pPr>
        <w:pStyle w:val="a7"/>
        <w:widowControl w:val="0"/>
        <w:numPr>
          <w:ilvl w:val="0"/>
          <w:numId w:val="166"/>
        </w:numPr>
        <w:tabs>
          <w:tab w:val="left" w:pos="851"/>
        </w:tabs>
        <w:spacing w:before="0" w:beforeAutospacing="0" w:after="0" w:afterAutospacing="0"/>
        <w:ind w:left="0" w:firstLine="567"/>
        <w:jc w:val="both"/>
        <w:rPr>
          <w:rStyle w:val="apple-converted-space"/>
          <w:rFonts w:ascii="Arial" w:hAnsi="Arial" w:cs="Arial"/>
          <w:color w:val="000000" w:themeColor="text1"/>
          <w:spacing w:val="-2"/>
          <w:sz w:val="22"/>
          <w:szCs w:val="22"/>
        </w:rPr>
      </w:pPr>
      <w:r w:rsidRPr="00DA76A7">
        <w:rPr>
          <w:rStyle w:val="apple-converted-space"/>
          <w:rFonts w:ascii="Arial" w:hAnsi="Arial" w:cs="Arial"/>
          <w:color w:val="000000" w:themeColor="text1"/>
          <w:spacing w:val="-2"/>
          <w:sz w:val="22"/>
          <w:szCs w:val="22"/>
        </w:rPr>
        <w:t xml:space="preserve">Конституция Российской Федерации: принята всенародным голосованием 12 декабря </w:t>
      </w:r>
      <w:smartTag w:uri="urn:schemas-microsoft-com:office:smarttags" w:element="metricconverter">
        <w:smartTagPr>
          <w:attr w:name="ProductID" w:val="1993 г"/>
        </w:smartTagPr>
        <w:r w:rsidRPr="00DA76A7">
          <w:rPr>
            <w:rStyle w:val="apple-converted-space"/>
            <w:rFonts w:ascii="Arial" w:hAnsi="Arial" w:cs="Arial"/>
            <w:color w:val="000000" w:themeColor="text1"/>
            <w:spacing w:val="-2"/>
            <w:sz w:val="22"/>
            <w:szCs w:val="22"/>
          </w:rPr>
          <w:t>1993 г</w:t>
        </w:r>
      </w:smartTag>
      <w:r w:rsidRPr="00DA76A7">
        <w:rPr>
          <w:rStyle w:val="apple-converted-space"/>
          <w:rFonts w:ascii="Arial" w:hAnsi="Arial" w:cs="Arial"/>
          <w:color w:val="000000" w:themeColor="text1"/>
          <w:spacing w:val="-2"/>
          <w:sz w:val="22"/>
          <w:szCs w:val="22"/>
        </w:rPr>
        <w:t>. (с учетом поправок, внесенных Законами РФ о поправках к Конституции РФ от 30.12.2008 г. № 6-ФКЗ, от 30.12.2008 г. № 7-ФКЗ, от 05.02.2014 г. № 32-ФКЗ, от 21.07.2014 г. № 11-ФКЗ) // Собр. законодательства Рос. Федерации. – 2014. – № 31. – Ст. 4398.</w:t>
      </w:r>
    </w:p>
    <w:p w:rsidR="005B31C6" w:rsidRPr="008855E2" w:rsidRDefault="005B31C6" w:rsidP="00D45D6B">
      <w:pPr>
        <w:widowControl/>
        <w:numPr>
          <w:ilvl w:val="0"/>
          <w:numId w:val="166"/>
        </w:numPr>
        <w:tabs>
          <w:tab w:val="left" w:pos="851"/>
        </w:tabs>
        <w:autoSpaceDE/>
        <w:autoSpaceDN/>
        <w:adjustRightInd/>
        <w:ind w:left="0" w:firstLine="567"/>
        <w:jc w:val="both"/>
        <w:rPr>
          <w:rFonts w:ascii="Arial" w:eastAsia="Calibri" w:hAnsi="Arial" w:cs="Arial"/>
          <w:color w:val="000000" w:themeColor="text1"/>
          <w:spacing w:val="-6"/>
          <w:sz w:val="22"/>
          <w:szCs w:val="22"/>
        </w:rPr>
      </w:pPr>
      <w:r w:rsidRPr="008855E2">
        <w:rPr>
          <w:rFonts w:ascii="Arial" w:hAnsi="Arial" w:cs="Arial"/>
          <w:color w:val="000000" w:themeColor="text1"/>
          <w:spacing w:val="-6"/>
          <w:sz w:val="22"/>
          <w:szCs w:val="22"/>
          <w:shd w:val="clear" w:color="auto" w:fill="FEFEFE"/>
        </w:rPr>
        <w:t>О правовом положении иностранных граждан в Российской Федерации</w:t>
      </w:r>
      <w:r w:rsidRPr="008855E2">
        <w:rPr>
          <w:rFonts w:ascii="Arial" w:hAnsi="Arial" w:cs="Arial"/>
          <w:color w:val="000000" w:themeColor="text1"/>
          <w:spacing w:val="-6"/>
          <w:sz w:val="22"/>
          <w:szCs w:val="22"/>
        </w:rPr>
        <w:t>: федер. закон [</w:t>
      </w:r>
      <w:r w:rsidRPr="008855E2">
        <w:rPr>
          <w:rFonts w:ascii="Arial" w:hAnsi="Arial" w:cs="Arial"/>
          <w:color w:val="000000" w:themeColor="text1"/>
          <w:spacing w:val="-6"/>
          <w:sz w:val="22"/>
          <w:szCs w:val="22"/>
          <w:shd w:val="clear" w:color="auto" w:fill="FEFEFE"/>
        </w:rPr>
        <w:t>О правовом положении иностранных граждан в Российской Федерации</w:t>
      </w:r>
      <w:r w:rsidRPr="008855E2">
        <w:rPr>
          <w:rFonts w:ascii="Arial" w:hAnsi="Arial" w:cs="Arial"/>
          <w:color w:val="000000" w:themeColor="text1"/>
          <w:spacing w:val="-6"/>
          <w:sz w:val="22"/>
          <w:szCs w:val="22"/>
        </w:rPr>
        <w:t>: федер. закон [от 25 июля 2002 г. № 115-ФЗ (с посл. изм. и доп.)] // Российская газета. – 2002. – № 140.</w:t>
      </w:r>
    </w:p>
    <w:p w:rsidR="005B31C6" w:rsidRPr="00DA76A7" w:rsidRDefault="005B31C6" w:rsidP="00D45D6B">
      <w:pPr>
        <w:pStyle w:val="a6"/>
        <w:numPr>
          <w:ilvl w:val="0"/>
          <w:numId w:val="16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Кодекс административного судопроизводства Российской Федерации: федер. закон [от 08 марта 2015 г. №21 - ФЗ (с посл. изм. и доп.)] // Собрание законодательства Российской Федерации. – 2015. – № 10. – Ст.1391.</w:t>
      </w:r>
    </w:p>
    <w:p w:rsidR="005B31C6" w:rsidRPr="00DA76A7" w:rsidRDefault="005B31C6" w:rsidP="00D45D6B">
      <w:pPr>
        <w:pStyle w:val="a6"/>
        <w:numPr>
          <w:ilvl w:val="0"/>
          <w:numId w:val="166"/>
        </w:numPr>
        <w:tabs>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 Дело № 33а-5948-2017 г., архив Центрального районного суда г. Читы Забайкальского края, подготовленной Управлением судебного департамента Забайкальского края // Архив Центрального районного суда г. Читы Забайкальского края, 2017 г.</w:t>
      </w:r>
    </w:p>
    <w:p w:rsidR="005B31C6" w:rsidRPr="00DA76A7" w:rsidRDefault="005B31C6" w:rsidP="008855E2">
      <w:pPr>
        <w:rPr>
          <w:rFonts w:ascii="Arial" w:hAnsi="Arial" w:cs="Arial"/>
          <w:b/>
          <w:color w:val="000000" w:themeColor="text1"/>
          <w:sz w:val="22"/>
          <w:szCs w:val="22"/>
        </w:rPr>
      </w:pPr>
    </w:p>
    <w:p w:rsidR="005B31C6" w:rsidRPr="00DA76A7" w:rsidRDefault="005B31C6" w:rsidP="005B31C6">
      <w:pPr>
        <w:jc w:val="center"/>
        <w:rPr>
          <w:rFonts w:ascii="Arial" w:hAnsi="Arial" w:cs="Arial"/>
          <w:b/>
          <w:caps/>
          <w:color w:val="000000" w:themeColor="text1"/>
          <w:sz w:val="22"/>
          <w:szCs w:val="22"/>
        </w:rPr>
      </w:pPr>
      <w:r w:rsidRPr="00DA76A7">
        <w:rPr>
          <w:rFonts w:ascii="Arial" w:hAnsi="Arial" w:cs="Arial"/>
          <w:b/>
          <w:caps/>
          <w:color w:val="000000" w:themeColor="text1"/>
          <w:sz w:val="22"/>
          <w:szCs w:val="22"/>
        </w:rPr>
        <w:t>о некоторых вопросах КОМПЕТЕНЦИИ МАДЖЛИСа НАРОДНЫХ ДЕПУТАТОВ</w:t>
      </w:r>
    </w:p>
    <w:p w:rsidR="005B31C6" w:rsidRPr="00DA76A7" w:rsidRDefault="005B31C6" w:rsidP="005B31C6">
      <w:pPr>
        <w:jc w:val="center"/>
        <w:rPr>
          <w:rFonts w:ascii="Arial" w:hAnsi="Arial" w:cs="Arial"/>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Темиров Вали Тиллобоевич</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помощник судьи Конституционного суда Республики Таджикистан</w:t>
      </w:r>
    </w:p>
    <w:p w:rsidR="005B31C6" w:rsidRPr="005D1C4B"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Республики Таджикистан, г. Душанбе, ул. Бохтар</w:t>
      </w:r>
      <w:r w:rsidRPr="005D1C4B">
        <w:rPr>
          <w:rFonts w:ascii="Arial" w:hAnsi="Arial" w:cs="Arial"/>
          <w:color w:val="000000" w:themeColor="text1"/>
          <w:sz w:val="22"/>
          <w:szCs w:val="22"/>
        </w:rPr>
        <w:t xml:space="preserve"> 48</w:t>
      </w:r>
    </w:p>
    <w:p w:rsidR="005B31C6" w:rsidRPr="005D1C4B"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тел</w:t>
      </w:r>
      <w:r w:rsidRPr="005D1C4B">
        <w:rPr>
          <w:rFonts w:ascii="Arial" w:hAnsi="Arial" w:cs="Arial"/>
          <w:color w:val="000000" w:themeColor="text1"/>
          <w:sz w:val="22"/>
          <w:szCs w:val="22"/>
        </w:rPr>
        <w:t xml:space="preserve">.: 93 520 29 23, </w:t>
      </w:r>
      <w:r w:rsidRPr="00DA76A7">
        <w:rPr>
          <w:rFonts w:ascii="Arial" w:hAnsi="Arial" w:cs="Arial"/>
          <w:color w:val="000000" w:themeColor="text1"/>
          <w:sz w:val="22"/>
          <w:szCs w:val="22"/>
          <w:lang w:val="en-US"/>
        </w:rPr>
        <w:t>e</w:t>
      </w:r>
      <w:r w:rsidRPr="005D1C4B">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5D1C4B">
        <w:rPr>
          <w:rFonts w:ascii="Arial" w:hAnsi="Arial" w:cs="Arial"/>
          <w:color w:val="000000" w:themeColor="text1"/>
          <w:sz w:val="22"/>
          <w:szCs w:val="22"/>
        </w:rPr>
        <w:t xml:space="preserve">: </w:t>
      </w:r>
      <w:hyperlink r:id="rId410" w:history="1">
        <w:r w:rsidRPr="00DA76A7">
          <w:rPr>
            <w:rStyle w:val="af0"/>
            <w:rFonts w:ascii="Arial" w:hAnsi="Arial" w:cs="Arial"/>
            <w:color w:val="000000" w:themeColor="text1"/>
            <w:sz w:val="22"/>
            <w:szCs w:val="22"/>
            <w:u w:val="none"/>
            <w:lang w:val="en-US"/>
          </w:rPr>
          <w:t>v</w:t>
        </w:r>
        <w:r w:rsidRPr="005D1C4B">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t</w:t>
        </w:r>
        <w:r w:rsidRPr="005D1C4B">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temirov</w:t>
        </w:r>
        <w:r w:rsidRPr="005D1C4B">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gmail</w:t>
        </w:r>
        <w:r w:rsidRPr="005D1C4B">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com</w:t>
        </w:r>
      </w:hyperlink>
    </w:p>
    <w:p w:rsidR="005B31C6" w:rsidRPr="00DA76A7" w:rsidRDefault="005B31C6" w:rsidP="005B31C6">
      <w:pPr>
        <w:jc w:val="center"/>
        <w:rPr>
          <w:rFonts w:ascii="Arial" w:hAnsi="Arial" w:cs="Arial"/>
          <w:color w:val="000000" w:themeColor="text1"/>
          <w:sz w:val="22"/>
          <w:szCs w:val="22"/>
        </w:rPr>
      </w:pPr>
    </w:p>
    <w:p w:rsidR="000F4C78" w:rsidRPr="00DA76A7" w:rsidRDefault="000F4C78" w:rsidP="000F4C78">
      <w:pPr>
        <w:jc w:val="center"/>
        <w:rPr>
          <w:rFonts w:ascii="Arial" w:hAnsi="Arial" w:cs="Arial"/>
          <w:b/>
          <w:color w:val="000000" w:themeColor="text1"/>
          <w:sz w:val="22"/>
          <w:szCs w:val="22"/>
        </w:rPr>
      </w:pPr>
      <w:r w:rsidRPr="00DA76A7">
        <w:rPr>
          <w:rFonts w:ascii="Arial" w:hAnsi="Arial" w:cs="Arial"/>
          <w:b/>
          <w:color w:val="000000" w:themeColor="text1"/>
          <w:sz w:val="22"/>
          <w:szCs w:val="22"/>
        </w:rPr>
        <w:t>Фирдавсова Гуландом Рустамовна</w:t>
      </w:r>
    </w:p>
    <w:p w:rsidR="000F4C78" w:rsidRPr="00DA76A7" w:rsidRDefault="000F4C78" w:rsidP="000F4C78">
      <w:pPr>
        <w:jc w:val="center"/>
        <w:rPr>
          <w:rFonts w:ascii="Arial" w:hAnsi="Arial" w:cs="Arial"/>
          <w:color w:val="000000" w:themeColor="text1"/>
          <w:sz w:val="22"/>
          <w:szCs w:val="22"/>
        </w:rPr>
      </w:pPr>
      <w:r w:rsidRPr="00DA76A7">
        <w:rPr>
          <w:rFonts w:ascii="Arial" w:hAnsi="Arial" w:cs="Arial"/>
          <w:color w:val="000000" w:themeColor="text1"/>
          <w:sz w:val="22"/>
          <w:szCs w:val="22"/>
          <w:lang w:val="en-US"/>
        </w:rPr>
        <w:t>c</w:t>
      </w:r>
      <w:r w:rsidRPr="00DA76A7">
        <w:rPr>
          <w:rFonts w:ascii="Arial" w:hAnsi="Arial" w:cs="Arial"/>
          <w:color w:val="000000" w:themeColor="text1"/>
          <w:sz w:val="22"/>
          <w:szCs w:val="22"/>
        </w:rPr>
        <w:t>оискатель Института философии, политологии и права имени А. Баховаддинова Академи</w:t>
      </w:r>
      <w:r w:rsidRPr="00DA76A7">
        <w:rPr>
          <w:rFonts w:ascii="Arial" w:hAnsi="Arial" w:cs="Arial"/>
          <w:color w:val="000000" w:themeColor="text1"/>
          <w:sz w:val="22"/>
          <w:szCs w:val="22"/>
          <w:lang w:val="en-US"/>
        </w:rPr>
        <w:t>z</w:t>
      </w:r>
      <w:r w:rsidRPr="00DA76A7">
        <w:rPr>
          <w:rFonts w:ascii="Arial" w:hAnsi="Arial" w:cs="Arial"/>
          <w:color w:val="000000" w:themeColor="text1"/>
          <w:sz w:val="22"/>
          <w:szCs w:val="22"/>
        </w:rPr>
        <w:t xml:space="preserve"> наук Республики Таджикистан</w:t>
      </w:r>
    </w:p>
    <w:p w:rsidR="000F4C78" w:rsidRPr="00DA76A7" w:rsidRDefault="000F4C78" w:rsidP="000F4C78">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проспект Рудаки 33</w:t>
      </w:r>
    </w:p>
    <w:p w:rsidR="000F4C78" w:rsidRPr="00DA76A7" w:rsidRDefault="000F4C78" w:rsidP="000F4C78">
      <w:pPr>
        <w:jc w:val="center"/>
        <w:rPr>
          <w:rFonts w:ascii="Arial" w:hAnsi="Arial" w:cs="Arial"/>
          <w:color w:val="000000" w:themeColor="text1"/>
          <w:sz w:val="22"/>
          <w:szCs w:val="22"/>
          <w:lang w:val="en-US"/>
        </w:rPr>
      </w:pPr>
      <w:r w:rsidRPr="00DA76A7">
        <w:rPr>
          <w:rFonts w:ascii="Arial" w:hAnsi="Arial" w:cs="Arial"/>
          <w:color w:val="000000" w:themeColor="text1"/>
          <w:sz w:val="22"/>
          <w:szCs w:val="22"/>
        </w:rPr>
        <w:t>тел</w:t>
      </w:r>
      <w:r w:rsidRPr="00DA76A7">
        <w:rPr>
          <w:rFonts w:ascii="Arial" w:hAnsi="Arial" w:cs="Arial"/>
          <w:color w:val="000000" w:themeColor="text1"/>
          <w:sz w:val="22"/>
          <w:szCs w:val="22"/>
          <w:lang w:val="en-US"/>
        </w:rPr>
        <w:t xml:space="preserve">.: 50 219 20 79, e-mail: </w:t>
      </w:r>
      <w:hyperlink r:id="rId411" w:history="1">
        <w:r w:rsidRPr="00DA76A7">
          <w:rPr>
            <w:rStyle w:val="af0"/>
            <w:rFonts w:ascii="Arial" w:hAnsi="Arial" w:cs="Arial"/>
            <w:color w:val="000000" w:themeColor="text1"/>
            <w:sz w:val="22"/>
            <w:szCs w:val="22"/>
            <w:u w:val="none"/>
            <w:lang w:val="en-US"/>
          </w:rPr>
          <w:t>ms.firdavsova@mail.ru</w:t>
        </w:r>
      </w:hyperlink>
    </w:p>
    <w:p w:rsidR="000F4C78" w:rsidRPr="00DA76A7" w:rsidRDefault="000F4C78" w:rsidP="005B31C6">
      <w:pPr>
        <w:jc w:val="center"/>
        <w:rPr>
          <w:rFonts w:ascii="Arial" w:hAnsi="Arial" w:cs="Arial"/>
          <w:color w:val="000000" w:themeColor="text1"/>
          <w:sz w:val="22"/>
          <w:szCs w:val="22"/>
          <w:lang w:val="en-US"/>
        </w:rPr>
      </w:pPr>
    </w:p>
    <w:p w:rsidR="005B31C6" w:rsidRPr="00DA76A7" w:rsidRDefault="005B31C6" w:rsidP="005B31C6">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Temirov Vali Tilloboevich</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Assistant to the judge of the Constitutional Court of the Republic of Tajikistan</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city, Bokhtar st. 48</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93 520 29 23, e-mail: </w:t>
      </w:r>
      <w:hyperlink r:id="rId412" w:history="1">
        <w:r w:rsidRPr="00DA76A7">
          <w:rPr>
            <w:rStyle w:val="af0"/>
            <w:rFonts w:ascii="Arial" w:hAnsi="Arial" w:cs="Arial"/>
            <w:color w:val="000000" w:themeColor="text1"/>
            <w:sz w:val="22"/>
            <w:szCs w:val="22"/>
            <w:u w:val="none"/>
            <w:lang w:val="en-US"/>
          </w:rPr>
          <w:t>v.t.temirov@gmail.com</w:t>
        </w:r>
      </w:hyperlink>
    </w:p>
    <w:p w:rsidR="000F4C78" w:rsidRPr="005D1C4B" w:rsidRDefault="000F4C78" w:rsidP="000F4C78">
      <w:pPr>
        <w:jc w:val="center"/>
        <w:rPr>
          <w:rFonts w:ascii="Arial" w:hAnsi="Arial" w:cs="Arial"/>
          <w:b/>
          <w:color w:val="000000" w:themeColor="text1"/>
          <w:sz w:val="22"/>
          <w:szCs w:val="22"/>
          <w:lang w:val="en-US"/>
        </w:rPr>
      </w:pPr>
    </w:p>
    <w:p w:rsidR="000F4C78" w:rsidRPr="00DA76A7" w:rsidRDefault="000F4C78" w:rsidP="000F4C78">
      <w:pPr>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Firdavsova Gulandom Rustamovna</w:t>
      </w:r>
    </w:p>
    <w:p w:rsidR="000F4C78" w:rsidRPr="00DA76A7" w:rsidRDefault="000F4C78" w:rsidP="000F4C78">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fpplicant of the Institute of philosophy, political science and law named after A. Bahovaddinov of Academy of sciences of the Republic of Tajikistan</w:t>
      </w:r>
    </w:p>
    <w:p w:rsidR="000F4C78" w:rsidRPr="00DA76A7" w:rsidRDefault="000F4C78" w:rsidP="000F4C78">
      <w:pPr>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734025, Republic of Tajikistan, Dushanbe city, Rudaki avenue 33</w:t>
      </w:r>
    </w:p>
    <w:p w:rsidR="005B31C6" w:rsidRPr="00DA76A7" w:rsidRDefault="000F4C78" w:rsidP="000F4C78">
      <w:pPr>
        <w:ind w:firstLine="567"/>
        <w:jc w:val="center"/>
        <w:rPr>
          <w:rFonts w:ascii="Arial" w:hAnsi="Arial" w:cs="Arial"/>
          <w:color w:val="000000" w:themeColor="text1"/>
          <w:sz w:val="22"/>
          <w:szCs w:val="22"/>
          <w:lang w:val="en-US"/>
        </w:rPr>
      </w:pPr>
      <w:r w:rsidRPr="00DA76A7">
        <w:rPr>
          <w:rFonts w:ascii="Arial" w:hAnsi="Arial" w:cs="Arial"/>
          <w:color w:val="000000" w:themeColor="text1"/>
          <w:sz w:val="22"/>
          <w:szCs w:val="22"/>
          <w:lang w:val="en-US"/>
        </w:rPr>
        <w:t xml:space="preserve">tel.: 50 219 20 79, e-mail: </w:t>
      </w:r>
      <w:hyperlink r:id="rId413" w:history="1">
        <w:r w:rsidRPr="00DA76A7">
          <w:rPr>
            <w:rStyle w:val="af0"/>
            <w:rFonts w:ascii="Arial" w:hAnsi="Arial" w:cs="Arial"/>
            <w:color w:val="000000" w:themeColor="text1"/>
            <w:sz w:val="22"/>
            <w:szCs w:val="22"/>
            <w:u w:val="none"/>
            <w:lang w:val="en-US"/>
          </w:rPr>
          <w:t>ms.firdavsova@mail.ru</w:t>
        </w:r>
      </w:hyperlink>
    </w:p>
    <w:p w:rsidR="005B31C6" w:rsidRPr="00DA76A7" w:rsidRDefault="005B31C6" w:rsidP="005B31C6">
      <w:pPr>
        <w:ind w:firstLine="567"/>
        <w:jc w:val="center"/>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Аннотация. </w:t>
      </w:r>
      <w:r w:rsidRPr="00DA76A7">
        <w:rPr>
          <w:rFonts w:ascii="Arial" w:hAnsi="Arial" w:cs="Arial"/>
          <w:i/>
          <w:color w:val="000000" w:themeColor="text1"/>
          <w:sz w:val="22"/>
          <w:szCs w:val="22"/>
        </w:rPr>
        <w:t>В данной статьи подвергается к анализу компетенция и полномочия местных представительных органов государственной власти и их отличие с точки зрения науки конституционного права.</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Annotation.</w:t>
      </w:r>
      <w:r w:rsidRPr="00DA76A7">
        <w:rPr>
          <w:rFonts w:ascii="Arial" w:hAnsi="Arial" w:cs="Arial"/>
          <w:i/>
          <w:color w:val="000000" w:themeColor="text1"/>
          <w:sz w:val="22"/>
          <w:szCs w:val="22"/>
          <w:lang w:val="en-US"/>
        </w:rPr>
        <w:t xml:space="preserve"> In this article, the competence and authority of local representative bodies of state power and their difference from the point of view of the science of constitutional law are subjected to analysis.</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 xml:space="preserve">Ключевые слова: </w:t>
      </w:r>
      <w:r w:rsidRPr="00DA76A7">
        <w:rPr>
          <w:rFonts w:ascii="Arial" w:hAnsi="Arial" w:cs="Arial"/>
          <w:i/>
          <w:color w:val="000000" w:themeColor="text1"/>
          <w:sz w:val="22"/>
          <w:szCs w:val="22"/>
        </w:rPr>
        <w:t>Маджлис народных депутатов, компетенция, полномочия, предмет ведения, депутат, местные представительные органы государственной власти, классификация.</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Majlis of people's deputies, competence, authority, subject matter, deputy, local representative bodies of state power, classification.</w:t>
      </w:r>
    </w:p>
    <w:p w:rsidR="005B31C6" w:rsidRPr="00DA76A7" w:rsidRDefault="005B31C6" w:rsidP="005B31C6">
      <w:pPr>
        <w:ind w:firstLine="567"/>
        <w:jc w:val="both"/>
        <w:rPr>
          <w:rFonts w:ascii="Arial" w:hAnsi="Arial" w:cs="Arial"/>
          <w:i/>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Отсутствие понятия компетенции на законодательном уровне, привело к тому, что в современный период развития отечественной науки конституционного права не существует единого понятия компетенции. Несмотря на то, что по проблемам компетенции местных представительных органов посвящено много авторских работ, вопрос всё ещё остается открытым. При этом мы исходим из того, что по своей сущности и содержанию компетенция Маджлиса народных депутатов представляет собой «правовое средство (форму) общественного разделения труда по управлению государством и обществом» [10, 26].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Понятие компетенция местных представительных органов для отечественной науки конституционного права не новое, так как оно сложилось еще в советское время, и до сих пор не потеряло своё значение. С нашей точки зрения, вопрос о компетенции местных представительных органов в теоретическом аспекте несколько лучше освещен в работе К.Ф. Шеремета.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К.Ф. Шеремет, анализируя понятие компетенции, рассматривает её как закрепленную законами и другими нормативно-правовыми актами совокупность предметов ведения и полномочий (прав и обязанностей) этих органов [22, 17-28]. С точки зрения, К.Ф. Шеремета, едва ли правильно объяснять существующие недостатки в нормативном регулировании компетенции местных органов власти слабостью теоретической разработки этого вопроса. И все же следует признать, что в настоящее время большая часть исследований о местных представительных органах посвящена формам и методам организационно-массовой работы этих органов, но не их компетенции. В отношении содержания самого понятия «компетенция местного представительного органа» высказано в основном три точки зрения. Первая состоит в том, что под компетенцией понимается совокупность полномочий или прав местного представительного органа [1, 72]. Согласно второй точке зрения, в понятие компетенции входят не только права, но и обязанности местных представительных органов. При этом отметим, что речь идет не о понимании полномочий как обязанностей («права-обязанности»), а об обязанностях сверх имеющихся прав, об обязанностях как самостоятельном элементе компетенции [15, 29-30]. Третья точка зрения состоит в том, что компетенция охватывает не только права, обязанности, но и определенную сферу деятельности местного представительного органа или, по выражению некоторых авторов, круг деятельности [25, 24].</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О.Е. Кутафин определяет компетенцию как юридическое выражение функций, правовую форму осуществления этих функций, которая складывается из предмета ведения, прав и обязанностей [10, 36]. На наш взгляд, прав профессор О.Е. Кутафин, который считает, что наделение органов государства компетенцией, отвечающей политическим, экономическим и социальным условиям жизни общества, а также требованиям научной организации управления, является одной из важных предпосылок эффективного использования всех возможностей государственности в руководстве экономическими и социальними процессами. Чем правильнее определена компетенция органов, тем слаженнее работает аппарат, эффективнее используются материально-финансовые, правовые, организационные и иные средства для решения задач государственного, хозяйственного и социально-культурного строительства [10, 26].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Наш отечественный конституционалист А.И. Имомов, исследуя вопрос понятия компетенции местных представительных органов, определяет её как совокупность полномочий (права и обязанности), которыми наделен представительный орган. С его точки зрения, объем, и содержание полномочий представительного органа зависят, прежде всего, от порядка его подчинения. Такая позиция также поддерживается другими нашими отечественными конституционалистами С.М. Касымовым и С.Р. Раджабовым.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Уделяя к этому вопросу внимание, современные исследователи не остались в стороне. Л.В. Мацупа, изучая понятие компетенции, полагает, что компетенция государственного органа есть юридическое выражение функций, правовая форма осуществления этих функций, возложенный законно на уполномоченный субъект объем публичных дел [11, 168-206]. С её точки зрения, вопрос о компетенции органа государственной власти относится к числу «базовых» в политической практике. Ответ на него позволяет определить, как и в какой мере тот или иной орган власти выполняет свою роль в государстве, каковы его отношения с другими государственными структурами, общественными институтами.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Совсем иную и весьма интересную позицию по поводу определения понятия компетенции занимает А.М. Шерипбаев, определяя её как регулирование системы и структуры органов местного государственного управления [23, 103-120].</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Надо отметить, что исследователи, в совокупности определяя понятие компетенции местных представительных органов, основную ставку делают именно на структурные элементы компетенции местных представительных органов - предмет ведения, права и обязанности (полномочия). Причем важно иметь в виду, что предмет - это не отдельные вопросы и не совокупность каких-то вопросов, а определенные области государственной деятельности. Поэтому предмет ведения является первым составным элементом компетенции Маджлисов народных депутатов. Предмет ведения указывает на те сферы общественной жизни, в которых действуют местные представительные органы. Иными словами, это юридически закрепленный круг общественных отношений, в которых эти органы наделяются соответствующими правами и обязанностями, в том числе принимать правовые решения.</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Полномочия местных представительных органов - это права и обязанности, которыми они наделяются для решения возложенных на них задач и функций и которые настолько неразрывно связаны между собой, что большинство прав выступает в форме прав-обязанностей. Например, своевременное образование соответствующих органов является правом Маджлиса народных депутатов, но одновременно это и его обязанность, так как в противном случае представительный орган (имеется в виду Маджлис народных депутатов) не сможет эффективно работать. К тому же, если вновь избранный Маджлис народных депутатов не определит в течение месяца свою структуру и не изберет свои органы, его полномочия могут быть досрочно прекращены верхней палатой парламента Республики Таджикистан.</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Говоря о полномочиях государственного органа, необходимо знать, что в юридической литературе полномочия наряду с предметами ведения рассматриваются в качестве компонента компетенции государственного органа [14, 567; 6, 82]. При этом полномочия характеризуются как права и обязанности государственного органа в отношении принятия нормативных правовых актов, осуществления иных действий. В этом смысле полномочия представляются активно развивающейся совокупностью прав и обязанностей соответствующего органа. Ю.А. Тихомиров обоснованно отмечает, что публичная сфера предполагает соединение прав и обязанностей в формулу «полномочия» как правообязанности, которую нельзя не реализовать в публичных интересах. Каждый элемент понятия «полномочие» имеет собственное содержание. Так, право дает возможность выбора действий, а обязанность требует совершения вполне конкретного действия со стороны соответствующего органа [19, 56]. В тоже время, существует понимание полномочий как единственного элемента компетенции. В этом смысле компетенция органа государственной власти определяется совокупностью юридически установленных полномочий, прав и обязанностей конкретного органа или должностного лица.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Сказанное выше не означает, что компетенция и полномочие - одно и то же понятие. Компетенция - это предмет ведения государственного органа, а полномочие составляет лишь отдельную часть сферы деятельности этих органов. Например, Маджлис народных депутатов определяет пути социально-экономического развития на местах, утверждает соответствующие планы и программы, и контролирует их исполнение. Кроме того, понятие полномочия сильно отличается от понятия компетенции.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Во-первых, полномочие в отличие от компетенции образует отдельную сферу деятельности государственного органа, тогда как компетенция охватывает широкий круг общественных отношений. Например, компетенция Маджлиса народных депутатов, имеющая организационный характер, охватывает несколько полномочий Маджлиса народных депутатов, таких как утверждения председателя района, назначаемого на должность и освобождаемого от должности Президентом Республики Таджикистан; выражение председателю района при наличии основания тайным голосованием и с одобрения не менее чем двух третей от общего числа депутатов Маджлиса народных депутатов недоверия и внесение на рассмотрение Президента Республики Таджикистан вопроса о его освобождении; принятие регламента Маджлиса народных депутатов и в необходимых случаях - внесение в него изменений и дополнений; учреждение постоянных и временных комиссий и других органов Маджлиса народных депутатов; утверждение их положения и состава, заслушивание отчетов об их деятельности и т.д. Получается, что полномочие Маджлис народных депутатов не может охватывать весь комплекс прав и обязанностей, составляющих предмет ведения Маджлиса народных депутатов, а наоборот, охватывает их по отдельности. Такая ситуация четко сформулирована в ст. 8 Конституционного закона Республики Таджикистан «О местных органах государственной власти».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Во-вторых, полномочие государственного органа в отличие от его компетенции имеет неустойчивый характер, т.е. полномочие государственного органа может, в любой момент измениться, а компетенция имеет устойчивый характер, и не так часто подвергается изменению. Например, компетенция Маджлиса народных депутатов в сфере налога и налогообложения. Полномочия Маджлиса народных депутатов об установлении налогов в определенной сфере, например, в имущественных отношениях, может изменяться в соответствии с действующим законодательством, но компетенция Маджлиса народных депутатов по поводу установления местных налогов не может изменяться и сохраняется за ним.</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В-третьих, под понятием полномочия понимается юридический документ, уполномочивающий одно лицо действовать от имени другого в целом, или в определенных целях, или на определенный срок [8, 553]. Исходя из этого, законодательство Республики Таджикистан уполномочивает Маджлис народных депутатов действовать на соответствующей территории от имени государства и обеспечить реализацию правовой политики государства на данной территории. Это закреплено в самой Конституции, согласно, которой государственная власть на местах осуществляется местными органами. Как отмечает З. Алиев, местную государственную власть представляют представительные и исполнительные органы. Они взаимодействуют и сотрудничают между собой и с другими уровнями (областным звеном), осуществляют на местах государственную власть [2,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Исходя из норм действующего законодательства Республики Таджикистан, можно определить следующие предметы ведения Маджлисов народных депутатов: местный бюджет, планы экономического и социального развития территории, комплексные и целевые программы по различным вопросам экономического и социального развития, правопорядок и соблюдение прав граждан, организационные и кадровые вопросы местного значения и т. д.</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Перечисленные предметы ведения Маджлиса народных депутатов в большинстве случаев совпадают с предметами ведения местных исполнительных органов. Действительно, местные бюджеты, планы, программы развития территории, обеспечение правопорядка и прав граждан также находятся в сфере ведения местных исполнительных органов. Это обусловлено тем, что местные представительные и исполнительные органы в равной степени ответственны за состояние дел на соответствующей территории, однако полномочия у них разные. Важные вопросы местного управления, хозяйственного и социально-культурного развития решаются именно районом. На уровне района завершается государственная власть. На низшем уровне существуют органы местного самоуправления (Джамоаты), которые входят в территорию этих районов. Кроме того, центральная власть не может в деталях знать, что нужно каждому конкретному району, - это знают только его жители. И проверять эффективность расходования средств на местах с помощью общественности, представительных органов власти тоже легче, чем из центра.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компетенция Маджлисов народных депутатов является сложной правовой категорией, структура которой складывается из следующих элементов, причем все составные части компетенции обладают внутренним единством и согласованностью:</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 первый составной элемент компетенции - права и обязанности, или полномочия, с помощью которых реализуются функции и задачи Маджлис народных депутатов. Права и обязанности в основном находятся в тесной диалектической связи, единстве, взаимозависимости;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 вторым составным элементом компетенции являются предметы ведения. Термин «предмет» означает все то, что может находиться в отношении или обладать каким-либо свойством. О.Е. Кутафин, В.И. Фадеев полагают, что «под предметами ведения органа местного самоуправления следует понимать сферы местной жизни, в которых действует данный, юридически компетентный в них, орган». К.Ф. Шеремет, С.А. Авакьян понимают под предметами ведения общественные отношения, в которых орган государства юридически компетентен.</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По утверждению некоторых исследователей, усиление роли местных представительных органов и предоставление им дополнительных полномочий - один из первых шагов по формированию самоуправления на местах [20]. Поэтому формы и характер участия Маджлисов народных депутатов в осуществлении функций государства определяются установлением их компетенции. Здесь надо особенно подчеркнуть, что местные власти могут принимать сколько угодно решений, но без денег и соответствующих полномочий все это будет фикцией, так как «компетенция государственных органов обусловлена их предназначением и местом в общей системе органов государства. Она является одним из основополагающих признаков любого государственного органа. При этом каждый государственный орган не только наделен соответствующей компетенцией, но и опирается в процессе реализации своих полномочий на организационную, материальную и принудительную силу государства» [13, 161].</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Надо отметить, что в юридической науке ведется много дискуссий по поводу правильного применения терминологии, связанной с понятием «компетенция». Как известно, термин «компетенция» происходит от латинского «</w:t>
      </w:r>
      <w:r w:rsidRPr="00DA76A7">
        <w:rPr>
          <w:rFonts w:ascii="Arial" w:hAnsi="Arial" w:cs="Arial"/>
          <w:color w:val="000000" w:themeColor="text1"/>
          <w:sz w:val="22"/>
          <w:szCs w:val="22"/>
          <w:lang w:val="en-US"/>
        </w:rPr>
        <w:t>competentia</w:t>
      </w:r>
      <w:r w:rsidRPr="00DA76A7">
        <w:rPr>
          <w:rFonts w:ascii="Arial" w:hAnsi="Arial" w:cs="Arial"/>
          <w:color w:val="000000" w:themeColor="text1"/>
          <w:sz w:val="22"/>
          <w:szCs w:val="22"/>
        </w:rPr>
        <w:t>», что означает «ведение», «способность», «принадлежность по праву», и обычно используется в двух смыслах:</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 для определения круга вопросов, в которых субъект обладает познаниями (используется в объективном или фактическом смысле при обозначении ведения, компетентности субъекта);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б) для определения круга полномочий, которыми наделен субъект (употребляется в формальном (или юридическом) смысле при характеристике прав и обязанностей субъекта).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Определение понятия «компетенция» в формальном (юридическом) значении предлагалось различными авторами и зависело от элементов, включаемых ими в структуру компетенции. По мнению Г.С. Сапаргалиева, компетенция государственного органа по своей сущности представляет собой «правовое средство (форму) общественного разделения труда по управлению государственными и общественными делами. Наделение органов государства компетенцией, отвечающей политическим, экономическим и социальным условиям жизни общества, а также требованиям научной организации управления, является одной из важных предпосылок эффективного использования всех возможностей государственности в руководстве экономическими и социальными процессами. Чем правильнее определена компетенция органов, тем слаженнее работает аппарат, эффективнее используются материально-финансовые, правовые, организационные и иные средства для решения задач государственного, хозяйственного и социально-культурного строительства [12, 68]. Это означает, что компетенция местных представительных органов весьма многообразна. В ней находят свое выражение идея полновластия народа, реальное соотношение центра и мест, объем децентрализованных функций государственного руководства.</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Справедливо отмечет Л.В. Мацупа, что правовая регламентация компетенции маслихатов (представительные органы) тесным образом связана с задачей повышения эффективности государственного руководства на местах, поскольку для осуществления местными органами своих функций особое значение имеет четкость закрепления их прав и обязанностей. Однако часто компетенции местных представительных и исполнительных органов по решению различных вопросов не разграничивается, что создает определенные неудобства и разнобой при реализации полномочий на местах. Необходимо провести законодательное разграничение полномочий местных представительных и исполнительных органов [11, 168-206].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Определение понятия компетенции Маджлисов народных депутатов и его правильное использование при разработке нормативных актов Маджлисов народных депутатов и их органов имеет весьма существенное значение для регламентации функций Маджлисов народных депутатов, повышения правовой значимости нормативных актов, и «вот почему местные Маджлисы должны выражать и представлять интересы населения области, города и района» [2 ]. Кроме того, это юридическое понятие является своеобразным инструментом для совершенствования системы правовых отношений местных Маджлисов в соответствии с назначением представительных органов власти, так как «законодательное регулирование компетенции представительных органов, естественно, должно опираться на совершенно чёткие теоретические позиции в вопросе о содержании самого понятия компетенции» [22, 17-28].</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Наконец, нельзя не видеть явной недооценки роли Маджлисов народных депутатов и в том, что акты, определяющие наиболее полно компетенцию Маджлисов народных депутатов, приняты в форме Положений о Маджлисах народных депутатов, а не законов. А ведь по самой идее такие акты должны кодифицировать все основные нормы, регулирующие компетенцию местных представительных органов.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Надо согласиться с тем, что компетенция Маджлисов народных депутатов направлена на решение задач местного значения, т.е. Маджлисы народных депутатов решают те вопросы, которые находятся в их предмете ведения. Но компетенция, особенно в сфере государственного руководства развитием экономики, социальной жизни местностей, осуществляется, прежде всего, с учетом общегосударственных интересов [17, 26]. Исходя из этого местные органы государственной власти, в том числе Маджлисы народных депутатов, формируются на местах, и как выразители воли населения соответствующей административно-территориальной единицы, представляют её (т.е. волю избирателей) с учетом общегосударственных интересов [18, 20]. Поэтому Маджлис народных депутатов «как и всякий иной орган государства, проявляет себя в качестве организации в определенной системе общественных отношений. Цель создания органа уже предполагает те главные области общественных отношений, в которых надлежит ему действовать» [10, 26].</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интересах правильного и нормального функционирования государственного аппарата каждый орган государства действует в определенной области, или сфере, общественных отношений, т.е. специализированно и дифференцированно. Естественно, что данная область деятельности органа должна найти отражение в его компетенции, быть юридически определена. Надо согласиться с С.М. Касымовым, в том, что круг полномочий государственного органа определяется в установленном законом порядке и в зависимости от места, которое он занимает в системе органов государства [5, 84].</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Как утверждают наши отечественные исследователи, компетенция является важнейшим фактором, определяющим не только правовое положение государственного органа и его роль в политической жизни страны, но и взаимоотношения его с другими органами государственной власти, а также его правовое положение в системе органов государственной власти [24, 93].</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Маджлисы народных депутатов имеют представительный характер, и они занимают определенные места в системе представительных органов государственной власти. Кроме того, они в рамках предусмотренных Конституцией и действующим законодательством полномочий принимают нормативно-правовые акты, имеющие обязательный характер в определенной административно-территориальной единице, т.е. они «формируются и осуществляют свою деятельность в пределах установленной территории» [15, 4]. Отсюда, имеются определенные закономерности в соотношении между всеми составными частями компетенции. Это соотношение определяется принципами раз</w:t>
      </w:r>
      <w:r w:rsidRPr="00DA76A7">
        <w:rPr>
          <w:rFonts w:ascii="Arial" w:hAnsi="Arial" w:cs="Arial"/>
          <w:color w:val="000000" w:themeColor="text1"/>
          <w:sz w:val="22"/>
          <w:szCs w:val="22"/>
        </w:rPr>
        <w:softHyphen/>
        <w:t>деления труда по управлению государством и обществом, ролью представительных органов власти в организации деятельности государства, демократических принципов организации общества. Широкому диапазону предметов ведения Маджлисов народных депутатов соответствует комплекс полномочий, который призван обеспечить осуществление ими государственной власти. Причем сами права и обязанности находятся в определенном сочетании. Ответственность Маджлиса народных депутатов за руководство хозяйственным, экономическим и социально-культурным строительством на своей территории определяется именно совокупностью его прав и обязанностей, а не только правами или только обязанностями.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Классификация компетенции представительных органов, в том числе Маджлисов народных депутатов, как и самого понятия компетенции, оказывается делом не очень простым, так как существуют различные мнения. Большинство исследователей, опираясь на полномочия представительных органов, закрепленные действующим законодательством, различают следующие основные компетенции представительных органов: исключительные, общие (совместные) и специальные компетенции представительных органов [3; 15; 10].</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А.О. Копабаева отмечает, что в юридической литературе подчеркивалась особая значимость «исключительных полномочий» маслихатов, которые являются правовыми гарантиями их деятельности как «работающих корпораций». Отмечалось, что «посредством юридического закрепления исключительных полномочий можно регламентировать работу маслихата таким образом, чтобы он как коллегиальный орган соединял в своей деятельности и нормотворчество, и представительство населения, и решение вопросов государственного управления». На этой основе делался вывод, что исключительные полномочия создают по определенным вопросам гарантии верховенства маслихата над соответствующим местным исполнительным органом» [7, 8].</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Г.С. Сапаргалиев объединяет полномочия маслихатов в две группы: по рассмотрению и утверждению вопросов, подготовленных исполнительными органами, и исключительные (имеются в виду принадлежащие им изначально) [12, 488]. Но в данную классификацию не совсем вписываются полномочия, которые принадлежат местным представительным и исполнительным органам и осуществляются совместно, например, в области административно-территориального устройства. Конечно, здесь большинство предложений подготавливается исполнительным аппаратом, но не исключается и внесение их от депутатов.</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Л.Т. Жанузакова и А.Н. Сагиндыкова, занимая иную позицию, отмечают, что, на их взгляд, разграничение компетенций маджлисов на исключительные и иные, т. е. закрепленные другими законодательными актами, как это делали советские и современные ученые в отношении представительных органов, не совсем корректно, потому что термин «исключительные полномочия» местных представительных органов применялся в условиях функционирования системы Советов, когда последние включали в себя собственно депутатские собрания и подчиненные им исполнительные органы. Закрепляя исключительные полномочия, законодатель оговаривал те вопросы, которые решались исключительно на сессиях. По действующему законодательству, все вопросы, отнесенные к представительным органам, решаются на сессиях. В этом смысле они все являются его «исключительными полномочиями». Кроме того, не совсем ясно, что подразумевается под деятельностью маслихатов, как «работающих корпораций». Данный термин также представляется неудачным, ибо ассоциируется с ленинской идеей Советов как «работающих корпораций», соединяющих в себе не только функции принятия решений (законодательную) и контроля, но и функции управления. Сейчас полномочия представительных и исполнительных органов строго разграничены, и они не имеют права вмешиваться в компетенцию друг друга. Отнесение тех или иных вопросов государственного управления к ведению маслихатов не означает, что они становятся институтом исполнительной власти. Речь идет только о рациональном разделении труда между местными представительными и исполнительными органами с учетом их роли, социального назначения и потенциальных возможностей в механизме государства» [3].</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С нашей точки зрения, разграничение полномочий Маджлисов народных депутатов содействует укреплению места и роли Маджлиса народных депутатов в системе органов государственной власти путем четкого указания границ деятельности и круга вопросов, относящихся к компетенции Маджлисов народных депутатов. Это означает, что объем полномочий и предметов ведения, то есть компетенция, должен соответствовать объему собственности и материально-финансовых ресурсов Маджлисов народных депутатов. В случае недостаточности коммунальной собственности и материально-финансовых ресурсов, компетенция Маджлисов народных депутатов, установленная законодательством, окажется невостребованной, а функции не будут осуществлены. Кроме того, жизнь выдвигает все новые проблемы, связанные с повышением эффективности управления в обществе. Управление требует совершенствования, как на государственном, так и на местном уровне. Новая экономическая модель не в полной мере соответствует модели всей системы государственного и общественного управления. Преобладание государственно-административных методов управления не совсем соответствует модели рыночных отношений и мешает развитию производства и приумножению различных форм собственности. Сравнительно большой удельный вес государственно-административных методов управления увеличивает разрыв между обществом и государством, что несет в себе известные негативные последствия. Разрыв этот необходимо сокращать. Средством, обеспечивающим сокращение разрыва между обществом (народом) и государством, на протяжении всей истории нашей страны было эффективное управление местного сообщества. Но для этого необходимо наделить местное сообщество достаточным объемом собственности, материально-финансовых ресурсов и соответствующей им компетенцией.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Конституция Таджикистана установила, что народ является единственным источником власти (ст. 6). Народ осуществляет свою власть непосредственно и через своих представителей. Поскольку Конституция закрепила право на осуществление власти за народом, он может ее реализовать. А, как известно, всякая власть основывается на собственности. Без собственности власть не может быть полноценной. Следовательно, для осуществления власти народом ему необходимо передать основную долю собственности, на которой будет базироваться эта власть. В большей мере власть народа может быть реализована в системе представительных органов районного уровня как самого приближенного к народной среде института управления. На основе этого основная часть дел местного значения будет передана с государственного уровня на местный, что освободит государственные органы от несвойственных функций.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Успеха в управлении можно достичь только в том случае, если каждое звено управленческой системы будет заниматься своим делом, а высокие инстанции освободятся от массы текущих дел, отвлекающих их от более крупных проблем [16, 75]. В то же время местные органы государственной власти, имея достаточную компетенцию, соответствующую их материально-финансовым возможностям, смогут более оперативно и качественно решить задачи местного значения, приближенные к жизни человека.</w:t>
      </w:r>
    </w:p>
    <w:p w:rsidR="005B31C6" w:rsidRPr="008855E2" w:rsidRDefault="005B31C6" w:rsidP="005B31C6">
      <w:pPr>
        <w:ind w:firstLine="567"/>
        <w:jc w:val="both"/>
        <w:rPr>
          <w:rFonts w:ascii="Arial" w:hAnsi="Arial" w:cs="Arial"/>
          <w:color w:val="000000" w:themeColor="text1"/>
          <w:spacing w:val="-6"/>
          <w:sz w:val="22"/>
          <w:szCs w:val="22"/>
        </w:rPr>
      </w:pPr>
      <w:r w:rsidRPr="008855E2">
        <w:rPr>
          <w:rFonts w:ascii="Arial" w:hAnsi="Arial" w:cs="Arial"/>
          <w:color w:val="000000" w:themeColor="text1"/>
          <w:spacing w:val="-6"/>
          <w:sz w:val="22"/>
          <w:szCs w:val="22"/>
        </w:rPr>
        <w:t>Проблема оптимального разграничения компетенции между государством и местным управлением подчеркивается снижением объема производства, ростом безработицы, изменением структуры экономических отношений и слабой управляемостью в масштабе всей страны. Центральная власть не в состоянии решить все эти задачи самостоятельно. Следовательно, во избежание пробелов в управлении целесообразно передать часть таких задач на решение местных органов государственной власти.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Разграничение компетенции между центральными органами государственной власти и местными органами государственной власти, а также между вышестоящими органами государственной власти на местах и нижестоящими органами государственной власти на местах ни в коем случае не означает отделение этих органов от государства. И государство, и органы государственной власти на местах, являющиеся его продолжением, осуществляют сходные функции. Местное управление является продолжением государственного управления. Однако объем компетенции у них совершенно разный. Поэтому необходимо уравновесить эти величины в пределах разумного.</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Четкое разграничение полномочий позволяет избегать дублирования в работе местных представительных органов государственной власти. Наряду с этим такое разделение является основой для распределения собственности и финансов между уровнями власти. Это позволит разграничить ответственность государства и местного управления за решение того либо иного вопроса. Например, вопросы местного значения, предусматривающие содействие или участие органов местного управления, предполагают определенное участие в их решении и органов государственной власти. Объем такого участия органы государственной власти, как правило, определяют самостоятельно, в результате чего на органы местного управления могут быть возложены значительные обязанности, и при этом без каких-либо дополнительных финансовых компенсаций. Либо, наоборот, по инициативе государства степень участия органов местного управления в решении того или иного вопроса может быть сведена к минимуму.</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 целом в юридической науке можно выделить следующие основные подходы к решению вопроса распределения полномочий между различными органами государственной власти, в том числе местными органами. Первый подход заключается в регулировании данных отношений путем заключения договоров между соответствующими субъектами, т.е. договоров о порядке разграничения предметов ведения и полномочий между вышестоящими и нижестоящими органами. Второй подход заключается в том, что процедуру разграничения предметов ведения и полномочий нужно начинать с ревизии, систематизации правовых актов, регулирующих предметы ведения и полномочия органов местного управления, устранения правовых коллизий. Как считает А.Н. Кубарков, необходимо кодифицировать нормы, регулирующие полномочия органов местного самоуправления, закрепленные во многих отраслевых законах. Итогом такой работы могли бы быть реестр полномочий органов государственной власти двух уровней и реестр полномочий органов местного самоуправления в сферах их совместного ведения. Имея такие реестры, каждый уровень власти или управления смог бы определить, какие из своих полномочий и в каком объеме делегировать, а какие осуществлять самостоятельно [9, 28; 4, 31; 21, 18].</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Таким образом, подводя итоги, можно сделать следующие выводы:</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1. Имея в виду то, что Конституция Республики Таджикистан отводит незначительную роль компетенциям местных представительных органов государственной власти, с нашей точки зрения развитию компетенций Маджлисов народных депутатов будет способствовать их нормативное разграничение путем внесения дополнений и изменений в ст. 8 Конституционного закона Республики Таджикистан «О местных органах государственной власти».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2. В целях устранения противоречий в определении понятия компетенций Маджлисов народных депутатов следует указать основные блоки компетенций местных представительных органов государственной власти, такие как контрольные, кадровые, организационные, внешних отношений и других компетенций.</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3. На законодательном уровне закрепить понятие компетенции Маджлисов народных депутатов путем внесения дополнений к ст.1 Конституционного закона Республики Таджикистан «О местных органах государственной власти» в следующей редакции: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 компетенция - совокупность вопросов, решение которых возложено на местные органы государственной власти нормативно-правовыми актами».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4. В рамках Конституционного закона Республики Таджикистан «О местных органах государственной власти» необходимо регулировать вопросы, касающиеся порядка заключения договоров между различными органами государственной власти с целью возложения определенных полномочий на другие государственные органы.</w:t>
      </w:r>
    </w:p>
    <w:p w:rsidR="005B31C6" w:rsidRPr="00DA76A7" w:rsidRDefault="005B31C6" w:rsidP="005B31C6">
      <w:pPr>
        <w:ind w:firstLine="567"/>
        <w:jc w:val="both"/>
        <w:rPr>
          <w:rFonts w:ascii="Arial" w:hAnsi="Arial" w:cs="Arial"/>
          <w:color w:val="000000" w:themeColor="text1"/>
          <w:sz w:val="22"/>
          <w:szCs w:val="22"/>
        </w:rPr>
      </w:pPr>
    </w:p>
    <w:p w:rsidR="005B31C6" w:rsidRPr="00DA76A7" w:rsidRDefault="005B31C6" w:rsidP="005B31C6">
      <w:pPr>
        <w:ind w:firstLine="567"/>
        <w:jc w:val="center"/>
        <w:rPr>
          <w:rFonts w:ascii="Arial" w:hAnsi="Arial" w:cs="Arial"/>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Азовкин И.А. Областной (краевой) совет депутатов трудящихся: правовые вопросы организации и деятельности // Академия наук СССР. Институт государства и права. – М.: «Госюриздат», 1962. - 211 с.</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Алиев 3. Местное управление и самоуправление в Республике Таджикистан // Государство и право. - 2003. - №5. - С. 5.-10.</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Жанузакова Л.Т., Сагиндыкова А.Н. Компетенция местных представительных органов Республики Казахстан и проблемы ее совершенствования // Правоведение. - 2005. - №4. - С. 13-35.</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Игнатюк Н.А. Полномочия: делиться или делегировать? // Российская Федерация сегодня. - 1998. - №24. - С. 31 -34.</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Касымов С.М. Городские Советы депутатов трудящихся Таджикистана на современном этапе. - Душанбе, 1961. - 203 с.</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Ковачев Д.А. Проблемы Конституционного права. – М.: Издательство «Олита», 2003. - 376 с.</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Копабаева А.О. Конституционно-правовой статус маслихатов. - Алмаматы: Жет</w:t>
      </w:r>
      <w:r w:rsidRPr="00DA76A7">
        <w:rPr>
          <w:rFonts w:ascii="Arial" w:hAnsi="Arial" w:cs="Arial"/>
          <w:color w:val="000000" w:themeColor="text1"/>
          <w:sz w:val="22"/>
          <w:szCs w:val="22"/>
          <w:lang w:val="en-US"/>
        </w:rPr>
        <w:t>i</w:t>
      </w:r>
      <w:r w:rsidRPr="00DA76A7">
        <w:rPr>
          <w:rFonts w:ascii="Arial" w:hAnsi="Arial" w:cs="Arial"/>
          <w:color w:val="000000" w:themeColor="text1"/>
          <w:sz w:val="22"/>
          <w:szCs w:val="22"/>
        </w:rPr>
        <w:t xml:space="preserve"> жарѓы, 2000. - 88 с.</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Краткий юридический словарь // под ред. А.Н. Азрилияна. – М.: «Институт новой экономики», 2005. - 1088 с.</w:t>
      </w:r>
    </w:p>
    <w:p w:rsidR="005B31C6" w:rsidRPr="00DA76A7" w:rsidRDefault="005B31C6" w:rsidP="00D45D6B">
      <w:pPr>
        <w:pStyle w:val="af2"/>
        <w:numPr>
          <w:ilvl w:val="0"/>
          <w:numId w:val="160"/>
        </w:numPr>
        <w:tabs>
          <w:tab w:val="left" w:pos="851"/>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Кубарков А.Н. Разойдемся красиво! // Муниципальная власть. - 1999. - №4-5. - С. 28.</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Кутафин О.Е., Шеремет К.Ф. Компетенция местных Советов. – М.: «Юридическая литература», 1982. - 232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Мацупа Л.В. Конституционно-правовые основы деятельности маслихатов местных представительных органов Республики Казахстан: дис. ... канд. юрид. наук. - Челябинск, 2005. - 236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bCs/>
          <w:color w:val="000000" w:themeColor="text1"/>
          <w:sz w:val="22"/>
          <w:szCs w:val="22"/>
        </w:rPr>
        <w:t>Основы государства и права Республики Казахстан: учебное пособие // отв. ред. Г.С. Сапаргалиев. - Алма-Аты: «</w:t>
      </w:r>
      <w:r w:rsidRPr="00DA76A7">
        <w:rPr>
          <w:rFonts w:ascii="Arial" w:hAnsi="Arial" w:cs="Arial"/>
          <w:color w:val="000000" w:themeColor="text1"/>
          <w:sz w:val="22"/>
          <w:szCs w:val="22"/>
        </w:rPr>
        <w:t>Жет</w:t>
      </w:r>
      <w:r w:rsidRPr="00DA76A7">
        <w:rPr>
          <w:rFonts w:ascii="Arial" w:hAnsi="Arial" w:cs="Arial"/>
          <w:color w:val="000000" w:themeColor="text1"/>
          <w:sz w:val="22"/>
          <w:szCs w:val="22"/>
          <w:lang w:val="en-US"/>
        </w:rPr>
        <w:t>i</w:t>
      </w:r>
      <w:r w:rsidRPr="00DA76A7">
        <w:rPr>
          <w:rFonts w:ascii="Arial" w:hAnsi="Arial" w:cs="Arial"/>
          <w:color w:val="000000" w:themeColor="text1"/>
          <w:sz w:val="22"/>
          <w:szCs w:val="22"/>
        </w:rPr>
        <w:t xml:space="preserve"> жарѓы</w:t>
      </w:r>
      <w:r w:rsidRPr="00DA76A7">
        <w:rPr>
          <w:rFonts w:ascii="Arial" w:hAnsi="Arial" w:cs="Arial"/>
          <w:bCs/>
          <w:color w:val="000000" w:themeColor="text1"/>
          <w:sz w:val="22"/>
          <w:szCs w:val="22"/>
        </w:rPr>
        <w:t>», 1997. - 495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Общая теория государства и права. Академический курс в 2-х томах // отв. ред. М.Н. Марченко. – М.: «Зерцало», 1998. - 416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Проблемы общей теории права и государства // под общ. ред. В.С. Нерсесянца. – М.: «Норма, Инфра-М», 1999. - 832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Попова В.И., Савенков Н.Т. Районный Совет депутатов трудящихся. – М.: «Юридическая литература», 1962. - 236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Постовой И.В. Муниципальное право России. – М.: «Юриспруденция», 2000. - 128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Раджабов С.Р. Новый этап деятельности местных органов государственной власти (на тадж. языке) // Государство и право. - 2004. - №4. - С. 24-28.</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Раджабов С.Р. Конституционно-правовые основы организации и деятельности местных органов государственной власти Республики Таджикистан (на тадж. языке) // Государство и право. - 2006. - №4. - С. 19-25.</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Тихомиров Ю.А. Теория компетенции. – М.: «Юринформцентр», 2001. - 352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Турегельдинов Ж. Местное самоуправление, каким ему быть? [Электронный ресурс] // Казахстанская правда (информационный портал). - 2007. - 22 мая. Режим доступа: </w:t>
      </w:r>
      <w:hyperlink r:id="rId414" w:history="1">
        <w:r w:rsidRPr="00DA76A7">
          <w:rPr>
            <w:rStyle w:val="af0"/>
            <w:rFonts w:ascii="Arial" w:hAnsi="Arial" w:cs="Arial"/>
            <w:color w:val="000000" w:themeColor="text1"/>
            <w:sz w:val="22"/>
            <w:szCs w:val="22"/>
            <w:u w:val="none"/>
          </w:rPr>
          <w:t>http://www.zakon.kz/87580-mestnoe-samoupravlenie-kakim-emu-byt.html</w:t>
        </w:r>
      </w:hyperlink>
      <w:r w:rsidRPr="00DA76A7">
        <w:rPr>
          <w:rFonts w:ascii="Arial" w:hAnsi="Arial" w:cs="Arial"/>
          <w:color w:val="000000" w:themeColor="text1"/>
          <w:sz w:val="22"/>
          <w:szCs w:val="22"/>
        </w:rPr>
        <w:t xml:space="preserve"> (дата обращения: 20.03.2018).</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Шевчик Н.А. Государственная власть и местное самоуправление: правовые проблемы взаимодействия: Автореф. дис. … канд. юрид. наук. - Тюмень, 2001. - 22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Шеремет К.Ф. Вопросы компетенции местных Советов // Советское государство и право. - 1965. - №4. - С. 17-28.</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Шерипбаев А.М.</w:t>
      </w:r>
      <w:r w:rsidRPr="00DA76A7">
        <w:rPr>
          <w:rFonts w:ascii="Arial" w:hAnsi="Arial" w:cs="Arial"/>
          <w:i/>
          <w:color w:val="000000" w:themeColor="text1"/>
          <w:sz w:val="22"/>
          <w:szCs w:val="22"/>
        </w:rPr>
        <w:t xml:space="preserve"> </w:t>
      </w:r>
      <w:r w:rsidRPr="00DA76A7">
        <w:rPr>
          <w:rFonts w:ascii="Arial" w:hAnsi="Arial" w:cs="Arial"/>
          <w:color w:val="000000" w:themeColor="text1"/>
          <w:sz w:val="22"/>
          <w:szCs w:val="22"/>
        </w:rPr>
        <w:t>Правовой статус местных органов власти (сравнительно правовой анализ законодательства Кыргызской Республики, Российской Федерации и Республики Казахстан): дис. ... канд. юрид. наук. – М., 2004. - 236 с.</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Якубова С. Конституционно-правовой статус Маджлиси Оли Республики Таджикистан. - Душанбе, 2009. - С. 5.</w:t>
      </w:r>
    </w:p>
    <w:p w:rsidR="005B31C6" w:rsidRPr="00DA76A7" w:rsidRDefault="005B31C6" w:rsidP="00D45D6B">
      <w:pPr>
        <w:pStyle w:val="af2"/>
        <w:numPr>
          <w:ilvl w:val="0"/>
          <w:numId w:val="160"/>
        </w:numPr>
        <w:tabs>
          <w:tab w:val="left" w:pos="993"/>
        </w:tabs>
        <w:ind w:left="0" w:firstLine="567"/>
        <w:jc w:val="both"/>
        <w:rPr>
          <w:rFonts w:ascii="Arial" w:hAnsi="Arial" w:cs="Arial"/>
          <w:color w:val="000000" w:themeColor="text1"/>
          <w:sz w:val="22"/>
          <w:szCs w:val="22"/>
        </w:rPr>
      </w:pPr>
      <w:r w:rsidRPr="00DA76A7">
        <w:rPr>
          <w:rFonts w:ascii="Arial" w:hAnsi="Arial" w:cs="Arial"/>
          <w:color w:val="000000" w:themeColor="text1"/>
          <w:sz w:val="22"/>
          <w:szCs w:val="22"/>
        </w:rPr>
        <w:t>Ямпольская Ц.А. Органы советского государственного управления в современный период. – М., 1954. - 227 с.</w:t>
      </w:r>
    </w:p>
    <w:p w:rsidR="005B31C6" w:rsidRPr="00DA76A7" w:rsidRDefault="005B31C6" w:rsidP="005B31C6">
      <w:pPr>
        <w:ind w:firstLine="567"/>
        <w:rPr>
          <w:rFonts w:ascii="Arial" w:hAnsi="Arial" w:cs="Arial"/>
          <w:b/>
          <w:color w:val="000000" w:themeColor="text1"/>
          <w:sz w:val="22"/>
          <w:szCs w:val="22"/>
        </w:rPr>
      </w:pPr>
    </w:p>
    <w:p w:rsidR="005B31C6" w:rsidRPr="00DA76A7" w:rsidRDefault="005B31C6" w:rsidP="005B31C6">
      <w:pPr>
        <w:pStyle w:val="a7"/>
        <w:shd w:val="clear" w:color="auto" w:fill="FFFFFF"/>
        <w:spacing w:before="0" w:beforeAutospacing="0" w:after="0" w:afterAutospacing="0"/>
        <w:jc w:val="center"/>
        <w:rPr>
          <w:rFonts w:ascii="Arial" w:hAnsi="Arial" w:cs="Arial"/>
          <w:b/>
          <w:color w:val="000000" w:themeColor="text1"/>
          <w:sz w:val="22"/>
          <w:szCs w:val="22"/>
        </w:rPr>
      </w:pPr>
      <w:r w:rsidRPr="00DA76A7">
        <w:rPr>
          <w:rFonts w:ascii="Arial" w:hAnsi="Arial" w:cs="Arial"/>
          <w:b/>
          <w:color w:val="000000" w:themeColor="text1"/>
          <w:sz w:val="22"/>
          <w:szCs w:val="22"/>
        </w:rPr>
        <w:t>СПЕЦИФИЧЕСКИЕ ЧЕРТЫ ПРИСУЩИЕ КОНСТИТУЦИИ РОССИЙСКОЙ ФЕДЕРАЦИИ</w:t>
      </w:r>
    </w:p>
    <w:p w:rsidR="005B31C6" w:rsidRPr="00DA76A7" w:rsidRDefault="005B31C6" w:rsidP="005B31C6">
      <w:pPr>
        <w:pStyle w:val="a7"/>
        <w:shd w:val="clear" w:color="auto" w:fill="FFFFFF"/>
        <w:spacing w:before="0" w:beforeAutospacing="0" w:after="0" w:afterAutospacing="0"/>
        <w:jc w:val="center"/>
        <w:rPr>
          <w:rFonts w:ascii="Arial" w:hAnsi="Arial" w:cs="Arial"/>
          <w:b/>
          <w:color w:val="000000" w:themeColor="text1"/>
          <w:sz w:val="22"/>
          <w:szCs w:val="22"/>
        </w:rPr>
      </w:pPr>
    </w:p>
    <w:p w:rsidR="005B31C6" w:rsidRPr="00DA76A7" w:rsidRDefault="005B31C6" w:rsidP="005B31C6">
      <w:pPr>
        <w:pStyle w:val="a7"/>
        <w:shd w:val="clear" w:color="auto" w:fill="FFFFFF"/>
        <w:spacing w:before="0" w:beforeAutospacing="0" w:after="0" w:afterAutospacing="0"/>
        <w:jc w:val="center"/>
        <w:rPr>
          <w:rFonts w:ascii="Arial" w:hAnsi="Arial" w:cs="Arial"/>
          <w:b/>
          <w:color w:val="000000" w:themeColor="text1"/>
          <w:sz w:val="22"/>
          <w:szCs w:val="22"/>
        </w:rPr>
      </w:pPr>
      <w:r w:rsidRPr="00DA76A7">
        <w:rPr>
          <w:rFonts w:ascii="Arial" w:hAnsi="Arial" w:cs="Arial"/>
          <w:b/>
          <w:color w:val="000000" w:themeColor="text1"/>
          <w:sz w:val="22"/>
          <w:szCs w:val="22"/>
        </w:rPr>
        <w:t>Шамсудинова Зебо Саидчалоловна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B31C6" w:rsidRPr="00DA76A7" w:rsidRDefault="005B31C6" w:rsidP="005B31C6">
      <w:pPr>
        <w:pStyle w:val="a7"/>
        <w:shd w:val="clear" w:color="auto" w:fill="FFFFFF"/>
        <w:spacing w:before="0" w:beforeAutospacing="0" w:after="0" w:afterAutospacing="0"/>
        <w:jc w:val="center"/>
        <w:rPr>
          <w:rFonts w:ascii="Arial" w:hAnsi="Arial" w:cs="Arial"/>
          <w:b/>
          <w:color w:val="000000" w:themeColor="text1"/>
          <w:sz w:val="22"/>
          <w:szCs w:val="22"/>
        </w:rPr>
      </w:pPr>
      <w:r w:rsidRPr="00DA76A7">
        <w:rPr>
          <w:rFonts w:ascii="Arial" w:hAnsi="Arial" w:cs="Arial"/>
          <w:color w:val="000000" w:themeColor="text1"/>
          <w:sz w:val="22"/>
          <w:szCs w:val="22"/>
        </w:rPr>
        <w:t>тел.: 931-32-92-81,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r w:rsidRPr="00DA76A7">
        <w:rPr>
          <w:rFonts w:ascii="Arial" w:hAnsi="Arial" w:cs="Arial"/>
          <w:color w:val="000000" w:themeColor="text1"/>
          <w:sz w:val="22"/>
          <w:szCs w:val="22"/>
          <w:lang w:val="en-US"/>
        </w:rPr>
        <w:t>shamsudinova</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w:t>
      </w:r>
      <w:r w:rsidRPr="00DA76A7">
        <w:rPr>
          <w:rFonts w:ascii="Arial" w:hAnsi="Arial" w:cs="Arial"/>
          <w:color w:val="000000" w:themeColor="text1"/>
          <w:sz w:val="22"/>
          <w:szCs w:val="22"/>
          <w:lang w:val="en-US"/>
        </w:rPr>
        <w:t>ru</w:t>
      </w:r>
      <w:r w:rsidRPr="00DA76A7">
        <w:rPr>
          <w:rFonts w:ascii="Arial" w:hAnsi="Arial" w:cs="Arial"/>
          <w:b/>
          <w:color w:val="000000" w:themeColor="text1"/>
          <w:sz w:val="22"/>
          <w:szCs w:val="22"/>
        </w:rPr>
        <w:t xml:space="preserve"> </w:t>
      </w:r>
      <w:r w:rsidRPr="00DA76A7">
        <w:rPr>
          <w:rFonts w:ascii="Arial" w:hAnsi="Arial" w:cs="Arial"/>
          <w:color w:val="000000" w:themeColor="text1"/>
          <w:sz w:val="22"/>
          <w:szCs w:val="22"/>
        </w:rPr>
        <w:t xml:space="preserve"> </w:t>
      </w:r>
    </w:p>
    <w:p w:rsidR="005B31C6" w:rsidRPr="00DA76A7" w:rsidRDefault="005B31C6" w:rsidP="004E0C8F">
      <w:pPr>
        <w:pStyle w:val="a7"/>
        <w:shd w:val="clear" w:color="auto" w:fill="FFFFFF"/>
        <w:spacing w:before="0" w:beforeAutospacing="0" w:after="0" w:afterAutospacing="0"/>
        <w:jc w:val="center"/>
        <w:rPr>
          <w:rFonts w:ascii="Arial" w:hAnsi="Arial" w:cs="Arial"/>
          <w:b/>
          <w:color w:val="000000" w:themeColor="text1"/>
          <w:sz w:val="22"/>
          <w:szCs w:val="22"/>
          <w:lang w:val="en-US"/>
        </w:rPr>
      </w:pPr>
      <w:r w:rsidRPr="00542B0A">
        <w:rPr>
          <w:rFonts w:ascii="Arial" w:hAnsi="Arial" w:cs="Arial"/>
          <w:b/>
          <w:color w:val="000000" w:themeColor="text1"/>
          <w:sz w:val="22"/>
          <w:szCs w:val="22"/>
          <w:lang w:val="en-US"/>
        </w:rPr>
        <w:br/>
      </w:r>
      <w:r w:rsidRPr="00DA76A7">
        <w:rPr>
          <w:rFonts w:ascii="Arial" w:hAnsi="Arial" w:cs="Arial"/>
          <w:b/>
          <w:color w:val="000000" w:themeColor="text1"/>
          <w:sz w:val="22"/>
          <w:szCs w:val="22"/>
          <w:lang w:val="en-US"/>
        </w:rPr>
        <w:t>SPECIFIC FEATURES OF THE CONSTITUTION</w:t>
      </w:r>
      <w:r w:rsidR="004E0C8F" w:rsidRPr="00DA76A7">
        <w:rPr>
          <w:rFonts w:ascii="Arial" w:hAnsi="Arial" w:cs="Arial"/>
          <w:b/>
          <w:color w:val="000000" w:themeColor="text1"/>
          <w:sz w:val="22"/>
          <w:szCs w:val="22"/>
          <w:lang w:val="en-US"/>
        </w:rPr>
        <w:t xml:space="preserve"> </w:t>
      </w:r>
      <w:r w:rsidRPr="00DA76A7">
        <w:rPr>
          <w:rFonts w:ascii="Arial" w:hAnsi="Arial" w:cs="Arial"/>
          <w:b/>
          <w:color w:val="000000" w:themeColor="text1"/>
          <w:sz w:val="22"/>
          <w:szCs w:val="22"/>
          <w:lang w:val="en-US"/>
        </w:rPr>
        <w:t>OF THE RUSSIAN FEDERATION</w:t>
      </w:r>
    </w:p>
    <w:p w:rsidR="005B31C6" w:rsidRPr="00DA76A7" w:rsidRDefault="005B31C6" w:rsidP="005B31C6">
      <w:pPr>
        <w:pStyle w:val="a7"/>
        <w:shd w:val="clear" w:color="auto" w:fill="FFFFFF"/>
        <w:spacing w:before="0" w:beforeAutospacing="0" w:after="0" w:afterAutospacing="0"/>
        <w:jc w:val="center"/>
        <w:rPr>
          <w:rFonts w:ascii="Arial" w:hAnsi="Arial" w:cs="Arial"/>
          <w:b/>
          <w:color w:val="000000" w:themeColor="text1"/>
          <w:sz w:val="22"/>
          <w:szCs w:val="22"/>
          <w:shd w:val="clear" w:color="auto" w:fill="FFFFFF"/>
          <w:lang w:val="en-US"/>
        </w:rPr>
      </w:pPr>
    </w:p>
    <w:p w:rsidR="005B31C6" w:rsidRPr="00DA76A7" w:rsidRDefault="005B31C6" w:rsidP="005B31C6">
      <w:pPr>
        <w:pStyle w:val="a7"/>
        <w:shd w:val="clear" w:color="auto" w:fill="FFFFFF"/>
        <w:spacing w:before="0" w:beforeAutospacing="0" w:after="0" w:afterAutospacing="0"/>
        <w:jc w:val="center"/>
        <w:rPr>
          <w:rFonts w:ascii="Arial" w:hAnsi="Arial" w:cs="Arial"/>
          <w:b/>
          <w:color w:val="000000" w:themeColor="text1"/>
          <w:sz w:val="22"/>
          <w:szCs w:val="22"/>
          <w:lang w:val="en-US"/>
        </w:rPr>
      </w:pPr>
      <w:r w:rsidRPr="00DA76A7">
        <w:rPr>
          <w:rFonts w:ascii="Arial" w:hAnsi="Arial" w:cs="Arial"/>
          <w:b/>
          <w:color w:val="000000" w:themeColor="text1"/>
          <w:sz w:val="22"/>
          <w:szCs w:val="22"/>
          <w:shd w:val="clear" w:color="auto" w:fill="FFFFFF"/>
          <w:lang w:val="en-US"/>
        </w:rPr>
        <w:t>Shamsudinova Zebo Saidchalolovna</w:t>
      </w:r>
    </w:p>
    <w:p w:rsidR="005B31C6" w:rsidRPr="00DA76A7" w:rsidRDefault="005B31C6" w:rsidP="005B31C6">
      <w:pPr>
        <w:tabs>
          <w:tab w:val="left" w:pos="426"/>
        </w:tabs>
        <w:jc w:val="center"/>
        <w:outlineLvl w:val="1"/>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t>graduate student of the second year of correspondence department of the law faculty</w:t>
      </w:r>
    </w:p>
    <w:p w:rsidR="005B31C6" w:rsidRPr="00DA76A7" w:rsidRDefault="005B31C6" w:rsidP="005B31C6">
      <w:pPr>
        <w:pStyle w:val="a7"/>
        <w:shd w:val="clear" w:color="auto" w:fill="FFFFFF"/>
        <w:spacing w:before="0" w:beforeAutospacing="0" w:after="0" w:afterAutospacing="0"/>
        <w:jc w:val="center"/>
        <w:rPr>
          <w:rFonts w:ascii="Arial" w:hAnsi="Arial" w:cs="Arial"/>
          <w:b/>
          <w:color w:val="000000" w:themeColor="text1"/>
          <w:sz w:val="22"/>
          <w:szCs w:val="22"/>
          <w:shd w:val="clear" w:color="auto" w:fill="FFFFFF"/>
          <w:lang w:val="en-US"/>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M. Tursunzade str., 30</w:t>
      </w:r>
    </w:p>
    <w:p w:rsidR="005B31C6" w:rsidRPr="00DA76A7" w:rsidRDefault="005B31C6" w:rsidP="005B31C6">
      <w:pPr>
        <w:pStyle w:val="a7"/>
        <w:shd w:val="clear" w:color="auto" w:fill="FFFFFF"/>
        <w:spacing w:before="0" w:beforeAutospacing="0" w:after="0" w:afterAutospacing="0"/>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 xml:space="preserve">tel.: </w:t>
      </w:r>
      <w:r w:rsidRPr="00DA76A7">
        <w:rPr>
          <w:rFonts w:ascii="Arial" w:hAnsi="Arial" w:cs="Arial"/>
          <w:color w:val="000000" w:themeColor="text1"/>
          <w:sz w:val="22"/>
          <w:szCs w:val="22"/>
          <w:lang w:val="en-US"/>
        </w:rPr>
        <w:t xml:space="preserve">931-32-92-81,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-mail: shamsudinova@mail.ru</w:t>
      </w:r>
      <w:r w:rsidRPr="00DA76A7">
        <w:rPr>
          <w:rFonts w:ascii="Arial" w:hAnsi="Arial" w:cs="Arial"/>
          <w:b/>
          <w:color w:val="000000" w:themeColor="text1"/>
          <w:sz w:val="22"/>
          <w:szCs w:val="22"/>
          <w:lang w:val="en-US"/>
        </w:rPr>
        <w:t xml:space="preserve"> </w:t>
      </w:r>
      <w:r w:rsidRPr="00DA76A7">
        <w:rPr>
          <w:rFonts w:ascii="Arial" w:hAnsi="Arial" w:cs="Arial"/>
          <w:color w:val="000000" w:themeColor="text1"/>
          <w:sz w:val="22"/>
          <w:szCs w:val="22"/>
          <w:lang w:val="en-US"/>
        </w:rPr>
        <w:t xml:space="preserve"> </w:t>
      </w:r>
    </w:p>
    <w:p w:rsidR="005B31C6" w:rsidRPr="00DA76A7" w:rsidRDefault="005B31C6" w:rsidP="005B31C6">
      <w:pPr>
        <w:pStyle w:val="a7"/>
        <w:shd w:val="clear" w:color="auto" w:fill="FFFFFF"/>
        <w:spacing w:before="0" w:beforeAutospacing="0" w:after="0" w:afterAutospacing="0"/>
        <w:ind w:firstLine="567"/>
        <w:jc w:val="center"/>
        <w:rPr>
          <w:rFonts w:ascii="Arial" w:hAnsi="Arial" w:cs="Arial"/>
          <w:color w:val="000000" w:themeColor="text1"/>
          <w:sz w:val="22"/>
          <w:szCs w:val="22"/>
          <w:lang w:val="en-US"/>
        </w:rPr>
      </w:pPr>
    </w:p>
    <w:p w:rsidR="005B31C6" w:rsidRPr="00DA76A7" w:rsidRDefault="005B31C6" w:rsidP="005B31C6">
      <w:pPr>
        <w:pStyle w:val="a7"/>
        <w:shd w:val="clear" w:color="auto" w:fill="FFFFFF"/>
        <w:spacing w:before="0" w:beforeAutospacing="0" w:after="0" w:afterAutospacing="0"/>
        <w:ind w:firstLine="567"/>
        <w:jc w:val="right"/>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д.ю.н., профессор Алимов С.Ю.</w:t>
      </w:r>
    </w:p>
    <w:p w:rsidR="005B31C6" w:rsidRPr="00DA76A7" w:rsidRDefault="005B31C6" w:rsidP="005B31C6">
      <w:pPr>
        <w:pStyle w:val="a7"/>
        <w:shd w:val="clear" w:color="auto" w:fill="FFFFFF"/>
        <w:spacing w:before="0" w:beforeAutospacing="0" w:after="0" w:afterAutospacing="0"/>
        <w:ind w:firstLine="567"/>
        <w:jc w:val="right"/>
        <w:rPr>
          <w:rFonts w:ascii="Arial" w:hAnsi="Arial" w:cs="Arial"/>
          <w:color w:val="000000" w:themeColor="text1"/>
          <w:sz w:val="22"/>
          <w:szCs w:val="22"/>
        </w:rPr>
      </w:pPr>
    </w:p>
    <w:p w:rsidR="005B31C6" w:rsidRPr="00DA76A7" w:rsidRDefault="005B31C6" w:rsidP="005B31C6">
      <w:pPr>
        <w:pStyle w:val="a7"/>
        <w:shd w:val="clear" w:color="auto" w:fill="FFFFFF"/>
        <w:spacing w:before="0" w:beforeAutospacing="0" w:after="0" w:afterAutospacing="0"/>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В данной статье раскрываются специфические черты присущие Конституции Российской Федерации, рассмотрен порядок наделения конкретных лиц государственной властью, представлен краткий анализ проблем передачи государственной власти в процессе избирательных процедур.  </w:t>
      </w:r>
    </w:p>
    <w:p w:rsidR="005B31C6" w:rsidRPr="00DA76A7" w:rsidRDefault="005B31C6" w:rsidP="005B31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 xml:space="preserve">This article reveals the specific features inherent in the Constitution of the Russian Federation, considered the procedure for granting specific persons state power, and provides a brief analysis of the problems of the transfer of state power in the process of election procedures.  </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bCs/>
          <w:i/>
          <w:color w:val="000000" w:themeColor="text1"/>
          <w:sz w:val="22"/>
          <w:szCs w:val="22"/>
        </w:rPr>
      </w:pPr>
      <w:r w:rsidRPr="00DA76A7">
        <w:rPr>
          <w:rFonts w:ascii="Arial" w:hAnsi="Arial" w:cs="Arial"/>
          <w:b/>
          <w:bCs/>
          <w:i/>
          <w:color w:val="000000" w:themeColor="text1"/>
          <w:sz w:val="22"/>
          <w:szCs w:val="22"/>
        </w:rPr>
        <w:t xml:space="preserve">Ключевые слова: </w:t>
      </w:r>
      <w:r w:rsidRPr="00DA76A7">
        <w:rPr>
          <w:rFonts w:ascii="Arial" w:hAnsi="Arial" w:cs="Arial"/>
          <w:bCs/>
          <w:i/>
          <w:color w:val="000000" w:themeColor="text1"/>
          <w:sz w:val="22"/>
          <w:szCs w:val="22"/>
        </w:rPr>
        <w:t xml:space="preserve">конституция, преамбула, система, структура, принципы, нормы, права, свободы.    </w:t>
      </w:r>
    </w:p>
    <w:p w:rsidR="005B31C6" w:rsidRPr="00DA76A7" w:rsidRDefault="005B31C6" w:rsidP="005B31C6">
      <w:pPr>
        <w:pStyle w:val="a7"/>
        <w:shd w:val="clear" w:color="auto" w:fill="FFFFFF"/>
        <w:spacing w:before="0" w:beforeAutospacing="0" w:after="0" w:afterAutospacing="0"/>
        <w:ind w:firstLine="567"/>
        <w:jc w:val="both"/>
        <w:rPr>
          <w:rFonts w:ascii="Arial" w:hAnsi="Arial" w:cs="Arial"/>
          <w:bCs/>
          <w:i/>
          <w:color w:val="000000" w:themeColor="text1"/>
          <w:sz w:val="22"/>
          <w:szCs w:val="22"/>
          <w:lang w:val="en-US"/>
        </w:rPr>
      </w:pPr>
      <w:r w:rsidRPr="00DA76A7">
        <w:rPr>
          <w:rFonts w:ascii="Arial" w:hAnsi="Arial" w:cs="Arial"/>
          <w:b/>
          <w:i/>
          <w:color w:val="000000" w:themeColor="text1"/>
          <w:sz w:val="22"/>
          <w:szCs w:val="22"/>
          <w:lang w:val="en-US"/>
        </w:rPr>
        <w:t xml:space="preserve">Key words: </w:t>
      </w:r>
      <w:r w:rsidRPr="00DA76A7">
        <w:rPr>
          <w:rFonts w:ascii="Arial" w:hAnsi="Arial" w:cs="Arial"/>
          <w:i/>
          <w:color w:val="000000" w:themeColor="text1"/>
          <w:sz w:val="22"/>
          <w:szCs w:val="22"/>
          <w:lang w:val="en-US"/>
        </w:rPr>
        <w:t>constitution, preamble, system, structure, principles, norms, rights, freedoms.</w:t>
      </w:r>
    </w:p>
    <w:p w:rsidR="005B31C6" w:rsidRPr="00DA76A7" w:rsidRDefault="005B31C6" w:rsidP="005B31C6">
      <w:pPr>
        <w:pStyle w:val="a7"/>
        <w:shd w:val="clear" w:color="auto" w:fill="FFFFFF"/>
        <w:spacing w:before="0" w:beforeAutospacing="0" w:after="0" w:afterAutospacing="0"/>
        <w:ind w:firstLine="567"/>
        <w:jc w:val="center"/>
        <w:rPr>
          <w:rFonts w:ascii="Arial" w:hAnsi="Arial" w:cs="Arial"/>
          <w:b/>
          <w:color w:val="000000" w:themeColor="text1"/>
          <w:sz w:val="22"/>
          <w:szCs w:val="22"/>
          <w:lang w:val="en-US"/>
        </w:rPr>
      </w:pPr>
    </w:p>
    <w:p w:rsidR="005B31C6" w:rsidRPr="00DA76A7" w:rsidRDefault="005B31C6" w:rsidP="005B31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Наряду с инстинктом самосохранения природа наградила человека и другими качествами. Среди них можно выделить стремление одних людей управлять другими, в то время как другие, при определенных условиях, согласны быть управляемыми.</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Для того чтобы примирение политических интересов было действительным, люди должны выработать и установить в конституции такие правила приема-передачи власти, которые устраивали бы если не всех людей, то самое максимальное их число [2, 154-155]. Причем заранее должно быть оговорено, что, если какого-то человека эти правила не устраивают, он должен иметь право на временное или постоянное самоустранение из политической жизни общества и быть оставленным в покое. В таком случае человек живет по правилам, которые устанавливаются текущим законодательством государства, а если лицо не принимает никакого гражданства, то живет только по правилам, регламентирующим частную жизнь того государства, на территории которого он находится. Здесь общество не вправе требовать от человека нести перед ним повинности, поскольку и сам человек не нуждается в таком обществе, конституцию которого он ставит под сомнение [4, 151-152].</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Вместе с тем как обязательное условие должно быть установлено и то, что, если число выбывших из политической жизни людей достигает какого-то заранее определенного количества, конституция должна подлежать пересмотру, причем с обязательным учетом мнения всех абсентеистов. Если держатели власти не согласятся на мирный пересмотр конституции или окажутся не в силах по каким-либо причинам его организовать, у людей должно возникать легитимное право на принудительную смену власти, пересмотр старых или установление новых политических правил.</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Заметим, что, например, в Конституции РФ 1993 г. вопросы приема-передачи власти совсем обходятся стороной и не подлежат хоть какой-либо регламентации. На этот счет в ней содержится только памятка о том, что единственным источником власти и носителем суверенитета является многонациональный народ России [3, 149-150]. Институт же избирательного права выведен за рамки текста Конституции. Порядок наделения конкретных лиц государственной властью устанавливается Федеральным законом Российской Федерации самим органом государственной власти. При таком подходе общенародный вопрос о власти предрешается интересами государства, поскольку порядок его решения Конституция уступила государству [1, 135-136]. Возможно, с точки зрения мировой практики порядок установления и корректировки избирательной системы самими органами государственной власти соответствует демократическим нормам [2, 155-156]. Однако очевидно, что сосредоточение реальной власти только в руках государства чревато гиперболизацией государственных интересов в ущерб интересам человека и общества. Только этим может объясняться парадоксальность экономической ситуации, в которой оказалась Россия осенью 2004 г., когда государство за счет неожиданного повышения мировых цен на нефть встало вдруг перед дилеммой расходования незапланированных доходов, это притом, что для населения страны рост цен на энергоресурсы обернулся повсеместным удорожанием жизни. Возможно, что при разработке Конституции РФ 1993 г. никто и не помышлял о том, чтобы каким-либо образом ущемить права человека и общества в угоду интересам государства. Но реальность такова, что недостаточность теоретической проработки, в частности игнорирование политической природы Конституции, ослабляет ее защитный потенциал для человека.</w:t>
      </w:r>
    </w:p>
    <w:p w:rsidR="008855E2" w:rsidRDefault="008855E2" w:rsidP="005B31C6">
      <w:pPr>
        <w:ind w:firstLine="567"/>
        <w:jc w:val="center"/>
        <w:rPr>
          <w:rFonts w:ascii="Arial" w:hAnsi="Arial" w:cs="Arial"/>
          <w:b/>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61"/>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Макушин А.А. Сущность Конституции // Конституционное и муниципальное право. - М., 2005. - 379 с.</w:t>
      </w:r>
    </w:p>
    <w:p w:rsidR="005B31C6" w:rsidRPr="00DA76A7" w:rsidRDefault="005B31C6" w:rsidP="00D45D6B">
      <w:pPr>
        <w:pStyle w:val="a6"/>
        <w:numPr>
          <w:ilvl w:val="0"/>
          <w:numId w:val="161"/>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 xml:space="preserve">Марченко М. Н. Проблемы теории государства и права. - М.: ТК Велби, Проспект, 2005. - 752 с. </w:t>
      </w:r>
    </w:p>
    <w:p w:rsidR="005B31C6" w:rsidRPr="00DA76A7" w:rsidRDefault="005B31C6" w:rsidP="00D45D6B">
      <w:pPr>
        <w:pStyle w:val="a6"/>
        <w:numPr>
          <w:ilvl w:val="0"/>
          <w:numId w:val="161"/>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Румянцев О.Г. Основы конституционного строя России. Понятие, содержание, вопросы становления. - М.: «Юрист», 1994. - 278 с.</w:t>
      </w:r>
    </w:p>
    <w:p w:rsidR="005B31C6" w:rsidRPr="00DA76A7" w:rsidRDefault="005B31C6" w:rsidP="00D45D6B">
      <w:pPr>
        <w:pStyle w:val="a6"/>
        <w:numPr>
          <w:ilvl w:val="0"/>
          <w:numId w:val="161"/>
        </w:numPr>
        <w:tabs>
          <w:tab w:val="left" w:pos="284"/>
          <w:tab w:val="left" w:pos="851"/>
        </w:tabs>
        <w:spacing w:after="0" w:line="240" w:lineRule="auto"/>
        <w:ind w:left="0" w:firstLine="567"/>
        <w:jc w:val="both"/>
        <w:rPr>
          <w:rFonts w:ascii="Arial" w:hAnsi="Arial" w:cs="Arial"/>
          <w:color w:val="000000" w:themeColor="text1"/>
        </w:rPr>
      </w:pPr>
      <w:r w:rsidRPr="00DA76A7">
        <w:rPr>
          <w:rFonts w:ascii="Arial" w:hAnsi="Arial" w:cs="Arial"/>
          <w:color w:val="000000" w:themeColor="text1"/>
        </w:rPr>
        <w:t>Толстых В.Л. Прямое действие Конституции // Конституционное и муниципальное право. - М., 2002. - № 4. - С. 151-152.</w:t>
      </w:r>
    </w:p>
    <w:p w:rsidR="005B31C6" w:rsidRPr="00DA76A7" w:rsidRDefault="005B31C6" w:rsidP="005B31C6">
      <w:pPr>
        <w:ind w:firstLine="567"/>
        <w:rPr>
          <w:rFonts w:ascii="Arial" w:hAnsi="Arial" w:cs="Arial"/>
          <w:color w:val="000000" w:themeColor="text1"/>
          <w:sz w:val="22"/>
          <w:szCs w:val="22"/>
        </w:rPr>
      </w:pPr>
      <w:r w:rsidRPr="00DA76A7">
        <w:rPr>
          <w:rFonts w:ascii="Arial" w:hAnsi="Arial" w:cs="Arial"/>
          <w:color w:val="000000" w:themeColor="text1"/>
          <w:sz w:val="22"/>
          <w:szCs w:val="22"/>
        </w:rPr>
        <w:t xml:space="preserve"> </w:t>
      </w:r>
    </w:p>
    <w:p w:rsidR="005B31C6" w:rsidRPr="00DA76A7" w:rsidRDefault="005B31C6" w:rsidP="005B31C6">
      <w:pPr>
        <w:ind w:firstLine="567"/>
        <w:jc w:val="center"/>
        <w:rPr>
          <w:rFonts w:ascii="Arial" w:hAnsi="Arial" w:cs="Arial"/>
          <w:b/>
          <w:caps/>
          <w:color w:val="000000" w:themeColor="text1"/>
          <w:sz w:val="22"/>
          <w:szCs w:val="22"/>
        </w:rPr>
      </w:pPr>
    </w:p>
    <w:p w:rsidR="005B31C6" w:rsidRPr="00DA76A7" w:rsidRDefault="005B31C6" w:rsidP="005B31C6">
      <w:pPr>
        <w:jc w:val="center"/>
        <w:rPr>
          <w:rFonts w:ascii="Arial" w:hAnsi="Arial" w:cs="Arial"/>
          <w:b/>
          <w:caps/>
          <w:color w:val="000000" w:themeColor="text1"/>
          <w:sz w:val="22"/>
          <w:szCs w:val="22"/>
        </w:rPr>
      </w:pPr>
      <w:r w:rsidRPr="00DA76A7">
        <w:rPr>
          <w:rFonts w:ascii="Arial" w:hAnsi="Arial" w:cs="Arial"/>
          <w:b/>
          <w:caps/>
          <w:color w:val="000000" w:themeColor="text1"/>
          <w:sz w:val="22"/>
          <w:szCs w:val="22"/>
        </w:rPr>
        <w:t>К вопросу о государственном суверенитете: проблемы и перспективы его развития в современных условиях</w:t>
      </w:r>
    </w:p>
    <w:p w:rsidR="005B31C6" w:rsidRPr="00DA76A7" w:rsidRDefault="005B31C6" w:rsidP="005B31C6">
      <w:pPr>
        <w:jc w:val="center"/>
        <w:rPr>
          <w:rFonts w:ascii="Arial" w:hAnsi="Arial" w:cs="Arial"/>
          <w:b/>
          <w:color w:val="000000" w:themeColor="text1"/>
          <w:sz w:val="22"/>
          <w:szCs w:val="22"/>
        </w:rPr>
      </w:pPr>
    </w:p>
    <w:p w:rsidR="005B31C6" w:rsidRPr="00DA76A7" w:rsidRDefault="005B31C6" w:rsidP="005B31C6">
      <w:pPr>
        <w:jc w:val="center"/>
        <w:rPr>
          <w:rFonts w:ascii="Arial" w:hAnsi="Arial" w:cs="Arial"/>
          <w:b/>
          <w:color w:val="000000" w:themeColor="text1"/>
          <w:sz w:val="22"/>
          <w:szCs w:val="22"/>
        </w:rPr>
      </w:pPr>
      <w:r w:rsidRPr="00DA76A7">
        <w:rPr>
          <w:rFonts w:ascii="Arial" w:hAnsi="Arial" w:cs="Arial"/>
          <w:b/>
          <w:color w:val="000000" w:themeColor="text1"/>
          <w:sz w:val="22"/>
          <w:szCs w:val="22"/>
        </w:rPr>
        <w:t>Юсупов Манучехр Джамшедович</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магистрант 2-го  года обучения заочного отделения юридического факультета</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Российско-Таджикский (Славянский) университет</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734025, Республика Таджикистан, г. Душанбе, ул. М. Турсунзаде, 30</w:t>
      </w:r>
    </w:p>
    <w:p w:rsidR="005B31C6" w:rsidRPr="00DA76A7" w:rsidRDefault="005B31C6" w:rsidP="005B31C6">
      <w:pPr>
        <w:jc w:val="center"/>
        <w:rPr>
          <w:rFonts w:ascii="Arial" w:hAnsi="Arial" w:cs="Arial"/>
          <w:color w:val="000000" w:themeColor="text1"/>
          <w:sz w:val="22"/>
          <w:szCs w:val="22"/>
        </w:rPr>
      </w:pPr>
      <w:r w:rsidRPr="00DA76A7">
        <w:rPr>
          <w:rFonts w:ascii="Arial" w:hAnsi="Arial" w:cs="Arial"/>
          <w:color w:val="000000" w:themeColor="text1"/>
          <w:sz w:val="22"/>
          <w:szCs w:val="22"/>
        </w:rPr>
        <w:t>тел.: 918-23-39-39, е-</w:t>
      </w:r>
      <w:r w:rsidRPr="00DA76A7">
        <w:rPr>
          <w:rFonts w:ascii="Arial" w:hAnsi="Arial" w:cs="Arial"/>
          <w:color w:val="000000" w:themeColor="text1"/>
          <w:sz w:val="22"/>
          <w:szCs w:val="22"/>
          <w:lang w:val="en-US"/>
        </w:rPr>
        <w:t>mail</w:t>
      </w:r>
      <w:r w:rsidRPr="00DA76A7">
        <w:rPr>
          <w:rFonts w:ascii="Arial" w:hAnsi="Arial" w:cs="Arial"/>
          <w:color w:val="000000" w:themeColor="text1"/>
          <w:sz w:val="22"/>
          <w:szCs w:val="22"/>
        </w:rPr>
        <w:t xml:space="preserve">: </w:t>
      </w:r>
      <w:hyperlink r:id="rId415" w:history="1">
        <w:r w:rsidRPr="00DA76A7">
          <w:rPr>
            <w:rStyle w:val="af0"/>
            <w:rFonts w:ascii="Arial" w:hAnsi="Arial" w:cs="Arial"/>
            <w:color w:val="000000" w:themeColor="text1"/>
            <w:sz w:val="22"/>
            <w:szCs w:val="22"/>
            <w:u w:val="none"/>
            <w:lang w:val="en-US"/>
          </w:rPr>
          <w:t>erov</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i</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mail</w:t>
        </w:r>
        <w:r w:rsidRPr="00DA76A7">
          <w:rPr>
            <w:rStyle w:val="af0"/>
            <w:rFonts w:ascii="Arial" w:hAnsi="Arial" w:cs="Arial"/>
            <w:color w:val="000000" w:themeColor="text1"/>
            <w:sz w:val="22"/>
            <w:szCs w:val="22"/>
            <w:u w:val="none"/>
          </w:rPr>
          <w:t>.</w:t>
        </w:r>
        <w:r w:rsidRPr="00DA76A7">
          <w:rPr>
            <w:rStyle w:val="af0"/>
            <w:rFonts w:ascii="Arial" w:hAnsi="Arial" w:cs="Arial"/>
            <w:color w:val="000000" w:themeColor="text1"/>
            <w:sz w:val="22"/>
            <w:szCs w:val="22"/>
            <w:u w:val="none"/>
            <w:lang w:val="en-US"/>
          </w:rPr>
          <w:t>ru</w:t>
        </w:r>
      </w:hyperlink>
    </w:p>
    <w:p w:rsidR="005B31C6" w:rsidRPr="00DA76A7" w:rsidRDefault="005B31C6" w:rsidP="005B31C6">
      <w:pPr>
        <w:jc w:val="center"/>
        <w:rPr>
          <w:rFonts w:ascii="Arial" w:hAnsi="Arial" w:cs="Arial"/>
          <w:color w:val="000000" w:themeColor="text1"/>
          <w:sz w:val="22"/>
          <w:szCs w:val="22"/>
        </w:rPr>
      </w:pPr>
    </w:p>
    <w:p w:rsidR="005B31C6" w:rsidRPr="00DA76A7" w:rsidRDefault="005B31C6" w:rsidP="005B31C6">
      <w:pPr>
        <w:jc w:val="center"/>
        <w:outlineLvl w:val="1"/>
        <w:rPr>
          <w:rFonts w:ascii="Arial" w:hAnsi="Arial" w:cs="Arial"/>
          <w:b/>
          <w:caps/>
          <w:color w:val="000000" w:themeColor="text1"/>
          <w:sz w:val="22"/>
          <w:szCs w:val="22"/>
          <w:lang w:val="en-US"/>
        </w:rPr>
      </w:pPr>
      <w:r w:rsidRPr="00DA76A7">
        <w:rPr>
          <w:rFonts w:ascii="Arial" w:hAnsi="Arial" w:cs="Arial"/>
          <w:b/>
          <w:caps/>
          <w:color w:val="000000" w:themeColor="text1"/>
          <w:sz w:val="22"/>
          <w:szCs w:val="22"/>
          <w:lang w:val="en-US"/>
        </w:rPr>
        <w:t>TO THE QUESTION OF STATE SOVEREIGNTY: PROBLEMS AND PROSPECTS OF ITS DEVELOPMENT IN MODERN CONDITIONS</w:t>
      </w:r>
    </w:p>
    <w:p w:rsidR="005B31C6" w:rsidRPr="00DA76A7" w:rsidRDefault="005B31C6" w:rsidP="005B31C6">
      <w:pPr>
        <w:jc w:val="center"/>
        <w:outlineLvl w:val="1"/>
        <w:rPr>
          <w:rFonts w:ascii="Arial" w:hAnsi="Arial" w:cs="Arial"/>
          <w:b/>
          <w:caps/>
          <w:color w:val="000000" w:themeColor="text1"/>
          <w:sz w:val="22"/>
          <w:szCs w:val="22"/>
          <w:lang w:val="en-US"/>
        </w:rPr>
      </w:pPr>
    </w:p>
    <w:p w:rsidR="005B31C6" w:rsidRPr="00DA76A7" w:rsidRDefault="005B31C6" w:rsidP="005B31C6">
      <w:pPr>
        <w:pStyle w:val="HTML"/>
        <w:shd w:val="clear" w:color="auto" w:fill="FFFFFF"/>
        <w:jc w:val="center"/>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Yusupov Manuchehr Jamshedovich</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color w:val="000000" w:themeColor="text1"/>
          <w:sz w:val="22"/>
          <w:szCs w:val="22"/>
          <w:lang w:val="en-US"/>
        </w:rPr>
        <w:t>graduate student of the second year of correspondence department of the law faculty</w:t>
      </w:r>
    </w:p>
    <w:p w:rsidR="005B31C6" w:rsidRPr="00DA76A7" w:rsidRDefault="005B31C6" w:rsidP="005B31C6">
      <w:pPr>
        <w:jc w:val="center"/>
        <w:rPr>
          <w:rFonts w:ascii="Arial" w:hAnsi="Arial" w:cs="Arial"/>
          <w:bCs/>
          <w:color w:val="000000" w:themeColor="text1"/>
          <w:sz w:val="22"/>
          <w:szCs w:val="22"/>
          <w:lang w:val="en-US"/>
        </w:rPr>
      </w:pPr>
      <w:r w:rsidRPr="00DA76A7">
        <w:rPr>
          <w:rFonts w:ascii="Arial" w:hAnsi="Arial" w:cs="Arial"/>
          <w:bCs/>
          <w:color w:val="000000" w:themeColor="text1"/>
          <w:sz w:val="22"/>
          <w:szCs w:val="22"/>
          <w:lang w:val="en-US"/>
        </w:rPr>
        <w:t>Russian-Tajik (Slavonic) university</w:t>
      </w:r>
      <w:r w:rsidRPr="00DA76A7">
        <w:rPr>
          <w:rFonts w:ascii="Arial" w:hAnsi="Arial" w:cs="Arial"/>
          <w:bCs/>
          <w:color w:val="000000" w:themeColor="text1"/>
          <w:sz w:val="22"/>
          <w:szCs w:val="22"/>
          <w:lang w:val="en-US"/>
        </w:rPr>
        <w:br/>
        <w:t>734025, Republic of Tajikistan, Dushanbe, M. Tursunzade str., 30</w:t>
      </w:r>
    </w:p>
    <w:p w:rsidR="005B31C6" w:rsidRPr="00DA76A7" w:rsidRDefault="005B31C6" w:rsidP="005B31C6">
      <w:pPr>
        <w:jc w:val="center"/>
        <w:rPr>
          <w:rFonts w:ascii="Arial" w:hAnsi="Arial" w:cs="Arial"/>
          <w:color w:val="000000" w:themeColor="text1"/>
          <w:sz w:val="22"/>
          <w:szCs w:val="22"/>
          <w:lang w:val="en-US"/>
        </w:rPr>
      </w:pPr>
      <w:r w:rsidRPr="00DA76A7">
        <w:rPr>
          <w:rFonts w:ascii="Arial" w:hAnsi="Arial" w:cs="Arial"/>
          <w:bCs/>
          <w:color w:val="000000" w:themeColor="text1"/>
          <w:sz w:val="22"/>
          <w:szCs w:val="22"/>
          <w:lang w:val="en-US"/>
        </w:rPr>
        <w:t xml:space="preserve">tel.: </w:t>
      </w:r>
      <w:r w:rsidRPr="00DA76A7">
        <w:rPr>
          <w:rFonts w:ascii="Arial" w:hAnsi="Arial" w:cs="Arial"/>
          <w:color w:val="000000" w:themeColor="text1"/>
          <w:sz w:val="22"/>
          <w:szCs w:val="22"/>
          <w:lang w:val="en-US"/>
        </w:rPr>
        <w:t xml:space="preserve">918-23-39-39, </w:t>
      </w:r>
      <w:r w:rsidRPr="00DA76A7">
        <w:rPr>
          <w:rFonts w:ascii="Arial" w:hAnsi="Arial" w:cs="Arial"/>
          <w:color w:val="000000" w:themeColor="text1"/>
          <w:sz w:val="22"/>
          <w:szCs w:val="22"/>
        </w:rPr>
        <w:t>е</w:t>
      </w:r>
      <w:r w:rsidRPr="00DA76A7">
        <w:rPr>
          <w:rFonts w:ascii="Arial" w:hAnsi="Arial" w:cs="Arial"/>
          <w:color w:val="000000" w:themeColor="text1"/>
          <w:sz w:val="22"/>
          <w:szCs w:val="22"/>
          <w:lang w:val="en-US"/>
        </w:rPr>
        <w:t xml:space="preserve">-mail: </w:t>
      </w:r>
      <w:hyperlink r:id="rId416" w:history="1">
        <w:r w:rsidRPr="00DA76A7">
          <w:rPr>
            <w:rStyle w:val="af0"/>
            <w:rFonts w:ascii="Arial" w:hAnsi="Arial" w:cs="Arial"/>
            <w:color w:val="000000" w:themeColor="text1"/>
            <w:sz w:val="22"/>
            <w:szCs w:val="22"/>
            <w:u w:val="none"/>
            <w:lang w:val="en-US"/>
          </w:rPr>
          <w:t>erov.i@mail.ru</w:t>
        </w:r>
      </w:hyperlink>
    </w:p>
    <w:p w:rsidR="005B31C6" w:rsidRPr="00DA76A7" w:rsidRDefault="005B31C6" w:rsidP="005B31C6">
      <w:pPr>
        <w:pStyle w:val="a7"/>
        <w:tabs>
          <w:tab w:val="left" w:pos="8085"/>
        </w:tabs>
        <w:spacing w:before="0" w:beforeAutospacing="0" w:after="0" w:afterAutospacing="0"/>
        <w:ind w:firstLine="567"/>
        <w:textAlignment w:val="top"/>
        <w:rPr>
          <w:rFonts w:ascii="Arial" w:hAnsi="Arial" w:cs="Arial"/>
          <w:b/>
          <w:color w:val="000000" w:themeColor="text1"/>
          <w:sz w:val="22"/>
          <w:szCs w:val="22"/>
          <w:lang w:val="en-US"/>
        </w:rPr>
      </w:pPr>
      <w:r w:rsidRPr="00DA76A7">
        <w:rPr>
          <w:rFonts w:ascii="Arial" w:hAnsi="Arial" w:cs="Arial"/>
          <w:b/>
          <w:color w:val="000000" w:themeColor="text1"/>
          <w:sz w:val="22"/>
          <w:szCs w:val="22"/>
          <w:lang w:val="en-US"/>
        </w:rPr>
        <w:tab/>
      </w:r>
    </w:p>
    <w:p w:rsidR="005B31C6" w:rsidRPr="00DA76A7" w:rsidRDefault="005B31C6" w:rsidP="005B31C6">
      <w:pPr>
        <w:pStyle w:val="a7"/>
        <w:spacing w:before="0" w:beforeAutospacing="0" w:after="0" w:afterAutospacing="0"/>
        <w:ind w:firstLine="567"/>
        <w:jc w:val="right"/>
        <w:textAlignment w:val="top"/>
        <w:rPr>
          <w:rFonts w:ascii="Arial" w:hAnsi="Arial" w:cs="Arial"/>
          <w:color w:val="000000" w:themeColor="text1"/>
          <w:sz w:val="22"/>
          <w:szCs w:val="22"/>
        </w:rPr>
      </w:pPr>
      <w:r w:rsidRPr="00DA76A7">
        <w:rPr>
          <w:rFonts w:ascii="Arial" w:hAnsi="Arial" w:cs="Arial"/>
          <w:color w:val="000000" w:themeColor="text1"/>
          <w:sz w:val="22"/>
          <w:szCs w:val="22"/>
        </w:rPr>
        <w:t>Научный руководитель: к.ю.н., доцент Эльназаров Д.Х.</w:t>
      </w:r>
    </w:p>
    <w:p w:rsidR="005B31C6" w:rsidRPr="00DA76A7" w:rsidRDefault="005B31C6" w:rsidP="005B31C6">
      <w:pPr>
        <w:tabs>
          <w:tab w:val="left" w:pos="3984"/>
          <w:tab w:val="center" w:pos="5032"/>
        </w:tabs>
        <w:ind w:firstLine="567"/>
        <w:rPr>
          <w:rFonts w:ascii="Arial" w:hAnsi="Arial" w:cs="Arial"/>
          <w:color w:val="000000" w:themeColor="text1"/>
          <w:sz w:val="22"/>
          <w:szCs w:val="22"/>
        </w:rPr>
      </w:pP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Аннотация.</w:t>
      </w:r>
      <w:r w:rsidRPr="00DA76A7">
        <w:rPr>
          <w:rFonts w:ascii="Arial" w:hAnsi="Arial" w:cs="Arial"/>
          <w:i/>
          <w:color w:val="000000" w:themeColor="text1"/>
          <w:sz w:val="22"/>
          <w:szCs w:val="22"/>
        </w:rPr>
        <w:t xml:space="preserve"> Данная статья посвящена критическому осмыслению автором современной теоретической модели государственного суверенитета как неотъемлемого признака самостоятельности национальных государств, а также проблемы ее практической реализации в условиях глобализации, и особенно в контексте планетарно значимых событий, имевших место в последнее время. </w:t>
      </w:r>
    </w:p>
    <w:p w:rsidR="005B31C6" w:rsidRPr="00DA76A7" w:rsidRDefault="005B31C6" w:rsidP="005B31C6">
      <w:pPr>
        <w:ind w:firstLine="567"/>
        <w:jc w:val="both"/>
        <w:rPr>
          <w:rFonts w:ascii="Arial" w:hAnsi="Arial" w:cs="Arial"/>
          <w:i/>
          <w:color w:val="000000" w:themeColor="text1"/>
          <w:sz w:val="22"/>
          <w:szCs w:val="22"/>
          <w:lang w:val="en-US"/>
        </w:rPr>
      </w:pPr>
      <w:r w:rsidRPr="00DA76A7">
        <w:rPr>
          <w:rFonts w:ascii="Arial" w:hAnsi="Arial" w:cs="Arial"/>
          <w:b/>
          <w:i/>
          <w:color w:val="000000" w:themeColor="text1"/>
          <w:sz w:val="22"/>
          <w:szCs w:val="22"/>
          <w:lang w:val="en-US"/>
        </w:rPr>
        <w:t xml:space="preserve">Annotation. </w:t>
      </w:r>
      <w:r w:rsidRPr="00DA76A7">
        <w:rPr>
          <w:rFonts w:ascii="Arial" w:hAnsi="Arial" w:cs="Arial"/>
          <w:i/>
          <w:color w:val="000000" w:themeColor="text1"/>
          <w:sz w:val="22"/>
          <w:szCs w:val="22"/>
          <w:lang w:val="en-US"/>
        </w:rPr>
        <w:t xml:space="preserve">The research contains the results of author’s critical rifle action of the modern concept of the sovereignty phenomenon as an inherent trait of every national State in the world, and also the problems of its implementation due to globalization processes and, especially, in connection with some latest events and challenges of global signify cane. </w:t>
      </w:r>
    </w:p>
    <w:p w:rsidR="005B31C6" w:rsidRPr="00DA76A7" w:rsidRDefault="005B31C6" w:rsidP="005B31C6">
      <w:pPr>
        <w:ind w:firstLine="567"/>
        <w:jc w:val="both"/>
        <w:rPr>
          <w:rFonts w:ascii="Arial" w:hAnsi="Arial" w:cs="Arial"/>
          <w:i/>
          <w:color w:val="000000" w:themeColor="text1"/>
          <w:sz w:val="22"/>
          <w:szCs w:val="22"/>
        </w:rPr>
      </w:pPr>
      <w:r w:rsidRPr="00DA76A7">
        <w:rPr>
          <w:rFonts w:ascii="Arial" w:hAnsi="Arial" w:cs="Arial"/>
          <w:b/>
          <w:i/>
          <w:color w:val="000000" w:themeColor="text1"/>
          <w:sz w:val="22"/>
          <w:szCs w:val="22"/>
        </w:rPr>
        <w:t>Ключевые слова</w:t>
      </w:r>
      <w:r w:rsidRPr="00DA76A7">
        <w:rPr>
          <w:rFonts w:ascii="Arial" w:hAnsi="Arial" w:cs="Arial"/>
          <w:i/>
          <w:color w:val="000000" w:themeColor="text1"/>
          <w:sz w:val="22"/>
          <w:szCs w:val="22"/>
        </w:rPr>
        <w:t xml:space="preserve">: государственный суверенитет, глобализация, национальные интересы, безопасность, международное право, конституционно-правовое развитие, российская правовая традиция. </w:t>
      </w:r>
    </w:p>
    <w:p w:rsidR="005B31C6" w:rsidRPr="00DA76A7" w:rsidRDefault="005B31C6" w:rsidP="005B31C6">
      <w:pPr>
        <w:ind w:firstLine="567"/>
        <w:jc w:val="both"/>
        <w:rPr>
          <w:rFonts w:ascii="Arial" w:hAnsi="Arial" w:cs="Arial"/>
          <w:b/>
          <w:i/>
          <w:color w:val="000000" w:themeColor="text1"/>
          <w:sz w:val="22"/>
          <w:szCs w:val="22"/>
          <w:lang w:val="en-US"/>
        </w:rPr>
      </w:pPr>
      <w:r w:rsidRPr="00DA76A7">
        <w:rPr>
          <w:rFonts w:ascii="Arial" w:hAnsi="Arial" w:cs="Arial"/>
          <w:b/>
          <w:i/>
          <w:color w:val="000000" w:themeColor="text1"/>
          <w:sz w:val="22"/>
          <w:szCs w:val="22"/>
          <w:lang w:val="en-US"/>
        </w:rPr>
        <w:t>Key words</w:t>
      </w:r>
      <w:r w:rsidRPr="00DA76A7">
        <w:rPr>
          <w:rFonts w:ascii="Arial" w:hAnsi="Arial" w:cs="Arial"/>
          <w:i/>
          <w:color w:val="000000" w:themeColor="text1"/>
          <w:sz w:val="22"/>
          <w:szCs w:val="22"/>
          <w:lang w:val="en-US"/>
        </w:rPr>
        <w:t>: state sovereignty, globalization, national interests, security, international law, constitutional and legal development, the Russian legal tradition.</w:t>
      </w:r>
    </w:p>
    <w:p w:rsidR="005B31C6" w:rsidRPr="00DA76A7" w:rsidRDefault="005B31C6" w:rsidP="005B31C6">
      <w:pPr>
        <w:ind w:firstLine="567"/>
        <w:jc w:val="both"/>
        <w:rPr>
          <w:rFonts w:ascii="Arial" w:hAnsi="Arial" w:cs="Arial"/>
          <w:color w:val="000000" w:themeColor="text1"/>
          <w:sz w:val="22"/>
          <w:szCs w:val="22"/>
          <w:lang w:val="en-US"/>
        </w:rPr>
      </w:pP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современном мире, непосредственно характеризующемся возрастанием взаимозависимости государств через глобальную инфраструктуру и единое правовое пространство, актуализируется вопрос о государственном суверенитете как явлении, переживающем серьезные парадигматические сдвиги. В данном ракурсе понятие суверенитета в настоящее время является полигранным, поэтому согласимся с М.Н. Марченко, который отмечает, что, несмотря на традиционность и кажущиеся простоту и обыденность определения понятия и содержания суверенитета, эта тематика имеет важное теоретическое и практическое значение [8, 186].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Сегодня межгосударственные отношения характеризуются интенсивным развитием международного права. Так, в странах Европейского союза уже более половины национальных законов порождены законами ЕС. Законодательства разных государств имплементируют нормы международного права. Неуклонно возрастает и взаимозависимость государств через общность глобальной инфраструктуры и среды обитания, через международное разделение труда. Складываются всеобщие инфраструктурные сети, унифицируются всеобщие нормы и стандарты в производстве и потреблении. Интернационализируются также финансовые и производственные фонды. Свободнее становятся потоки информации, товаров, капитала и людей, то есть государственные границы оказываются в возрастающей степени проницаемы- ми, как отмечают эксперты в данной области [2, 136].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Изменился характер финансовых рынков вследствие быстрого развития телекоммуникационных систем и технических средств, произошло объединение основных мировых финансовых центров в глобальную систему торговли, более или менее свободную от государственного влияния. Важную роль стали играть владение основными энергоносителями и контроль над их транспортировкой. Усиление роли международных организаций типа Европарламента, ООН, НАТО, развитие влияния транснациональных корпораций ставят вопрос о надвигающейся глобальной десуверенизации национальных государств. Впрочем, необходимо отметить, что идеи отрицания суверенитета звучали и ранее. Так, Фишер-Уильямс, подходя к проблеме суверенитета с точки зрения международного права, утверждал, что «суверенитет как юридический принцип не имеет никакого положительного значения для международного права. Это ограничивающий фактор» [1, 52].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Немецкий правовед Г. Прейс писал о том, что суверенитет как явление, не совместимое ни с международным, ни с государственным правом, то есть «вообще ни с каким бы то ни было правовым регулированием государственной власти, должен быть отброшен как понятие, отражающее отношения давно минувшей эпохи абсолютизма» [9, 243]. В дальнейшем данная точка зрения получила развитие в венской школе юридического монизма (в частности, у Г. Кельзена) и в форме социального плюрализма (в работах Л. Дюги и Э. Ласки).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Это направление правопонимания ставит под сомнение совместимость международного права и суверенного государственного правопорядка. Из данной идеи в принципе следуют два основных направления: 1) его представители отрицают международное право в пользу суверенитета, это так называемая доктрина абсолютного суверенитета (Г.В.Ф. Гегель, Дж. Остин, Г.Ф. Шершеневич и др.). По мнению Г. Еллинека, суверенная государственная власть означает власть, «не знающую над собой никакой высшей власти; она является поэтому в то же время независимой и верховной властью. Первый признак проявляется преимущественно вовне, в сношениях суверенного государства с другими державами, второй – во внутренних отношениях, по сравнению с входящими в состав государства лицами» [5, 347]. 2) отрицание суверенитета в пользу международного права. Так, Ф. фон Хайек считал, что идея «государства как суверена» является избыточным и даже вредоносным продуктом антропоморфизма и конструктивизма. По его мнению, вся история раз- вития категории «государственный суверенитет» есть история борьбы либерализма против позитивистской концепции суверенитета и сопутствующей ей концепции всемогущего государства [6, 61].</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настоящее время активно обсуждается действовавшая три с половиной века так называемая Вестфальская политико-правовая система, которая в свое время была основана на (закрепленных сегодня в Уставе ООН и перешедших в конституции государств) таких принципах, как государственный суверенитет и неправомочность вмешательства во внутренние дела государств, границы которых не решимы [7, 18]. В условиях нарастающего международного терроризма выбор между правами человека и безопасностью граждан встает особенно остро перед западными государствами, характеризующимися высоким уровнем развития либеральной политико-правовой традиции. В частности, показателен недавний опыт в области антитеррористического законодательства и его применения в Великобритании и США. Здесь необходимо отметить попытки замаскировать идеей борьбы с международным терроризмом агрессию ряда западных государств, направленную на получение конкурентных преимуществ, связанных с контролем либо за сырьевыми ресурсами и их транспортировкой, либо за финансовыми потоками и пр.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Таким образом, становится очевидной взаимосвязь экономики, конкретных экономических процессов и государственного суверенитета. Ясно, что в глобализационную эпоху только экономически сильное общество может претендовать на свободу и независимость от всякой внешней власти. Расширение сфер и методов экономического влияния на общества и государства в целях обеспечения их внешней управляемости стало реальностью для международной практики. В существующих условиях именно сильная развитая экономика превращается в наиболее эффективный инструмент политической независимости государства. Думается, что попытки обоснования концепций, ставящих под сомнение ценность суверенитета в глобальной политике, направлены на идеологическое оправдание вмешательства во внутренние дела государств, экономической, политической, культурной и духовной экспансии.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этом фоне стремление к формированию однополярного мира, конъюнктурные попытки воздействия некоторых западных государств на международные процессы и их стремление к десуверенизации бывших социалистических государств необходимо уравновесить обеспечением независимости государств в решении внешних и внутренних задач, а сам суверенитет рассматривать как наиболее фундаментальную политико-правовую ценность.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В настоящее время наблюдается и так называемая «коммерциализация суверенитета», когда государство вполне осознанно «уступает» свой суверенитет другому государству в обмен на мнимую или реальную экономическую и политическую поддержку извне. В частности, подобные процессы можно наблюдать в некоторых странах бывшего социалистического лагеря (например, Украина, Грузия). Однако практика показывает, что ожидания бескорыстной экономической, социальной, культурной помощи являются обманчивыми.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Историческая практика  подтверждает, что любое государство всегда стремится к удовлетворению собственных интересов, несмотря на суждения некоторых авторов о развитии некого «неэтнического самоопределения» и формирование так называемого «трансистемного интегративного слоя» [8, 133], означающего, что сегодня все больше людей идентифицируют себя с теми или иными группами не только по признакам этнической, территориальной, национальной или государственной принадлежности, но и по различным социально-культурным характеристикам. Подобная идентификация, однако, совсем не подразумевает космополитизма и отказа от осознания государственной (национальной, этнической) принадлежности.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На рубеже ХХ-XXI вв. становится ясно и то, что обеспечение безопасности и процветания государства связано с необходимостью «концентрации суверенитетов», когда государства, исторически обладающие единым «видением» международной ситуации, сформируют единое экономико-политическое пространство как основу сотрудничества. Только сильные в экономическом и военном отношении союзы государств смогут противостоять скрытой и открытой экспансии в современном мире. Именно с позиции осознания неизбежности многополярного мира актуализируется необходимость развития теории концентрации суверенитетов, в том числе посредством разработки теоретических представлений о предпосылках, способах и формах создания, функциях и направлениях деятельности межгосударственных объединений, способных противостоять внешнему присвоению суверенитета тех государств, которые в такие организации входят. В этом плане стоит обратить внимание на позицию с А. Кустарева, считающего, что «если конкретное государство не может реализовать и утилизировать свой суверенитет как ресурс, то в принципе оно должно быть ликвидировано, роздано другим государствам или заменено другими. Их самый мощный ресурс - не казна, не население, не армия, а сам юридический суверенитет» [9, 187]. </w:t>
      </w:r>
    </w:p>
    <w:p w:rsidR="005B31C6" w:rsidRPr="00DA76A7" w:rsidRDefault="005B31C6" w:rsidP="005B31C6">
      <w:pPr>
        <w:ind w:firstLine="567"/>
        <w:jc w:val="both"/>
        <w:rPr>
          <w:rFonts w:ascii="Arial" w:hAnsi="Arial" w:cs="Arial"/>
          <w:color w:val="000000" w:themeColor="text1"/>
          <w:sz w:val="22"/>
          <w:szCs w:val="22"/>
        </w:rPr>
      </w:pPr>
      <w:r w:rsidRPr="00DA76A7">
        <w:rPr>
          <w:rFonts w:ascii="Arial" w:hAnsi="Arial" w:cs="Arial"/>
          <w:color w:val="000000" w:themeColor="text1"/>
          <w:sz w:val="22"/>
          <w:szCs w:val="22"/>
        </w:rPr>
        <w:t xml:space="preserve">Представляется, что государство, полностью от- крытое перед глобализацией, без такого сильного модератора, как суверенное государство, становится не частью гармонично растущего международного политико-правового пространства, а элементом коллапсирующего мира. Поэтому главное условие устойчивого развития государства выражается в ее способности к ведению независимой внешней политики и внутренних дел, которая, по существу, и выражает смысл реального суверенитета как ценностной категории и которая в случае ее признания способна обеспечить политическую, экономическую и культурно-национальную безопасность общества, не отрицая, конечно, разумного диалога и сотрудничества в равных партнерских отношениях с другими государствами. </w:t>
      </w:r>
    </w:p>
    <w:p w:rsidR="005B31C6" w:rsidRPr="00DA76A7" w:rsidRDefault="005B31C6" w:rsidP="005B31C6">
      <w:pPr>
        <w:ind w:firstLine="567"/>
        <w:jc w:val="both"/>
        <w:rPr>
          <w:rFonts w:ascii="Arial" w:hAnsi="Arial" w:cs="Arial"/>
          <w:b/>
          <w:color w:val="000000" w:themeColor="text1"/>
          <w:sz w:val="22"/>
          <w:szCs w:val="22"/>
        </w:rPr>
      </w:pPr>
    </w:p>
    <w:p w:rsidR="005B31C6" w:rsidRPr="00DA76A7" w:rsidRDefault="005B31C6" w:rsidP="005B31C6">
      <w:pPr>
        <w:ind w:firstLine="567"/>
        <w:jc w:val="center"/>
        <w:rPr>
          <w:rFonts w:ascii="Arial" w:hAnsi="Arial" w:cs="Arial"/>
          <w:b/>
          <w:color w:val="000000" w:themeColor="text1"/>
          <w:sz w:val="22"/>
          <w:szCs w:val="22"/>
        </w:rPr>
      </w:pPr>
      <w:r w:rsidRPr="00DA76A7">
        <w:rPr>
          <w:rFonts w:ascii="Arial" w:hAnsi="Arial" w:cs="Arial"/>
          <w:b/>
          <w:color w:val="000000" w:themeColor="text1"/>
          <w:sz w:val="22"/>
          <w:szCs w:val="22"/>
        </w:rPr>
        <w:t>Список литературы:</w:t>
      </w:r>
    </w:p>
    <w:p w:rsidR="005B31C6" w:rsidRPr="00DA76A7" w:rsidRDefault="005B31C6" w:rsidP="00D45D6B">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Галецкий В.А. Глобализация, суверенитет и мондиализм. [Электронный ресурс] URL: </w:t>
      </w:r>
      <w:hyperlink r:id="rId417" w:history="1">
        <w:r w:rsidRPr="00DA76A7">
          <w:rPr>
            <w:rStyle w:val="af0"/>
            <w:rFonts w:ascii="Arial" w:hAnsi="Arial" w:cs="Arial"/>
            <w:color w:val="000000" w:themeColor="text1"/>
            <w:u w:val="none"/>
          </w:rPr>
          <w:t>www.archipelag.ru</w:t>
        </w:r>
      </w:hyperlink>
      <w:r w:rsidRPr="00DA76A7">
        <w:rPr>
          <w:rFonts w:ascii="Arial" w:hAnsi="Arial" w:cs="Arial"/>
          <w:color w:val="000000" w:themeColor="text1"/>
        </w:rPr>
        <w:t xml:space="preserve"> (дата обращения: 23.12.2017).</w:t>
      </w:r>
    </w:p>
    <w:p w:rsidR="005B31C6" w:rsidRPr="00DA76A7" w:rsidRDefault="005B31C6" w:rsidP="00D45D6B">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Еллинек Г.В. Общее учение о государстве. – СПб., 1908. – 532 с.</w:t>
      </w:r>
    </w:p>
    <w:p w:rsidR="005B31C6" w:rsidRPr="00DA76A7" w:rsidRDefault="005B31C6" w:rsidP="00D45D6B">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Зорькин В.Д. Россия и Конституция в XXI веке: Взгляд с Ильинки. – М., 2007. – 318 </w:t>
      </w:r>
      <w:r w:rsidRPr="00DA76A7">
        <w:rPr>
          <w:rFonts w:ascii="Arial" w:hAnsi="Arial" w:cs="Arial"/>
          <w:color w:val="000000" w:themeColor="text1"/>
          <w:lang w:val="en-US"/>
        </w:rPr>
        <w:t>c</w:t>
      </w:r>
      <w:r w:rsidRPr="00DA76A7">
        <w:rPr>
          <w:rFonts w:ascii="Arial" w:hAnsi="Arial" w:cs="Arial"/>
          <w:color w:val="000000" w:themeColor="text1"/>
        </w:rPr>
        <w:t>.</w:t>
      </w:r>
    </w:p>
    <w:p w:rsidR="005B31C6" w:rsidRPr="00DA76A7" w:rsidRDefault="005B31C6" w:rsidP="00D45D6B">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Коркунов Н.М. Лекции по общей теории права. – М., 1914. Кн. 3: Общественные условия развития права. – 421 с. </w:t>
      </w:r>
    </w:p>
    <w:p w:rsidR="005B31C6" w:rsidRPr="00DA76A7" w:rsidRDefault="005B31C6" w:rsidP="00D45D6B">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Кустарев А.В. Государственный суверенитет в условиях глобализации // Pro et Contra. 2006. – М., – № 4. – С. 183-197.</w:t>
      </w:r>
    </w:p>
    <w:p w:rsidR="005B31C6" w:rsidRPr="00DA76A7" w:rsidRDefault="005B31C6" w:rsidP="00D45D6B">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Кустарев А.В. Кризис государственного суверенитета // Космополис. – М., 2003. – № 3. – С. 135-142.</w:t>
      </w:r>
    </w:p>
    <w:p w:rsidR="005B31C6" w:rsidRPr="00DA76A7" w:rsidRDefault="005B31C6" w:rsidP="00D45D6B">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Левин И.Д. Суверенитет. – СПб., 2014. – 201 с. </w:t>
      </w:r>
    </w:p>
    <w:p w:rsidR="005B31C6" w:rsidRPr="00DA76A7" w:rsidRDefault="005B31C6" w:rsidP="00D45D6B">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rPr>
      </w:pPr>
      <w:r w:rsidRPr="00DA76A7">
        <w:rPr>
          <w:rFonts w:ascii="Arial" w:hAnsi="Arial" w:cs="Arial"/>
          <w:color w:val="000000" w:themeColor="text1"/>
        </w:rPr>
        <w:t xml:space="preserve">Марченко М.Н. Государственный суверенитет: проблемы определения понятия и содержания // Правоведение. – М., 2003. – № 1. – С. 232-241. </w:t>
      </w:r>
    </w:p>
    <w:p w:rsidR="005B31C6" w:rsidRDefault="005B31C6" w:rsidP="00616DAD">
      <w:pPr>
        <w:pStyle w:val="a6"/>
        <w:numPr>
          <w:ilvl w:val="0"/>
          <w:numId w:val="162"/>
        </w:numPr>
        <w:tabs>
          <w:tab w:val="left" w:pos="851"/>
        </w:tabs>
        <w:spacing w:after="0" w:line="240" w:lineRule="auto"/>
        <w:ind w:left="0" w:firstLine="567"/>
        <w:contextualSpacing w:val="0"/>
        <w:jc w:val="both"/>
        <w:rPr>
          <w:rFonts w:ascii="Arial" w:hAnsi="Arial" w:cs="Arial"/>
          <w:color w:val="000000" w:themeColor="text1"/>
          <w:lang w:val="en-US"/>
        </w:rPr>
      </w:pPr>
      <w:r w:rsidRPr="00DA76A7">
        <w:rPr>
          <w:rFonts w:ascii="Arial" w:hAnsi="Arial" w:cs="Arial"/>
          <w:color w:val="000000" w:themeColor="text1"/>
          <w:lang w:val="en-US"/>
        </w:rPr>
        <w:t xml:space="preserve">Hayek F. von. Law, Legislation and Liberty. - L.: Routledge and Kegan, 1982. – Vol. 2. – 382 </w:t>
      </w:r>
      <w:r w:rsidR="00C049C6" w:rsidRPr="00DA76A7">
        <w:rPr>
          <w:rFonts w:ascii="Arial" w:hAnsi="Arial" w:cs="Arial"/>
          <w:color w:val="000000" w:themeColor="text1"/>
        </w:rPr>
        <w:t>р</w:t>
      </w:r>
      <w:r w:rsidRPr="00DA76A7">
        <w:rPr>
          <w:rFonts w:ascii="Arial" w:hAnsi="Arial" w:cs="Arial"/>
          <w:color w:val="000000" w:themeColor="text1"/>
          <w:lang w:val="en-US"/>
        </w:rPr>
        <w:t xml:space="preserve">. </w:t>
      </w:r>
    </w:p>
    <w:p w:rsidR="008855E2" w:rsidRDefault="008855E2">
      <w:pPr>
        <w:widowControl/>
        <w:autoSpaceDE/>
        <w:autoSpaceDN/>
        <w:adjustRightInd/>
        <w:spacing w:after="200" w:line="276" w:lineRule="auto"/>
        <w:rPr>
          <w:rFonts w:ascii="Arial" w:hAnsi="Arial" w:cs="Arial"/>
          <w:color w:val="000000" w:themeColor="text1"/>
          <w:sz w:val="22"/>
          <w:szCs w:val="22"/>
          <w:lang w:val="en-US"/>
        </w:rPr>
      </w:pPr>
      <w:r>
        <w:rPr>
          <w:rFonts w:ascii="Arial" w:hAnsi="Arial" w:cs="Arial"/>
          <w:color w:val="000000" w:themeColor="text1"/>
          <w:sz w:val="22"/>
          <w:szCs w:val="22"/>
          <w:lang w:val="en-US"/>
        </w:rPr>
        <w:br w:type="page"/>
      </w:r>
    </w:p>
    <w:p w:rsidR="00A826B5" w:rsidRPr="00542B0A" w:rsidRDefault="00A826B5" w:rsidP="00A826B5">
      <w:pPr>
        <w:jc w:val="center"/>
        <w:rPr>
          <w:rFonts w:ascii="Times New Roman" w:hAnsi="Times New Roman" w:cs="Times New Roman"/>
          <w:sz w:val="28"/>
          <w:szCs w:val="28"/>
          <w:lang w:val="en-US"/>
        </w:rPr>
      </w:pPr>
    </w:p>
    <w:p w:rsidR="00A826B5" w:rsidRPr="00542B0A" w:rsidRDefault="00A826B5" w:rsidP="00A826B5">
      <w:pPr>
        <w:jc w:val="center"/>
        <w:rPr>
          <w:rFonts w:ascii="Times New Roman" w:hAnsi="Times New Roman" w:cs="Times New Roman"/>
          <w:sz w:val="28"/>
          <w:szCs w:val="28"/>
          <w:lang w:val="en-US"/>
        </w:rPr>
      </w:pPr>
    </w:p>
    <w:p w:rsidR="00A826B5" w:rsidRPr="00542B0A" w:rsidRDefault="00A826B5" w:rsidP="00A826B5">
      <w:pPr>
        <w:jc w:val="center"/>
        <w:rPr>
          <w:rFonts w:ascii="Times New Roman" w:hAnsi="Times New Roman" w:cs="Times New Roman"/>
          <w:sz w:val="28"/>
          <w:szCs w:val="28"/>
          <w:lang w:val="en-US"/>
        </w:rPr>
      </w:pPr>
    </w:p>
    <w:p w:rsidR="00A826B5" w:rsidRPr="00542B0A" w:rsidRDefault="00A826B5" w:rsidP="00A826B5">
      <w:pPr>
        <w:jc w:val="center"/>
        <w:rPr>
          <w:rFonts w:ascii="Times New Roman" w:hAnsi="Times New Roman" w:cs="Times New Roman"/>
          <w:sz w:val="28"/>
          <w:szCs w:val="28"/>
          <w:lang w:val="en-US"/>
        </w:rPr>
      </w:pPr>
    </w:p>
    <w:p w:rsidR="008855E2" w:rsidRPr="00542B0A" w:rsidRDefault="008855E2" w:rsidP="00A826B5">
      <w:pPr>
        <w:jc w:val="center"/>
        <w:rPr>
          <w:rFonts w:ascii="Times New Roman" w:hAnsi="Times New Roman" w:cs="Times New Roman"/>
          <w:sz w:val="28"/>
          <w:szCs w:val="28"/>
          <w:lang w:val="en-US"/>
        </w:rPr>
      </w:pPr>
    </w:p>
    <w:p w:rsidR="008855E2" w:rsidRPr="00542B0A" w:rsidRDefault="008855E2" w:rsidP="00A826B5">
      <w:pPr>
        <w:jc w:val="center"/>
        <w:rPr>
          <w:rFonts w:ascii="Times New Roman" w:hAnsi="Times New Roman" w:cs="Times New Roman"/>
          <w:sz w:val="28"/>
          <w:szCs w:val="28"/>
          <w:lang w:val="en-US"/>
        </w:rPr>
      </w:pPr>
    </w:p>
    <w:p w:rsidR="00A826B5" w:rsidRPr="00542B0A" w:rsidRDefault="00A826B5" w:rsidP="00A826B5">
      <w:pPr>
        <w:jc w:val="center"/>
        <w:rPr>
          <w:rFonts w:ascii="Times New Roman" w:hAnsi="Times New Roman" w:cs="Times New Roman"/>
          <w:sz w:val="28"/>
          <w:szCs w:val="28"/>
          <w:lang w:val="en-US"/>
        </w:rPr>
      </w:pPr>
    </w:p>
    <w:p w:rsidR="00A826B5" w:rsidRPr="003B0497" w:rsidRDefault="00A826B5" w:rsidP="00A826B5">
      <w:pPr>
        <w:ind w:left="2835"/>
        <w:rPr>
          <w:rFonts w:ascii="Times New Roman" w:hAnsi="Times New Roman" w:cs="Times New Roman"/>
          <w:b/>
          <w:i/>
          <w:sz w:val="28"/>
          <w:szCs w:val="28"/>
        </w:rPr>
      </w:pPr>
      <w:r w:rsidRPr="003B0497">
        <w:rPr>
          <w:rFonts w:ascii="Times New Roman" w:hAnsi="Times New Roman" w:cs="Times New Roman"/>
          <w:b/>
          <w:i/>
          <w:sz w:val="28"/>
          <w:szCs w:val="28"/>
        </w:rPr>
        <w:t>Технический редактор: Н. Тохиров</w:t>
      </w:r>
    </w:p>
    <w:p w:rsidR="00A826B5" w:rsidRPr="003B0497" w:rsidRDefault="00A826B5" w:rsidP="00A826B5">
      <w:pPr>
        <w:ind w:left="2835"/>
        <w:rPr>
          <w:rFonts w:ascii="Times New Roman" w:hAnsi="Times New Roman" w:cs="Times New Roman"/>
          <w:b/>
          <w:i/>
          <w:sz w:val="28"/>
          <w:szCs w:val="28"/>
        </w:rPr>
      </w:pPr>
      <w:r w:rsidRPr="003B0497">
        <w:rPr>
          <w:rFonts w:ascii="Times New Roman" w:hAnsi="Times New Roman" w:cs="Times New Roman"/>
          <w:b/>
          <w:i/>
          <w:sz w:val="28"/>
          <w:szCs w:val="28"/>
        </w:rPr>
        <w:t>Компьютерная верстка: А. Тохиров</w:t>
      </w: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8855E2" w:rsidRDefault="008855E2"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ind w:right="2"/>
        <w:jc w:val="center"/>
        <w:rPr>
          <w:rFonts w:ascii="Times New Roman" w:hAnsi="Times New Roman" w:cs="Times New Roman"/>
          <w:sz w:val="28"/>
          <w:szCs w:val="28"/>
        </w:rPr>
      </w:pPr>
      <w:r>
        <w:rPr>
          <w:rFonts w:ascii="Times New Roman" w:hAnsi="Times New Roman" w:cs="Times New Roman"/>
          <w:sz w:val="28"/>
          <w:szCs w:val="28"/>
        </w:rPr>
        <w:t xml:space="preserve">© Издательство РТСУ </w:t>
      </w:r>
    </w:p>
    <w:p w:rsidR="00A826B5" w:rsidRDefault="00A826B5" w:rsidP="00A826B5">
      <w:pPr>
        <w:pBdr>
          <w:bottom w:val="single" w:sz="4" w:space="1" w:color="auto"/>
        </w:pBdr>
        <w:ind w:right="2"/>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p>
    <w:p w:rsidR="00A826B5" w:rsidRDefault="00A826B5" w:rsidP="00A826B5">
      <w:pPr>
        <w:jc w:val="center"/>
        <w:rPr>
          <w:rFonts w:ascii="Times New Roman" w:hAnsi="Times New Roman" w:cs="Times New Roman"/>
          <w:sz w:val="28"/>
          <w:szCs w:val="28"/>
        </w:rPr>
      </w:pPr>
      <w:r>
        <w:rPr>
          <w:rFonts w:ascii="Times New Roman" w:hAnsi="Times New Roman" w:cs="Times New Roman"/>
          <w:sz w:val="28"/>
          <w:szCs w:val="28"/>
        </w:rPr>
        <w:t>Сдано в набор 24.04.2018. Подписано в печать 25.04.2018.</w:t>
      </w:r>
    </w:p>
    <w:p w:rsidR="00A826B5" w:rsidRDefault="00A826B5" w:rsidP="00A826B5">
      <w:pPr>
        <w:jc w:val="center"/>
        <w:rPr>
          <w:rFonts w:ascii="Times New Roman" w:hAnsi="Times New Roman" w:cs="Times New Roman"/>
          <w:sz w:val="28"/>
          <w:szCs w:val="28"/>
        </w:rPr>
      </w:pPr>
      <w:r>
        <w:rPr>
          <w:rFonts w:ascii="Times New Roman" w:hAnsi="Times New Roman" w:cs="Times New Roman"/>
          <w:sz w:val="28"/>
          <w:szCs w:val="28"/>
        </w:rPr>
        <w:t xml:space="preserve">Бумага офсетная. Печать офсетная. Гарнитура литературная. </w:t>
      </w:r>
    </w:p>
    <w:p w:rsidR="00A826B5" w:rsidRDefault="00A826B5" w:rsidP="00A826B5">
      <w:pPr>
        <w:jc w:val="center"/>
        <w:rPr>
          <w:rFonts w:ascii="Times New Roman" w:hAnsi="Times New Roman" w:cs="Times New Roman"/>
          <w:sz w:val="28"/>
          <w:szCs w:val="28"/>
        </w:rPr>
      </w:pPr>
      <w:r>
        <w:rPr>
          <w:rFonts w:ascii="Times New Roman" w:hAnsi="Times New Roman" w:cs="Times New Roman"/>
          <w:sz w:val="28"/>
          <w:szCs w:val="28"/>
        </w:rPr>
        <w:t>Формат 60</w:t>
      </w:r>
      <w:r>
        <w:rPr>
          <w:rFonts w:ascii="Times New Roman" w:hAnsi="Times New Roman" w:cs="Times New Roman"/>
          <w:sz w:val="28"/>
          <w:szCs w:val="28"/>
          <w:lang w:val="en-US"/>
        </w:rPr>
        <w:t>x</w:t>
      </w:r>
      <w:r>
        <w:rPr>
          <w:rFonts w:ascii="Times New Roman" w:hAnsi="Times New Roman" w:cs="Times New Roman"/>
          <w:sz w:val="28"/>
          <w:szCs w:val="28"/>
        </w:rPr>
        <w:t>84</w:t>
      </w:r>
      <w:r>
        <w:rPr>
          <w:rFonts w:ascii="Times New Roman" w:hAnsi="Times New Roman" w:cs="Times New Roman"/>
          <w:sz w:val="28"/>
          <w:szCs w:val="28"/>
          <w:vertAlign w:val="subscript"/>
        </w:rPr>
        <w:t>1/16</w:t>
      </w:r>
      <w:r w:rsidR="008855E2">
        <w:rPr>
          <w:rFonts w:ascii="Times New Roman" w:hAnsi="Times New Roman" w:cs="Times New Roman"/>
          <w:sz w:val="28"/>
          <w:szCs w:val="28"/>
        </w:rPr>
        <w:t>. Услов. печ. л. 89,3</w:t>
      </w:r>
      <w:r>
        <w:rPr>
          <w:rFonts w:ascii="Times New Roman" w:hAnsi="Times New Roman" w:cs="Times New Roman"/>
          <w:sz w:val="28"/>
          <w:szCs w:val="28"/>
        </w:rPr>
        <w:t xml:space="preserve">. </w:t>
      </w:r>
    </w:p>
    <w:p w:rsidR="00A826B5" w:rsidRDefault="00A826B5" w:rsidP="00A826B5">
      <w:pPr>
        <w:jc w:val="center"/>
        <w:rPr>
          <w:rFonts w:ascii="Times New Roman" w:hAnsi="Times New Roman" w:cs="Times New Roman"/>
          <w:sz w:val="28"/>
          <w:szCs w:val="28"/>
        </w:rPr>
      </w:pPr>
      <w:r>
        <w:rPr>
          <w:rFonts w:ascii="Times New Roman" w:hAnsi="Times New Roman" w:cs="Times New Roman"/>
          <w:sz w:val="28"/>
          <w:szCs w:val="28"/>
        </w:rPr>
        <w:t>Тираж 100 экз. Заказ № 360.</w:t>
      </w:r>
    </w:p>
    <w:p w:rsidR="00A826B5" w:rsidRDefault="00A826B5" w:rsidP="00A826B5">
      <w:pPr>
        <w:pBdr>
          <w:bottom w:val="single" w:sz="4" w:space="1" w:color="auto"/>
        </w:pBdr>
        <w:jc w:val="center"/>
        <w:rPr>
          <w:rFonts w:ascii="Times New Roman" w:hAnsi="Times New Roman" w:cs="Times New Roman"/>
          <w:color w:val="FF0000"/>
          <w:sz w:val="28"/>
          <w:szCs w:val="28"/>
        </w:rPr>
      </w:pPr>
    </w:p>
    <w:p w:rsidR="00A826B5" w:rsidRDefault="00A826B5" w:rsidP="00A826B5">
      <w:pPr>
        <w:ind w:right="2"/>
        <w:jc w:val="center"/>
        <w:rPr>
          <w:rFonts w:ascii="Times New Roman" w:hAnsi="Times New Roman" w:cs="Times New Roman"/>
          <w:sz w:val="28"/>
          <w:szCs w:val="28"/>
        </w:rPr>
      </w:pPr>
      <w:r>
        <w:rPr>
          <w:rFonts w:ascii="Times New Roman" w:hAnsi="Times New Roman" w:cs="Times New Roman"/>
          <w:sz w:val="28"/>
          <w:szCs w:val="28"/>
        </w:rPr>
        <w:t xml:space="preserve">Отпечатано в типографии РТСУ, </w:t>
      </w:r>
    </w:p>
    <w:p w:rsidR="00A826B5" w:rsidRDefault="00A826B5" w:rsidP="00A826B5">
      <w:pPr>
        <w:ind w:right="2"/>
        <w:jc w:val="center"/>
        <w:rPr>
          <w:rFonts w:ascii="Times New Roman" w:hAnsi="Times New Roman" w:cs="Times New Roman"/>
          <w:bCs/>
          <w:sz w:val="28"/>
          <w:szCs w:val="28"/>
        </w:rPr>
      </w:pPr>
      <w:r>
        <w:rPr>
          <w:rFonts w:ascii="Times New Roman" w:hAnsi="Times New Roman" w:cs="Times New Roman"/>
          <w:bCs/>
          <w:sz w:val="28"/>
          <w:szCs w:val="28"/>
        </w:rPr>
        <w:t xml:space="preserve">734025, Республика Таджикистан, г. Душанбе, </w:t>
      </w:r>
    </w:p>
    <w:p w:rsidR="00A826B5" w:rsidRDefault="00A826B5" w:rsidP="00A826B5">
      <w:pPr>
        <w:ind w:left="2124" w:firstLine="708"/>
        <w:rPr>
          <w:rFonts w:ascii="Times New Roman" w:hAnsi="Times New Roman" w:cs="Times New Roman"/>
          <w:sz w:val="28"/>
          <w:szCs w:val="28"/>
        </w:rPr>
      </w:pPr>
      <w:r>
        <w:rPr>
          <w:rFonts w:ascii="Times New Roman" w:hAnsi="Times New Roman" w:cs="Times New Roman"/>
          <w:bCs/>
          <w:sz w:val="28"/>
          <w:szCs w:val="28"/>
        </w:rPr>
        <w:t>ул. Мирзо Турсун-заде-30</w:t>
      </w:r>
    </w:p>
    <w:sectPr w:rsidR="00A826B5" w:rsidSect="006430F6">
      <w:footerReference w:type="default" r:id="rId418"/>
      <w:pgSz w:w="11906" w:h="16838" w:code="9"/>
      <w:pgMar w:top="1134" w:right="1276" w:bottom="1276"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4BA" w:rsidRDefault="000244BA" w:rsidP="00A969C6">
      <w:r>
        <w:separator/>
      </w:r>
    </w:p>
  </w:endnote>
  <w:endnote w:type="continuationSeparator" w:id="0">
    <w:p w:rsidR="000244BA" w:rsidRDefault="000244BA" w:rsidP="00A969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Gungsuh">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Roman">
    <w:altName w:val="MS Mincho"/>
    <w:panose1 w:val="00000000000000000000"/>
    <w:charset w:val="80"/>
    <w:family w:val="roman"/>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203" w:usb1="08070000" w:usb2="00000010" w:usb3="00000000" w:csb0="00020005" w:csb1="00000000"/>
  </w:font>
  <w:font w:name="Microsoft Sans Serif">
    <w:panose1 w:val="020B0604020202020204"/>
    <w:charset w:val="CC"/>
    <w:family w:val="swiss"/>
    <w:pitch w:val="variable"/>
    <w:sig w:usb0="E1002AFF" w:usb1="C0000002" w:usb2="00000008" w:usb3="00000000" w:csb0="000101FF" w:csb1="00000000"/>
  </w:font>
  <w:font w:name="Garamond">
    <w:panose1 w:val="02020404030301010803"/>
    <w:charset w:val="CC"/>
    <w:family w:val="roman"/>
    <w:pitch w:val="variable"/>
    <w:sig w:usb0="00000287" w:usb1="00000000" w:usb2="00000000" w:usb3="00000000" w:csb0="0000009F" w:csb1="00000000"/>
  </w:font>
  <w:font w:name="CalibriTj">
    <w:altName w:val="MS Mincho"/>
    <w:panose1 w:val="00000000000000000000"/>
    <w:charset w:val="80"/>
    <w:family w:val="auto"/>
    <w:notTrueType/>
    <w:pitch w:val="default"/>
    <w:sig w:usb0="00000203" w:usb1="08070000" w:usb2="00000010" w:usb3="00000000" w:csb0="00020005" w:csb1="00000000"/>
  </w:font>
  <w:font w:name="Open Sans">
    <w:charset w:val="00"/>
    <w:family w:val="auto"/>
    <w:pitch w:val="default"/>
    <w:sig w:usb0="E00002EF" w:usb1="4000205B" w:usb2="00000028" w:usb3="00000000" w:csb0="2000019F" w:csb1="00000000"/>
  </w:font>
  <w:font w:name="Cambria Math">
    <w:panose1 w:val="02040503050406030204"/>
    <w:charset w:val="CC"/>
    <w:family w:val="roman"/>
    <w:pitch w:val="variable"/>
    <w:sig w:usb0="E00002FF" w:usb1="420024FF" w:usb2="00000000" w:usb3="00000000" w:csb0="0000019F" w:csb1="00000000"/>
  </w:font>
  <w:font w:name="PalatinoLinotype-Bold">
    <w:altName w:val="MS Mincho"/>
    <w:panose1 w:val="00000000000000000000"/>
    <w:charset w:val="80"/>
    <w:family w:val="auto"/>
    <w:notTrueType/>
    <w:pitch w:val="default"/>
    <w:sig w:usb0="00000203" w:usb1="08070000" w:usb2="00000010" w:usb3="00000000" w:csb0="00020005" w:csb1="00000000"/>
  </w:font>
  <w:font w:name="PalatinoLinotype-Roman">
    <w:altName w:val="MS Mincho"/>
    <w:panose1 w:val="00000000000000000000"/>
    <w:charset w:val="80"/>
    <w:family w:val="auto"/>
    <w:notTrueType/>
    <w:pitch w:val="default"/>
    <w:sig w:usb0="00000003" w:usb1="08070000" w:usb2="00000010" w:usb3="00000000" w:csb0="00020001" w:csb1="00000000"/>
  </w:font>
  <w:font w:name="Times New Roman Tj">
    <w:altName w:val="Times New Roman"/>
    <w:charset w:val="CC"/>
    <w:family w:val="roman"/>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0739837"/>
      <w:docPartObj>
        <w:docPartGallery w:val="Page Numbers (Bottom of Page)"/>
        <w:docPartUnique/>
      </w:docPartObj>
    </w:sdtPr>
    <w:sdtContent>
      <w:p w:rsidR="00542B0A" w:rsidRDefault="00666D87">
        <w:pPr>
          <w:pStyle w:val="afd"/>
          <w:jc w:val="right"/>
        </w:pPr>
        <w:r w:rsidRPr="00A33940">
          <w:rPr>
            <w:rFonts w:ascii="Arial" w:hAnsi="Arial" w:cs="Arial"/>
            <w:sz w:val="18"/>
            <w:szCs w:val="18"/>
          </w:rPr>
          <w:fldChar w:fldCharType="begin"/>
        </w:r>
        <w:r w:rsidR="00542B0A" w:rsidRPr="00A33940">
          <w:rPr>
            <w:rFonts w:ascii="Arial" w:hAnsi="Arial" w:cs="Arial"/>
            <w:sz w:val="18"/>
            <w:szCs w:val="18"/>
          </w:rPr>
          <w:instrText xml:space="preserve"> PAGE   \* MERGEFORMAT </w:instrText>
        </w:r>
        <w:r w:rsidRPr="00A33940">
          <w:rPr>
            <w:rFonts w:ascii="Arial" w:hAnsi="Arial" w:cs="Arial"/>
            <w:sz w:val="18"/>
            <w:szCs w:val="18"/>
          </w:rPr>
          <w:fldChar w:fldCharType="separate"/>
        </w:r>
        <w:r w:rsidR="000244BA">
          <w:rPr>
            <w:rFonts w:ascii="Arial" w:hAnsi="Arial" w:cs="Arial"/>
            <w:noProof/>
            <w:sz w:val="18"/>
            <w:szCs w:val="18"/>
          </w:rPr>
          <w:t>1</w:t>
        </w:r>
        <w:r w:rsidRPr="00A33940">
          <w:rPr>
            <w:rFonts w:ascii="Arial" w:hAnsi="Arial" w:cs="Arial"/>
            <w:sz w:val="18"/>
            <w:szCs w:val="18"/>
          </w:rPr>
          <w:fldChar w:fldCharType="end"/>
        </w:r>
      </w:p>
    </w:sdtContent>
  </w:sdt>
  <w:p w:rsidR="00542B0A" w:rsidRDefault="00542B0A">
    <w:pPr>
      <w:pStyle w:val="af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4BA" w:rsidRDefault="000244BA" w:rsidP="00A969C6">
      <w:r>
        <w:separator/>
      </w:r>
    </w:p>
  </w:footnote>
  <w:footnote w:type="continuationSeparator" w:id="0">
    <w:p w:rsidR="000244BA" w:rsidRDefault="000244BA" w:rsidP="00A969C6">
      <w:r>
        <w:continuationSeparator/>
      </w:r>
    </w:p>
  </w:footnote>
  <w:footnote w:id="1">
    <w:p w:rsidR="00542B0A" w:rsidRPr="00124CC9" w:rsidRDefault="00542B0A" w:rsidP="006F7B90">
      <w:pPr>
        <w:pStyle w:val="af2"/>
        <w:rPr>
          <w:sz w:val="22"/>
          <w:szCs w:val="22"/>
        </w:rPr>
      </w:pPr>
      <w:r w:rsidRPr="00124CC9">
        <w:rPr>
          <w:rStyle w:val="af3"/>
          <w:sz w:val="22"/>
          <w:szCs w:val="22"/>
        </w:rPr>
        <w:footnoteRef/>
      </w:r>
      <w:r w:rsidRPr="00124CC9">
        <w:rPr>
          <w:sz w:val="22"/>
          <w:szCs w:val="22"/>
        </w:rPr>
        <w:t xml:space="preserve"> </w:t>
      </w:r>
      <w:r w:rsidRPr="00124CC9">
        <w:rPr>
          <w:color w:val="000000" w:themeColor="text1"/>
          <w:sz w:val="22"/>
          <w:szCs w:val="22"/>
          <w:lang w:eastAsia="ru-RU"/>
        </w:rPr>
        <w:t>Далее торгпредство</w:t>
      </w:r>
    </w:p>
  </w:footnote>
  <w:footnote w:id="2">
    <w:p w:rsidR="00542B0A" w:rsidRDefault="00542B0A" w:rsidP="00A969C6">
      <w:pPr>
        <w:pStyle w:val="af2"/>
      </w:pPr>
      <w:r>
        <w:rPr>
          <w:rStyle w:val="af3"/>
        </w:rPr>
        <w:footnoteRef/>
      </w:r>
      <w:r>
        <w:t xml:space="preserve"> </w:t>
      </w:r>
      <w:r w:rsidRPr="00557280">
        <w:rPr>
          <w:sz w:val="22"/>
          <w:szCs w:val="22"/>
        </w:rPr>
        <w:t>А</w:t>
      </w:r>
      <w:r>
        <w:rPr>
          <w:sz w:val="22"/>
          <w:szCs w:val="22"/>
        </w:rPr>
        <w:t>нализ</w:t>
      </w:r>
      <w:r w:rsidRPr="00557280">
        <w:rPr>
          <w:sz w:val="22"/>
          <w:szCs w:val="22"/>
        </w:rPr>
        <w:t xml:space="preserve"> инвестиционного законодательства РТ, сделанный </w:t>
      </w:r>
      <w:r w:rsidRPr="00557280">
        <w:rPr>
          <w:sz w:val="22"/>
          <w:szCs w:val="22"/>
          <w:lang w:val="en-US"/>
        </w:rPr>
        <w:t>USAID</w:t>
      </w:r>
    </w:p>
  </w:footnote>
  <w:footnote w:id="3">
    <w:p w:rsidR="00542B0A" w:rsidRPr="00570AD6" w:rsidRDefault="00542B0A" w:rsidP="00A969C6">
      <w:pPr>
        <w:pStyle w:val="ConsPlusNormal"/>
        <w:ind w:firstLine="0"/>
        <w:jc w:val="both"/>
        <w:rPr>
          <w:rFonts w:ascii="Times New Roman" w:hAnsi="Times New Roman" w:cs="Times New Roman"/>
        </w:rPr>
      </w:pPr>
      <w:r>
        <w:rPr>
          <w:rStyle w:val="af3"/>
        </w:rPr>
        <w:footnoteRef/>
      </w:r>
      <w:r>
        <w:t xml:space="preserve"> </w:t>
      </w:r>
      <w:r>
        <w:rPr>
          <w:rFonts w:ascii="Times New Roman" w:hAnsi="Times New Roman" w:cs="Times New Roman"/>
        </w:rPr>
        <w:t>«План Маршалла»</w:t>
      </w:r>
      <w:r w:rsidRPr="006D2890">
        <w:rPr>
          <w:rFonts w:ascii="Times New Roman" w:hAnsi="Times New Roman" w:cs="Times New Roman"/>
        </w:rPr>
        <w:t xml:space="preserve"> - программа американской помощи Европе (1948 - 1952 гг.) с целью </w:t>
      </w:r>
      <w:r w:rsidRPr="00570AD6">
        <w:rPr>
          <w:rFonts w:ascii="Times New Roman" w:hAnsi="Times New Roman" w:cs="Times New Roman"/>
        </w:rPr>
        <w:t>воспрепятствовать ее экономическому, социальному и политическому коллапсу. Эта программа оказалась эффективной. Она помогла европейским странам в годы послевоенного восстановления и позволила создать основу для их дальнейшего развития, дав толчок экономическому объединению Западной Европы.</w:t>
      </w:r>
    </w:p>
  </w:footnote>
  <w:footnote w:id="4">
    <w:p w:rsidR="00542B0A" w:rsidRPr="00444FDA" w:rsidRDefault="00542B0A" w:rsidP="00A969C6">
      <w:pPr>
        <w:pStyle w:val="af2"/>
      </w:pPr>
      <w:r>
        <w:rPr>
          <w:rStyle w:val="af3"/>
        </w:rPr>
        <w:footnoteRef/>
      </w:r>
      <w:r>
        <w:t xml:space="preserve"> Обзор наркоситуации в Республике Таджикистан за 2016 год</w:t>
      </w:r>
      <w:r w:rsidRPr="00444FDA">
        <w:t xml:space="preserve"> </w:t>
      </w:r>
    </w:p>
  </w:footnote>
  <w:footnote w:id="5">
    <w:p w:rsidR="00542B0A" w:rsidRPr="00DE16FD" w:rsidRDefault="00542B0A" w:rsidP="00181BA7">
      <w:pPr>
        <w:pStyle w:val="af2"/>
        <w:jc w:val="both"/>
        <w:rPr>
          <w:rFonts w:ascii="Arial" w:hAnsi="Arial" w:cs="Arial"/>
          <w:sz w:val="18"/>
          <w:szCs w:val="18"/>
        </w:rPr>
      </w:pPr>
      <w:r w:rsidRPr="00DE16FD">
        <w:rPr>
          <w:rStyle w:val="af3"/>
          <w:rFonts w:ascii="Arial" w:hAnsi="Arial" w:cs="Arial"/>
          <w:sz w:val="18"/>
          <w:szCs w:val="18"/>
        </w:rPr>
        <w:sym w:font="Symbol" w:char="F02A"/>
      </w:r>
      <w:r w:rsidRPr="00DE16FD">
        <w:rPr>
          <w:rFonts w:ascii="Arial" w:hAnsi="Arial" w:cs="Arial"/>
          <w:sz w:val="18"/>
          <w:szCs w:val="18"/>
        </w:rPr>
        <w:t xml:space="preserve"> Статья подготовлена за счет средств гранта Президента Российской Федерации для государственной поддержки молодых российских ученых МК-6237.2018.6</w:t>
      </w:r>
    </w:p>
  </w:footnote>
  <w:footnote w:id="6">
    <w:p w:rsidR="00542B0A" w:rsidRPr="00DE16FD" w:rsidRDefault="00542B0A" w:rsidP="00181BA7">
      <w:pPr>
        <w:pStyle w:val="af2"/>
        <w:jc w:val="both"/>
        <w:rPr>
          <w:rFonts w:ascii="Arial" w:hAnsi="Arial" w:cs="Arial"/>
          <w:sz w:val="18"/>
          <w:szCs w:val="18"/>
        </w:rPr>
      </w:pPr>
      <w:r w:rsidRPr="00DE16FD">
        <w:rPr>
          <w:rStyle w:val="af3"/>
          <w:rFonts w:ascii="Arial" w:hAnsi="Arial" w:cs="Arial"/>
          <w:sz w:val="18"/>
          <w:szCs w:val="18"/>
        </w:rPr>
        <w:footnoteRef/>
      </w:r>
      <w:r w:rsidRPr="00DE16FD">
        <w:rPr>
          <w:rFonts w:ascii="Arial" w:hAnsi="Arial" w:cs="Arial"/>
          <w:sz w:val="18"/>
          <w:szCs w:val="18"/>
        </w:rPr>
        <w:t xml:space="preserve"> </w:t>
      </w:r>
      <w:r w:rsidRPr="00F519EB">
        <w:rPr>
          <w:rFonts w:ascii="Arial" w:hAnsi="Arial" w:cs="Arial"/>
          <w:bCs/>
          <w:sz w:val="16"/>
          <w:szCs w:val="16"/>
        </w:rPr>
        <w:t>Данное положение видимо берет свое начало из статьи 446 Основы гражданского законодательства Союза ССР и союзных республик (1961 года). По нашему мнению, необходимо установить единый режим ответственности за действия государственных органов, вне зависимости от того, идет ли речь об издании правовых актов или о незаконных действиях в области административного управления</w:t>
      </w:r>
      <w:r w:rsidRPr="00DE16FD">
        <w:rPr>
          <w:rFonts w:ascii="Arial" w:hAnsi="Arial" w:cs="Arial"/>
          <w:bCs/>
          <w:sz w:val="18"/>
          <w:szCs w:val="18"/>
        </w:rPr>
        <w:t>.</w:t>
      </w:r>
    </w:p>
  </w:footnote>
  <w:footnote w:id="7">
    <w:p w:rsidR="00542B0A" w:rsidRPr="00097DFE" w:rsidRDefault="00542B0A" w:rsidP="00592BC2">
      <w:pPr>
        <w:pStyle w:val="af2"/>
        <w:jc w:val="both"/>
        <w:rPr>
          <w:rFonts w:ascii="Arial" w:hAnsi="Arial" w:cs="Arial"/>
          <w:sz w:val="18"/>
          <w:szCs w:val="18"/>
        </w:rPr>
      </w:pPr>
      <w:r w:rsidRPr="00097DFE">
        <w:rPr>
          <w:rStyle w:val="af3"/>
          <w:rFonts w:ascii="Arial" w:hAnsi="Arial" w:cs="Arial"/>
          <w:sz w:val="18"/>
          <w:szCs w:val="18"/>
        </w:rPr>
        <w:footnoteRef/>
      </w:r>
      <w:r w:rsidRPr="00097DFE">
        <w:rPr>
          <w:rFonts w:ascii="Arial" w:hAnsi="Arial" w:cs="Arial"/>
          <w:sz w:val="18"/>
          <w:szCs w:val="18"/>
        </w:rPr>
        <w:t xml:space="preserve">   Здесь мы имеем ввиду регламентированное п. 4 ч.1 ст.38 УПК РФ дискреционное правомочие следователя давать органу дознания обязательное для исполнения письменное поручение о проведении ОРМ, необходимость в производстве которых следователь усматривает при направлении расследования.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003A"/>
    <w:multiLevelType w:val="hybridMultilevel"/>
    <w:tmpl w:val="AD88E15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00BB4351"/>
    <w:multiLevelType w:val="hybridMultilevel"/>
    <w:tmpl w:val="B07646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116538C"/>
    <w:multiLevelType w:val="hybridMultilevel"/>
    <w:tmpl w:val="6BB225DA"/>
    <w:lvl w:ilvl="0" w:tplc="6BE23170">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3D1F66"/>
    <w:multiLevelType w:val="hybridMultilevel"/>
    <w:tmpl w:val="32A0B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83697E"/>
    <w:multiLevelType w:val="hybridMultilevel"/>
    <w:tmpl w:val="920C46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AA49ED"/>
    <w:multiLevelType w:val="hybridMultilevel"/>
    <w:tmpl w:val="B6A6A70E"/>
    <w:lvl w:ilvl="0" w:tplc="C21067BA">
      <w:start w:val="1"/>
      <w:numFmt w:val="decimal"/>
      <w:lvlText w:val="%1."/>
      <w:lvlJc w:val="left"/>
      <w:pPr>
        <w:ind w:left="928" w:hanging="360"/>
      </w:pPr>
      <w:rPr>
        <w:rFonts w:ascii="Times New Roman" w:hAnsi="Times New Roman" w:cs="Times New Roman" w:hint="default"/>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5135FFE"/>
    <w:multiLevelType w:val="hybridMultilevel"/>
    <w:tmpl w:val="C966E9F0"/>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7A3A5D"/>
    <w:multiLevelType w:val="hybridMultilevel"/>
    <w:tmpl w:val="8C644D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5F23554"/>
    <w:multiLevelType w:val="hybridMultilevel"/>
    <w:tmpl w:val="F0B01A20"/>
    <w:lvl w:ilvl="0" w:tplc="10A6FCEE">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06080116"/>
    <w:multiLevelType w:val="hybridMultilevel"/>
    <w:tmpl w:val="CCC05E36"/>
    <w:lvl w:ilvl="0" w:tplc="B2F86A2C">
      <w:start w:val="1"/>
      <w:numFmt w:val="decimal"/>
      <w:lvlText w:val="%1."/>
      <w:lvlJc w:val="left"/>
      <w:pPr>
        <w:ind w:left="502"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06187444"/>
    <w:multiLevelType w:val="hybridMultilevel"/>
    <w:tmpl w:val="66CE6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567EE6"/>
    <w:multiLevelType w:val="hybridMultilevel"/>
    <w:tmpl w:val="739CA160"/>
    <w:lvl w:ilvl="0" w:tplc="3E1E52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9FF2481"/>
    <w:multiLevelType w:val="hybridMultilevel"/>
    <w:tmpl w:val="509038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9F3579"/>
    <w:multiLevelType w:val="hybridMultilevel"/>
    <w:tmpl w:val="909E8FCC"/>
    <w:lvl w:ilvl="0" w:tplc="1E2E1BE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0AC96F8C"/>
    <w:multiLevelType w:val="hybridMultilevel"/>
    <w:tmpl w:val="3B743D3A"/>
    <w:lvl w:ilvl="0" w:tplc="5D3E9672">
      <w:start w:val="1"/>
      <w:numFmt w:val="decimal"/>
      <w:lvlText w:val="%1."/>
      <w:lvlJc w:val="left"/>
      <w:pPr>
        <w:ind w:left="2149" w:hanging="360"/>
      </w:pPr>
      <w:rPr>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5">
    <w:nsid w:val="0B4F10D6"/>
    <w:multiLevelType w:val="hybridMultilevel"/>
    <w:tmpl w:val="6B0629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DC02B17"/>
    <w:multiLevelType w:val="hybridMultilevel"/>
    <w:tmpl w:val="FE4C4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E034262"/>
    <w:multiLevelType w:val="hybridMultilevel"/>
    <w:tmpl w:val="D87E106E"/>
    <w:lvl w:ilvl="0" w:tplc="62C21F2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nsid w:val="100E09A1"/>
    <w:multiLevelType w:val="hybridMultilevel"/>
    <w:tmpl w:val="1B1C7A78"/>
    <w:lvl w:ilvl="0" w:tplc="04090011">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0D029E1"/>
    <w:multiLevelType w:val="hybridMultilevel"/>
    <w:tmpl w:val="A9767F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1DE1DBF"/>
    <w:multiLevelType w:val="hybridMultilevel"/>
    <w:tmpl w:val="DEE46E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3752A1"/>
    <w:multiLevelType w:val="hybridMultilevel"/>
    <w:tmpl w:val="739EF1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B95118"/>
    <w:multiLevelType w:val="hybridMultilevel"/>
    <w:tmpl w:val="0CA45B20"/>
    <w:lvl w:ilvl="0" w:tplc="CECE4A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4037589"/>
    <w:multiLevelType w:val="hybridMultilevel"/>
    <w:tmpl w:val="1292D93A"/>
    <w:lvl w:ilvl="0" w:tplc="B816B0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144541B3"/>
    <w:multiLevelType w:val="hybridMultilevel"/>
    <w:tmpl w:val="2206C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4496D0D"/>
    <w:multiLevelType w:val="hybridMultilevel"/>
    <w:tmpl w:val="FCEA4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145E1C38"/>
    <w:multiLevelType w:val="hybridMultilevel"/>
    <w:tmpl w:val="9E42C61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7">
    <w:nsid w:val="14CA2BBF"/>
    <w:multiLevelType w:val="hybridMultilevel"/>
    <w:tmpl w:val="FEB87F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15004C17"/>
    <w:multiLevelType w:val="hybridMultilevel"/>
    <w:tmpl w:val="92205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6A27E85"/>
    <w:multiLevelType w:val="hybridMultilevel"/>
    <w:tmpl w:val="2062B440"/>
    <w:lvl w:ilvl="0" w:tplc="827AFFFA">
      <w:start w:val="1"/>
      <w:numFmt w:val="decimal"/>
      <w:lvlText w:val="%1."/>
      <w:lvlJc w:val="left"/>
      <w:pPr>
        <w:ind w:left="92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6D81C69"/>
    <w:multiLevelType w:val="hybridMultilevel"/>
    <w:tmpl w:val="6ACEDDD2"/>
    <w:lvl w:ilvl="0" w:tplc="5A306140">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76E7D1A"/>
    <w:multiLevelType w:val="hybridMultilevel"/>
    <w:tmpl w:val="242856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7C52726"/>
    <w:multiLevelType w:val="hybridMultilevel"/>
    <w:tmpl w:val="40B24CE6"/>
    <w:lvl w:ilvl="0" w:tplc="8C9817CA">
      <w:start w:val="1"/>
      <w:numFmt w:val="decimal"/>
      <w:lvlText w:val="%1."/>
      <w:lvlJc w:val="left"/>
      <w:pPr>
        <w:ind w:left="119" w:hanging="235"/>
      </w:pPr>
      <w:rPr>
        <w:rFonts w:ascii="Times New Roman" w:eastAsia="Times New Roman" w:hAnsi="Times New Roman" w:cs="Times New Roman" w:hint="default"/>
        <w:w w:val="100"/>
        <w:sz w:val="22"/>
        <w:szCs w:val="22"/>
      </w:rPr>
    </w:lvl>
    <w:lvl w:ilvl="1" w:tplc="FD320B3C">
      <w:numFmt w:val="bullet"/>
      <w:lvlText w:val="•"/>
      <w:lvlJc w:val="left"/>
      <w:pPr>
        <w:ind w:left="1178" w:hanging="235"/>
      </w:pPr>
      <w:rPr>
        <w:rFonts w:hint="default"/>
      </w:rPr>
    </w:lvl>
    <w:lvl w:ilvl="2" w:tplc="42CCF3B8">
      <w:numFmt w:val="bullet"/>
      <w:lvlText w:val="•"/>
      <w:lvlJc w:val="left"/>
      <w:pPr>
        <w:ind w:left="2236" w:hanging="235"/>
      </w:pPr>
      <w:rPr>
        <w:rFonts w:hint="default"/>
      </w:rPr>
    </w:lvl>
    <w:lvl w:ilvl="3" w:tplc="643A719A">
      <w:numFmt w:val="bullet"/>
      <w:lvlText w:val="•"/>
      <w:lvlJc w:val="left"/>
      <w:pPr>
        <w:ind w:left="3294" w:hanging="235"/>
      </w:pPr>
      <w:rPr>
        <w:rFonts w:hint="default"/>
      </w:rPr>
    </w:lvl>
    <w:lvl w:ilvl="4" w:tplc="AB86B2E4">
      <w:numFmt w:val="bullet"/>
      <w:lvlText w:val="•"/>
      <w:lvlJc w:val="left"/>
      <w:pPr>
        <w:ind w:left="4352" w:hanging="235"/>
      </w:pPr>
      <w:rPr>
        <w:rFonts w:hint="default"/>
      </w:rPr>
    </w:lvl>
    <w:lvl w:ilvl="5" w:tplc="89F4D01A">
      <w:numFmt w:val="bullet"/>
      <w:lvlText w:val="•"/>
      <w:lvlJc w:val="left"/>
      <w:pPr>
        <w:ind w:left="5410" w:hanging="235"/>
      </w:pPr>
      <w:rPr>
        <w:rFonts w:hint="default"/>
      </w:rPr>
    </w:lvl>
    <w:lvl w:ilvl="6" w:tplc="3132C61A">
      <w:numFmt w:val="bullet"/>
      <w:lvlText w:val="•"/>
      <w:lvlJc w:val="left"/>
      <w:pPr>
        <w:ind w:left="6468" w:hanging="235"/>
      </w:pPr>
      <w:rPr>
        <w:rFonts w:hint="default"/>
      </w:rPr>
    </w:lvl>
    <w:lvl w:ilvl="7" w:tplc="49CA474A">
      <w:numFmt w:val="bullet"/>
      <w:lvlText w:val="•"/>
      <w:lvlJc w:val="left"/>
      <w:pPr>
        <w:ind w:left="7526" w:hanging="235"/>
      </w:pPr>
      <w:rPr>
        <w:rFonts w:hint="default"/>
      </w:rPr>
    </w:lvl>
    <w:lvl w:ilvl="8" w:tplc="2DE4EDAA">
      <w:numFmt w:val="bullet"/>
      <w:lvlText w:val="•"/>
      <w:lvlJc w:val="left"/>
      <w:pPr>
        <w:ind w:left="8584" w:hanging="235"/>
      </w:pPr>
      <w:rPr>
        <w:rFonts w:hint="default"/>
      </w:rPr>
    </w:lvl>
  </w:abstractNum>
  <w:abstractNum w:abstractNumId="33">
    <w:nsid w:val="182E5887"/>
    <w:multiLevelType w:val="hybridMultilevel"/>
    <w:tmpl w:val="29565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84C5433"/>
    <w:multiLevelType w:val="hybridMultilevel"/>
    <w:tmpl w:val="F9DAC4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9157982"/>
    <w:multiLevelType w:val="hybridMultilevel"/>
    <w:tmpl w:val="E6A62F2E"/>
    <w:lvl w:ilvl="0" w:tplc="7E1A4756">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19464DDA"/>
    <w:multiLevelType w:val="hybridMultilevel"/>
    <w:tmpl w:val="9A508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ADE6375"/>
    <w:multiLevelType w:val="hybridMultilevel"/>
    <w:tmpl w:val="9482D2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1CD54BED"/>
    <w:multiLevelType w:val="hybridMultilevel"/>
    <w:tmpl w:val="5972DD00"/>
    <w:lvl w:ilvl="0" w:tplc="F0A0E8A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1D237731"/>
    <w:multiLevelType w:val="hybridMultilevel"/>
    <w:tmpl w:val="C94631C0"/>
    <w:lvl w:ilvl="0" w:tplc="124AF13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1E1E2BC6"/>
    <w:multiLevelType w:val="hybridMultilevel"/>
    <w:tmpl w:val="0CD23772"/>
    <w:lvl w:ilvl="0" w:tplc="8A7EA4C8">
      <w:start w:val="1"/>
      <w:numFmt w:val="decimal"/>
      <w:lvlText w:val="%1)"/>
      <w:lvlJc w:val="left"/>
      <w:pPr>
        <w:ind w:left="720" w:hanging="360"/>
      </w:pPr>
    </w:lvl>
    <w:lvl w:ilvl="1" w:tplc="3B684E5C">
      <w:start w:val="1"/>
      <w:numFmt w:val="lowerLetter"/>
      <w:lvlText w:val="%2."/>
      <w:lvlJc w:val="left"/>
      <w:pPr>
        <w:ind w:left="1440" w:hanging="360"/>
      </w:pPr>
    </w:lvl>
    <w:lvl w:ilvl="2" w:tplc="85C6929E">
      <w:start w:val="1"/>
      <w:numFmt w:val="lowerRoman"/>
      <w:lvlText w:val="%3."/>
      <w:lvlJc w:val="right"/>
      <w:pPr>
        <w:ind w:left="2160" w:hanging="180"/>
      </w:pPr>
    </w:lvl>
    <w:lvl w:ilvl="3" w:tplc="5DECA258">
      <w:start w:val="1"/>
      <w:numFmt w:val="decimal"/>
      <w:lvlText w:val="%4."/>
      <w:lvlJc w:val="left"/>
      <w:pPr>
        <w:ind w:left="2880" w:hanging="360"/>
      </w:pPr>
    </w:lvl>
    <w:lvl w:ilvl="4" w:tplc="B1580080">
      <w:start w:val="1"/>
      <w:numFmt w:val="lowerLetter"/>
      <w:lvlText w:val="%5."/>
      <w:lvlJc w:val="left"/>
      <w:pPr>
        <w:ind w:left="3600" w:hanging="360"/>
      </w:pPr>
    </w:lvl>
    <w:lvl w:ilvl="5" w:tplc="AAC86928">
      <w:start w:val="1"/>
      <w:numFmt w:val="lowerRoman"/>
      <w:lvlText w:val="%6."/>
      <w:lvlJc w:val="right"/>
      <w:pPr>
        <w:ind w:left="4320" w:hanging="180"/>
      </w:pPr>
    </w:lvl>
    <w:lvl w:ilvl="6" w:tplc="BC7A0478">
      <w:start w:val="1"/>
      <w:numFmt w:val="decimal"/>
      <w:lvlText w:val="%7."/>
      <w:lvlJc w:val="left"/>
      <w:pPr>
        <w:ind w:left="5040" w:hanging="360"/>
      </w:pPr>
    </w:lvl>
    <w:lvl w:ilvl="7" w:tplc="E05254CA">
      <w:start w:val="1"/>
      <w:numFmt w:val="lowerLetter"/>
      <w:lvlText w:val="%8."/>
      <w:lvlJc w:val="left"/>
      <w:pPr>
        <w:ind w:left="5760" w:hanging="360"/>
      </w:pPr>
    </w:lvl>
    <w:lvl w:ilvl="8" w:tplc="2E9C8278">
      <w:start w:val="1"/>
      <w:numFmt w:val="lowerRoman"/>
      <w:lvlText w:val="%9."/>
      <w:lvlJc w:val="right"/>
      <w:pPr>
        <w:ind w:left="6480" w:hanging="180"/>
      </w:pPr>
    </w:lvl>
  </w:abstractNum>
  <w:abstractNum w:abstractNumId="41">
    <w:nsid w:val="1EA7241E"/>
    <w:multiLevelType w:val="hybridMultilevel"/>
    <w:tmpl w:val="922C0514"/>
    <w:lvl w:ilvl="0" w:tplc="7B6A1FF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20650258"/>
    <w:multiLevelType w:val="hybridMultilevel"/>
    <w:tmpl w:val="8CFE98F4"/>
    <w:lvl w:ilvl="0" w:tplc="5E2C1564">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206B57CE"/>
    <w:multiLevelType w:val="hybridMultilevel"/>
    <w:tmpl w:val="891A09D2"/>
    <w:lvl w:ilvl="0" w:tplc="3C308D0E">
      <w:start w:val="1"/>
      <w:numFmt w:val="decimal"/>
      <w:lvlText w:val="%1."/>
      <w:lvlJc w:val="left"/>
      <w:pPr>
        <w:ind w:left="1637" w:hanging="360"/>
      </w:pPr>
      <w:rPr>
        <w:rFonts w:hint="default"/>
        <w:b w:val="0"/>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44">
    <w:nsid w:val="20AC0F48"/>
    <w:multiLevelType w:val="hybridMultilevel"/>
    <w:tmpl w:val="276E0E80"/>
    <w:lvl w:ilvl="0" w:tplc="1BC83352">
      <w:start w:val="1"/>
      <w:numFmt w:val="decimal"/>
      <w:lvlText w:val="%1."/>
      <w:lvlJc w:val="left"/>
      <w:pPr>
        <w:ind w:left="1741" w:hanging="103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21277F00"/>
    <w:multiLevelType w:val="hybridMultilevel"/>
    <w:tmpl w:val="B4EA1CB8"/>
    <w:lvl w:ilvl="0" w:tplc="A8206B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21421F5C"/>
    <w:multiLevelType w:val="hybridMultilevel"/>
    <w:tmpl w:val="A1B4FF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230401F"/>
    <w:multiLevelType w:val="hybridMultilevel"/>
    <w:tmpl w:val="67D00AD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8">
    <w:nsid w:val="22B105CF"/>
    <w:multiLevelType w:val="hybridMultilevel"/>
    <w:tmpl w:val="306891DC"/>
    <w:lvl w:ilvl="0" w:tplc="0419000F">
      <w:start w:val="1"/>
      <w:numFmt w:val="decimal"/>
      <w:lvlText w:val="%1."/>
      <w:lvlJc w:val="left"/>
      <w:pPr>
        <w:ind w:left="737" w:hanging="360"/>
      </w:pPr>
    </w:lvl>
    <w:lvl w:ilvl="1" w:tplc="04190019" w:tentative="1">
      <w:start w:val="1"/>
      <w:numFmt w:val="lowerLetter"/>
      <w:lvlText w:val="%2."/>
      <w:lvlJc w:val="left"/>
      <w:pPr>
        <w:ind w:left="1457" w:hanging="360"/>
      </w:pPr>
    </w:lvl>
    <w:lvl w:ilvl="2" w:tplc="0419001B" w:tentative="1">
      <w:start w:val="1"/>
      <w:numFmt w:val="lowerRoman"/>
      <w:lvlText w:val="%3."/>
      <w:lvlJc w:val="right"/>
      <w:pPr>
        <w:ind w:left="2177" w:hanging="180"/>
      </w:pPr>
    </w:lvl>
    <w:lvl w:ilvl="3" w:tplc="0419000F" w:tentative="1">
      <w:start w:val="1"/>
      <w:numFmt w:val="decimal"/>
      <w:lvlText w:val="%4."/>
      <w:lvlJc w:val="left"/>
      <w:pPr>
        <w:ind w:left="2897" w:hanging="360"/>
      </w:pPr>
    </w:lvl>
    <w:lvl w:ilvl="4" w:tplc="04190019" w:tentative="1">
      <w:start w:val="1"/>
      <w:numFmt w:val="lowerLetter"/>
      <w:lvlText w:val="%5."/>
      <w:lvlJc w:val="left"/>
      <w:pPr>
        <w:ind w:left="3617" w:hanging="360"/>
      </w:pPr>
    </w:lvl>
    <w:lvl w:ilvl="5" w:tplc="0419001B" w:tentative="1">
      <w:start w:val="1"/>
      <w:numFmt w:val="lowerRoman"/>
      <w:lvlText w:val="%6."/>
      <w:lvlJc w:val="right"/>
      <w:pPr>
        <w:ind w:left="4337" w:hanging="180"/>
      </w:pPr>
    </w:lvl>
    <w:lvl w:ilvl="6" w:tplc="0419000F" w:tentative="1">
      <w:start w:val="1"/>
      <w:numFmt w:val="decimal"/>
      <w:lvlText w:val="%7."/>
      <w:lvlJc w:val="left"/>
      <w:pPr>
        <w:ind w:left="5057" w:hanging="360"/>
      </w:pPr>
    </w:lvl>
    <w:lvl w:ilvl="7" w:tplc="04190019" w:tentative="1">
      <w:start w:val="1"/>
      <w:numFmt w:val="lowerLetter"/>
      <w:lvlText w:val="%8."/>
      <w:lvlJc w:val="left"/>
      <w:pPr>
        <w:ind w:left="5777" w:hanging="360"/>
      </w:pPr>
    </w:lvl>
    <w:lvl w:ilvl="8" w:tplc="0419001B" w:tentative="1">
      <w:start w:val="1"/>
      <w:numFmt w:val="lowerRoman"/>
      <w:lvlText w:val="%9."/>
      <w:lvlJc w:val="right"/>
      <w:pPr>
        <w:ind w:left="6497" w:hanging="180"/>
      </w:pPr>
    </w:lvl>
  </w:abstractNum>
  <w:abstractNum w:abstractNumId="49">
    <w:nsid w:val="23455632"/>
    <w:multiLevelType w:val="hybridMultilevel"/>
    <w:tmpl w:val="5FC20398"/>
    <w:lvl w:ilvl="0" w:tplc="8B7E0342">
      <w:start w:val="1"/>
      <w:numFmt w:val="decimal"/>
      <w:lvlText w:val="%1."/>
      <w:lvlJc w:val="left"/>
      <w:pPr>
        <w:ind w:left="420" w:hanging="360"/>
      </w:pPr>
      <w:rPr>
        <w:rFonts w:eastAsia="Times New Roman" w:hint="default"/>
        <w:sz w:val="24"/>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0">
    <w:nsid w:val="24587FE9"/>
    <w:multiLevelType w:val="singleLevel"/>
    <w:tmpl w:val="00E6C418"/>
    <w:lvl w:ilvl="0">
      <w:start w:val="1"/>
      <w:numFmt w:val="decimal"/>
      <w:lvlText w:val="%1)"/>
      <w:legacy w:legacy="1" w:legacySpace="0" w:legacyIndent="226"/>
      <w:lvlJc w:val="left"/>
      <w:rPr>
        <w:rFonts w:ascii="Times New Roman" w:hAnsi="Times New Roman" w:cs="Times New Roman" w:hint="default"/>
      </w:rPr>
    </w:lvl>
  </w:abstractNum>
  <w:abstractNum w:abstractNumId="51">
    <w:nsid w:val="25DB717B"/>
    <w:multiLevelType w:val="hybridMultilevel"/>
    <w:tmpl w:val="9BD4B0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5E17411"/>
    <w:multiLevelType w:val="hybridMultilevel"/>
    <w:tmpl w:val="B4B2AE84"/>
    <w:lvl w:ilvl="0" w:tplc="967470E0">
      <w:start w:val="1"/>
      <w:numFmt w:val="decimal"/>
      <w:lvlText w:val="%1."/>
      <w:lvlJc w:val="left"/>
      <w:pPr>
        <w:ind w:left="720" w:hanging="360"/>
      </w:pPr>
      <w:rPr>
        <w:rFonts w:ascii="Times New Roman" w:hAnsi="Times New Roman" w:cs="Times New Roman"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267C0AC8"/>
    <w:multiLevelType w:val="hybridMultilevel"/>
    <w:tmpl w:val="80641F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270D6768"/>
    <w:multiLevelType w:val="hybridMultilevel"/>
    <w:tmpl w:val="A07A03E8"/>
    <w:lvl w:ilvl="0" w:tplc="0419000F">
      <w:start w:val="1"/>
      <w:numFmt w:val="decimal"/>
      <w:lvlText w:val="%1."/>
      <w:lvlJc w:val="left"/>
      <w:pPr>
        <w:ind w:left="2291" w:hanging="360"/>
      </w:p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55">
    <w:nsid w:val="28377A5C"/>
    <w:multiLevelType w:val="hybridMultilevel"/>
    <w:tmpl w:val="E8B613D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6">
    <w:nsid w:val="283820C8"/>
    <w:multiLevelType w:val="hybridMultilevel"/>
    <w:tmpl w:val="231A1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28661C2E"/>
    <w:multiLevelType w:val="hybridMultilevel"/>
    <w:tmpl w:val="69E4C9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295D0CFB"/>
    <w:multiLevelType w:val="hybridMultilevel"/>
    <w:tmpl w:val="5CC0C0E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29C11D14"/>
    <w:multiLevelType w:val="hybridMultilevel"/>
    <w:tmpl w:val="70388E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2A09528A"/>
    <w:multiLevelType w:val="hybridMultilevel"/>
    <w:tmpl w:val="D4402E24"/>
    <w:lvl w:ilvl="0" w:tplc="CC5C95A2">
      <w:numFmt w:val="bullet"/>
      <w:lvlText w:val="•"/>
      <w:lvlJc w:val="left"/>
      <w:pPr>
        <w:ind w:left="1347" w:hanging="720"/>
      </w:pPr>
      <w:rPr>
        <w:rFonts w:ascii="Times New Roman" w:eastAsia="Times New Roman" w:hAnsi="Times New Roman" w:cs="Times New Roman" w:hint="default"/>
      </w:rPr>
    </w:lvl>
    <w:lvl w:ilvl="1" w:tplc="04190003" w:tentative="1">
      <w:start w:val="1"/>
      <w:numFmt w:val="bullet"/>
      <w:lvlText w:val="o"/>
      <w:lvlJc w:val="left"/>
      <w:pPr>
        <w:ind w:left="1707" w:hanging="360"/>
      </w:pPr>
      <w:rPr>
        <w:rFonts w:ascii="Courier New" w:hAnsi="Courier New" w:cs="Courier New" w:hint="default"/>
      </w:rPr>
    </w:lvl>
    <w:lvl w:ilvl="2" w:tplc="04190005" w:tentative="1">
      <w:start w:val="1"/>
      <w:numFmt w:val="bullet"/>
      <w:lvlText w:val=""/>
      <w:lvlJc w:val="left"/>
      <w:pPr>
        <w:ind w:left="2427" w:hanging="360"/>
      </w:pPr>
      <w:rPr>
        <w:rFonts w:ascii="Wingdings" w:hAnsi="Wingdings" w:hint="default"/>
      </w:rPr>
    </w:lvl>
    <w:lvl w:ilvl="3" w:tplc="04190001" w:tentative="1">
      <w:start w:val="1"/>
      <w:numFmt w:val="bullet"/>
      <w:lvlText w:val=""/>
      <w:lvlJc w:val="left"/>
      <w:pPr>
        <w:ind w:left="3147" w:hanging="360"/>
      </w:pPr>
      <w:rPr>
        <w:rFonts w:ascii="Symbol" w:hAnsi="Symbol" w:hint="default"/>
      </w:rPr>
    </w:lvl>
    <w:lvl w:ilvl="4" w:tplc="04190003" w:tentative="1">
      <w:start w:val="1"/>
      <w:numFmt w:val="bullet"/>
      <w:lvlText w:val="o"/>
      <w:lvlJc w:val="left"/>
      <w:pPr>
        <w:ind w:left="3867" w:hanging="360"/>
      </w:pPr>
      <w:rPr>
        <w:rFonts w:ascii="Courier New" w:hAnsi="Courier New" w:cs="Courier New" w:hint="default"/>
      </w:rPr>
    </w:lvl>
    <w:lvl w:ilvl="5" w:tplc="04190005" w:tentative="1">
      <w:start w:val="1"/>
      <w:numFmt w:val="bullet"/>
      <w:lvlText w:val=""/>
      <w:lvlJc w:val="left"/>
      <w:pPr>
        <w:ind w:left="4587" w:hanging="360"/>
      </w:pPr>
      <w:rPr>
        <w:rFonts w:ascii="Wingdings" w:hAnsi="Wingdings" w:hint="default"/>
      </w:rPr>
    </w:lvl>
    <w:lvl w:ilvl="6" w:tplc="04190001" w:tentative="1">
      <w:start w:val="1"/>
      <w:numFmt w:val="bullet"/>
      <w:lvlText w:val=""/>
      <w:lvlJc w:val="left"/>
      <w:pPr>
        <w:ind w:left="5307" w:hanging="360"/>
      </w:pPr>
      <w:rPr>
        <w:rFonts w:ascii="Symbol" w:hAnsi="Symbol" w:hint="default"/>
      </w:rPr>
    </w:lvl>
    <w:lvl w:ilvl="7" w:tplc="04190003" w:tentative="1">
      <w:start w:val="1"/>
      <w:numFmt w:val="bullet"/>
      <w:lvlText w:val="o"/>
      <w:lvlJc w:val="left"/>
      <w:pPr>
        <w:ind w:left="6027" w:hanging="360"/>
      </w:pPr>
      <w:rPr>
        <w:rFonts w:ascii="Courier New" w:hAnsi="Courier New" w:cs="Courier New" w:hint="default"/>
      </w:rPr>
    </w:lvl>
    <w:lvl w:ilvl="8" w:tplc="04190005" w:tentative="1">
      <w:start w:val="1"/>
      <w:numFmt w:val="bullet"/>
      <w:lvlText w:val=""/>
      <w:lvlJc w:val="left"/>
      <w:pPr>
        <w:ind w:left="6747" w:hanging="360"/>
      </w:pPr>
      <w:rPr>
        <w:rFonts w:ascii="Wingdings" w:hAnsi="Wingdings" w:hint="default"/>
      </w:rPr>
    </w:lvl>
  </w:abstractNum>
  <w:abstractNum w:abstractNumId="61">
    <w:nsid w:val="2BD724DE"/>
    <w:multiLevelType w:val="hybridMultilevel"/>
    <w:tmpl w:val="2B5E351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2">
    <w:nsid w:val="2C3C2F2B"/>
    <w:multiLevelType w:val="hybridMultilevel"/>
    <w:tmpl w:val="8B061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2C7667D9"/>
    <w:multiLevelType w:val="hybridMultilevel"/>
    <w:tmpl w:val="6058A788"/>
    <w:lvl w:ilvl="0" w:tplc="C330805A">
      <w:start w:val="4"/>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2CDC2CB9"/>
    <w:multiLevelType w:val="hybridMultilevel"/>
    <w:tmpl w:val="E6EA5CC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5">
    <w:nsid w:val="2F2A17B9"/>
    <w:multiLevelType w:val="hybridMultilevel"/>
    <w:tmpl w:val="891208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2FE3469C"/>
    <w:multiLevelType w:val="hybridMultilevel"/>
    <w:tmpl w:val="31A294A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7">
    <w:nsid w:val="30057C35"/>
    <w:multiLevelType w:val="hybridMultilevel"/>
    <w:tmpl w:val="E38E532E"/>
    <w:lvl w:ilvl="0" w:tplc="D42C4558">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305F67E9"/>
    <w:multiLevelType w:val="hybridMultilevel"/>
    <w:tmpl w:val="51127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0BC653D"/>
    <w:multiLevelType w:val="hybridMultilevel"/>
    <w:tmpl w:val="30404C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30F42CEB"/>
    <w:multiLevelType w:val="hybridMultilevel"/>
    <w:tmpl w:val="E16C7354"/>
    <w:lvl w:ilvl="0" w:tplc="CD747474">
      <w:numFmt w:val="bullet"/>
      <w:lvlText w:val="–"/>
      <w:lvlJc w:val="left"/>
      <w:pPr>
        <w:ind w:left="1020" w:hanging="128"/>
      </w:pPr>
      <w:rPr>
        <w:rFonts w:ascii="Trebuchet MS" w:eastAsia="Trebuchet MS" w:hAnsi="Trebuchet MS" w:cs="Trebuchet MS" w:hint="default"/>
        <w:color w:val="282828"/>
        <w:w w:val="122"/>
        <w:sz w:val="18"/>
        <w:szCs w:val="18"/>
      </w:rPr>
    </w:lvl>
    <w:lvl w:ilvl="1" w:tplc="22DCD5E0">
      <w:numFmt w:val="bullet"/>
      <w:lvlText w:val="•"/>
      <w:lvlJc w:val="left"/>
      <w:pPr>
        <w:ind w:left="1341" w:hanging="128"/>
      </w:pPr>
      <w:rPr>
        <w:rFonts w:hint="default"/>
      </w:rPr>
    </w:lvl>
    <w:lvl w:ilvl="2" w:tplc="81B207B0">
      <w:numFmt w:val="bullet"/>
      <w:lvlText w:val="•"/>
      <w:lvlJc w:val="left"/>
      <w:pPr>
        <w:ind w:left="1662" w:hanging="128"/>
      </w:pPr>
      <w:rPr>
        <w:rFonts w:hint="default"/>
      </w:rPr>
    </w:lvl>
    <w:lvl w:ilvl="3" w:tplc="2AEAA616">
      <w:numFmt w:val="bullet"/>
      <w:lvlText w:val="•"/>
      <w:lvlJc w:val="left"/>
      <w:pPr>
        <w:ind w:left="1984" w:hanging="128"/>
      </w:pPr>
      <w:rPr>
        <w:rFonts w:hint="default"/>
      </w:rPr>
    </w:lvl>
    <w:lvl w:ilvl="4" w:tplc="3DA2DA46">
      <w:numFmt w:val="bullet"/>
      <w:lvlText w:val="•"/>
      <w:lvlJc w:val="left"/>
      <w:pPr>
        <w:ind w:left="2305" w:hanging="128"/>
      </w:pPr>
      <w:rPr>
        <w:rFonts w:hint="default"/>
      </w:rPr>
    </w:lvl>
    <w:lvl w:ilvl="5" w:tplc="3C421992">
      <w:numFmt w:val="bullet"/>
      <w:lvlText w:val="•"/>
      <w:lvlJc w:val="left"/>
      <w:pPr>
        <w:ind w:left="2626" w:hanging="128"/>
      </w:pPr>
      <w:rPr>
        <w:rFonts w:hint="default"/>
      </w:rPr>
    </w:lvl>
    <w:lvl w:ilvl="6" w:tplc="69FA069A">
      <w:numFmt w:val="bullet"/>
      <w:lvlText w:val="•"/>
      <w:lvlJc w:val="left"/>
      <w:pPr>
        <w:ind w:left="2948" w:hanging="128"/>
      </w:pPr>
      <w:rPr>
        <w:rFonts w:hint="default"/>
      </w:rPr>
    </w:lvl>
    <w:lvl w:ilvl="7" w:tplc="8F0C3F08">
      <w:numFmt w:val="bullet"/>
      <w:lvlText w:val="•"/>
      <w:lvlJc w:val="left"/>
      <w:pPr>
        <w:ind w:left="3269" w:hanging="128"/>
      </w:pPr>
      <w:rPr>
        <w:rFonts w:hint="default"/>
      </w:rPr>
    </w:lvl>
    <w:lvl w:ilvl="8" w:tplc="72908BAC">
      <w:numFmt w:val="bullet"/>
      <w:lvlText w:val="•"/>
      <w:lvlJc w:val="left"/>
      <w:pPr>
        <w:ind w:left="3591" w:hanging="128"/>
      </w:pPr>
      <w:rPr>
        <w:rFonts w:hint="default"/>
      </w:rPr>
    </w:lvl>
  </w:abstractNum>
  <w:abstractNum w:abstractNumId="71">
    <w:nsid w:val="31E843C0"/>
    <w:multiLevelType w:val="hybridMultilevel"/>
    <w:tmpl w:val="D226792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324A6B85"/>
    <w:multiLevelType w:val="hybridMultilevel"/>
    <w:tmpl w:val="5142AD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337A17AE"/>
    <w:multiLevelType w:val="hybridMultilevel"/>
    <w:tmpl w:val="4FB8AF12"/>
    <w:lvl w:ilvl="0" w:tplc="28106D3E">
      <w:start w:val="1"/>
      <w:numFmt w:val="decimal"/>
      <w:pStyle w:val="a"/>
      <w:lvlText w:val="%1."/>
      <w:lvlJc w:val="left"/>
      <w:pPr>
        <w:tabs>
          <w:tab w:val="num" w:pos="0"/>
        </w:tabs>
      </w:pPr>
      <w:rPr>
        <w:rFonts w:cs="Times New Roman" w:hint="default"/>
        <w:b w:val="0"/>
        <w:i w:val="0"/>
        <w:sz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4">
    <w:nsid w:val="35622B93"/>
    <w:multiLevelType w:val="hybridMultilevel"/>
    <w:tmpl w:val="07F208BC"/>
    <w:lvl w:ilvl="0" w:tplc="4C34D9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5">
    <w:nsid w:val="3679034A"/>
    <w:multiLevelType w:val="hybridMultilevel"/>
    <w:tmpl w:val="48F089B0"/>
    <w:lvl w:ilvl="0" w:tplc="B5A043A6">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38221FBB"/>
    <w:multiLevelType w:val="hybridMultilevel"/>
    <w:tmpl w:val="09D6982A"/>
    <w:lvl w:ilvl="0" w:tplc="ED4C27B0">
      <w:start w:val="1"/>
      <w:numFmt w:val="lowerLetter"/>
      <w:lvlText w:val="%1)"/>
      <w:lvlJc w:val="left"/>
      <w:pPr>
        <w:ind w:left="1143" w:hanging="360"/>
      </w:pPr>
      <w:rPr>
        <w:rFonts w:hint="default"/>
      </w:rPr>
    </w:lvl>
    <w:lvl w:ilvl="1" w:tplc="04190019" w:tentative="1">
      <w:start w:val="1"/>
      <w:numFmt w:val="lowerLetter"/>
      <w:lvlText w:val="%2."/>
      <w:lvlJc w:val="left"/>
      <w:pPr>
        <w:ind w:left="1863" w:hanging="360"/>
      </w:pPr>
    </w:lvl>
    <w:lvl w:ilvl="2" w:tplc="0419001B" w:tentative="1">
      <w:start w:val="1"/>
      <w:numFmt w:val="lowerRoman"/>
      <w:lvlText w:val="%3."/>
      <w:lvlJc w:val="right"/>
      <w:pPr>
        <w:ind w:left="2583" w:hanging="180"/>
      </w:pPr>
    </w:lvl>
    <w:lvl w:ilvl="3" w:tplc="0419000F" w:tentative="1">
      <w:start w:val="1"/>
      <w:numFmt w:val="decimal"/>
      <w:lvlText w:val="%4."/>
      <w:lvlJc w:val="left"/>
      <w:pPr>
        <w:ind w:left="3303" w:hanging="360"/>
      </w:pPr>
    </w:lvl>
    <w:lvl w:ilvl="4" w:tplc="04190019" w:tentative="1">
      <w:start w:val="1"/>
      <w:numFmt w:val="lowerLetter"/>
      <w:lvlText w:val="%5."/>
      <w:lvlJc w:val="left"/>
      <w:pPr>
        <w:ind w:left="4023" w:hanging="360"/>
      </w:pPr>
    </w:lvl>
    <w:lvl w:ilvl="5" w:tplc="0419001B" w:tentative="1">
      <w:start w:val="1"/>
      <w:numFmt w:val="lowerRoman"/>
      <w:lvlText w:val="%6."/>
      <w:lvlJc w:val="right"/>
      <w:pPr>
        <w:ind w:left="4743" w:hanging="180"/>
      </w:pPr>
    </w:lvl>
    <w:lvl w:ilvl="6" w:tplc="0419000F" w:tentative="1">
      <w:start w:val="1"/>
      <w:numFmt w:val="decimal"/>
      <w:lvlText w:val="%7."/>
      <w:lvlJc w:val="left"/>
      <w:pPr>
        <w:ind w:left="5463" w:hanging="360"/>
      </w:pPr>
    </w:lvl>
    <w:lvl w:ilvl="7" w:tplc="04190019" w:tentative="1">
      <w:start w:val="1"/>
      <w:numFmt w:val="lowerLetter"/>
      <w:lvlText w:val="%8."/>
      <w:lvlJc w:val="left"/>
      <w:pPr>
        <w:ind w:left="6183" w:hanging="360"/>
      </w:pPr>
    </w:lvl>
    <w:lvl w:ilvl="8" w:tplc="0419001B" w:tentative="1">
      <w:start w:val="1"/>
      <w:numFmt w:val="lowerRoman"/>
      <w:lvlText w:val="%9."/>
      <w:lvlJc w:val="right"/>
      <w:pPr>
        <w:ind w:left="6903" w:hanging="180"/>
      </w:pPr>
    </w:lvl>
  </w:abstractNum>
  <w:abstractNum w:abstractNumId="77">
    <w:nsid w:val="390704DE"/>
    <w:multiLevelType w:val="hybridMultilevel"/>
    <w:tmpl w:val="EEF00C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3A940698"/>
    <w:multiLevelType w:val="hybridMultilevel"/>
    <w:tmpl w:val="4FA6FAD2"/>
    <w:lvl w:ilvl="0" w:tplc="D3A019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9">
    <w:nsid w:val="3AB27778"/>
    <w:multiLevelType w:val="hybridMultilevel"/>
    <w:tmpl w:val="642095BC"/>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B25285F"/>
    <w:multiLevelType w:val="hybridMultilevel"/>
    <w:tmpl w:val="F09C57B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1">
    <w:nsid w:val="3BDE748C"/>
    <w:multiLevelType w:val="hybridMultilevel"/>
    <w:tmpl w:val="E4DC472A"/>
    <w:lvl w:ilvl="0" w:tplc="0419000D">
      <w:start w:val="1"/>
      <w:numFmt w:val="bullet"/>
      <w:lvlText w:val=""/>
      <w:lvlJc w:val="left"/>
      <w:pPr>
        <w:ind w:left="785" w:hanging="360"/>
      </w:pPr>
      <w:rPr>
        <w:rFonts w:ascii="Wingdings" w:hAnsi="Wingdings"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82">
    <w:nsid w:val="3C0144CD"/>
    <w:multiLevelType w:val="hybridMultilevel"/>
    <w:tmpl w:val="5142A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3C141A6C"/>
    <w:multiLevelType w:val="hybridMultilevel"/>
    <w:tmpl w:val="2A9AB69E"/>
    <w:lvl w:ilvl="0" w:tplc="84122B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4">
    <w:nsid w:val="3FF42F9F"/>
    <w:multiLevelType w:val="hybridMultilevel"/>
    <w:tmpl w:val="4912B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1522FF6"/>
    <w:multiLevelType w:val="hybridMultilevel"/>
    <w:tmpl w:val="521A28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1627F83"/>
    <w:multiLevelType w:val="hybridMultilevel"/>
    <w:tmpl w:val="94EC8910"/>
    <w:lvl w:ilvl="0" w:tplc="5A10783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7">
    <w:nsid w:val="42934813"/>
    <w:multiLevelType w:val="hybridMultilevel"/>
    <w:tmpl w:val="EDE2A30A"/>
    <w:lvl w:ilvl="0" w:tplc="1C868A08">
      <w:start w:val="1"/>
      <w:numFmt w:val="decimal"/>
      <w:suff w:val="nothing"/>
      <w:lvlText w:val="%1."/>
      <w:lvlJc w:val="left"/>
      <w:pPr>
        <w:ind w:left="0" w:firstLine="567"/>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8">
    <w:nsid w:val="429C23DB"/>
    <w:multiLevelType w:val="hybridMultilevel"/>
    <w:tmpl w:val="928C6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2D6467C"/>
    <w:multiLevelType w:val="hybridMultilevel"/>
    <w:tmpl w:val="6018EE9E"/>
    <w:lvl w:ilvl="0" w:tplc="C8DAE06E">
      <w:start w:val="1"/>
      <w:numFmt w:val="decimal"/>
      <w:lvlText w:val="%1."/>
      <w:lvlJc w:val="left"/>
      <w:pPr>
        <w:ind w:left="1062" w:hanging="360"/>
      </w:pPr>
      <w:rPr>
        <w:rFonts w:hint="default"/>
      </w:rPr>
    </w:lvl>
    <w:lvl w:ilvl="1" w:tplc="04190019">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90">
    <w:nsid w:val="440655D6"/>
    <w:multiLevelType w:val="hybridMultilevel"/>
    <w:tmpl w:val="B7EA11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1">
    <w:nsid w:val="44A3619A"/>
    <w:multiLevelType w:val="hybridMultilevel"/>
    <w:tmpl w:val="0CA45B20"/>
    <w:lvl w:ilvl="0" w:tplc="CECE4A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2">
    <w:nsid w:val="456338A2"/>
    <w:multiLevelType w:val="multilevel"/>
    <w:tmpl w:val="D51E9400"/>
    <w:lvl w:ilvl="0">
      <w:start w:val="1"/>
      <w:numFmt w:val="decimal"/>
      <w:lvlText w:val="%1."/>
      <w:lvlJc w:val="left"/>
      <w:pPr>
        <w:tabs>
          <w:tab w:val="num" w:pos="360"/>
        </w:tabs>
        <w:ind w:left="360" w:hanging="360"/>
      </w:pPr>
    </w:lvl>
    <w:lvl w:ilvl="1">
      <w:start w:val="1"/>
      <w:numFmt w:val="decimal"/>
      <w:isLgl/>
      <w:lvlText w:val="%1.%2."/>
      <w:lvlJc w:val="left"/>
      <w:pPr>
        <w:tabs>
          <w:tab w:val="num" w:pos="1140"/>
        </w:tabs>
        <w:ind w:left="1140" w:hanging="72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2340"/>
        </w:tabs>
        <w:ind w:left="2340" w:hanging="108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740"/>
        </w:tabs>
        <w:ind w:left="4740" w:hanging="1800"/>
      </w:pPr>
      <w:rPr>
        <w:rFonts w:hint="default"/>
      </w:rPr>
    </w:lvl>
    <w:lvl w:ilvl="8">
      <w:start w:val="1"/>
      <w:numFmt w:val="decimal"/>
      <w:isLgl/>
      <w:lvlText w:val="%1.%2.%3.%4.%5.%6.%7.%8.%9."/>
      <w:lvlJc w:val="left"/>
      <w:pPr>
        <w:tabs>
          <w:tab w:val="num" w:pos="5520"/>
        </w:tabs>
        <w:ind w:left="5520" w:hanging="2160"/>
      </w:pPr>
      <w:rPr>
        <w:rFonts w:hint="default"/>
      </w:rPr>
    </w:lvl>
  </w:abstractNum>
  <w:abstractNum w:abstractNumId="93">
    <w:nsid w:val="45EA59DD"/>
    <w:multiLevelType w:val="hybridMultilevel"/>
    <w:tmpl w:val="7B34E94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4">
    <w:nsid w:val="45F624CC"/>
    <w:multiLevelType w:val="hybridMultilevel"/>
    <w:tmpl w:val="D2F82A7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5">
    <w:nsid w:val="461D1890"/>
    <w:multiLevelType w:val="hybridMultilevel"/>
    <w:tmpl w:val="2BC69E22"/>
    <w:lvl w:ilvl="0" w:tplc="00F8817C">
      <w:start w:val="1"/>
      <w:numFmt w:val="decimal"/>
      <w:lvlText w:val="%1."/>
      <w:lvlJc w:val="left"/>
      <w:pPr>
        <w:tabs>
          <w:tab w:val="num" w:pos="735"/>
        </w:tabs>
        <w:ind w:left="735" w:hanging="375"/>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6">
    <w:nsid w:val="467D60A9"/>
    <w:multiLevelType w:val="hybridMultilevel"/>
    <w:tmpl w:val="0BB0D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6CE20B1"/>
    <w:multiLevelType w:val="hybridMultilevel"/>
    <w:tmpl w:val="D07839B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4AA722A6"/>
    <w:multiLevelType w:val="hybridMultilevel"/>
    <w:tmpl w:val="25E2C7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BC04046"/>
    <w:multiLevelType w:val="hybridMultilevel"/>
    <w:tmpl w:val="3BE4158C"/>
    <w:lvl w:ilvl="0" w:tplc="B282A9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4D8B0521"/>
    <w:multiLevelType w:val="hybridMultilevel"/>
    <w:tmpl w:val="D0A2967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1">
    <w:nsid w:val="4EA2664A"/>
    <w:multiLevelType w:val="hybridMultilevel"/>
    <w:tmpl w:val="92C40B64"/>
    <w:lvl w:ilvl="0" w:tplc="479C8F50">
      <w:start w:val="1"/>
      <w:numFmt w:val="decimal"/>
      <w:lvlText w:val="%1."/>
      <w:lvlJc w:val="left"/>
      <w:pPr>
        <w:ind w:left="720" w:hanging="360"/>
      </w:pPr>
      <w:rPr>
        <w:rFonts w:ascii="Times New Roman" w:eastAsiaTheme="minorHAnsi" w:hAnsi="Times New Roman" w:cs="Times New Roma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1D53229"/>
    <w:multiLevelType w:val="hybridMultilevel"/>
    <w:tmpl w:val="A3D4A6D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2943D0D"/>
    <w:multiLevelType w:val="hybridMultilevel"/>
    <w:tmpl w:val="CBEA84F6"/>
    <w:lvl w:ilvl="0" w:tplc="0419000F">
      <w:start w:val="1"/>
      <w:numFmt w:val="decimal"/>
      <w:lvlText w:val="%1."/>
      <w:lvlJc w:val="left"/>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4">
    <w:nsid w:val="53994B4C"/>
    <w:multiLevelType w:val="hybridMultilevel"/>
    <w:tmpl w:val="8342098C"/>
    <w:lvl w:ilvl="0" w:tplc="AF84F2A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49A60BE"/>
    <w:multiLevelType w:val="hybridMultilevel"/>
    <w:tmpl w:val="28E2F474"/>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6">
    <w:nsid w:val="54F46CCD"/>
    <w:multiLevelType w:val="hybridMultilevel"/>
    <w:tmpl w:val="A9361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5393602"/>
    <w:multiLevelType w:val="hybridMultilevel"/>
    <w:tmpl w:val="C6867EF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8">
    <w:nsid w:val="55696686"/>
    <w:multiLevelType w:val="hybridMultilevel"/>
    <w:tmpl w:val="16A4E828"/>
    <w:lvl w:ilvl="0" w:tplc="04190001">
      <w:start w:val="1"/>
      <w:numFmt w:val="bullet"/>
      <w:lvlText w:val=""/>
      <w:lvlJc w:val="left"/>
      <w:pPr>
        <w:ind w:left="761" w:hanging="360"/>
      </w:pPr>
      <w:rPr>
        <w:rFonts w:ascii="Symbol" w:hAnsi="Symbol"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109">
    <w:nsid w:val="56345D9C"/>
    <w:multiLevelType w:val="hybridMultilevel"/>
    <w:tmpl w:val="D22A50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4B51BB"/>
    <w:multiLevelType w:val="hybridMultilevel"/>
    <w:tmpl w:val="9490E532"/>
    <w:lvl w:ilvl="0" w:tplc="37807ED2">
      <w:numFmt w:val="bullet"/>
      <w:lvlText w:val="-"/>
      <w:lvlJc w:val="left"/>
      <w:pPr>
        <w:ind w:left="504" w:hanging="116"/>
      </w:pPr>
      <w:rPr>
        <w:rFonts w:ascii="Times New Roman" w:eastAsia="Times New Roman" w:hAnsi="Times New Roman" w:cs="Times New Roman" w:hint="default"/>
        <w:w w:val="100"/>
        <w:sz w:val="22"/>
        <w:szCs w:val="22"/>
      </w:rPr>
    </w:lvl>
    <w:lvl w:ilvl="1" w:tplc="AAD061E6">
      <w:numFmt w:val="bullet"/>
      <w:lvlText w:val="•"/>
      <w:lvlJc w:val="left"/>
      <w:pPr>
        <w:ind w:left="1520" w:hanging="116"/>
      </w:pPr>
      <w:rPr>
        <w:rFonts w:hint="default"/>
      </w:rPr>
    </w:lvl>
    <w:lvl w:ilvl="2" w:tplc="3B8CDA9A">
      <w:numFmt w:val="bullet"/>
      <w:lvlText w:val="•"/>
      <w:lvlJc w:val="left"/>
      <w:pPr>
        <w:ind w:left="2540" w:hanging="116"/>
      </w:pPr>
      <w:rPr>
        <w:rFonts w:hint="default"/>
      </w:rPr>
    </w:lvl>
    <w:lvl w:ilvl="3" w:tplc="D91C9936">
      <w:numFmt w:val="bullet"/>
      <w:lvlText w:val="•"/>
      <w:lvlJc w:val="left"/>
      <w:pPr>
        <w:ind w:left="3560" w:hanging="116"/>
      </w:pPr>
      <w:rPr>
        <w:rFonts w:hint="default"/>
      </w:rPr>
    </w:lvl>
    <w:lvl w:ilvl="4" w:tplc="382EA6CE">
      <w:numFmt w:val="bullet"/>
      <w:lvlText w:val="•"/>
      <w:lvlJc w:val="left"/>
      <w:pPr>
        <w:ind w:left="4580" w:hanging="116"/>
      </w:pPr>
      <w:rPr>
        <w:rFonts w:hint="default"/>
      </w:rPr>
    </w:lvl>
    <w:lvl w:ilvl="5" w:tplc="9ECEE5BC">
      <w:numFmt w:val="bullet"/>
      <w:lvlText w:val="•"/>
      <w:lvlJc w:val="left"/>
      <w:pPr>
        <w:ind w:left="5600" w:hanging="116"/>
      </w:pPr>
      <w:rPr>
        <w:rFonts w:hint="default"/>
      </w:rPr>
    </w:lvl>
    <w:lvl w:ilvl="6" w:tplc="129C5BDC">
      <w:numFmt w:val="bullet"/>
      <w:lvlText w:val="•"/>
      <w:lvlJc w:val="left"/>
      <w:pPr>
        <w:ind w:left="6620" w:hanging="116"/>
      </w:pPr>
      <w:rPr>
        <w:rFonts w:hint="default"/>
      </w:rPr>
    </w:lvl>
    <w:lvl w:ilvl="7" w:tplc="5BE033C6">
      <w:numFmt w:val="bullet"/>
      <w:lvlText w:val="•"/>
      <w:lvlJc w:val="left"/>
      <w:pPr>
        <w:ind w:left="7640" w:hanging="116"/>
      </w:pPr>
      <w:rPr>
        <w:rFonts w:hint="default"/>
      </w:rPr>
    </w:lvl>
    <w:lvl w:ilvl="8" w:tplc="C3D2F742">
      <w:numFmt w:val="bullet"/>
      <w:lvlText w:val="•"/>
      <w:lvlJc w:val="left"/>
      <w:pPr>
        <w:ind w:left="8660" w:hanging="116"/>
      </w:pPr>
      <w:rPr>
        <w:rFonts w:hint="default"/>
      </w:rPr>
    </w:lvl>
  </w:abstractNum>
  <w:abstractNum w:abstractNumId="111">
    <w:nsid w:val="572324E1"/>
    <w:multiLevelType w:val="hybridMultilevel"/>
    <w:tmpl w:val="27B82D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7854D35"/>
    <w:multiLevelType w:val="singleLevel"/>
    <w:tmpl w:val="3B4A07AE"/>
    <w:lvl w:ilvl="0">
      <w:start w:val="1"/>
      <w:numFmt w:val="decimal"/>
      <w:lvlText w:val="%1)"/>
      <w:legacy w:legacy="1" w:legacySpace="0" w:legacyIndent="216"/>
      <w:lvlJc w:val="left"/>
      <w:rPr>
        <w:rFonts w:ascii="Times New Roman" w:hAnsi="Times New Roman" w:cs="Times New Roman" w:hint="default"/>
      </w:rPr>
    </w:lvl>
  </w:abstractNum>
  <w:abstractNum w:abstractNumId="113">
    <w:nsid w:val="57B578DE"/>
    <w:multiLevelType w:val="hybridMultilevel"/>
    <w:tmpl w:val="6BF047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7BE589D"/>
    <w:multiLevelType w:val="multilevel"/>
    <w:tmpl w:val="4176BC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19"/>
        <w:szCs w:val="19"/>
        <w:u w:val="none"/>
      </w:rPr>
    </w:lvl>
    <w:lvl w:ilvl="2">
      <w:start w:val="1"/>
      <w:numFmt w:val="decimal"/>
      <w:lvlText w:val="%3."/>
      <w:lvlJc w:val="left"/>
      <w:rPr>
        <w:rFonts w:ascii="Arial" w:eastAsia="Arial" w:hAnsi="Arial" w:cs="Arial"/>
        <w:b w:val="0"/>
        <w:bCs w:val="0"/>
        <w:i w:val="0"/>
        <w:iCs w:val="0"/>
        <w:smallCaps w:val="0"/>
        <w:strike w:val="0"/>
        <w:color w:val="000000"/>
        <w:spacing w:val="0"/>
        <w:w w:val="100"/>
        <w:position w:val="0"/>
        <w:sz w:val="19"/>
        <w:szCs w:val="19"/>
        <w:u w:val="none"/>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19"/>
        <w:szCs w:val="19"/>
        <w:u w:val="none"/>
      </w:rPr>
    </w:lvl>
    <w:lvl w:ilvl="4">
      <w:start w:val="1"/>
      <w:numFmt w:val="decimal"/>
      <w:lvlText w:val="%5."/>
      <w:lvlJc w:val="left"/>
      <w:rPr>
        <w:rFonts w:ascii="Arial" w:eastAsia="Arial" w:hAnsi="Arial" w:cs="Arial"/>
        <w:b w:val="0"/>
        <w:bCs w:val="0"/>
        <w:i w:val="0"/>
        <w:iCs w:val="0"/>
        <w:smallCaps w:val="0"/>
        <w:strike w:val="0"/>
        <w:color w:val="000000"/>
        <w:spacing w:val="0"/>
        <w:w w:val="100"/>
        <w:position w:val="0"/>
        <w:sz w:val="15"/>
        <w:szCs w:val="15"/>
        <w:u w:val="none"/>
      </w:rPr>
    </w:lvl>
    <w:lvl w:ilvl="5">
      <w:start w:val="1"/>
      <w:numFmt w:val="decimal"/>
      <w:lvlText w:val="%6."/>
      <w:lvlJc w:val="left"/>
      <w:rPr>
        <w:rFonts w:ascii="Arial" w:eastAsia="Arial" w:hAnsi="Arial" w:cs="Arial"/>
        <w:b w:val="0"/>
        <w:bCs w:val="0"/>
        <w:i w:val="0"/>
        <w:iCs w:val="0"/>
        <w:smallCaps w:val="0"/>
        <w:strike w:val="0"/>
        <w:color w:val="000000"/>
        <w:spacing w:val="0"/>
        <w:w w:val="100"/>
        <w:position w:val="0"/>
        <w:sz w:val="15"/>
        <w:szCs w:val="15"/>
        <w:u w:val="none"/>
      </w:rPr>
    </w:lvl>
    <w:lvl w:ilvl="6">
      <w:numFmt w:val="decimal"/>
      <w:lvlText w:val=""/>
      <w:lvlJc w:val="left"/>
    </w:lvl>
    <w:lvl w:ilvl="7">
      <w:numFmt w:val="decimal"/>
      <w:lvlText w:val=""/>
      <w:lvlJc w:val="left"/>
    </w:lvl>
    <w:lvl w:ilvl="8">
      <w:numFmt w:val="decimal"/>
      <w:lvlText w:val=""/>
      <w:lvlJc w:val="left"/>
    </w:lvl>
  </w:abstractNum>
  <w:abstractNum w:abstractNumId="115">
    <w:nsid w:val="58226750"/>
    <w:multiLevelType w:val="hybridMultilevel"/>
    <w:tmpl w:val="69205A58"/>
    <w:lvl w:ilvl="0" w:tplc="B22834DC">
      <w:start w:val="1"/>
      <w:numFmt w:val="decimal"/>
      <w:lvlText w:val="%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6">
    <w:nsid w:val="58E3556B"/>
    <w:multiLevelType w:val="hybridMultilevel"/>
    <w:tmpl w:val="69426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7">
    <w:nsid w:val="59490CDE"/>
    <w:multiLevelType w:val="hybridMultilevel"/>
    <w:tmpl w:val="5C9E7C92"/>
    <w:lvl w:ilvl="0" w:tplc="5AA83958">
      <w:start w:val="1"/>
      <w:numFmt w:val="decimal"/>
      <w:lvlText w:val="%1."/>
      <w:lvlJc w:val="left"/>
      <w:pPr>
        <w:ind w:left="720" w:hanging="360"/>
      </w:pPr>
      <w:rPr>
        <w:rFonts w:hint="default"/>
        <w:b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59EC0634"/>
    <w:multiLevelType w:val="hybridMultilevel"/>
    <w:tmpl w:val="755A5F8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9">
    <w:nsid w:val="5B342DEF"/>
    <w:multiLevelType w:val="hybridMultilevel"/>
    <w:tmpl w:val="20A0E8D0"/>
    <w:lvl w:ilvl="0" w:tplc="20F0021A">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0">
    <w:nsid w:val="5C917EBD"/>
    <w:multiLevelType w:val="hybridMultilevel"/>
    <w:tmpl w:val="D3F02226"/>
    <w:lvl w:ilvl="0" w:tplc="4DC02120">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1">
    <w:nsid w:val="5D6006C7"/>
    <w:multiLevelType w:val="hybridMultilevel"/>
    <w:tmpl w:val="16BEC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5D84597D"/>
    <w:multiLevelType w:val="hybridMultilevel"/>
    <w:tmpl w:val="9ACAE7EE"/>
    <w:lvl w:ilvl="0" w:tplc="A134DE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3">
    <w:nsid w:val="5EA24824"/>
    <w:multiLevelType w:val="multilevel"/>
    <w:tmpl w:val="B560913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4">
    <w:nsid w:val="5EFA6FF4"/>
    <w:multiLevelType w:val="hybridMultilevel"/>
    <w:tmpl w:val="9176E87E"/>
    <w:lvl w:ilvl="0" w:tplc="263E80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5">
    <w:nsid w:val="60B01657"/>
    <w:multiLevelType w:val="hybridMultilevel"/>
    <w:tmpl w:val="939687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618035D9"/>
    <w:multiLevelType w:val="hybridMultilevel"/>
    <w:tmpl w:val="F78E9C88"/>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7">
    <w:nsid w:val="61D20719"/>
    <w:multiLevelType w:val="singleLevel"/>
    <w:tmpl w:val="15C23926"/>
    <w:lvl w:ilvl="0">
      <w:start w:val="1"/>
      <w:numFmt w:val="decimal"/>
      <w:lvlText w:val="%1)"/>
      <w:legacy w:legacy="1" w:legacySpace="0" w:legacyIndent="235"/>
      <w:lvlJc w:val="left"/>
      <w:rPr>
        <w:rFonts w:ascii="Times New Roman" w:hAnsi="Times New Roman" w:cs="Times New Roman" w:hint="default"/>
      </w:rPr>
    </w:lvl>
  </w:abstractNum>
  <w:abstractNum w:abstractNumId="128">
    <w:nsid w:val="624D6C45"/>
    <w:multiLevelType w:val="hybridMultilevel"/>
    <w:tmpl w:val="D4184CA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9">
    <w:nsid w:val="63AF7035"/>
    <w:multiLevelType w:val="hybridMultilevel"/>
    <w:tmpl w:val="F6C69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63C84CBC"/>
    <w:multiLevelType w:val="hybridMultilevel"/>
    <w:tmpl w:val="3E34D79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1">
    <w:nsid w:val="64805891"/>
    <w:multiLevelType w:val="hybridMultilevel"/>
    <w:tmpl w:val="E8B613D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2">
    <w:nsid w:val="64B371A8"/>
    <w:multiLevelType w:val="hybridMultilevel"/>
    <w:tmpl w:val="039E158C"/>
    <w:lvl w:ilvl="0" w:tplc="13CE3464">
      <w:numFmt w:val="bullet"/>
      <w:lvlText w:val="–"/>
      <w:lvlJc w:val="left"/>
      <w:pPr>
        <w:ind w:left="176" w:hanging="129"/>
      </w:pPr>
      <w:rPr>
        <w:rFonts w:ascii="Trebuchet MS" w:eastAsia="Trebuchet MS" w:hAnsi="Trebuchet MS" w:cs="Trebuchet MS" w:hint="default"/>
        <w:color w:val="282828"/>
        <w:w w:val="122"/>
        <w:sz w:val="18"/>
        <w:szCs w:val="18"/>
      </w:rPr>
    </w:lvl>
    <w:lvl w:ilvl="1" w:tplc="32C06EAA">
      <w:numFmt w:val="bullet"/>
      <w:lvlText w:val="–"/>
      <w:lvlJc w:val="left"/>
      <w:pPr>
        <w:ind w:left="566" w:hanging="134"/>
      </w:pPr>
      <w:rPr>
        <w:rFonts w:ascii="Trebuchet MS" w:eastAsia="Trebuchet MS" w:hAnsi="Trebuchet MS" w:cs="Trebuchet MS" w:hint="default"/>
        <w:color w:val="282828"/>
        <w:w w:val="122"/>
        <w:sz w:val="18"/>
        <w:szCs w:val="18"/>
      </w:rPr>
    </w:lvl>
    <w:lvl w:ilvl="2" w:tplc="0B201864">
      <w:numFmt w:val="bullet"/>
      <w:lvlText w:val="•"/>
      <w:lvlJc w:val="left"/>
      <w:pPr>
        <w:ind w:left="442" w:hanging="134"/>
      </w:pPr>
      <w:rPr>
        <w:rFonts w:hint="default"/>
      </w:rPr>
    </w:lvl>
    <w:lvl w:ilvl="3" w:tplc="18C80F70">
      <w:numFmt w:val="bullet"/>
      <w:lvlText w:val="•"/>
      <w:lvlJc w:val="left"/>
      <w:pPr>
        <w:ind w:left="325" w:hanging="134"/>
      </w:pPr>
      <w:rPr>
        <w:rFonts w:hint="default"/>
      </w:rPr>
    </w:lvl>
    <w:lvl w:ilvl="4" w:tplc="BDECA7AA">
      <w:numFmt w:val="bullet"/>
      <w:lvlText w:val="•"/>
      <w:lvlJc w:val="left"/>
      <w:pPr>
        <w:ind w:left="208" w:hanging="134"/>
      </w:pPr>
      <w:rPr>
        <w:rFonts w:hint="default"/>
      </w:rPr>
    </w:lvl>
    <w:lvl w:ilvl="5" w:tplc="952EB204">
      <w:numFmt w:val="bullet"/>
      <w:lvlText w:val="•"/>
      <w:lvlJc w:val="left"/>
      <w:pPr>
        <w:ind w:left="91" w:hanging="134"/>
      </w:pPr>
      <w:rPr>
        <w:rFonts w:hint="default"/>
      </w:rPr>
    </w:lvl>
    <w:lvl w:ilvl="6" w:tplc="EE70086A">
      <w:numFmt w:val="bullet"/>
      <w:lvlText w:val="•"/>
      <w:lvlJc w:val="left"/>
      <w:pPr>
        <w:ind w:left="-26" w:hanging="134"/>
      </w:pPr>
      <w:rPr>
        <w:rFonts w:hint="default"/>
      </w:rPr>
    </w:lvl>
    <w:lvl w:ilvl="7" w:tplc="2AE269BC">
      <w:numFmt w:val="bullet"/>
      <w:lvlText w:val="•"/>
      <w:lvlJc w:val="left"/>
      <w:pPr>
        <w:ind w:left="-143" w:hanging="134"/>
      </w:pPr>
      <w:rPr>
        <w:rFonts w:hint="default"/>
      </w:rPr>
    </w:lvl>
    <w:lvl w:ilvl="8" w:tplc="EC1A4966">
      <w:numFmt w:val="bullet"/>
      <w:lvlText w:val="•"/>
      <w:lvlJc w:val="left"/>
      <w:pPr>
        <w:ind w:left="-260" w:hanging="134"/>
      </w:pPr>
      <w:rPr>
        <w:rFonts w:hint="default"/>
      </w:rPr>
    </w:lvl>
  </w:abstractNum>
  <w:abstractNum w:abstractNumId="133">
    <w:nsid w:val="64C52196"/>
    <w:multiLevelType w:val="hybridMultilevel"/>
    <w:tmpl w:val="42FC0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nsid w:val="652A3A02"/>
    <w:multiLevelType w:val="hybridMultilevel"/>
    <w:tmpl w:val="518CE9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659E31B8"/>
    <w:multiLevelType w:val="hybridMultilevel"/>
    <w:tmpl w:val="319A4B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662566A0"/>
    <w:multiLevelType w:val="hybridMultilevel"/>
    <w:tmpl w:val="BB3454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663302F3"/>
    <w:multiLevelType w:val="hybridMultilevel"/>
    <w:tmpl w:val="AE989D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8">
    <w:nsid w:val="67D349C2"/>
    <w:multiLevelType w:val="hybridMultilevel"/>
    <w:tmpl w:val="D8B2A5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nsid w:val="68554D98"/>
    <w:multiLevelType w:val="hybridMultilevel"/>
    <w:tmpl w:val="EBE0A5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0">
    <w:nsid w:val="687C1B98"/>
    <w:multiLevelType w:val="hybridMultilevel"/>
    <w:tmpl w:val="9190C8C4"/>
    <w:lvl w:ilvl="0" w:tplc="C4DA6D78">
      <w:numFmt w:val="bullet"/>
      <w:lvlText w:val="–"/>
      <w:lvlJc w:val="left"/>
      <w:pPr>
        <w:ind w:left="566" w:hanging="131"/>
      </w:pPr>
      <w:rPr>
        <w:rFonts w:ascii="Trebuchet MS" w:eastAsia="Trebuchet MS" w:hAnsi="Trebuchet MS" w:cs="Trebuchet MS" w:hint="default"/>
        <w:color w:val="282828"/>
        <w:w w:val="122"/>
        <w:sz w:val="18"/>
        <w:szCs w:val="18"/>
      </w:rPr>
    </w:lvl>
    <w:lvl w:ilvl="1" w:tplc="1FE602EA">
      <w:numFmt w:val="bullet"/>
      <w:lvlText w:val="•"/>
      <w:lvlJc w:val="left"/>
      <w:pPr>
        <w:ind w:left="881" w:hanging="131"/>
      </w:pPr>
      <w:rPr>
        <w:rFonts w:hint="default"/>
      </w:rPr>
    </w:lvl>
    <w:lvl w:ilvl="2" w:tplc="3A6EEE0C">
      <w:numFmt w:val="bullet"/>
      <w:lvlText w:val="•"/>
      <w:lvlJc w:val="left"/>
      <w:pPr>
        <w:ind w:left="1203" w:hanging="131"/>
      </w:pPr>
      <w:rPr>
        <w:rFonts w:hint="default"/>
      </w:rPr>
    </w:lvl>
    <w:lvl w:ilvl="3" w:tplc="C84C8D80">
      <w:numFmt w:val="bullet"/>
      <w:lvlText w:val="•"/>
      <w:lvlJc w:val="left"/>
      <w:pPr>
        <w:ind w:left="1525" w:hanging="131"/>
      </w:pPr>
      <w:rPr>
        <w:rFonts w:hint="default"/>
      </w:rPr>
    </w:lvl>
    <w:lvl w:ilvl="4" w:tplc="EC34407C">
      <w:numFmt w:val="bullet"/>
      <w:lvlText w:val="•"/>
      <w:lvlJc w:val="left"/>
      <w:pPr>
        <w:ind w:left="1847" w:hanging="131"/>
      </w:pPr>
      <w:rPr>
        <w:rFonts w:hint="default"/>
      </w:rPr>
    </w:lvl>
    <w:lvl w:ilvl="5" w:tplc="47D4EE12">
      <w:numFmt w:val="bullet"/>
      <w:lvlText w:val="•"/>
      <w:lvlJc w:val="left"/>
      <w:pPr>
        <w:ind w:left="2169" w:hanging="131"/>
      </w:pPr>
      <w:rPr>
        <w:rFonts w:hint="default"/>
      </w:rPr>
    </w:lvl>
    <w:lvl w:ilvl="6" w:tplc="F10A9F22">
      <w:numFmt w:val="bullet"/>
      <w:lvlText w:val="•"/>
      <w:lvlJc w:val="left"/>
      <w:pPr>
        <w:ind w:left="2491" w:hanging="131"/>
      </w:pPr>
      <w:rPr>
        <w:rFonts w:hint="default"/>
      </w:rPr>
    </w:lvl>
    <w:lvl w:ilvl="7" w:tplc="534C1022">
      <w:numFmt w:val="bullet"/>
      <w:lvlText w:val="•"/>
      <w:lvlJc w:val="left"/>
      <w:pPr>
        <w:ind w:left="2813" w:hanging="131"/>
      </w:pPr>
      <w:rPr>
        <w:rFonts w:hint="default"/>
      </w:rPr>
    </w:lvl>
    <w:lvl w:ilvl="8" w:tplc="628C16BA">
      <w:numFmt w:val="bullet"/>
      <w:lvlText w:val="•"/>
      <w:lvlJc w:val="left"/>
      <w:pPr>
        <w:ind w:left="3135" w:hanging="131"/>
      </w:pPr>
      <w:rPr>
        <w:rFonts w:hint="default"/>
      </w:rPr>
    </w:lvl>
  </w:abstractNum>
  <w:abstractNum w:abstractNumId="141">
    <w:nsid w:val="68962078"/>
    <w:multiLevelType w:val="hybridMultilevel"/>
    <w:tmpl w:val="BAEA1D4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2">
    <w:nsid w:val="69B81626"/>
    <w:multiLevelType w:val="hybridMultilevel"/>
    <w:tmpl w:val="83F02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nsid w:val="6A6B4E74"/>
    <w:multiLevelType w:val="hybridMultilevel"/>
    <w:tmpl w:val="DD1C20D8"/>
    <w:lvl w:ilvl="0" w:tplc="04190001">
      <w:start w:val="1"/>
      <w:numFmt w:val="bullet"/>
      <w:lvlText w:val=""/>
      <w:lvlJc w:val="left"/>
      <w:pPr>
        <w:ind w:left="1100" w:hanging="360"/>
      </w:pPr>
      <w:rPr>
        <w:rFonts w:ascii="Symbol" w:hAnsi="Symbol" w:hint="default"/>
      </w:rPr>
    </w:lvl>
    <w:lvl w:ilvl="1" w:tplc="04190003" w:tentative="1">
      <w:start w:val="1"/>
      <w:numFmt w:val="bullet"/>
      <w:lvlText w:val="o"/>
      <w:lvlJc w:val="left"/>
      <w:pPr>
        <w:ind w:left="1820" w:hanging="360"/>
      </w:pPr>
      <w:rPr>
        <w:rFonts w:ascii="Courier New" w:hAnsi="Courier New" w:hint="default"/>
      </w:rPr>
    </w:lvl>
    <w:lvl w:ilvl="2" w:tplc="04190005" w:tentative="1">
      <w:start w:val="1"/>
      <w:numFmt w:val="bullet"/>
      <w:lvlText w:val=""/>
      <w:lvlJc w:val="left"/>
      <w:pPr>
        <w:ind w:left="2540" w:hanging="360"/>
      </w:pPr>
      <w:rPr>
        <w:rFonts w:ascii="Wingdings" w:hAnsi="Wingdings" w:hint="default"/>
      </w:rPr>
    </w:lvl>
    <w:lvl w:ilvl="3" w:tplc="04190001" w:tentative="1">
      <w:start w:val="1"/>
      <w:numFmt w:val="bullet"/>
      <w:lvlText w:val=""/>
      <w:lvlJc w:val="left"/>
      <w:pPr>
        <w:ind w:left="3260" w:hanging="360"/>
      </w:pPr>
      <w:rPr>
        <w:rFonts w:ascii="Symbol" w:hAnsi="Symbol" w:hint="default"/>
      </w:rPr>
    </w:lvl>
    <w:lvl w:ilvl="4" w:tplc="04190003" w:tentative="1">
      <w:start w:val="1"/>
      <w:numFmt w:val="bullet"/>
      <w:lvlText w:val="o"/>
      <w:lvlJc w:val="left"/>
      <w:pPr>
        <w:ind w:left="3980" w:hanging="360"/>
      </w:pPr>
      <w:rPr>
        <w:rFonts w:ascii="Courier New" w:hAnsi="Courier New" w:hint="default"/>
      </w:rPr>
    </w:lvl>
    <w:lvl w:ilvl="5" w:tplc="04190005" w:tentative="1">
      <w:start w:val="1"/>
      <w:numFmt w:val="bullet"/>
      <w:lvlText w:val=""/>
      <w:lvlJc w:val="left"/>
      <w:pPr>
        <w:ind w:left="4700" w:hanging="360"/>
      </w:pPr>
      <w:rPr>
        <w:rFonts w:ascii="Wingdings" w:hAnsi="Wingdings" w:hint="default"/>
      </w:rPr>
    </w:lvl>
    <w:lvl w:ilvl="6" w:tplc="04190001" w:tentative="1">
      <w:start w:val="1"/>
      <w:numFmt w:val="bullet"/>
      <w:lvlText w:val=""/>
      <w:lvlJc w:val="left"/>
      <w:pPr>
        <w:ind w:left="5420" w:hanging="360"/>
      </w:pPr>
      <w:rPr>
        <w:rFonts w:ascii="Symbol" w:hAnsi="Symbol" w:hint="default"/>
      </w:rPr>
    </w:lvl>
    <w:lvl w:ilvl="7" w:tplc="04190003" w:tentative="1">
      <w:start w:val="1"/>
      <w:numFmt w:val="bullet"/>
      <w:lvlText w:val="o"/>
      <w:lvlJc w:val="left"/>
      <w:pPr>
        <w:ind w:left="6140" w:hanging="360"/>
      </w:pPr>
      <w:rPr>
        <w:rFonts w:ascii="Courier New" w:hAnsi="Courier New" w:hint="default"/>
      </w:rPr>
    </w:lvl>
    <w:lvl w:ilvl="8" w:tplc="04190005" w:tentative="1">
      <w:start w:val="1"/>
      <w:numFmt w:val="bullet"/>
      <w:lvlText w:val=""/>
      <w:lvlJc w:val="left"/>
      <w:pPr>
        <w:ind w:left="6860" w:hanging="360"/>
      </w:pPr>
      <w:rPr>
        <w:rFonts w:ascii="Wingdings" w:hAnsi="Wingdings" w:hint="default"/>
      </w:rPr>
    </w:lvl>
  </w:abstractNum>
  <w:abstractNum w:abstractNumId="144">
    <w:nsid w:val="6A9778F0"/>
    <w:multiLevelType w:val="multilevel"/>
    <w:tmpl w:val="BEDA2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6AA20E70"/>
    <w:multiLevelType w:val="hybridMultilevel"/>
    <w:tmpl w:val="53D2F012"/>
    <w:lvl w:ilvl="0" w:tplc="7B5271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6B043637"/>
    <w:multiLevelType w:val="hybridMultilevel"/>
    <w:tmpl w:val="B9604E6C"/>
    <w:lvl w:ilvl="0" w:tplc="017AE0DC">
      <w:start w:val="1"/>
      <w:numFmt w:val="decimal"/>
      <w:lvlText w:val="%1."/>
      <w:lvlJc w:val="left"/>
      <w:pPr>
        <w:ind w:left="772" w:hanging="204"/>
      </w:pPr>
      <w:rPr>
        <w:rFonts w:ascii="Times New Roman" w:eastAsia="Arial" w:hAnsi="Times New Roman" w:cs="Times New Roman" w:hint="default"/>
        <w:spacing w:val="-1"/>
        <w:w w:val="100"/>
        <w:sz w:val="24"/>
        <w:szCs w:val="16"/>
      </w:rPr>
    </w:lvl>
    <w:lvl w:ilvl="1" w:tplc="E3BC681A">
      <w:numFmt w:val="bullet"/>
      <w:lvlText w:val="•"/>
      <w:lvlJc w:val="left"/>
      <w:pPr>
        <w:ind w:left="591" w:hanging="204"/>
      </w:pPr>
      <w:rPr>
        <w:rFonts w:hint="default"/>
      </w:rPr>
    </w:lvl>
    <w:lvl w:ilvl="2" w:tplc="16727E44">
      <w:numFmt w:val="bullet"/>
      <w:lvlText w:val="•"/>
      <w:lvlJc w:val="left"/>
      <w:pPr>
        <w:ind w:left="1062" w:hanging="204"/>
      </w:pPr>
      <w:rPr>
        <w:rFonts w:hint="default"/>
      </w:rPr>
    </w:lvl>
    <w:lvl w:ilvl="3" w:tplc="91D04BAC">
      <w:numFmt w:val="bullet"/>
      <w:lvlText w:val="•"/>
      <w:lvlJc w:val="left"/>
      <w:pPr>
        <w:ind w:left="1533" w:hanging="204"/>
      </w:pPr>
      <w:rPr>
        <w:rFonts w:hint="default"/>
      </w:rPr>
    </w:lvl>
    <w:lvl w:ilvl="4" w:tplc="56347F8E">
      <w:numFmt w:val="bullet"/>
      <w:lvlText w:val="•"/>
      <w:lvlJc w:val="left"/>
      <w:pPr>
        <w:ind w:left="2005" w:hanging="204"/>
      </w:pPr>
      <w:rPr>
        <w:rFonts w:hint="default"/>
      </w:rPr>
    </w:lvl>
    <w:lvl w:ilvl="5" w:tplc="E9225208">
      <w:numFmt w:val="bullet"/>
      <w:lvlText w:val="•"/>
      <w:lvlJc w:val="left"/>
      <w:pPr>
        <w:ind w:left="2476" w:hanging="204"/>
      </w:pPr>
      <w:rPr>
        <w:rFonts w:hint="default"/>
      </w:rPr>
    </w:lvl>
    <w:lvl w:ilvl="6" w:tplc="4C606FEE">
      <w:numFmt w:val="bullet"/>
      <w:lvlText w:val="•"/>
      <w:lvlJc w:val="left"/>
      <w:pPr>
        <w:ind w:left="2947" w:hanging="204"/>
      </w:pPr>
      <w:rPr>
        <w:rFonts w:hint="default"/>
      </w:rPr>
    </w:lvl>
    <w:lvl w:ilvl="7" w:tplc="5860BB18">
      <w:numFmt w:val="bullet"/>
      <w:lvlText w:val="•"/>
      <w:lvlJc w:val="left"/>
      <w:pPr>
        <w:ind w:left="3419" w:hanging="204"/>
      </w:pPr>
      <w:rPr>
        <w:rFonts w:hint="default"/>
      </w:rPr>
    </w:lvl>
    <w:lvl w:ilvl="8" w:tplc="0C7C6A76">
      <w:numFmt w:val="bullet"/>
      <w:lvlText w:val="•"/>
      <w:lvlJc w:val="left"/>
      <w:pPr>
        <w:ind w:left="3890" w:hanging="204"/>
      </w:pPr>
      <w:rPr>
        <w:rFonts w:hint="default"/>
      </w:rPr>
    </w:lvl>
  </w:abstractNum>
  <w:abstractNum w:abstractNumId="147">
    <w:nsid w:val="6BD8093A"/>
    <w:multiLevelType w:val="hybridMultilevel"/>
    <w:tmpl w:val="7376ED34"/>
    <w:lvl w:ilvl="0" w:tplc="62C21F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8">
    <w:nsid w:val="6C605BA7"/>
    <w:multiLevelType w:val="singleLevel"/>
    <w:tmpl w:val="ABF2FE2E"/>
    <w:lvl w:ilvl="0">
      <w:start w:val="3"/>
      <w:numFmt w:val="decimal"/>
      <w:lvlText w:val="%1)"/>
      <w:legacy w:legacy="1" w:legacySpace="0" w:legacyIndent="235"/>
      <w:lvlJc w:val="left"/>
      <w:rPr>
        <w:rFonts w:ascii="Times New Roman" w:hAnsi="Times New Roman" w:cs="Times New Roman" w:hint="default"/>
      </w:rPr>
    </w:lvl>
  </w:abstractNum>
  <w:abstractNum w:abstractNumId="149">
    <w:nsid w:val="6CD163B8"/>
    <w:multiLevelType w:val="hybridMultilevel"/>
    <w:tmpl w:val="B4AEF41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nsid w:val="6E5B5E5F"/>
    <w:multiLevelType w:val="hybridMultilevel"/>
    <w:tmpl w:val="6A780EF8"/>
    <w:lvl w:ilvl="0" w:tplc="B22834D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6F4F0B37"/>
    <w:multiLevelType w:val="hybridMultilevel"/>
    <w:tmpl w:val="27963276"/>
    <w:lvl w:ilvl="0" w:tplc="4DB0C66E">
      <w:start w:val="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2">
    <w:nsid w:val="70042058"/>
    <w:multiLevelType w:val="hybridMultilevel"/>
    <w:tmpl w:val="1A3E45EE"/>
    <w:lvl w:ilvl="0" w:tplc="931C05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3">
    <w:nsid w:val="7281108D"/>
    <w:multiLevelType w:val="hybridMultilevel"/>
    <w:tmpl w:val="4F1A1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nsid w:val="734D0EF7"/>
    <w:multiLevelType w:val="hybridMultilevel"/>
    <w:tmpl w:val="9506757C"/>
    <w:lvl w:ilvl="0" w:tplc="F4445DD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5">
    <w:nsid w:val="75725A8F"/>
    <w:multiLevelType w:val="hybridMultilevel"/>
    <w:tmpl w:val="38CE92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nsid w:val="75F454C5"/>
    <w:multiLevelType w:val="hybridMultilevel"/>
    <w:tmpl w:val="AAC843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nsid w:val="75FE6067"/>
    <w:multiLevelType w:val="hybridMultilevel"/>
    <w:tmpl w:val="316EAA3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8">
    <w:nsid w:val="762E1131"/>
    <w:multiLevelType w:val="hybridMultilevel"/>
    <w:tmpl w:val="9E04A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nsid w:val="76520495"/>
    <w:multiLevelType w:val="hybridMultilevel"/>
    <w:tmpl w:val="DE2020BA"/>
    <w:lvl w:ilvl="0" w:tplc="64CEC20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nsid w:val="767B127D"/>
    <w:multiLevelType w:val="hybridMultilevel"/>
    <w:tmpl w:val="D48450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1">
    <w:nsid w:val="76BE36A7"/>
    <w:multiLevelType w:val="hybridMultilevel"/>
    <w:tmpl w:val="1966AD1C"/>
    <w:lvl w:ilvl="0" w:tplc="0409000F">
      <w:start w:val="1"/>
      <w:numFmt w:val="decimal"/>
      <w:lvlText w:val="%1."/>
      <w:lvlJc w:val="left"/>
      <w:pPr>
        <w:ind w:left="45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2">
    <w:nsid w:val="7743083A"/>
    <w:multiLevelType w:val="hybridMultilevel"/>
    <w:tmpl w:val="2E9436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3">
    <w:nsid w:val="78E133C5"/>
    <w:multiLevelType w:val="hybridMultilevel"/>
    <w:tmpl w:val="2FD206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nsid w:val="7BA835E0"/>
    <w:multiLevelType w:val="hybridMultilevel"/>
    <w:tmpl w:val="5CF82910"/>
    <w:lvl w:ilvl="0" w:tplc="9BC095DC">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5">
    <w:nsid w:val="7C34305B"/>
    <w:multiLevelType w:val="hybridMultilevel"/>
    <w:tmpl w:val="7C8EE466"/>
    <w:lvl w:ilvl="0" w:tplc="64CEC20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6">
    <w:nsid w:val="7C547176"/>
    <w:multiLevelType w:val="hybridMultilevel"/>
    <w:tmpl w:val="468486AC"/>
    <w:lvl w:ilvl="0" w:tplc="D18A35CC">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67">
    <w:nsid w:val="7DBE27EF"/>
    <w:multiLevelType w:val="hybridMultilevel"/>
    <w:tmpl w:val="652E21C2"/>
    <w:lvl w:ilvl="0" w:tplc="62C21F26">
      <w:start w:val="1"/>
      <w:numFmt w:val="bullet"/>
      <w:lvlText w:val=""/>
      <w:lvlJc w:val="left"/>
      <w:pPr>
        <w:ind w:left="1208" w:hanging="360"/>
      </w:pPr>
      <w:rPr>
        <w:rFonts w:ascii="Symbol" w:hAnsi="Symbol" w:hint="default"/>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168">
    <w:nsid w:val="7F110AEF"/>
    <w:multiLevelType w:val="hybridMultilevel"/>
    <w:tmpl w:val="56882F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1"/>
  </w:num>
  <w:num w:numId="2">
    <w:abstractNumId w:val="134"/>
  </w:num>
  <w:num w:numId="3">
    <w:abstractNumId w:val="136"/>
  </w:num>
  <w:num w:numId="4">
    <w:abstractNumId w:val="150"/>
  </w:num>
  <w:num w:numId="5">
    <w:abstractNumId w:val="7"/>
  </w:num>
  <w:num w:numId="6">
    <w:abstractNumId w:val="52"/>
  </w:num>
  <w:num w:numId="7">
    <w:abstractNumId w:val="1"/>
  </w:num>
  <w:num w:numId="8">
    <w:abstractNumId w:val="41"/>
  </w:num>
  <w:num w:numId="9">
    <w:abstractNumId w:val="45"/>
  </w:num>
  <w:num w:numId="10">
    <w:abstractNumId w:val="16"/>
  </w:num>
  <w:num w:numId="11">
    <w:abstractNumId w:val="47"/>
  </w:num>
  <w:num w:numId="12">
    <w:abstractNumId w:val="86"/>
  </w:num>
  <w:num w:numId="13">
    <w:abstractNumId w:val="65"/>
  </w:num>
  <w:num w:numId="14">
    <w:abstractNumId w:val="135"/>
  </w:num>
  <w:num w:numId="15">
    <w:abstractNumId w:val="102"/>
  </w:num>
  <w:num w:numId="16">
    <w:abstractNumId w:val="108"/>
  </w:num>
  <w:num w:numId="17">
    <w:abstractNumId w:val="14"/>
  </w:num>
  <w:num w:numId="18">
    <w:abstractNumId w:val="116"/>
  </w:num>
  <w:num w:numId="19">
    <w:abstractNumId w:val="85"/>
  </w:num>
  <w:num w:numId="20">
    <w:abstractNumId w:val="12"/>
  </w:num>
  <w:num w:numId="21">
    <w:abstractNumId w:val="162"/>
  </w:num>
  <w:num w:numId="22">
    <w:abstractNumId w:val="90"/>
  </w:num>
  <w:num w:numId="23">
    <w:abstractNumId w:val="151"/>
  </w:num>
  <w:num w:numId="24">
    <w:abstractNumId w:val="92"/>
  </w:num>
  <w:num w:numId="25">
    <w:abstractNumId w:val="39"/>
  </w:num>
  <w:num w:numId="26">
    <w:abstractNumId w:val="165"/>
  </w:num>
  <w:num w:numId="27">
    <w:abstractNumId w:val="28"/>
  </w:num>
  <w:num w:numId="28">
    <w:abstractNumId w:val="113"/>
  </w:num>
  <w:num w:numId="29">
    <w:abstractNumId w:val="159"/>
  </w:num>
  <w:num w:numId="30">
    <w:abstractNumId w:val="101"/>
  </w:num>
  <w:num w:numId="31">
    <w:abstractNumId w:val="79"/>
  </w:num>
  <w:num w:numId="32">
    <w:abstractNumId w:val="77"/>
  </w:num>
  <w:num w:numId="33">
    <w:abstractNumId w:val="96"/>
  </w:num>
  <w:num w:numId="34">
    <w:abstractNumId w:val="149"/>
  </w:num>
  <w:num w:numId="35">
    <w:abstractNumId w:val="60"/>
  </w:num>
  <w:num w:numId="36">
    <w:abstractNumId w:val="74"/>
  </w:num>
  <w:num w:numId="37">
    <w:abstractNumId w:val="153"/>
  </w:num>
  <w:num w:numId="38">
    <w:abstractNumId w:val="38"/>
  </w:num>
  <w:num w:numId="39">
    <w:abstractNumId w:val="158"/>
  </w:num>
  <w:num w:numId="40">
    <w:abstractNumId w:val="137"/>
  </w:num>
  <w:num w:numId="41">
    <w:abstractNumId w:val="89"/>
  </w:num>
  <w:num w:numId="42">
    <w:abstractNumId w:val="29"/>
  </w:num>
  <w:num w:numId="43">
    <w:abstractNumId w:val="128"/>
  </w:num>
  <w:num w:numId="44">
    <w:abstractNumId w:val="50"/>
  </w:num>
  <w:num w:numId="45">
    <w:abstractNumId w:val="97"/>
  </w:num>
  <w:num w:numId="46">
    <w:abstractNumId w:val="80"/>
  </w:num>
  <w:num w:numId="47">
    <w:abstractNumId w:val="168"/>
  </w:num>
  <w:num w:numId="48">
    <w:abstractNumId w:val="110"/>
  </w:num>
  <w:num w:numId="49">
    <w:abstractNumId w:val="32"/>
  </w:num>
  <w:num w:numId="50">
    <w:abstractNumId w:val="146"/>
  </w:num>
  <w:num w:numId="51">
    <w:abstractNumId w:val="24"/>
  </w:num>
  <w:num w:numId="52">
    <w:abstractNumId w:val="126"/>
  </w:num>
  <w:num w:numId="53">
    <w:abstractNumId w:val="73"/>
  </w:num>
  <w:num w:numId="54">
    <w:abstractNumId w:val="143"/>
  </w:num>
  <w:num w:numId="55">
    <w:abstractNumId w:val="72"/>
  </w:num>
  <w:num w:numId="56">
    <w:abstractNumId w:val="155"/>
  </w:num>
  <w:num w:numId="57">
    <w:abstractNumId w:val="144"/>
  </w:num>
  <w:num w:numId="58">
    <w:abstractNumId w:val="53"/>
  </w:num>
  <w:num w:numId="59">
    <w:abstractNumId w:val="98"/>
  </w:num>
  <w:num w:numId="60">
    <w:abstractNumId w:val="163"/>
  </w:num>
  <w:num w:numId="61">
    <w:abstractNumId w:val="59"/>
  </w:num>
  <w:num w:numId="62">
    <w:abstractNumId w:val="36"/>
  </w:num>
  <w:num w:numId="63">
    <w:abstractNumId w:val="133"/>
  </w:num>
  <w:num w:numId="64">
    <w:abstractNumId w:val="84"/>
  </w:num>
  <w:num w:numId="65">
    <w:abstractNumId w:val="18"/>
  </w:num>
  <w:num w:numId="66">
    <w:abstractNumId w:val="3"/>
  </w:num>
  <w:num w:numId="67">
    <w:abstractNumId w:val="69"/>
  </w:num>
  <w:num w:numId="68">
    <w:abstractNumId w:val="78"/>
  </w:num>
  <w:num w:numId="69">
    <w:abstractNumId w:val="123"/>
  </w:num>
  <w:num w:numId="70">
    <w:abstractNumId w:val="62"/>
  </w:num>
  <w:num w:numId="71">
    <w:abstractNumId w:val="118"/>
  </w:num>
  <w:num w:numId="72">
    <w:abstractNumId w:val="75"/>
  </w:num>
  <w:num w:numId="73">
    <w:abstractNumId w:val="127"/>
  </w:num>
  <w:num w:numId="74">
    <w:abstractNumId w:val="148"/>
  </w:num>
  <w:num w:numId="75">
    <w:abstractNumId w:val="112"/>
  </w:num>
  <w:num w:numId="76">
    <w:abstractNumId w:val="103"/>
  </w:num>
  <w:num w:numId="77">
    <w:abstractNumId w:val="25"/>
  </w:num>
  <w:num w:numId="78">
    <w:abstractNumId w:val="119"/>
  </w:num>
  <w:num w:numId="79">
    <w:abstractNumId w:val="8"/>
  </w:num>
  <w:num w:numId="80">
    <w:abstractNumId w:val="76"/>
  </w:num>
  <w:num w:numId="81">
    <w:abstractNumId w:val="10"/>
  </w:num>
  <w:num w:numId="82">
    <w:abstractNumId w:val="64"/>
  </w:num>
  <w:num w:numId="83">
    <w:abstractNumId w:val="31"/>
  </w:num>
  <w:num w:numId="84">
    <w:abstractNumId w:val="95"/>
  </w:num>
  <w:num w:numId="85">
    <w:abstractNumId w:val="107"/>
  </w:num>
  <w:num w:numId="86">
    <w:abstractNumId w:val="99"/>
  </w:num>
  <w:num w:numId="87">
    <w:abstractNumId w:val="161"/>
  </w:num>
  <w:num w:numId="88">
    <w:abstractNumId w:val="82"/>
  </w:num>
  <w:num w:numId="89">
    <w:abstractNumId w:val="140"/>
  </w:num>
  <w:num w:numId="90">
    <w:abstractNumId w:val="70"/>
  </w:num>
  <w:num w:numId="91">
    <w:abstractNumId w:val="132"/>
  </w:num>
  <w:num w:numId="92">
    <w:abstractNumId w:val="63"/>
  </w:num>
  <w:num w:numId="93">
    <w:abstractNumId w:val="37"/>
  </w:num>
  <w:num w:numId="94">
    <w:abstractNumId w:val="87"/>
  </w:num>
  <w:num w:numId="95">
    <w:abstractNumId w:val="0"/>
  </w:num>
  <w:num w:numId="96">
    <w:abstractNumId w:val="104"/>
  </w:num>
  <w:num w:numId="97">
    <w:abstractNumId w:val="9"/>
  </w:num>
  <w:num w:numId="98">
    <w:abstractNumId w:val="22"/>
  </w:num>
  <w:num w:numId="99">
    <w:abstractNumId w:val="91"/>
  </w:num>
  <w:num w:numId="100">
    <w:abstractNumId w:val="61"/>
  </w:num>
  <w:num w:numId="101">
    <w:abstractNumId w:val="6"/>
  </w:num>
  <w:num w:numId="102">
    <w:abstractNumId w:val="46"/>
  </w:num>
  <w:num w:numId="103">
    <w:abstractNumId w:val="167"/>
  </w:num>
  <w:num w:numId="104">
    <w:abstractNumId w:val="147"/>
  </w:num>
  <w:num w:numId="105">
    <w:abstractNumId w:val="51"/>
  </w:num>
  <w:num w:numId="106">
    <w:abstractNumId w:val="154"/>
  </w:num>
  <w:num w:numId="107">
    <w:abstractNumId w:val="17"/>
  </w:num>
  <w:num w:numId="108">
    <w:abstractNumId w:val="21"/>
  </w:num>
  <w:num w:numId="109">
    <w:abstractNumId w:val="156"/>
  </w:num>
  <w:num w:numId="110">
    <w:abstractNumId w:val="42"/>
  </w:num>
  <w:num w:numId="111">
    <w:abstractNumId w:val="19"/>
  </w:num>
  <w:num w:numId="112">
    <w:abstractNumId w:val="93"/>
  </w:num>
  <w:num w:numId="113">
    <w:abstractNumId w:val="66"/>
  </w:num>
  <w:num w:numId="114">
    <w:abstractNumId w:val="124"/>
  </w:num>
  <w:num w:numId="115">
    <w:abstractNumId w:val="111"/>
  </w:num>
  <w:num w:numId="116">
    <w:abstractNumId w:val="121"/>
  </w:num>
  <w:num w:numId="1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25"/>
  </w:num>
  <w:num w:numId="119">
    <w:abstractNumId w:val="4"/>
  </w:num>
  <w:num w:numId="120">
    <w:abstractNumId w:val="15"/>
  </w:num>
  <w:num w:numId="121">
    <w:abstractNumId w:val="26"/>
  </w:num>
  <w:num w:numId="122">
    <w:abstractNumId w:val="5"/>
  </w:num>
  <w:num w:numId="123">
    <w:abstractNumId w:val="43"/>
  </w:num>
  <w:num w:numId="124">
    <w:abstractNumId w:val="23"/>
  </w:num>
  <w:num w:numId="125">
    <w:abstractNumId w:val="142"/>
  </w:num>
  <w:num w:numId="126">
    <w:abstractNumId w:val="105"/>
  </w:num>
  <w:num w:numId="127">
    <w:abstractNumId w:val="57"/>
  </w:num>
  <w:num w:numId="128">
    <w:abstractNumId w:val="13"/>
  </w:num>
  <w:num w:numId="129">
    <w:abstractNumId w:val="68"/>
  </w:num>
  <w:num w:numId="130">
    <w:abstractNumId w:val="94"/>
  </w:num>
  <w:num w:numId="131">
    <w:abstractNumId w:val="49"/>
  </w:num>
  <w:num w:numId="132">
    <w:abstractNumId w:val="138"/>
  </w:num>
  <w:num w:numId="133">
    <w:abstractNumId w:val="40"/>
  </w:num>
  <w:num w:numId="134">
    <w:abstractNumId w:val="139"/>
  </w:num>
  <w:num w:numId="135">
    <w:abstractNumId w:val="130"/>
  </w:num>
  <w:num w:numId="136">
    <w:abstractNumId w:val="129"/>
  </w:num>
  <w:num w:numId="137">
    <w:abstractNumId w:val="56"/>
  </w:num>
  <w:num w:numId="138">
    <w:abstractNumId w:val="83"/>
  </w:num>
  <w:num w:numId="139">
    <w:abstractNumId w:val="54"/>
  </w:num>
  <w:num w:numId="140">
    <w:abstractNumId w:val="152"/>
  </w:num>
  <w:num w:numId="141">
    <w:abstractNumId w:val="30"/>
  </w:num>
  <w:num w:numId="142">
    <w:abstractNumId w:val="145"/>
  </w:num>
  <w:num w:numId="14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5"/>
  </w:num>
  <w:num w:numId="145">
    <w:abstractNumId w:val="81"/>
  </w:num>
  <w:num w:numId="146">
    <w:abstractNumId w:val="120"/>
  </w:num>
  <w:num w:numId="147">
    <w:abstractNumId w:val="106"/>
  </w:num>
  <w:num w:numId="148">
    <w:abstractNumId w:val="117"/>
  </w:num>
  <w:num w:numId="149">
    <w:abstractNumId w:val="58"/>
  </w:num>
  <w:num w:numId="150">
    <w:abstractNumId w:val="100"/>
  </w:num>
  <w:num w:numId="151">
    <w:abstractNumId w:val="2"/>
  </w:num>
  <w:num w:numId="152">
    <w:abstractNumId w:val="141"/>
  </w:num>
  <w:num w:numId="153">
    <w:abstractNumId w:val="166"/>
  </w:num>
  <w:num w:numId="154">
    <w:abstractNumId w:val="157"/>
  </w:num>
  <w:num w:numId="155">
    <w:abstractNumId w:val="44"/>
  </w:num>
  <w:num w:numId="156">
    <w:abstractNumId w:val="115"/>
  </w:num>
  <w:num w:numId="157">
    <w:abstractNumId w:val="160"/>
  </w:num>
  <w:num w:numId="158">
    <w:abstractNumId w:val="20"/>
  </w:num>
  <w:num w:numId="159">
    <w:abstractNumId w:val="48"/>
  </w:num>
  <w:num w:numId="160">
    <w:abstractNumId w:val="35"/>
  </w:num>
  <w:num w:numId="161">
    <w:abstractNumId w:val="88"/>
  </w:num>
  <w:num w:numId="162">
    <w:abstractNumId w:val="67"/>
  </w:num>
  <w:num w:numId="163">
    <w:abstractNumId w:val="109"/>
  </w:num>
  <w:num w:numId="164">
    <w:abstractNumId w:val="33"/>
  </w:num>
  <w:num w:numId="165">
    <w:abstractNumId w:val="27"/>
  </w:num>
  <w:num w:numId="16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64"/>
  </w:num>
  <w:num w:numId="168">
    <w:abstractNumId w:val="114"/>
  </w:num>
  <w:num w:numId="169">
    <w:abstractNumId w:val="34"/>
  </w:num>
  <w:numIdMacAtCleanup w:val="1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hideGrammaticalErrors/>
  <w:defaultTabStop w:val="708"/>
  <w:characterSpacingControl w:val="doNotCompress"/>
  <w:savePreviewPicture/>
  <w:footnotePr>
    <w:footnote w:id="-1"/>
    <w:footnote w:id="0"/>
  </w:footnotePr>
  <w:endnotePr>
    <w:endnote w:id="-1"/>
    <w:endnote w:id="0"/>
  </w:endnotePr>
  <w:compat/>
  <w:rsids>
    <w:rsidRoot w:val="002A0A1E"/>
    <w:rsid w:val="00000AA1"/>
    <w:rsid w:val="000244BA"/>
    <w:rsid w:val="000608E3"/>
    <w:rsid w:val="00064810"/>
    <w:rsid w:val="00081412"/>
    <w:rsid w:val="000B3416"/>
    <w:rsid w:val="000C563A"/>
    <w:rsid w:val="000D04D6"/>
    <w:rsid w:val="000D7712"/>
    <w:rsid w:val="000E0E3B"/>
    <w:rsid w:val="000E7DCF"/>
    <w:rsid w:val="000F4C78"/>
    <w:rsid w:val="00106A18"/>
    <w:rsid w:val="001125AB"/>
    <w:rsid w:val="001141B9"/>
    <w:rsid w:val="001321A8"/>
    <w:rsid w:val="00136F38"/>
    <w:rsid w:val="0014277D"/>
    <w:rsid w:val="00143D93"/>
    <w:rsid w:val="00143F4F"/>
    <w:rsid w:val="00165FAA"/>
    <w:rsid w:val="001713F3"/>
    <w:rsid w:val="00176B0D"/>
    <w:rsid w:val="001811CC"/>
    <w:rsid w:val="00181BA7"/>
    <w:rsid w:val="001956B1"/>
    <w:rsid w:val="00197CE7"/>
    <w:rsid w:val="001A280B"/>
    <w:rsid w:val="001A4917"/>
    <w:rsid w:val="001A6A6A"/>
    <w:rsid w:val="001B6671"/>
    <w:rsid w:val="001D3EF8"/>
    <w:rsid w:val="001D4D32"/>
    <w:rsid w:val="001F26C0"/>
    <w:rsid w:val="00203FBF"/>
    <w:rsid w:val="002173CB"/>
    <w:rsid w:val="0022694E"/>
    <w:rsid w:val="00230C80"/>
    <w:rsid w:val="00240D8D"/>
    <w:rsid w:val="002426D0"/>
    <w:rsid w:val="00246CED"/>
    <w:rsid w:val="00250909"/>
    <w:rsid w:val="00250C23"/>
    <w:rsid w:val="00277FC4"/>
    <w:rsid w:val="002917CA"/>
    <w:rsid w:val="002A0A1E"/>
    <w:rsid w:val="002A5E41"/>
    <w:rsid w:val="002B3355"/>
    <w:rsid w:val="002B5CB3"/>
    <w:rsid w:val="002E2551"/>
    <w:rsid w:val="0030706E"/>
    <w:rsid w:val="0032650E"/>
    <w:rsid w:val="00330989"/>
    <w:rsid w:val="0035387D"/>
    <w:rsid w:val="00363B10"/>
    <w:rsid w:val="00367EE0"/>
    <w:rsid w:val="003A625F"/>
    <w:rsid w:val="003A751C"/>
    <w:rsid w:val="003C3F9D"/>
    <w:rsid w:val="003D1F26"/>
    <w:rsid w:val="003D2DA8"/>
    <w:rsid w:val="003E351F"/>
    <w:rsid w:val="003E7C48"/>
    <w:rsid w:val="003F6435"/>
    <w:rsid w:val="00403FD8"/>
    <w:rsid w:val="004052F8"/>
    <w:rsid w:val="00437134"/>
    <w:rsid w:val="00446BAB"/>
    <w:rsid w:val="004633A3"/>
    <w:rsid w:val="004664CC"/>
    <w:rsid w:val="004708E5"/>
    <w:rsid w:val="00482214"/>
    <w:rsid w:val="004873FF"/>
    <w:rsid w:val="00491D75"/>
    <w:rsid w:val="004B49C6"/>
    <w:rsid w:val="004D0299"/>
    <w:rsid w:val="004D09A1"/>
    <w:rsid w:val="004D0BA8"/>
    <w:rsid w:val="004E0C8F"/>
    <w:rsid w:val="004E7ACB"/>
    <w:rsid w:val="00542B0A"/>
    <w:rsid w:val="0054571D"/>
    <w:rsid w:val="00546D5E"/>
    <w:rsid w:val="00550E98"/>
    <w:rsid w:val="00551547"/>
    <w:rsid w:val="005521B5"/>
    <w:rsid w:val="0057418F"/>
    <w:rsid w:val="00574D88"/>
    <w:rsid w:val="00576A82"/>
    <w:rsid w:val="00577524"/>
    <w:rsid w:val="00577A7D"/>
    <w:rsid w:val="005876B0"/>
    <w:rsid w:val="00592BC2"/>
    <w:rsid w:val="00595901"/>
    <w:rsid w:val="005A7125"/>
    <w:rsid w:val="005B1927"/>
    <w:rsid w:val="005B1C49"/>
    <w:rsid w:val="005B31C6"/>
    <w:rsid w:val="005C05A7"/>
    <w:rsid w:val="005C2070"/>
    <w:rsid w:val="005D1C4B"/>
    <w:rsid w:val="005D6967"/>
    <w:rsid w:val="005E3048"/>
    <w:rsid w:val="005F1E57"/>
    <w:rsid w:val="005F345A"/>
    <w:rsid w:val="005F43EE"/>
    <w:rsid w:val="005F6AC7"/>
    <w:rsid w:val="00616DAD"/>
    <w:rsid w:val="00621A60"/>
    <w:rsid w:val="0063672E"/>
    <w:rsid w:val="006430F6"/>
    <w:rsid w:val="00666D87"/>
    <w:rsid w:val="00680B7C"/>
    <w:rsid w:val="0068297E"/>
    <w:rsid w:val="00695A14"/>
    <w:rsid w:val="006A6E29"/>
    <w:rsid w:val="006C0823"/>
    <w:rsid w:val="006E790D"/>
    <w:rsid w:val="006F40E7"/>
    <w:rsid w:val="006F5593"/>
    <w:rsid w:val="006F7B90"/>
    <w:rsid w:val="00726D8C"/>
    <w:rsid w:val="00731944"/>
    <w:rsid w:val="007354E1"/>
    <w:rsid w:val="00735F5E"/>
    <w:rsid w:val="00744B8D"/>
    <w:rsid w:val="00765189"/>
    <w:rsid w:val="007760B0"/>
    <w:rsid w:val="007A79EB"/>
    <w:rsid w:val="007B7B69"/>
    <w:rsid w:val="007D1ABD"/>
    <w:rsid w:val="007D4C89"/>
    <w:rsid w:val="007D5409"/>
    <w:rsid w:val="007E3871"/>
    <w:rsid w:val="007F290E"/>
    <w:rsid w:val="007F50EA"/>
    <w:rsid w:val="0080210E"/>
    <w:rsid w:val="00803E6B"/>
    <w:rsid w:val="00805603"/>
    <w:rsid w:val="00821AD4"/>
    <w:rsid w:val="0082601E"/>
    <w:rsid w:val="0082759F"/>
    <w:rsid w:val="008439EC"/>
    <w:rsid w:val="0086273C"/>
    <w:rsid w:val="008840CA"/>
    <w:rsid w:val="008855E2"/>
    <w:rsid w:val="0088604F"/>
    <w:rsid w:val="00891FA8"/>
    <w:rsid w:val="008A5985"/>
    <w:rsid w:val="008A781C"/>
    <w:rsid w:val="008B049C"/>
    <w:rsid w:val="008C23AD"/>
    <w:rsid w:val="008C6ED2"/>
    <w:rsid w:val="008D7398"/>
    <w:rsid w:val="008E7108"/>
    <w:rsid w:val="00903C8A"/>
    <w:rsid w:val="00904FCF"/>
    <w:rsid w:val="009162F9"/>
    <w:rsid w:val="00922694"/>
    <w:rsid w:val="00922B4F"/>
    <w:rsid w:val="00937F10"/>
    <w:rsid w:val="0095201E"/>
    <w:rsid w:val="009576C3"/>
    <w:rsid w:val="009910BD"/>
    <w:rsid w:val="009A0BBE"/>
    <w:rsid w:val="009A2472"/>
    <w:rsid w:val="009A2FFA"/>
    <w:rsid w:val="009B3827"/>
    <w:rsid w:val="009D2707"/>
    <w:rsid w:val="009F2071"/>
    <w:rsid w:val="00A10FA2"/>
    <w:rsid w:val="00A33940"/>
    <w:rsid w:val="00A46997"/>
    <w:rsid w:val="00A46E7B"/>
    <w:rsid w:val="00A62E7F"/>
    <w:rsid w:val="00A70C6A"/>
    <w:rsid w:val="00A779A9"/>
    <w:rsid w:val="00A826B5"/>
    <w:rsid w:val="00A86569"/>
    <w:rsid w:val="00A9373B"/>
    <w:rsid w:val="00A969C6"/>
    <w:rsid w:val="00AB49D0"/>
    <w:rsid w:val="00AC492D"/>
    <w:rsid w:val="00AC7230"/>
    <w:rsid w:val="00AC759E"/>
    <w:rsid w:val="00AE0651"/>
    <w:rsid w:val="00AE4C68"/>
    <w:rsid w:val="00AE543D"/>
    <w:rsid w:val="00AF09E7"/>
    <w:rsid w:val="00AF1DB8"/>
    <w:rsid w:val="00B27AC8"/>
    <w:rsid w:val="00B46B9E"/>
    <w:rsid w:val="00B77679"/>
    <w:rsid w:val="00BB54C1"/>
    <w:rsid w:val="00BC5450"/>
    <w:rsid w:val="00BC7FC8"/>
    <w:rsid w:val="00BD1EBF"/>
    <w:rsid w:val="00BD392F"/>
    <w:rsid w:val="00BF6841"/>
    <w:rsid w:val="00C03E95"/>
    <w:rsid w:val="00C049C6"/>
    <w:rsid w:val="00C61DF5"/>
    <w:rsid w:val="00C7441D"/>
    <w:rsid w:val="00C76687"/>
    <w:rsid w:val="00C84297"/>
    <w:rsid w:val="00CA59EA"/>
    <w:rsid w:val="00CA731A"/>
    <w:rsid w:val="00CB0BEF"/>
    <w:rsid w:val="00CB11CD"/>
    <w:rsid w:val="00D159B3"/>
    <w:rsid w:val="00D24DF0"/>
    <w:rsid w:val="00D32A04"/>
    <w:rsid w:val="00D45D6B"/>
    <w:rsid w:val="00D45FB5"/>
    <w:rsid w:val="00D971C1"/>
    <w:rsid w:val="00DA4400"/>
    <w:rsid w:val="00DA76A7"/>
    <w:rsid w:val="00DB4703"/>
    <w:rsid w:val="00DC4C5E"/>
    <w:rsid w:val="00DD511E"/>
    <w:rsid w:val="00DE2DAC"/>
    <w:rsid w:val="00DE530F"/>
    <w:rsid w:val="00E07AFB"/>
    <w:rsid w:val="00E106A0"/>
    <w:rsid w:val="00E15984"/>
    <w:rsid w:val="00E16DFB"/>
    <w:rsid w:val="00E247D6"/>
    <w:rsid w:val="00E432F1"/>
    <w:rsid w:val="00E45BB4"/>
    <w:rsid w:val="00E6089C"/>
    <w:rsid w:val="00E644B2"/>
    <w:rsid w:val="00E717D4"/>
    <w:rsid w:val="00E9771B"/>
    <w:rsid w:val="00E97CC2"/>
    <w:rsid w:val="00EB7C63"/>
    <w:rsid w:val="00ED3C2E"/>
    <w:rsid w:val="00EE13B8"/>
    <w:rsid w:val="00EF06EE"/>
    <w:rsid w:val="00EF1B7A"/>
    <w:rsid w:val="00F00104"/>
    <w:rsid w:val="00F20984"/>
    <w:rsid w:val="00F244A6"/>
    <w:rsid w:val="00F4275A"/>
    <w:rsid w:val="00F519EB"/>
    <w:rsid w:val="00F85242"/>
    <w:rsid w:val="00F90174"/>
    <w:rsid w:val="00F9117C"/>
    <w:rsid w:val="00FB1C3D"/>
    <w:rsid w:val="00FC39D7"/>
    <w:rsid w:val="00FD21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footnote reference"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3F9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1">
    <w:name w:val="heading 1"/>
    <w:basedOn w:val="a0"/>
    <w:next w:val="a0"/>
    <w:link w:val="10"/>
    <w:uiPriority w:val="99"/>
    <w:qFormat/>
    <w:rsid w:val="0054571D"/>
    <w:pPr>
      <w:widowControl/>
      <w:spacing w:before="108" w:after="108"/>
      <w:jc w:val="center"/>
      <w:outlineLvl w:val="0"/>
    </w:pPr>
    <w:rPr>
      <w:rFonts w:ascii="Arial" w:eastAsiaTheme="minorHAnsi" w:hAnsi="Arial" w:cs="Arial"/>
      <w:b/>
      <w:bCs/>
      <w:color w:val="000080"/>
      <w:sz w:val="26"/>
      <w:szCs w:val="26"/>
      <w:lang w:eastAsia="en-US"/>
    </w:rPr>
  </w:style>
  <w:style w:type="paragraph" w:styleId="2">
    <w:name w:val="heading 2"/>
    <w:basedOn w:val="a0"/>
    <w:next w:val="a0"/>
    <w:link w:val="20"/>
    <w:autoRedefine/>
    <w:uiPriority w:val="99"/>
    <w:qFormat/>
    <w:rsid w:val="00181BA7"/>
    <w:pPr>
      <w:keepNext/>
      <w:widowControl/>
      <w:autoSpaceDE/>
      <w:autoSpaceDN/>
      <w:adjustRightInd/>
      <w:spacing w:line="360" w:lineRule="auto"/>
      <w:jc w:val="center"/>
      <w:outlineLvl w:val="1"/>
    </w:pPr>
    <w:rPr>
      <w:rFonts w:ascii="Times New Roman" w:eastAsia="Calibri" w:hAnsi="Times New Roman" w:cs="Times New Roman"/>
      <w:b/>
      <w:bCs/>
      <w:i/>
      <w:iCs/>
      <w:smallCaps/>
      <w:color w:val="000000"/>
      <w:sz w:val="28"/>
      <w:szCs w:val="28"/>
      <w:lang w:val="en-US"/>
    </w:rPr>
  </w:style>
  <w:style w:type="paragraph" w:styleId="3">
    <w:name w:val="heading 3"/>
    <w:basedOn w:val="a0"/>
    <w:next w:val="a0"/>
    <w:link w:val="30"/>
    <w:autoRedefine/>
    <w:uiPriority w:val="99"/>
    <w:qFormat/>
    <w:rsid w:val="00181BA7"/>
    <w:pPr>
      <w:widowControl/>
      <w:autoSpaceDE/>
      <w:autoSpaceDN/>
      <w:adjustRightInd/>
      <w:spacing w:line="360" w:lineRule="auto"/>
      <w:ind w:firstLine="709"/>
      <w:jc w:val="both"/>
      <w:outlineLvl w:val="2"/>
    </w:pPr>
    <w:rPr>
      <w:rFonts w:ascii="Times New Roman" w:eastAsia="Calibri" w:hAnsi="Times New Roman" w:cs="Times New Roman"/>
      <w:iCs/>
      <w:noProof/>
      <w:sz w:val="28"/>
      <w:szCs w:val="28"/>
      <w:lang w:val="en-US"/>
    </w:rPr>
  </w:style>
  <w:style w:type="paragraph" w:styleId="4">
    <w:name w:val="heading 4"/>
    <w:basedOn w:val="a0"/>
    <w:next w:val="a0"/>
    <w:link w:val="40"/>
    <w:autoRedefine/>
    <w:uiPriority w:val="99"/>
    <w:qFormat/>
    <w:rsid w:val="00181BA7"/>
    <w:pPr>
      <w:keepNext/>
      <w:widowControl/>
      <w:autoSpaceDE/>
      <w:autoSpaceDN/>
      <w:adjustRightInd/>
      <w:spacing w:line="360" w:lineRule="auto"/>
      <w:ind w:firstLine="709"/>
      <w:jc w:val="both"/>
      <w:outlineLvl w:val="3"/>
    </w:pPr>
    <w:rPr>
      <w:rFonts w:ascii="Times New Roman" w:eastAsia="Calibri" w:hAnsi="Times New Roman" w:cs="Times New Roman"/>
      <w:iCs/>
      <w:noProof/>
      <w:sz w:val="28"/>
      <w:szCs w:val="28"/>
      <w:lang w:val="en-US"/>
    </w:rPr>
  </w:style>
  <w:style w:type="paragraph" w:styleId="5">
    <w:name w:val="heading 5"/>
    <w:basedOn w:val="a0"/>
    <w:next w:val="a0"/>
    <w:link w:val="50"/>
    <w:autoRedefine/>
    <w:uiPriority w:val="99"/>
    <w:qFormat/>
    <w:rsid w:val="00181BA7"/>
    <w:pPr>
      <w:widowControl/>
      <w:autoSpaceDE/>
      <w:autoSpaceDN/>
      <w:adjustRightInd/>
      <w:spacing w:line="360" w:lineRule="auto"/>
      <w:ind w:left="737" w:firstLine="709"/>
      <w:jc w:val="both"/>
      <w:outlineLvl w:val="4"/>
    </w:pPr>
    <w:rPr>
      <w:rFonts w:ascii="Times New Roman" w:eastAsia="Calibri" w:hAnsi="Times New Roman" w:cs="Times New Roman"/>
      <w:iCs/>
      <w:sz w:val="28"/>
      <w:szCs w:val="28"/>
      <w:lang w:val="en-US"/>
    </w:rPr>
  </w:style>
  <w:style w:type="paragraph" w:styleId="6">
    <w:name w:val="heading 6"/>
    <w:basedOn w:val="a0"/>
    <w:next w:val="a0"/>
    <w:link w:val="60"/>
    <w:autoRedefine/>
    <w:uiPriority w:val="99"/>
    <w:qFormat/>
    <w:rsid w:val="00181BA7"/>
    <w:pPr>
      <w:widowControl/>
      <w:autoSpaceDE/>
      <w:autoSpaceDN/>
      <w:adjustRightInd/>
      <w:spacing w:line="360" w:lineRule="auto"/>
      <w:ind w:firstLine="709"/>
      <w:jc w:val="both"/>
      <w:outlineLvl w:val="5"/>
    </w:pPr>
    <w:rPr>
      <w:rFonts w:ascii="Times New Roman" w:eastAsia="Calibri" w:hAnsi="Times New Roman" w:cs="Times New Roman"/>
      <w:iCs/>
      <w:sz w:val="28"/>
      <w:szCs w:val="28"/>
      <w:lang w:val="en-US"/>
    </w:rPr>
  </w:style>
  <w:style w:type="paragraph" w:styleId="7">
    <w:name w:val="heading 7"/>
    <w:basedOn w:val="a0"/>
    <w:next w:val="a0"/>
    <w:link w:val="70"/>
    <w:uiPriority w:val="99"/>
    <w:qFormat/>
    <w:rsid w:val="00181BA7"/>
    <w:pPr>
      <w:keepNext/>
      <w:widowControl/>
      <w:autoSpaceDE/>
      <w:autoSpaceDN/>
      <w:adjustRightInd/>
      <w:spacing w:line="360" w:lineRule="auto"/>
      <w:ind w:firstLine="709"/>
      <w:jc w:val="both"/>
      <w:outlineLvl w:val="6"/>
    </w:pPr>
    <w:rPr>
      <w:rFonts w:ascii="Times New Roman" w:eastAsia="Calibri" w:hAnsi="Times New Roman" w:cs="Times New Roman"/>
      <w:iCs/>
      <w:sz w:val="28"/>
      <w:szCs w:val="28"/>
      <w:lang w:val="en-US"/>
    </w:rPr>
  </w:style>
  <w:style w:type="paragraph" w:styleId="8">
    <w:name w:val="heading 8"/>
    <w:basedOn w:val="a0"/>
    <w:next w:val="a0"/>
    <w:link w:val="80"/>
    <w:autoRedefine/>
    <w:uiPriority w:val="99"/>
    <w:qFormat/>
    <w:rsid w:val="00181BA7"/>
    <w:pPr>
      <w:widowControl/>
      <w:autoSpaceDE/>
      <w:autoSpaceDN/>
      <w:adjustRightInd/>
      <w:spacing w:line="360" w:lineRule="auto"/>
      <w:ind w:firstLine="709"/>
      <w:jc w:val="both"/>
      <w:outlineLvl w:val="7"/>
    </w:pPr>
    <w:rPr>
      <w:rFonts w:ascii="Times New Roman" w:eastAsia="Calibri" w:hAnsi="Times New Roman" w:cs="Times New Roman"/>
      <w:iCs/>
      <w:sz w:val="28"/>
      <w:szCs w:val="28"/>
      <w:lang w:val="en-US"/>
    </w:rPr>
  </w:style>
  <w:style w:type="paragraph" w:styleId="9">
    <w:name w:val="heading 9"/>
    <w:basedOn w:val="a0"/>
    <w:next w:val="a0"/>
    <w:link w:val="90"/>
    <w:uiPriority w:val="99"/>
    <w:qFormat/>
    <w:rsid w:val="00181BA7"/>
    <w:pPr>
      <w:widowControl/>
      <w:autoSpaceDE/>
      <w:autoSpaceDN/>
      <w:adjustRightInd/>
      <w:spacing w:before="240" w:after="60" w:line="360" w:lineRule="auto"/>
      <w:ind w:firstLine="709"/>
      <w:jc w:val="both"/>
      <w:outlineLvl w:val="8"/>
    </w:pPr>
    <w:rPr>
      <w:rFonts w:ascii="Arial" w:eastAsia="Calibri" w:hAnsi="Arial" w:cs="Times New Roman"/>
      <w:iCs/>
      <w:color w:val="000000"/>
      <w:sz w:val="20"/>
      <w:szCs w:val="20"/>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3C3F9D"/>
    <w:pPr>
      <w:widowControl/>
      <w:tabs>
        <w:tab w:val="center" w:pos="4677"/>
        <w:tab w:val="right" w:pos="9355"/>
      </w:tabs>
      <w:autoSpaceDE/>
      <w:autoSpaceDN/>
      <w:adjustRightInd/>
    </w:pPr>
    <w:rPr>
      <w:rFonts w:ascii="Calibri" w:hAnsi="Calibri" w:cs="Times New Roman"/>
      <w:sz w:val="20"/>
      <w:szCs w:val="20"/>
    </w:rPr>
  </w:style>
  <w:style w:type="character" w:customStyle="1" w:styleId="a5">
    <w:name w:val="Верхний колонтитул Знак"/>
    <w:basedOn w:val="a1"/>
    <w:link w:val="a4"/>
    <w:uiPriority w:val="99"/>
    <w:rsid w:val="003C3F9D"/>
    <w:rPr>
      <w:rFonts w:ascii="Calibri" w:eastAsia="Times New Roman" w:hAnsi="Calibri" w:cs="Times New Roman"/>
      <w:sz w:val="20"/>
      <w:szCs w:val="20"/>
    </w:rPr>
  </w:style>
  <w:style w:type="paragraph" w:styleId="a6">
    <w:name w:val="List Paragraph"/>
    <w:basedOn w:val="a0"/>
    <w:uiPriority w:val="34"/>
    <w:qFormat/>
    <w:rsid w:val="003C3F9D"/>
    <w:pPr>
      <w:widowControl/>
      <w:autoSpaceDE/>
      <w:autoSpaceDN/>
      <w:adjustRightInd/>
      <w:spacing w:after="200" w:line="276" w:lineRule="auto"/>
      <w:ind w:left="720"/>
      <w:contextualSpacing/>
    </w:pPr>
    <w:rPr>
      <w:rFonts w:ascii="Calibri" w:hAnsi="Calibri" w:cs="Times New Roman"/>
      <w:sz w:val="22"/>
      <w:szCs w:val="22"/>
    </w:rPr>
  </w:style>
  <w:style w:type="paragraph" w:styleId="a7">
    <w:name w:val="Normal (Web)"/>
    <w:aliases w:val="Обычный (Web),Знак Знак Знак Знак Знак,Знак Знак Знак Знак,Знак Знак Знак Знак Знак Знак Знак Знак Знак Знак Знак,Знак Знак Знак Знак Знак Знак Знак Знак Знак Знак Знак Знак Знак Знак Знак Знак Знак Знак Знак"/>
    <w:basedOn w:val="a0"/>
    <w:link w:val="a8"/>
    <w:uiPriority w:val="99"/>
    <w:unhideWhenUsed/>
    <w:qFormat/>
    <w:rsid w:val="0054571D"/>
    <w:pPr>
      <w:widowControl/>
      <w:autoSpaceDE/>
      <w:autoSpaceDN/>
      <w:adjustRightInd/>
      <w:spacing w:before="100" w:beforeAutospacing="1" w:after="100" w:afterAutospacing="1"/>
    </w:pPr>
    <w:rPr>
      <w:rFonts w:ascii="Times New Roman" w:hAnsi="Times New Roman" w:cs="Times New Roman"/>
    </w:rPr>
  </w:style>
  <w:style w:type="paragraph" w:styleId="a9">
    <w:name w:val="Body Text"/>
    <w:basedOn w:val="a0"/>
    <w:link w:val="aa"/>
    <w:uiPriority w:val="1"/>
    <w:qFormat/>
    <w:rsid w:val="0054571D"/>
    <w:pPr>
      <w:adjustRightInd/>
      <w:ind w:firstLine="360"/>
      <w:jc w:val="both"/>
    </w:pPr>
    <w:rPr>
      <w:rFonts w:ascii="Times New Roman" w:hAnsi="Times New Roman" w:cs="Times New Roman"/>
      <w:sz w:val="22"/>
      <w:szCs w:val="22"/>
      <w:lang w:val="en-US" w:eastAsia="en-US"/>
    </w:rPr>
  </w:style>
  <w:style w:type="character" w:customStyle="1" w:styleId="aa">
    <w:name w:val="Основной текст Знак"/>
    <w:basedOn w:val="a1"/>
    <w:link w:val="a9"/>
    <w:uiPriority w:val="1"/>
    <w:rsid w:val="0054571D"/>
    <w:rPr>
      <w:rFonts w:ascii="Times New Roman" w:eastAsia="Times New Roman" w:hAnsi="Times New Roman" w:cs="Times New Roman"/>
      <w:lang w:val="en-US"/>
    </w:rPr>
  </w:style>
  <w:style w:type="paragraph" w:customStyle="1" w:styleId="ConsPlusNormal">
    <w:name w:val="ConsPlusNormal"/>
    <w:rsid w:val="0054571D"/>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styleId="ab">
    <w:name w:val="Strong"/>
    <w:basedOn w:val="a1"/>
    <w:uiPriority w:val="22"/>
    <w:qFormat/>
    <w:rsid w:val="0054571D"/>
    <w:rPr>
      <w:b/>
      <w:bCs/>
    </w:rPr>
  </w:style>
  <w:style w:type="paragraph" w:customStyle="1" w:styleId="Standard">
    <w:name w:val="Standard"/>
    <w:rsid w:val="0054571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s1">
    <w:name w:val="s1"/>
    <w:basedOn w:val="a1"/>
    <w:rsid w:val="0054571D"/>
  </w:style>
  <w:style w:type="character" w:customStyle="1" w:styleId="10">
    <w:name w:val="Заголовок 1 Знак"/>
    <w:basedOn w:val="a1"/>
    <w:link w:val="1"/>
    <w:uiPriority w:val="99"/>
    <w:rsid w:val="0054571D"/>
    <w:rPr>
      <w:rFonts w:ascii="Arial" w:hAnsi="Arial" w:cs="Arial"/>
      <w:b/>
      <w:bCs/>
      <w:color w:val="000080"/>
      <w:sz w:val="26"/>
      <w:szCs w:val="26"/>
    </w:rPr>
  </w:style>
  <w:style w:type="paragraph" w:styleId="ac">
    <w:name w:val="No Spacing"/>
    <w:aliases w:val="основной"/>
    <w:link w:val="ad"/>
    <w:uiPriority w:val="1"/>
    <w:qFormat/>
    <w:rsid w:val="0054571D"/>
    <w:pPr>
      <w:spacing w:after="0" w:line="240" w:lineRule="auto"/>
    </w:pPr>
    <w:rPr>
      <w:rFonts w:ascii="Calibri" w:eastAsia="Calibri" w:hAnsi="Calibri" w:cs="Times New Roman"/>
    </w:rPr>
  </w:style>
  <w:style w:type="paragraph" w:customStyle="1" w:styleId="11">
    <w:name w:val="Обычный1"/>
    <w:rsid w:val="0054571D"/>
    <w:pPr>
      <w:pBdr>
        <w:top w:val="nil"/>
        <w:left w:val="nil"/>
        <w:bottom w:val="nil"/>
        <w:right w:val="nil"/>
        <w:between w:val="nil"/>
      </w:pBdr>
      <w:spacing w:after="0"/>
    </w:pPr>
    <w:rPr>
      <w:rFonts w:ascii="Arial" w:eastAsia="Arial" w:hAnsi="Arial" w:cs="Arial"/>
      <w:color w:val="000000"/>
      <w:lang w:eastAsia="ru-RU"/>
    </w:rPr>
  </w:style>
  <w:style w:type="character" w:customStyle="1" w:styleId="21">
    <w:name w:val="Основной текст (2)_"/>
    <w:basedOn w:val="a1"/>
    <w:link w:val="22"/>
    <w:rsid w:val="0054571D"/>
    <w:rPr>
      <w:rFonts w:ascii="Times New Roman" w:eastAsia="Times New Roman" w:hAnsi="Times New Roman" w:cs="Times New Roman"/>
      <w:sz w:val="36"/>
      <w:szCs w:val="36"/>
      <w:shd w:val="clear" w:color="auto" w:fill="FFFFFF"/>
    </w:rPr>
  </w:style>
  <w:style w:type="paragraph" w:customStyle="1" w:styleId="22">
    <w:name w:val="Основной текст (2)"/>
    <w:basedOn w:val="a0"/>
    <w:link w:val="21"/>
    <w:rsid w:val="0054571D"/>
    <w:pPr>
      <w:shd w:val="clear" w:color="auto" w:fill="FFFFFF"/>
      <w:autoSpaceDE/>
      <w:autoSpaceDN/>
      <w:adjustRightInd/>
      <w:spacing w:after="780" w:line="420" w:lineRule="exact"/>
      <w:jc w:val="center"/>
    </w:pPr>
    <w:rPr>
      <w:rFonts w:ascii="Times New Roman" w:hAnsi="Times New Roman" w:cs="Times New Roman"/>
      <w:sz w:val="36"/>
      <w:szCs w:val="36"/>
      <w:lang w:eastAsia="en-US"/>
    </w:rPr>
  </w:style>
  <w:style w:type="paragraph" w:styleId="ae">
    <w:name w:val="Plain Text"/>
    <w:basedOn w:val="a0"/>
    <w:link w:val="af"/>
    <w:semiHidden/>
    <w:rsid w:val="0054571D"/>
    <w:pPr>
      <w:widowControl/>
      <w:autoSpaceDE/>
      <w:autoSpaceDN/>
      <w:adjustRightInd/>
    </w:pPr>
    <w:rPr>
      <w:rFonts w:ascii="Courier New" w:hAnsi="Courier New" w:cs="Times New Roman"/>
      <w:sz w:val="20"/>
      <w:szCs w:val="20"/>
    </w:rPr>
  </w:style>
  <w:style w:type="character" w:customStyle="1" w:styleId="af">
    <w:name w:val="Текст Знак"/>
    <w:basedOn w:val="a1"/>
    <w:link w:val="ae"/>
    <w:semiHidden/>
    <w:rsid w:val="0054571D"/>
    <w:rPr>
      <w:rFonts w:ascii="Courier New" w:eastAsia="Times New Roman" w:hAnsi="Courier New" w:cs="Times New Roman"/>
      <w:sz w:val="20"/>
      <w:szCs w:val="20"/>
      <w:lang w:eastAsia="ru-RU"/>
    </w:rPr>
  </w:style>
  <w:style w:type="character" w:styleId="af0">
    <w:name w:val="Hyperlink"/>
    <w:basedOn w:val="a1"/>
    <w:uiPriority w:val="99"/>
    <w:unhideWhenUsed/>
    <w:rsid w:val="0054571D"/>
    <w:rPr>
      <w:color w:val="0000FF" w:themeColor="hyperlink"/>
      <w:u w:val="single"/>
    </w:rPr>
  </w:style>
  <w:style w:type="paragraph" w:customStyle="1" w:styleId="Default">
    <w:name w:val="Default"/>
    <w:qFormat/>
    <w:rsid w:val="0054571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western">
    <w:name w:val="western"/>
    <w:basedOn w:val="a0"/>
    <w:rsid w:val="0054571D"/>
    <w:pPr>
      <w:widowControl/>
      <w:autoSpaceDE/>
      <w:autoSpaceDN/>
      <w:adjustRightInd/>
      <w:spacing w:before="100" w:beforeAutospacing="1" w:after="100" w:afterAutospacing="1"/>
    </w:pPr>
    <w:rPr>
      <w:rFonts w:ascii="Times New Roman" w:hAnsi="Times New Roman" w:cs="Times New Roman"/>
    </w:rPr>
  </w:style>
  <w:style w:type="character" w:customStyle="1" w:styleId="ad">
    <w:name w:val="Без интервала Знак"/>
    <w:aliases w:val="основной Знак"/>
    <w:link w:val="ac"/>
    <w:uiPriority w:val="1"/>
    <w:locked/>
    <w:rsid w:val="0054571D"/>
    <w:rPr>
      <w:rFonts w:ascii="Calibri" w:eastAsia="Calibri" w:hAnsi="Calibri" w:cs="Times New Roman"/>
    </w:rPr>
  </w:style>
  <w:style w:type="paragraph" w:styleId="HTML">
    <w:name w:val="HTML Preformatted"/>
    <w:basedOn w:val="a0"/>
    <w:link w:val="HTML0"/>
    <w:uiPriority w:val="99"/>
    <w:unhideWhenUsed/>
    <w:rsid w:val="005457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1"/>
    <w:link w:val="HTML"/>
    <w:uiPriority w:val="99"/>
    <w:rsid w:val="0054571D"/>
    <w:rPr>
      <w:rFonts w:ascii="Courier New" w:eastAsia="Times New Roman" w:hAnsi="Courier New" w:cs="Times New Roman"/>
      <w:sz w:val="20"/>
      <w:szCs w:val="20"/>
      <w:lang w:eastAsia="ru-RU"/>
    </w:rPr>
  </w:style>
  <w:style w:type="character" w:customStyle="1" w:styleId="af1">
    <w:name w:val="Текст сноски Знак"/>
    <w:aliases w:val="Текст сноски Знак Знак Знак,Текст сноски Знак Знак Знак Знак Знак Знак,Текст сноски Знак Знак Знак Знак Знак Знак Знак Знак Знак,Текст сноски-FN Знак,Знак Знак,Текст сноски Знак Знак Знак Знак Знак1,Текст сноски Знак1 Знак Знак"/>
    <w:link w:val="af2"/>
    <w:uiPriority w:val="99"/>
    <w:locked/>
    <w:rsid w:val="0054571D"/>
    <w:rPr>
      <w:rFonts w:ascii="Calibri" w:eastAsia="Calibri" w:hAnsi="Calibri" w:cs="Times New Roman"/>
      <w:sz w:val="20"/>
      <w:szCs w:val="20"/>
    </w:rPr>
  </w:style>
  <w:style w:type="paragraph" w:styleId="af2">
    <w:name w:val="footnote text"/>
    <w:aliases w:val="Текст сноски Знак Знак,Текст сноски Знак Знак Знак Знак Знак,Текст сноски Знак Знак Знак Знак Знак Знак Знак Знак,Текст сноски-FN,Знак,Текст сноски Знак Знак Знак Знак,Текст сноски Знак1 Знак,Char Знак,Char Знак Char Char,Знак5,сноск, Знак"/>
    <w:basedOn w:val="a0"/>
    <w:link w:val="af1"/>
    <w:uiPriority w:val="99"/>
    <w:unhideWhenUsed/>
    <w:qFormat/>
    <w:rsid w:val="0054571D"/>
    <w:pPr>
      <w:widowControl/>
      <w:autoSpaceDE/>
      <w:autoSpaceDN/>
      <w:adjustRightInd/>
    </w:pPr>
    <w:rPr>
      <w:rFonts w:ascii="Calibri" w:eastAsia="Calibri" w:hAnsi="Calibri" w:cs="Times New Roman"/>
      <w:sz w:val="20"/>
      <w:szCs w:val="20"/>
      <w:lang w:eastAsia="en-US"/>
    </w:rPr>
  </w:style>
  <w:style w:type="character" w:customStyle="1" w:styleId="12">
    <w:name w:val="Текст сноски Знак1"/>
    <w:basedOn w:val="a1"/>
    <w:uiPriority w:val="99"/>
    <w:semiHidden/>
    <w:rsid w:val="0054571D"/>
    <w:rPr>
      <w:rFonts w:ascii="Times New Roman CYR" w:eastAsia="Times New Roman" w:hAnsi="Times New Roman CYR" w:cs="Times New Roman CYR"/>
      <w:sz w:val="20"/>
      <w:szCs w:val="20"/>
      <w:lang w:eastAsia="ru-RU"/>
    </w:rPr>
  </w:style>
  <w:style w:type="paragraph" w:customStyle="1" w:styleId="ConsPlusTitle">
    <w:name w:val="ConsPlusTitle"/>
    <w:uiPriority w:val="99"/>
    <w:qFormat/>
    <w:rsid w:val="0054571D"/>
    <w:pPr>
      <w:widowControl w:val="0"/>
      <w:autoSpaceDE w:val="0"/>
      <w:autoSpaceDN w:val="0"/>
      <w:spacing w:after="0" w:line="240" w:lineRule="auto"/>
    </w:pPr>
    <w:rPr>
      <w:rFonts w:ascii="Calibri" w:eastAsia="Times New Roman" w:hAnsi="Calibri" w:cs="Calibri"/>
      <w:b/>
      <w:szCs w:val="20"/>
      <w:lang w:eastAsia="ru-RU"/>
    </w:rPr>
  </w:style>
  <w:style w:type="character" w:customStyle="1" w:styleId="41">
    <w:name w:val="Заголовок №4_"/>
    <w:link w:val="42"/>
    <w:uiPriority w:val="99"/>
    <w:locked/>
    <w:rsid w:val="0054571D"/>
    <w:rPr>
      <w:sz w:val="23"/>
      <w:szCs w:val="23"/>
      <w:shd w:val="clear" w:color="auto" w:fill="FFFFFF"/>
    </w:rPr>
  </w:style>
  <w:style w:type="paragraph" w:customStyle="1" w:styleId="42">
    <w:name w:val="Заголовок №4"/>
    <w:basedOn w:val="a0"/>
    <w:link w:val="41"/>
    <w:uiPriority w:val="99"/>
    <w:rsid w:val="0054571D"/>
    <w:pPr>
      <w:widowControl/>
      <w:shd w:val="clear" w:color="auto" w:fill="FFFFFF"/>
      <w:autoSpaceDE/>
      <w:autoSpaceDN/>
      <w:adjustRightInd/>
      <w:spacing w:before="240" w:after="240" w:line="240" w:lineRule="atLeast"/>
      <w:ind w:hanging="360"/>
      <w:jc w:val="center"/>
      <w:outlineLvl w:val="3"/>
    </w:pPr>
    <w:rPr>
      <w:rFonts w:asciiTheme="minorHAnsi" w:eastAsiaTheme="minorHAnsi" w:hAnsiTheme="minorHAnsi" w:cstheme="minorBidi"/>
      <w:sz w:val="23"/>
      <w:szCs w:val="23"/>
      <w:lang w:eastAsia="en-US"/>
    </w:rPr>
  </w:style>
  <w:style w:type="character" w:customStyle="1" w:styleId="longtext">
    <w:name w:val="long_text"/>
    <w:basedOn w:val="a1"/>
    <w:rsid w:val="0054571D"/>
  </w:style>
  <w:style w:type="character" w:customStyle="1" w:styleId="13">
    <w:name w:val="Заголовок №1_"/>
    <w:link w:val="14"/>
    <w:rsid w:val="0054571D"/>
    <w:rPr>
      <w:rFonts w:eastAsia="Times New Roman"/>
      <w:b/>
      <w:bCs/>
      <w:sz w:val="23"/>
      <w:szCs w:val="23"/>
      <w:shd w:val="clear" w:color="auto" w:fill="FFFFFF"/>
    </w:rPr>
  </w:style>
  <w:style w:type="paragraph" w:customStyle="1" w:styleId="14">
    <w:name w:val="Заголовок №1"/>
    <w:basedOn w:val="a0"/>
    <w:link w:val="13"/>
    <w:rsid w:val="0054571D"/>
    <w:pPr>
      <w:shd w:val="clear" w:color="auto" w:fill="FFFFFF"/>
      <w:autoSpaceDE/>
      <w:autoSpaceDN/>
      <w:adjustRightInd/>
      <w:spacing w:before="240" w:line="269" w:lineRule="exact"/>
      <w:ind w:firstLine="540"/>
      <w:jc w:val="both"/>
      <w:outlineLvl w:val="0"/>
    </w:pPr>
    <w:rPr>
      <w:rFonts w:asciiTheme="minorHAnsi" w:hAnsiTheme="minorHAnsi" w:cstheme="minorBidi"/>
      <w:b/>
      <w:bCs/>
      <w:sz w:val="23"/>
      <w:szCs w:val="23"/>
      <w:lang w:eastAsia="en-US"/>
    </w:rPr>
  </w:style>
  <w:style w:type="character" w:customStyle="1" w:styleId="a8">
    <w:name w:val="Обычный (веб) Знак"/>
    <w:aliases w:val="Обычный (Web) Знак,Знак Знак Знак Знак Знак Знак,Знак Знак Знак Знак Знак1,Знак Знак Знак Знак Знак Знак Знак Знак Знак Знак Знак Знак,Знак Знак Знак Знак Знак Знак Знак Знак Знак Знак Знак Знак Знак Знак Знак Знак Знак Знак Знак Знак"/>
    <w:link w:val="a7"/>
    <w:uiPriority w:val="99"/>
    <w:locked/>
    <w:rsid w:val="0054571D"/>
    <w:rPr>
      <w:rFonts w:ascii="Times New Roman" w:eastAsia="Times New Roman" w:hAnsi="Times New Roman" w:cs="Times New Roman"/>
      <w:sz w:val="24"/>
      <w:szCs w:val="24"/>
      <w:lang w:eastAsia="ru-RU"/>
    </w:rPr>
  </w:style>
  <w:style w:type="character" w:customStyle="1" w:styleId="shorttext">
    <w:name w:val="short_text"/>
    <w:basedOn w:val="a1"/>
    <w:rsid w:val="0054571D"/>
  </w:style>
  <w:style w:type="paragraph" w:customStyle="1" w:styleId="book-paragraph">
    <w:name w:val="book-paragraph"/>
    <w:basedOn w:val="a0"/>
    <w:rsid w:val="0082759F"/>
    <w:pPr>
      <w:widowControl/>
      <w:autoSpaceDE/>
      <w:autoSpaceDN/>
      <w:adjustRightInd/>
      <w:spacing w:before="100" w:beforeAutospacing="1" w:after="100" w:afterAutospacing="1"/>
    </w:pPr>
    <w:rPr>
      <w:rFonts w:ascii="Times New Roman" w:hAnsi="Times New Roman" w:cs="Times New Roman"/>
    </w:rPr>
  </w:style>
  <w:style w:type="character" w:customStyle="1" w:styleId="apple-converted-space">
    <w:name w:val="apple-converted-space"/>
    <w:basedOn w:val="a1"/>
    <w:rsid w:val="00A969C6"/>
  </w:style>
  <w:style w:type="character" w:customStyle="1" w:styleId="130">
    <w:name w:val="Основной текст (13) + Курсив"/>
    <w:basedOn w:val="a1"/>
    <w:rsid w:val="00A969C6"/>
    <w:rPr>
      <w:rFonts w:ascii="Times New Roman" w:eastAsia="Times New Roman" w:hAnsi="Times New Roman" w:cs="Times New Roman"/>
      <w:b w:val="0"/>
      <w:bCs w:val="0"/>
      <w:i/>
      <w:iCs/>
      <w:smallCaps w:val="0"/>
      <w:strike w:val="0"/>
      <w:color w:val="000000"/>
      <w:spacing w:val="0"/>
      <w:w w:val="100"/>
      <w:position w:val="0"/>
      <w:sz w:val="16"/>
      <w:szCs w:val="16"/>
      <w:u w:val="none"/>
      <w:lang w:val="ru-RU"/>
    </w:rPr>
  </w:style>
  <w:style w:type="character" w:customStyle="1" w:styleId="131">
    <w:name w:val="Основной текст (13)"/>
    <w:basedOn w:val="a1"/>
    <w:rsid w:val="00A969C6"/>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rPr>
  </w:style>
  <w:style w:type="paragraph" w:styleId="31">
    <w:name w:val="Body Text 3"/>
    <w:basedOn w:val="a0"/>
    <w:link w:val="32"/>
    <w:uiPriority w:val="99"/>
    <w:semiHidden/>
    <w:unhideWhenUsed/>
    <w:rsid w:val="00A969C6"/>
    <w:pPr>
      <w:widowControl/>
      <w:autoSpaceDE/>
      <w:autoSpaceDN/>
      <w:adjustRightInd/>
      <w:spacing w:after="120" w:line="276" w:lineRule="auto"/>
    </w:pPr>
    <w:rPr>
      <w:rFonts w:asciiTheme="minorHAnsi" w:eastAsiaTheme="minorHAnsi" w:hAnsiTheme="minorHAnsi" w:cstheme="minorBidi"/>
      <w:sz w:val="16"/>
      <w:szCs w:val="16"/>
      <w:lang w:eastAsia="en-US"/>
    </w:rPr>
  </w:style>
  <w:style w:type="character" w:customStyle="1" w:styleId="32">
    <w:name w:val="Основной текст 3 Знак"/>
    <w:basedOn w:val="a1"/>
    <w:link w:val="31"/>
    <w:uiPriority w:val="99"/>
    <w:semiHidden/>
    <w:rsid w:val="00A969C6"/>
    <w:rPr>
      <w:sz w:val="16"/>
      <w:szCs w:val="16"/>
    </w:rPr>
  </w:style>
  <w:style w:type="paragraph" w:customStyle="1" w:styleId="annotation2">
    <w:name w:val="annotation2"/>
    <w:basedOn w:val="a0"/>
    <w:rsid w:val="00A969C6"/>
    <w:pPr>
      <w:widowControl/>
      <w:autoSpaceDE/>
      <w:autoSpaceDN/>
      <w:adjustRightInd/>
      <w:spacing w:before="100" w:beforeAutospacing="1" w:after="100" w:afterAutospacing="1"/>
    </w:pPr>
    <w:rPr>
      <w:rFonts w:ascii="Times New Roman" w:hAnsi="Times New Roman" w:cs="Times New Roman"/>
      <w:lang w:val="en-US" w:eastAsia="en-US"/>
    </w:rPr>
  </w:style>
  <w:style w:type="character" w:customStyle="1" w:styleId="33">
    <w:name w:val="Основной текст (3)_"/>
    <w:basedOn w:val="a1"/>
    <w:link w:val="34"/>
    <w:rsid w:val="00A969C6"/>
    <w:rPr>
      <w:rFonts w:ascii="Gungsuh" w:eastAsia="Gungsuh" w:hAnsi="Gungsuh" w:cs="Gungsuh"/>
      <w:b/>
      <w:bCs/>
      <w:spacing w:val="-9"/>
      <w:sz w:val="17"/>
      <w:szCs w:val="17"/>
      <w:shd w:val="clear" w:color="auto" w:fill="FFFFFF"/>
    </w:rPr>
  </w:style>
  <w:style w:type="paragraph" w:customStyle="1" w:styleId="34">
    <w:name w:val="Основной текст (3)"/>
    <w:basedOn w:val="a0"/>
    <w:link w:val="33"/>
    <w:rsid w:val="00A969C6"/>
    <w:pPr>
      <w:shd w:val="clear" w:color="auto" w:fill="FFFFFF"/>
      <w:autoSpaceDE/>
      <w:autoSpaceDN/>
      <w:adjustRightInd/>
      <w:spacing w:before="180" w:line="230" w:lineRule="exact"/>
      <w:jc w:val="both"/>
    </w:pPr>
    <w:rPr>
      <w:rFonts w:ascii="Gungsuh" w:eastAsia="Gungsuh" w:hAnsi="Gungsuh" w:cs="Gungsuh"/>
      <w:b/>
      <w:bCs/>
      <w:spacing w:val="-9"/>
      <w:sz w:val="17"/>
      <w:szCs w:val="17"/>
      <w:lang w:eastAsia="en-US"/>
    </w:rPr>
  </w:style>
  <w:style w:type="character" w:styleId="af3">
    <w:name w:val="footnote reference"/>
    <w:rsid w:val="00A969C6"/>
    <w:rPr>
      <w:vertAlign w:val="superscript"/>
    </w:rPr>
  </w:style>
  <w:style w:type="paragraph" w:customStyle="1" w:styleId="text">
    <w:name w:val="text"/>
    <w:basedOn w:val="a0"/>
    <w:rsid w:val="00A969C6"/>
    <w:pPr>
      <w:widowControl/>
      <w:autoSpaceDE/>
      <w:autoSpaceDN/>
      <w:adjustRightInd/>
      <w:spacing w:before="100" w:beforeAutospacing="1" w:after="100" w:afterAutospacing="1"/>
    </w:pPr>
    <w:rPr>
      <w:rFonts w:ascii="Times New Roman" w:hAnsi="Times New Roman" w:cs="Times New Roman"/>
    </w:rPr>
  </w:style>
  <w:style w:type="character" w:customStyle="1" w:styleId="hl">
    <w:name w:val="hl"/>
    <w:basedOn w:val="a1"/>
    <w:rsid w:val="00A969C6"/>
  </w:style>
  <w:style w:type="character" w:customStyle="1" w:styleId="15">
    <w:name w:val="Название1"/>
    <w:basedOn w:val="a1"/>
    <w:rsid w:val="00A969C6"/>
  </w:style>
  <w:style w:type="paragraph" w:customStyle="1" w:styleId="af4">
    <w:name w:val="Обычный текст"/>
    <w:basedOn w:val="a0"/>
    <w:rsid w:val="00A969C6"/>
    <w:pPr>
      <w:widowControl/>
      <w:autoSpaceDE/>
      <w:autoSpaceDN/>
      <w:adjustRightInd/>
      <w:ind w:firstLine="454"/>
      <w:jc w:val="both"/>
    </w:pPr>
    <w:rPr>
      <w:rFonts w:ascii="Times New Roman" w:hAnsi="Times New Roman" w:cs="Times New Roman"/>
      <w:szCs w:val="20"/>
    </w:rPr>
  </w:style>
  <w:style w:type="character" w:customStyle="1" w:styleId="23">
    <w:name w:val="Основной текст (2) + Курсив"/>
    <w:basedOn w:val="21"/>
    <w:rsid w:val="00A969C6"/>
    <w:rPr>
      <w:rFonts w:ascii="Times New Roman" w:eastAsia="Times New Roman" w:hAnsi="Times New Roman" w:cs="Times New Roman"/>
      <w:i/>
      <w:iCs/>
      <w:color w:val="000000"/>
      <w:spacing w:val="0"/>
      <w:w w:val="100"/>
      <w:position w:val="0"/>
      <w:sz w:val="36"/>
      <w:szCs w:val="36"/>
      <w:shd w:val="clear" w:color="auto" w:fill="FFFFFF"/>
      <w:lang w:val="ru-RU" w:eastAsia="ru-RU" w:bidi="ru-RU"/>
    </w:rPr>
  </w:style>
  <w:style w:type="character" w:customStyle="1" w:styleId="19">
    <w:name w:val="Основной текст (19)_"/>
    <w:basedOn w:val="a1"/>
    <w:link w:val="190"/>
    <w:rsid w:val="00A969C6"/>
    <w:rPr>
      <w:rFonts w:ascii="Times New Roman" w:eastAsia="Times New Roman" w:hAnsi="Times New Roman" w:cs="Times New Roman"/>
      <w:sz w:val="23"/>
      <w:szCs w:val="23"/>
      <w:shd w:val="clear" w:color="auto" w:fill="FFFFFF"/>
    </w:rPr>
  </w:style>
  <w:style w:type="character" w:customStyle="1" w:styleId="1913pt">
    <w:name w:val="Основной текст (19) + 13 pt;Курсив"/>
    <w:basedOn w:val="19"/>
    <w:rsid w:val="00A969C6"/>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paragraph" w:customStyle="1" w:styleId="190">
    <w:name w:val="Основной текст (19)"/>
    <w:basedOn w:val="a0"/>
    <w:link w:val="19"/>
    <w:rsid w:val="00A969C6"/>
    <w:pPr>
      <w:shd w:val="clear" w:color="auto" w:fill="FFFFFF"/>
      <w:autoSpaceDE/>
      <w:autoSpaceDN/>
      <w:adjustRightInd/>
      <w:spacing w:before="600" w:line="319" w:lineRule="exact"/>
    </w:pPr>
    <w:rPr>
      <w:rFonts w:ascii="Times New Roman" w:hAnsi="Times New Roman" w:cs="Times New Roman"/>
      <w:sz w:val="23"/>
      <w:szCs w:val="23"/>
      <w:lang w:eastAsia="en-US"/>
    </w:rPr>
  </w:style>
  <w:style w:type="character" w:customStyle="1" w:styleId="af5">
    <w:name w:val="Гипертекстовая ссылка"/>
    <w:basedOn w:val="a1"/>
    <w:uiPriority w:val="99"/>
    <w:rsid w:val="00A969C6"/>
    <w:rPr>
      <w:b/>
      <w:bCs/>
      <w:color w:val="008000"/>
    </w:rPr>
  </w:style>
  <w:style w:type="character" w:styleId="af6">
    <w:name w:val="Emphasis"/>
    <w:basedOn w:val="a1"/>
    <w:uiPriority w:val="20"/>
    <w:qFormat/>
    <w:rsid w:val="00A969C6"/>
    <w:rPr>
      <w:i/>
      <w:iCs/>
    </w:rPr>
  </w:style>
  <w:style w:type="character" w:styleId="af7">
    <w:name w:val="annotation reference"/>
    <w:basedOn w:val="a1"/>
    <w:uiPriority w:val="99"/>
    <w:semiHidden/>
    <w:unhideWhenUsed/>
    <w:rsid w:val="00A969C6"/>
    <w:rPr>
      <w:sz w:val="18"/>
      <w:szCs w:val="18"/>
    </w:rPr>
  </w:style>
  <w:style w:type="paragraph" w:customStyle="1" w:styleId="bodytext">
    <w:name w:val="bodytext"/>
    <w:basedOn w:val="a0"/>
    <w:rsid w:val="00A969C6"/>
    <w:pPr>
      <w:widowControl/>
      <w:autoSpaceDE/>
      <w:autoSpaceDN/>
      <w:adjustRightInd/>
      <w:spacing w:before="100" w:beforeAutospacing="1" w:after="100" w:afterAutospacing="1"/>
    </w:pPr>
    <w:rPr>
      <w:rFonts w:ascii="Times New Roman" w:hAnsi="Times New Roman" w:cs="Times New Roman"/>
    </w:rPr>
  </w:style>
  <w:style w:type="paragraph" w:styleId="af8">
    <w:name w:val="endnote text"/>
    <w:basedOn w:val="a0"/>
    <w:link w:val="af9"/>
    <w:uiPriority w:val="99"/>
    <w:unhideWhenUsed/>
    <w:rsid w:val="00A969C6"/>
    <w:pPr>
      <w:widowControl/>
      <w:autoSpaceDE/>
      <w:autoSpaceDN/>
      <w:adjustRightInd/>
    </w:pPr>
    <w:rPr>
      <w:rFonts w:asciiTheme="minorHAnsi" w:eastAsiaTheme="minorEastAsia" w:hAnsiTheme="minorHAnsi" w:cstheme="minorBidi"/>
      <w:sz w:val="20"/>
      <w:szCs w:val="20"/>
    </w:rPr>
  </w:style>
  <w:style w:type="character" w:customStyle="1" w:styleId="af9">
    <w:name w:val="Текст концевой сноски Знак"/>
    <w:basedOn w:val="a1"/>
    <w:link w:val="af8"/>
    <w:uiPriority w:val="99"/>
    <w:rsid w:val="00A969C6"/>
    <w:rPr>
      <w:rFonts w:eastAsiaTheme="minorEastAsia"/>
      <w:sz w:val="20"/>
      <w:szCs w:val="20"/>
      <w:lang w:eastAsia="ru-RU"/>
    </w:rPr>
  </w:style>
  <w:style w:type="character" w:customStyle="1" w:styleId="20">
    <w:name w:val="Заголовок 2 Знак"/>
    <w:basedOn w:val="a1"/>
    <w:link w:val="2"/>
    <w:uiPriority w:val="99"/>
    <w:rsid w:val="00181BA7"/>
    <w:rPr>
      <w:rFonts w:ascii="Times New Roman" w:eastAsia="Calibri" w:hAnsi="Times New Roman" w:cs="Times New Roman"/>
      <w:b/>
      <w:bCs/>
      <w:i/>
      <w:iCs/>
      <w:smallCaps/>
      <w:color w:val="000000"/>
      <w:sz w:val="28"/>
      <w:szCs w:val="28"/>
      <w:lang w:val="en-US" w:eastAsia="ru-RU"/>
    </w:rPr>
  </w:style>
  <w:style w:type="character" w:customStyle="1" w:styleId="30">
    <w:name w:val="Заголовок 3 Знак"/>
    <w:basedOn w:val="a1"/>
    <w:link w:val="3"/>
    <w:uiPriority w:val="99"/>
    <w:rsid w:val="00181BA7"/>
    <w:rPr>
      <w:rFonts w:ascii="Times New Roman" w:eastAsia="Calibri" w:hAnsi="Times New Roman" w:cs="Times New Roman"/>
      <w:iCs/>
      <w:noProof/>
      <w:sz w:val="28"/>
      <w:szCs w:val="28"/>
      <w:lang w:val="en-US" w:eastAsia="ru-RU"/>
    </w:rPr>
  </w:style>
  <w:style w:type="character" w:customStyle="1" w:styleId="40">
    <w:name w:val="Заголовок 4 Знак"/>
    <w:basedOn w:val="a1"/>
    <w:link w:val="4"/>
    <w:uiPriority w:val="99"/>
    <w:rsid w:val="00181BA7"/>
    <w:rPr>
      <w:rFonts w:ascii="Times New Roman" w:eastAsia="Calibri" w:hAnsi="Times New Roman" w:cs="Times New Roman"/>
      <w:iCs/>
      <w:noProof/>
      <w:sz w:val="28"/>
      <w:szCs w:val="28"/>
      <w:lang w:val="en-US" w:eastAsia="ru-RU"/>
    </w:rPr>
  </w:style>
  <w:style w:type="character" w:customStyle="1" w:styleId="50">
    <w:name w:val="Заголовок 5 Знак"/>
    <w:basedOn w:val="a1"/>
    <w:link w:val="5"/>
    <w:uiPriority w:val="99"/>
    <w:rsid w:val="00181BA7"/>
    <w:rPr>
      <w:rFonts w:ascii="Times New Roman" w:eastAsia="Calibri" w:hAnsi="Times New Roman" w:cs="Times New Roman"/>
      <w:iCs/>
      <w:sz w:val="28"/>
      <w:szCs w:val="28"/>
      <w:lang w:val="en-US" w:eastAsia="ru-RU"/>
    </w:rPr>
  </w:style>
  <w:style w:type="character" w:customStyle="1" w:styleId="60">
    <w:name w:val="Заголовок 6 Знак"/>
    <w:basedOn w:val="a1"/>
    <w:link w:val="6"/>
    <w:uiPriority w:val="99"/>
    <w:rsid w:val="00181BA7"/>
    <w:rPr>
      <w:rFonts w:ascii="Times New Roman" w:eastAsia="Calibri" w:hAnsi="Times New Roman" w:cs="Times New Roman"/>
      <w:iCs/>
      <w:sz w:val="28"/>
      <w:szCs w:val="28"/>
      <w:lang w:val="en-US" w:eastAsia="ru-RU"/>
    </w:rPr>
  </w:style>
  <w:style w:type="character" w:customStyle="1" w:styleId="70">
    <w:name w:val="Заголовок 7 Знак"/>
    <w:basedOn w:val="a1"/>
    <w:link w:val="7"/>
    <w:uiPriority w:val="99"/>
    <w:rsid w:val="00181BA7"/>
    <w:rPr>
      <w:rFonts w:ascii="Times New Roman" w:eastAsia="Calibri" w:hAnsi="Times New Roman" w:cs="Times New Roman"/>
      <w:iCs/>
      <w:sz w:val="28"/>
      <w:szCs w:val="28"/>
      <w:lang w:val="en-US" w:eastAsia="ru-RU"/>
    </w:rPr>
  </w:style>
  <w:style w:type="character" w:customStyle="1" w:styleId="80">
    <w:name w:val="Заголовок 8 Знак"/>
    <w:basedOn w:val="a1"/>
    <w:link w:val="8"/>
    <w:uiPriority w:val="99"/>
    <w:rsid w:val="00181BA7"/>
    <w:rPr>
      <w:rFonts w:ascii="Times New Roman" w:eastAsia="Calibri" w:hAnsi="Times New Roman" w:cs="Times New Roman"/>
      <w:iCs/>
      <w:sz w:val="28"/>
      <w:szCs w:val="28"/>
      <w:lang w:val="en-US" w:eastAsia="ru-RU"/>
    </w:rPr>
  </w:style>
  <w:style w:type="character" w:customStyle="1" w:styleId="90">
    <w:name w:val="Заголовок 9 Знак"/>
    <w:basedOn w:val="a1"/>
    <w:link w:val="9"/>
    <w:uiPriority w:val="99"/>
    <w:rsid w:val="00181BA7"/>
    <w:rPr>
      <w:rFonts w:ascii="Arial" w:eastAsia="Calibri" w:hAnsi="Arial" w:cs="Times New Roman"/>
      <w:iCs/>
      <w:color w:val="000000"/>
      <w:sz w:val="20"/>
      <w:szCs w:val="20"/>
      <w:lang w:val="en-US" w:eastAsia="ru-RU"/>
    </w:rPr>
  </w:style>
  <w:style w:type="character" w:customStyle="1" w:styleId="afa">
    <w:name w:val="Основной текст_"/>
    <w:basedOn w:val="a1"/>
    <w:link w:val="16"/>
    <w:rsid w:val="00181BA7"/>
    <w:rPr>
      <w:rFonts w:ascii="Sylfaen" w:eastAsia="Sylfaen" w:hAnsi="Sylfaen" w:cs="Sylfaen"/>
      <w:spacing w:val="1"/>
      <w:sz w:val="18"/>
      <w:szCs w:val="18"/>
      <w:shd w:val="clear" w:color="auto" w:fill="FFFFFF"/>
    </w:rPr>
  </w:style>
  <w:style w:type="paragraph" w:customStyle="1" w:styleId="16">
    <w:name w:val="Основной текст1"/>
    <w:basedOn w:val="a0"/>
    <w:link w:val="afa"/>
    <w:rsid w:val="00181BA7"/>
    <w:pPr>
      <w:shd w:val="clear" w:color="auto" w:fill="FFFFFF"/>
      <w:autoSpaceDE/>
      <w:autoSpaceDN/>
      <w:adjustRightInd/>
      <w:spacing w:before="300" w:line="240" w:lineRule="exact"/>
      <w:ind w:firstLine="460"/>
      <w:jc w:val="both"/>
    </w:pPr>
    <w:rPr>
      <w:rFonts w:ascii="Sylfaen" w:eastAsia="Sylfaen" w:hAnsi="Sylfaen" w:cs="Sylfaen"/>
      <w:spacing w:val="1"/>
      <w:sz w:val="18"/>
      <w:szCs w:val="18"/>
      <w:lang w:eastAsia="en-US"/>
    </w:rPr>
  </w:style>
  <w:style w:type="character" w:customStyle="1" w:styleId="51">
    <w:name w:val="Основной текст (5)_"/>
    <w:basedOn w:val="a1"/>
    <w:link w:val="52"/>
    <w:rsid w:val="00181BA7"/>
    <w:rPr>
      <w:rFonts w:ascii="Verdana" w:eastAsia="Verdana" w:hAnsi="Verdana" w:cs="Verdana"/>
      <w:i/>
      <w:iCs/>
      <w:spacing w:val="2"/>
      <w:sz w:val="13"/>
      <w:szCs w:val="13"/>
      <w:shd w:val="clear" w:color="auto" w:fill="FFFFFF"/>
    </w:rPr>
  </w:style>
  <w:style w:type="paragraph" w:customStyle="1" w:styleId="52">
    <w:name w:val="Основной текст (5)"/>
    <w:basedOn w:val="a0"/>
    <w:link w:val="51"/>
    <w:rsid w:val="00181BA7"/>
    <w:pPr>
      <w:shd w:val="clear" w:color="auto" w:fill="FFFFFF"/>
      <w:autoSpaceDE/>
      <w:autoSpaceDN/>
      <w:adjustRightInd/>
      <w:spacing w:after="120" w:line="216" w:lineRule="exact"/>
      <w:ind w:firstLine="240"/>
      <w:jc w:val="both"/>
    </w:pPr>
    <w:rPr>
      <w:rFonts w:ascii="Verdana" w:eastAsia="Verdana" w:hAnsi="Verdana" w:cs="Verdana"/>
      <w:i/>
      <w:iCs/>
      <w:spacing w:val="2"/>
      <w:sz w:val="13"/>
      <w:szCs w:val="13"/>
      <w:lang w:eastAsia="en-US"/>
    </w:rPr>
  </w:style>
  <w:style w:type="character" w:customStyle="1" w:styleId="50pt">
    <w:name w:val="Основной текст (5) + Полужирный;Интервал 0 pt"/>
    <w:basedOn w:val="51"/>
    <w:rsid w:val="00181BA7"/>
    <w:rPr>
      <w:rFonts w:ascii="Verdana" w:eastAsia="Verdana" w:hAnsi="Verdana" w:cs="Verdana"/>
      <w:b/>
      <w:bCs/>
      <w:i/>
      <w:iCs/>
      <w:color w:val="000000"/>
      <w:spacing w:val="-2"/>
      <w:w w:val="100"/>
      <w:position w:val="0"/>
      <w:sz w:val="13"/>
      <w:szCs w:val="13"/>
      <w:shd w:val="clear" w:color="auto" w:fill="FFFFFF"/>
      <w:lang w:val="ru-RU" w:eastAsia="ru-RU" w:bidi="ru-RU"/>
    </w:rPr>
  </w:style>
  <w:style w:type="character" w:customStyle="1" w:styleId="60pt">
    <w:name w:val="Основной текст (6) + Курсив;Интервал 0 pt"/>
    <w:basedOn w:val="a1"/>
    <w:rsid w:val="00181BA7"/>
    <w:rPr>
      <w:rFonts w:ascii="Sylfaen" w:eastAsia="Sylfaen" w:hAnsi="Sylfaen" w:cs="Sylfaen"/>
      <w:i/>
      <w:iCs/>
      <w:color w:val="000000"/>
      <w:spacing w:val="-4"/>
      <w:w w:val="100"/>
      <w:position w:val="0"/>
      <w:sz w:val="16"/>
      <w:szCs w:val="16"/>
      <w:shd w:val="clear" w:color="auto" w:fill="FFFFFF"/>
      <w:lang w:val="ru-RU" w:eastAsia="ru-RU" w:bidi="ru-RU"/>
    </w:rPr>
  </w:style>
  <w:style w:type="paragraph" w:customStyle="1" w:styleId="a">
    <w:name w:val="лит"/>
    <w:autoRedefine/>
    <w:uiPriority w:val="99"/>
    <w:rsid w:val="00181BA7"/>
    <w:pPr>
      <w:numPr>
        <w:numId w:val="53"/>
      </w:numPr>
      <w:spacing w:after="0" w:line="360" w:lineRule="auto"/>
      <w:jc w:val="both"/>
    </w:pPr>
    <w:rPr>
      <w:rFonts w:ascii="Times New Roman" w:eastAsia="Times New Roman" w:hAnsi="Times New Roman" w:cs="Times New Roman"/>
      <w:sz w:val="28"/>
      <w:szCs w:val="28"/>
      <w:lang w:eastAsia="ru-RU"/>
    </w:rPr>
  </w:style>
  <w:style w:type="paragraph" w:customStyle="1" w:styleId="afb">
    <w:name w:val="лит+нумерация"/>
    <w:basedOn w:val="a0"/>
    <w:next w:val="a0"/>
    <w:autoRedefine/>
    <w:uiPriority w:val="99"/>
    <w:rsid w:val="00181BA7"/>
    <w:pPr>
      <w:widowControl/>
      <w:autoSpaceDE/>
      <w:autoSpaceDN/>
      <w:adjustRightInd/>
      <w:spacing w:line="360" w:lineRule="auto"/>
      <w:jc w:val="both"/>
    </w:pPr>
    <w:rPr>
      <w:rFonts w:ascii="Times New Roman" w:hAnsi="Times New Roman" w:cs="Times New Roman"/>
      <w:color w:val="000000"/>
      <w:sz w:val="28"/>
      <w:szCs w:val="28"/>
      <w:lang w:val="en-US"/>
    </w:rPr>
  </w:style>
  <w:style w:type="paragraph" w:styleId="afc">
    <w:name w:val="caption"/>
    <w:basedOn w:val="a0"/>
    <w:next w:val="a0"/>
    <w:uiPriority w:val="99"/>
    <w:qFormat/>
    <w:rsid w:val="00181BA7"/>
    <w:pPr>
      <w:widowControl/>
      <w:autoSpaceDE/>
      <w:autoSpaceDN/>
      <w:adjustRightInd/>
      <w:spacing w:line="360" w:lineRule="auto"/>
      <w:ind w:firstLine="709"/>
      <w:jc w:val="both"/>
    </w:pPr>
    <w:rPr>
      <w:rFonts w:ascii="Times New Roman" w:hAnsi="Times New Roman" w:cs="Times New Roman"/>
      <w:b/>
      <w:bCs/>
      <w:iCs/>
      <w:color w:val="000000"/>
      <w:sz w:val="20"/>
      <w:szCs w:val="20"/>
      <w:lang w:val="en-US"/>
    </w:rPr>
  </w:style>
  <w:style w:type="paragraph" w:styleId="afd">
    <w:name w:val="footer"/>
    <w:basedOn w:val="a0"/>
    <w:link w:val="afe"/>
    <w:uiPriority w:val="99"/>
    <w:rsid w:val="00181BA7"/>
    <w:pPr>
      <w:widowControl/>
      <w:tabs>
        <w:tab w:val="center" w:pos="4677"/>
        <w:tab w:val="right" w:pos="9355"/>
      </w:tabs>
      <w:autoSpaceDE/>
      <w:autoSpaceDN/>
      <w:adjustRightInd/>
      <w:spacing w:line="360" w:lineRule="auto"/>
      <w:ind w:firstLine="709"/>
      <w:jc w:val="both"/>
    </w:pPr>
    <w:rPr>
      <w:rFonts w:ascii="Times New Roman" w:eastAsia="Calibri" w:hAnsi="Times New Roman" w:cs="Times New Roman"/>
      <w:iCs/>
      <w:color w:val="000000"/>
      <w:sz w:val="28"/>
      <w:szCs w:val="28"/>
      <w:lang w:val="en-US"/>
    </w:rPr>
  </w:style>
  <w:style w:type="character" w:customStyle="1" w:styleId="afe">
    <w:name w:val="Нижний колонтитул Знак"/>
    <w:basedOn w:val="a1"/>
    <w:link w:val="afd"/>
    <w:uiPriority w:val="99"/>
    <w:rsid w:val="00181BA7"/>
    <w:rPr>
      <w:rFonts w:ascii="Times New Roman" w:eastAsia="Calibri" w:hAnsi="Times New Roman" w:cs="Times New Roman"/>
      <w:iCs/>
      <w:color w:val="000000"/>
      <w:sz w:val="28"/>
      <w:szCs w:val="28"/>
      <w:lang w:val="en-US" w:eastAsia="ru-RU"/>
    </w:rPr>
  </w:style>
  <w:style w:type="character" w:styleId="aff">
    <w:name w:val="page number"/>
    <w:basedOn w:val="a1"/>
    <w:uiPriority w:val="99"/>
    <w:rsid w:val="00181BA7"/>
    <w:rPr>
      <w:rFonts w:ascii="Times New Roman" w:hAnsi="Times New Roman" w:cs="Times New Roman"/>
      <w:sz w:val="28"/>
    </w:rPr>
  </w:style>
  <w:style w:type="character" w:customStyle="1" w:styleId="aff0">
    <w:name w:val="номер страницы"/>
    <w:uiPriority w:val="99"/>
    <w:rsid w:val="00181BA7"/>
    <w:rPr>
      <w:sz w:val="28"/>
    </w:rPr>
  </w:style>
  <w:style w:type="paragraph" w:customStyle="1" w:styleId="aff1">
    <w:name w:val="Обычный +"/>
    <w:basedOn w:val="a0"/>
    <w:autoRedefine/>
    <w:uiPriority w:val="99"/>
    <w:rsid w:val="00181BA7"/>
    <w:pPr>
      <w:widowControl/>
      <w:autoSpaceDE/>
      <w:autoSpaceDN/>
      <w:adjustRightInd/>
      <w:spacing w:line="360" w:lineRule="auto"/>
      <w:ind w:firstLine="709"/>
      <w:jc w:val="both"/>
    </w:pPr>
    <w:rPr>
      <w:rFonts w:ascii="Times New Roman" w:hAnsi="Times New Roman" w:cs="Times New Roman"/>
      <w:iCs/>
      <w:color w:val="000000"/>
      <w:sz w:val="28"/>
      <w:szCs w:val="20"/>
      <w:lang w:val="en-US"/>
    </w:rPr>
  </w:style>
  <w:style w:type="paragraph" w:styleId="17">
    <w:name w:val="toc 1"/>
    <w:basedOn w:val="a0"/>
    <w:next w:val="a0"/>
    <w:autoRedefine/>
    <w:uiPriority w:val="99"/>
    <w:semiHidden/>
    <w:rsid w:val="00181BA7"/>
    <w:pPr>
      <w:widowControl/>
      <w:spacing w:line="360" w:lineRule="auto"/>
      <w:jc w:val="both"/>
    </w:pPr>
    <w:rPr>
      <w:rFonts w:ascii="Times New Roman" w:hAnsi="Times New Roman" w:cs="Times New Roman"/>
      <w:bCs/>
      <w:smallCaps/>
      <w:color w:val="000000"/>
      <w:sz w:val="28"/>
      <w:szCs w:val="28"/>
      <w:lang w:val="en-US" w:eastAsia="en-US"/>
    </w:rPr>
  </w:style>
  <w:style w:type="paragraph" w:styleId="24">
    <w:name w:val="Body Text 2"/>
    <w:basedOn w:val="a0"/>
    <w:link w:val="25"/>
    <w:rsid w:val="00181BA7"/>
    <w:pPr>
      <w:widowControl/>
      <w:autoSpaceDE/>
      <w:autoSpaceDN/>
      <w:adjustRightInd/>
      <w:spacing w:line="360" w:lineRule="auto"/>
      <w:ind w:right="-23" w:firstLine="709"/>
      <w:jc w:val="both"/>
    </w:pPr>
    <w:rPr>
      <w:rFonts w:ascii="Times New Roman" w:eastAsia="Calibri" w:hAnsi="Times New Roman" w:cs="Times New Roman"/>
      <w:iCs/>
      <w:color w:val="000000"/>
      <w:sz w:val="28"/>
      <w:szCs w:val="28"/>
      <w:lang w:val="en-US"/>
    </w:rPr>
  </w:style>
  <w:style w:type="character" w:customStyle="1" w:styleId="25">
    <w:name w:val="Основной текст 2 Знак"/>
    <w:basedOn w:val="a1"/>
    <w:link w:val="24"/>
    <w:rsid w:val="00181BA7"/>
    <w:rPr>
      <w:rFonts w:ascii="Times New Roman" w:eastAsia="Calibri" w:hAnsi="Times New Roman" w:cs="Times New Roman"/>
      <w:iCs/>
      <w:color w:val="000000"/>
      <w:sz w:val="28"/>
      <w:szCs w:val="28"/>
      <w:lang w:val="en-US" w:eastAsia="ru-RU"/>
    </w:rPr>
  </w:style>
  <w:style w:type="paragraph" w:styleId="aff2">
    <w:name w:val="Body Text Indent"/>
    <w:basedOn w:val="a0"/>
    <w:link w:val="aff3"/>
    <w:rsid w:val="00181BA7"/>
    <w:pPr>
      <w:widowControl/>
      <w:shd w:val="clear" w:color="auto" w:fill="FFFFFF"/>
      <w:autoSpaceDE/>
      <w:autoSpaceDN/>
      <w:adjustRightInd/>
      <w:spacing w:before="192" w:line="360" w:lineRule="auto"/>
      <w:ind w:right="-5" w:firstLine="360"/>
      <w:jc w:val="both"/>
    </w:pPr>
    <w:rPr>
      <w:rFonts w:ascii="Times New Roman" w:eastAsia="Calibri" w:hAnsi="Times New Roman" w:cs="Times New Roman"/>
      <w:iCs/>
      <w:color w:val="000000"/>
      <w:sz w:val="28"/>
      <w:szCs w:val="28"/>
      <w:lang w:val="en-US"/>
    </w:rPr>
  </w:style>
  <w:style w:type="character" w:customStyle="1" w:styleId="aff3">
    <w:name w:val="Основной текст с отступом Знак"/>
    <w:basedOn w:val="a1"/>
    <w:link w:val="aff2"/>
    <w:rsid w:val="00181BA7"/>
    <w:rPr>
      <w:rFonts w:ascii="Times New Roman" w:eastAsia="Calibri" w:hAnsi="Times New Roman" w:cs="Times New Roman"/>
      <w:iCs/>
      <w:color w:val="000000"/>
      <w:sz w:val="28"/>
      <w:szCs w:val="28"/>
      <w:shd w:val="clear" w:color="auto" w:fill="FFFFFF"/>
      <w:lang w:val="en-US" w:eastAsia="ru-RU"/>
    </w:rPr>
  </w:style>
  <w:style w:type="paragraph" w:styleId="26">
    <w:name w:val="Body Text Indent 2"/>
    <w:basedOn w:val="a0"/>
    <w:link w:val="27"/>
    <w:uiPriority w:val="99"/>
    <w:rsid w:val="00181BA7"/>
    <w:pPr>
      <w:widowControl/>
      <w:autoSpaceDE/>
      <w:autoSpaceDN/>
      <w:adjustRightInd/>
      <w:spacing w:line="360" w:lineRule="auto"/>
      <w:ind w:firstLine="300"/>
      <w:jc w:val="center"/>
    </w:pPr>
    <w:rPr>
      <w:rFonts w:ascii="Times New Roman" w:eastAsia="Calibri" w:hAnsi="Times New Roman" w:cs="Times New Roman"/>
      <w:i/>
      <w:color w:val="000000"/>
      <w:sz w:val="28"/>
      <w:szCs w:val="28"/>
      <w:lang w:val="en-US"/>
    </w:rPr>
  </w:style>
  <w:style w:type="character" w:customStyle="1" w:styleId="27">
    <w:name w:val="Основной текст с отступом 2 Знак"/>
    <w:basedOn w:val="a1"/>
    <w:link w:val="26"/>
    <w:uiPriority w:val="99"/>
    <w:rsid w:val="00181BA7"/>
    <w:rPr>
      <w:rFonts w:ascii="Times New Roman" w:eastAsia="Calibri" w:hAnsi="Times New Roman" w:cs="Times New Roman"/>
      <w:i/>
      <w:color w:val="000000"/>
      <w:sz w:val="28"/>
      <w:szCs w:val="28"/>
      <w:lang w:val="en-US" w:eastAsia="ru-RU"/>
    </w:rPr>
  </w:style>
  <w:style w:type="paragraph" w:styleId="35">
    <w:name w:val="Body Text Indent 3"/>
    <w:basedOn w:val="a0"/>
    <w:link w:val="36"/>
    <w:uiPriority w:val="99"/>
    <w:rsid w:val="00181BA7"/>
    <w:pPr>
      <w:widowControl/>
      <w:autoSpaceDE/>
      <w:autoSpaceDN/>
      <w:adjustRightInd/>
      <w:spacing w:line="360" w:lineRule="auto"/>
      <w:ind w:firstLine="709"/>
      <w:jc w:val="center"/>
    </w:pPr>
    <w:rPr>
      <w:rFonts w:ascii="Times New Roman" w:eastAsia="Calibri" w:hAnsi="Times New Roman" w:cs="Times New Roman"/>
      <w:b/>
      <w:bCs/>
      <w:iCs/>
      <w:color w:val="000000"/>
      <w:sz w:val="28"/>
      <w:szCs w:val="28"/>
      <w:lang w:val="en-US"/>
    </w:rPr>
  </w:style>
  <w:style w:type="character" w:customStyle="1" w:styleId="36">
    <w:name w:val="Основной текст с отступом 3 Знак"/>
    <w:basedOn w:val="a1"/>
    <w:link w:val="35"/>
    <w:uiPriority w:val="99"/>
    <w:rsid w:val="00181BA7"/>
    <w:rPr>
      <w:rFonts w:ascii="Times New Roman" w:eastAsia="Calibri" w:hAnsi="Times New Roman" w:cs="Times New Roman"/>
      <w:b/>
      <w:bCs/>
      <w:iCs/>
      <w:color w:val="000000"/>
      <w:sz w:val="28"/>
      <w:szCs w:val="28"/>
      <w:lang w:val="en-US" w:eastAsia="ru-RU"/>
    </w:rPr>
  </w:style>
  <w:style w:type="paragraph" w:customStyle="1" w:styleId="aff4">
    <w:name w:val="размещено"/>
    <w:basedOn w:val="a0"/>
    <w:autoRedefine/>
    <w:uiPriority w:val="99"/>
    <w:rsid w:val="00181BA7"/>
    <w:pPr>
      <w:widowControl/>
      <w:autoSpaceDE/>
      <w:autoSpaceDN/>
      <w:adjustRightInd/>
      <w:spacing w:line="360" w:lineRule="auto"/>
      <w:ind w:firstLine="709"/>
      <w:jc w:val="both"/>
    </w:pPr>
    <w:rPr>
      <w:rFonts w:ascii="Times New Roman" w:hAnsi="Times New Roman" w:cs="Times New Roman"/>
      <w:iCs/>
      <w:color w:val="FFFFFF"/>
      <w:sz w:val="28"/>
      <w:szCs w:val="28"/>
      <w:lang w:val="en-US"/>
    </w:rPr>
  </w:style>
  <w:style w:type="paragraph" w:customStyle="1" w:styleId="aff5">
    <w:name w:val="содержание"/>
    <w:uiPriority w:val="99"/>
    <w:rsid w:val="00181BA7"/>
    <w:pPr>
      <w:spacing w:after="0" w:line="360" w:lineRule="auto"/>
      <w:jc w:val="center"/>
    </w:pPr>
    <w:rPr>
      <w:rFonts w:ascii="Times New Roman" w:eastAsia="Times New Roman" w:hAnsi="Times New Roman" w:cs="Times New Roman"/>
      <w:b/>
      <w:bCs/>
      <w:i/>
      <w:iCs/>
      <w:smallCaps/>
      <w:noProof/>
      <w:sz w:val="28"/>
      <w:szCs w:val="28"/>
      <w:lang w:eastAsia="ru-RU"/>
    </w:rPr>
  </w:style>
  <w:style w:type="paragraph" w:customStyle="1" w:styleId="aff6">
    <w:name w:val="схема"/>
    <w:autoRedefine/>
    <w:uiPriority w:val="99"/>
    <w:rsid w:val="00181BA7"/>
    <w:pPr>
      <w:spacing w:after="0" w:line="240" w:lineRule="auto"/>
      <w:jc w:val="center"/>
    </w:pPr>
    <w:rPr>
      <w:rFonts w:ascii="Times New Roman" w:eastAsia="Times New Roman" w:hAnsi="Times New Roman" w:cs="Times New Roman"/>
      <w:sz w:val="20"/>
      <w:szCs w:val="20"/>
      <w:lang w:eastAsia="ru-RU"/>
    </w:rPr>
  </w:style>
  <w:style w:type="paragraph" w:customStyle="1" w:styleId="aff7">
    <w:name w:val="ТАБЛИЦА"/>
    <w:next w:val="a0"/>
    <w:autoRedefine/>
    <w:uiPriority w:val="99"/>
    <w:rsid w:val="00181BA7"/>
    <w:pPr>
      <w:spacing w:after="0" w:line="360" w:lineRule="auto"/>
    </w:pPr>
    <w:rPr>
      <w:rFonts w:ascii="Times New Roman" w:eastAsia="Times New Roman" w:hAnsi="Times New Roman" w:cs="Times New Roman"/>
      <w:color w:val="000000"/>
      <w:sz w:val="20"/>
      <w:szCs w:val="20"/>
      <w:lang w:eastAsia="ru-RU"/>
    </w:rPr>
  </w:style>
  <w:style w:type="paragraph" w:customStyle="1" w:styleId="aff8">
    <w:name w:val="титут"/>
    <w:autoRedefine/>
    <w:uiPriority w:val="99"/>
    <w:rsid w:val="00181BA7"/>
    <w:pPr>
      <w:spacing w:after="0" w:line="360" w:lineRule="auto"/>
      <w:jc w:val="center"/>
    </w:pPr>
    <w:rPr>
      <w:rFonts w:ascii="Times New Roman" w:eastAsia="Times New Roman" w:hAnsi="Times New Roman" w:cs="Times New Roman"/>
      <w:noProof/>
      <w:sz w:val="28"/>
      <w:szCs w:val="28"/>
      <w:lang w:eastAsia="ru-RU"/>
    </w:rPr>
  </w:style>
  <w:style w:type="paragraph" w:customStyle="1" w:styleId="ParaAttribute1">
    <w:name w:val="ParaAttribute1"/>
    <w:rsid w:val="00181BA7"/>
    <w:pPr>
      <w:wordWrap w:val="0"/>
      <w:spacing w:after="0" w:line="240" w:lineRule="auto"/>
      <w:jc w:val="both"/>
    </w:pPr>
    <w:rPr>
      <w:rFonts w:ascii="Times New Roman" w:eastAsia="Batang" w:hAnsi="Times New Roman" w:cs="Times New Roman"/>
      <w:sz w:val="20"/>
      <w:szCs w:val="20"/>
      <w:lang w:eastAsia="ru-RU"/>
    </w:rPr>
  </w:style>
  <w:style w:type="character" w:customStyle="1" w:styleId="CharAttribute2">
    <w:name w:val="CharAttribute2"/>
    <w:rsid w:val="00181BA7"/>
    <w:rPr>
      <w:rFonts w:ascii="Times New Roman" w:eastAsia="Times New Roman" w:hAnsi="Times New Roman" w:hint="default"/>
      <w:sz w:val="24"/>
    </w:rPr>
  </w:style>
  <w:style w:type="character" w:customStyle="1" w:styleId="st">
    <w:name w:val="st"/>
    <w:basedOn w:val="a1"/>
    <w:rsid w:val="00181BA7"/>
  </w:style>
  <w:style w:type="paragraph" w:customStyle="1" w:styleId="Aff9">
    <w:name w:val="По умолчанию A"/>
    <w:rsid w:val="00181BA7"/>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Neue" w:eastAsia="Arial Unicode MS" w:hAnsi="Helvetica Neue" w:cs="Arial Unicode MS"/>
      <w:color w:val="000000"/>
      <w:u w:color="000000"/>
      <w:lang w:eastAsia="ru-RU"/>
    </w:rPr>
  </w:style>
  <w:style w:type="paragraph" w:customStyle="1" w:styleId="p1">
    <w:name w:val="p1"/>
    <w:basedOn w:val="a0"/>
    <w:rsid w:val="00181BA7"/>
    <w:pPr>
      <w:widowControl/>
      <w:autoSpaceDE/>
      <w:autoSpaceDN/>
      <w:adjustRightInd/>
      <w:spacing w:before="100" w:beforeAutospacing="1" w:after="100" w:afterAutospacing="1"/>
    </w:pPr>
    <w:rPr>
      <w:rFonts w:ascii="Times New Roman" w:hAnsi="Times New Roman" w:cs="Times New Roman"/>
    </w:rPr>
  </w:style>
  <w:style w:type="paragraph" w:customStyle="1" w:styleId="p2">
    <w:name w:val="p2"/>
    <w:basedOn w:val="a0"/>
    <w:rsid w:val="00181BA7"/>
    <w:pPr>
      <w:widowControl/>
      <w:autoSpaceDE/>
      <w:autoSpaceDN/>
      <w:adjustRightInd/>
      <w:spacing w:before="100" w:beforeAutospacing="1" w:after="100" w:afterAutospacing="1"/>
    </w:pPr>
    <w:rPr>
      <w:rFonts w:ascii="Times New Roman" w:hAnsi="Times New Roman" w:cs="Times New Roman"/>
    </w:rPr>
  </w:style>
  <w:style w:type="character" w:customStyle="1" w:styleId="s2">
    <w:name w:val="s2"/>
    <w:basedOn w:val="a1"/>
    <w:rsid w:val="00181BA7"/>
  </w:style>
  <w:style w:type="character" w:customStyle="1" w:styleId="s3">
    <w:name w:val="s3"/>
    <w:basedOn w:val="a1"/>
    <w:rsid w:val="00181BA7"/>
  </w:style>
  <w:style w:type="paragraph" w:customStyle="1" w:styleId="TableParagraph">
    <w:name w:val="Table Paragraph"/>
    <w:basedOn w:val="a0"/>
    <w:uiPriority w:val="1"/>
    <w:qFormat/>
    <w:rsid w:val="00181BA7"/>
    <w:pPr>
      <w:adjustRightInd/>
    </w:pPr>
    <w:rPr>
      <w:rFonts w:ascii="Trebuchet MS" w:eastAsia="Trebuchet MS" w:hAnsi="Trebuchet MS" w:cs="Trebuchet MS"/>
      <w:sz w:val="22"/>
      <w:szCs w:val="22"/>
      <w:lang w:val="en-US" w:eastAsia="en-US"/>
    </w:rPr>
  </w:style>
  <w:style w:type="paragraph" w:customStyle="1" w:styleId="28">
    <w:name w:val="Основной текст2"/>
    <w:basedOn w:val="a0"/>
    <w:rsid w:val="00181BA7"/>
    <w:pPr>
      <w:shd w:val="clear" w:color="auto" w:fill="FFFFFF"/>
      <w:autoSpaceDE/>
      <w:autoSpaceDN/>
      <w:adjustRightInd/>
      <w:spacing w:line="250" w:lineRule="exact"/>
      <w:jc w:val="both"/>
    </w:pPr>
    <w:rPr>
      <w:rFonts w:ascii="Times New Roman" w:hAnsi="Times New Roman" w:cs="Times New Roman"/>
      <w:sz w:val="21"/>
      <w:szCs w:val="21"/>
      <w:lang w:eastAsia="en-US"/>
    </w:rPr>
  </w:style>
  <w:style w:type="character" w:customStyle="1" w:styleId="noncited4">
    <w:name w:val="noncited4"/>
    <w:basedOn w:val="a1"/>
    <w:rsid w:val="00181BA7"/>
  </w:style>
  <w:style w:type="character" w:customStyle="1" w:styleId="s0">
    <w:name w:val="s0"/>
    <w:basedOn w:val="a1"/>
    <w:rsid w:val="00592BC2"/>
  </w:style>
  <w:style w:type="paragraph" w:customStyle="1" w:styleId="j112">
    <w:name w:val="j112"/>
    <w:basedOn w:val="a0"/>
    <w:rsid w:val="00592BC2"/>
    <w:pPr>
      <w:widowControl/>
      <w:autoSpaceDE/>
      <w:autoSpaceDN/>
      <w:adjustRightInd/>
      <w:spacing w:before="100" w:beforeAutospacing="1" w:after="100" w:afterAutospacing="1"/>
    </w:pPr>
    <w:rPr>
      <w:rFonts w:ascii="Times New Roman" w:hAnsi="Times New Roman" w:cs="Times New Roman"/>
    </w:rPr>
  </w:style>
  <w:style w:type="paragraph" w:customStyle="1" w:styleId="affa">
    <w:name w:val="Стиль"/>
    <w:uiPriority w:val="99"/>
    <w:rsid w:val="00592BC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j113">
    <w:name w:val="j113"/>
    <w:basedOn w:val="a0"/>
    <w:rsid w:val="00592BC2"/>
    <w:pPr>
      <w:widowControl/>
      <w:autoSpaceDE/>
      <w:autoSpaceDN/>
      <w:adjustRightInd/>
      <w:spacing w:before="100" w:beforeAutospacing="1" w:after="100" w:afterAutospacing="1"/>
    </w:pPr>
    <w:rPr>
      <w:rFonts w:ascii="Times New Roman" w:hAnsi="Times New Roman" w:cs="Times New Roman"/>
    </w:rPr>
  </w:style>
  <w:style w:type="paragraph" w:customStyle="1" w:styleId="53">
    <w:name w:val="Основной текст5"/>
    <w:basedOn w:val="a0"/>
    <w:rsid w:val="00592BC2"/>
    <w:pPr>
      <w:shd w:val="clear" w:color="auto" w:fill="FFFFFF"/>
      <w:autoSpaceDE/>
      <w:autoSpaceDN/>
      <w:adjustRightInd/>
      <w:spacing w:after="180" w:line="280" w:lineRule="exact"/>
      <w:ind w:hanging="300"/>
      <w:jc w:val="both"/>
    </w:pPr>
    <w:rPr>
      <w:rFonts w:ascii="Bookman Old Style" w:eastAsia="Bookman Old Style" w:hAnsi="Bookman Old Style" w:cs="Bookman Old Style"/>
      <w:sz w:val="22"/>
      <w:szCs w:val="22"/>
      <w:lang w:eastAsia="en-US"/>
    </w:rPr>
  </w:style>
  <w:style w:type="paragraph" w:customStyle="1" w:styleId="j12">
    <w:name w:val="j12"/>
    <w:basedOn w:val="a0"/>
    <w:rsid w:val="00592BC2"/>
    <w:pPr>
      <w:widowControl/>
      <w:autoSpaceDE/>
      <w:autoSpaceDN/>
      <w:adjustRightInd/>
      <w:spacing w:before="100" w:beforeAutospacing="1" w:after="100" w:afterAutospacing="1"/>
    </w:pPr>
    <w:rPr>
      <w:rFonts w:ascii="Times New Roman" w:hAnsi="Times New Roman" w:cs="Times New Roman"/>
    </w:rPr>
  </w:style>
  <w:style w:type="paragraph" w:styleId="affb">
    <w:name w:val="Balloon Text"/>
    <w:basedOn w:val="a0"/>
    <w:link w:val="affc"/>
    <w:uiPriority w:val="99"/>
    <w:semiHidden/>
    <w:unhideWhenUsed/>
    <w:rsid w:val="00592BC2"/>
    <w:pPr>
      <w:widowControl/>
      <w:autoSpaceDE/>
      <w:autoSpaceDN/>
      <w:adjustRightInd/>
    </w:pPr>
    <w:rPr>
      <w:rFonts w:ascii="Tahoma" w:hAnsi="Tahoma" w:cs="Tahoma"/>
      <w:sz w:val="16"/>
      <w:szCs w:val="16"/>
    </w:rPr>
  </w:style>
  <w:style w:type="character" w:customStyle="1" w:styleId="affc">
    <w:name w:val="Текст выноски Знак"/>
    <w:basedOn w:val="a1"/>
    <w:link w:val="affb"/>
    <w:uiPriority w:val="99"/>
    <w:semiHidden/>
    <w:rsid w:val="00592BC2"/>
    <w:rPr>
      <w:rFonts w:ascii="Tahoma" w:eastAsia="Times New Roman" w:hAnsi="Tahoma" w:cs="Tahoma"/>
      <w:sz w:val="16"/>
      <w:szCs w:val="16"/>
      <w:lang w:eastAsia="ru-RU"/>
    </w:rPr>
  </w:style>
  <w:style w:type="character" w:customStyle="1" w:styleId="affd">
    <w:name w:val="Сноска_"/>
    <w:basedOn w:val="a1"/>
    <w:link w:val="affe"/>
    <w:uiPriority w:val="99"/>
    <w:locked/>
    <w:rsid w:val="00592BC2"/>
    <w:rPr>
      <w:rFonts w:ascii="Times New Roman" w:eastAsia="Times New Roman" w:hAnsi="Times New Roman" w:cs="Times New Roman"/>
      <w:b/>
      <w:bCs/>
      <w:shd w:val="clear" w:color="auto" w:fill="FFFFFF"/>
    </w:rPr>
  </w:style>
  <w:style w:type="paragraph" w:customStyle="1" w:styleId="affe">
    <w:name w:val="Сноска"/>
    <w:basedOn w:val="a0"/>
    <w:link w:val="affd"/>
    <w:rsid w:val="00592BC2"/>
    <w:pPr>
      <w:shd w:val="clear" w:color="auto" w:fill="FFFFFF"/>
      <w:autoSpaceDE/>
      <w:autoSpaceDN/>
      <w:adjustRightInd/>
      <w:spacing w:line="278" w:lineRule="exact"/>
      <w:jc w:val="both"/>
    </w:pPr>
    <w:rPr>
      <w:rFonts w:ascii="Times New Roman" w:hAnsi="Times New Roman" w:cs="Times New Roman"/>
      <w:b/>
      <w:bCs/>
      <w:sz w:val="22"/>
      <w:szCs w:val="22"/>
      <w:lang w:eastAsia="en-US"/>
    </w:rPr>
  </w:style>
  <w:style w:type="character" w:styleId="afff">
    <w:name w:val="endnote reference"/>
    <w:basedOn w:val="a1"/>
    <w:uiPriority w:val="99"/>
    <w:semiHidden/>
    <w:unhideWhenUsed/>
    <w:rsid w:val="00592BC2"/>
    <w:rPr>
      <w:vertAlign w:val="superscript"/>
    </w:rPr>
  </w:style>
  <w:style w:type="character" w:customStyle="1" w:styleId="29">
    <w:name w:val="Сноска (2)_"/>
    <w:basedOn w:val="a1"/>
    <w:link w:val="2a"/>
    <w:rsid w:val="00592BC2"/>
    <w:rPr>
      <w:rFonts w:ascii="Times New Roman" w:eastAsia="Times New Roman" w:hAnsi="Times New Roman" w:cs="Times New Roman"/>
      <w:sz w:val="20"/>
      <w:szCs w:val="20"/>
      <w:shd w:val="clear" w:color="auto" w:fill="FFFFFF"/>
    </w:rPr>
  </w:style>
  <w:style w:type="character" w:customStyle="1" w:styleId="10pt">
    <w:name w:val="Основной текст + 10 pt"/>
    <w:basedOn w:val="afa"/>
    <w:rsid w:val="00592BC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paragraph" w:customStyle="1" w:styleId="2a">
    <w:name w:val="Сноска (2)"/>
    <w:basedOn w:val="a0"/>
    <w:link w:val="29"/>
    <w:rsid w:val="00592BC2"/>
    <w:pPr>
      <w:shd w:val="clear" w:color="auto" w:fill="FFFFFF"/>
      <w:autoSpaceDE/>
      <w:autoSpaceDN/>
      <w:adjustRightInd/>
      <w:spacing w:line="242" w:lineRule="exact"/>
    </w:pPr>
    <w:rPr>
      <w:rFonts w:ascii="Times New Roman" w:hAnsi="Times New Roman" w:cs="Times New Roman"/>
      <w:sz w:val="20"/>
      <w:szCs w:val="20"/>
      <w:lang w:eastAsia="en-US"/>
    </w:rPr>
  </w:style>
  <w:style w:type="character" w:customStyle="1" w:styleId="s8">
    <w:name w:val="s8"/>
    <w:basedOn w:val="a1"/>
    <w:uiPriority w:val="99"/>
    <w:rsid w:val="00592BC2"/>
    <w:rPr>
      <w:rFonts w:cs="Times New Roman"/>
    </w:rPr>
  </w:style>
  <w:style w:type="paragraph" w:customStyle="1" w:styleId="ConsPlusNonformat">
    <w:name w:val="ConsPlusNonformat"/>
    <w:uiPriority w:val="99"/>
    <w:rsid w:val="00592BC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efresult">
    <w:name w:val="ref_result"/>
    <w:rsid w:val="00592BC2"/>
  </w:style>
  <w:style w:type="paragraph" w:customStyle="1" w:styleId="afff0">
    <w:name w:val="Общий формат"/>
    <w:basedOn w:val="a0"/>
    <w:link w:val="afff1"/>
    <w:rsid w:val="005B31C6"/>
    <w:pPr>
      <w:widowControl/>
      <w:autoSpaceDE/>
      <w:autoSpaceDN/>
      <w:adjustRightInd/>
      <w:spacing w:line="480" w:lineRule="exact"/>
      <w:ind w:firstLine="284"/>
      <w:jc w:val="both"/>
    </w:pPr>
    <w:rPr>
      <w:rFonts w:ascii="Times New Roman" w:hAnsi="Times New Roman" w:cs="Times New Roman"/>
      <w:sz w:val="28"/>
      <w:szCs w:val="28"/>
      <w:lang w:val="en-US" w:eastAsia="en-US"/>
    </w:rPr>
  </w:style>
  <w:style w:type="character" w:customStyle="1" w:styleId="afff1">
    <w:name w:val="Общий формат Знак"/>
    <w:link w:val="afff0"/>
    <w:locked/>
    <w:rsid w:val="005B31C6"/>
    <w:rPr>
      <w:rFonts w:ascii="Times New Roman" w:eastAsia="Times New Roman" w:hAnsi="Times New Roman" w:cs="Times New Roman"/>
      <w:sz w:val="28"/>
      <w:szCs w:val="28"/>
      <w:lang w:val="en-US"/>
    </w:rPr>
  </w:style>
  <w:style w:type="paragraph" w:customStyle="1" w:styleId="18">
    <w:name w:val="Абзац списка1"/>
    <w:basedOn w:val="a0"/>
    <w:uiPriority w:val="99"/>
    <w:rsid w:val="005B31C6"/>
    <w:pPr>
      <w:widowControl/>
      <w:autoSpaceDE/>
      <w:autoSpaceDN/>
      <w:adjustRightInd/>
      <w:spacing w:after="200" w:line="276" w:lineRule="auto"/>
      <w:ind w:left="720"/>
    </w:pPr>
    <w:rPr>
      <w:rFonts w:ascii="Calibri" w:hAnsi="Calibri" w:cs="Times New Roman"/>
      <w:sz w:val="22"/>
      <w:szCs w:val="22"/>
      <w:lang w:eastAsia="en-US"/>
    </w:rPr>
  </w:style>
  <w:style w:type="paragraph" w:customStyle="1" w:styleId="1a">
    <w:name w:val="Сноска1"/>
    <w:basedOn w:val="a0"/>
    <w:uiPriority w:val="99"/>
    <w:rsid w:val="005B31C6"/>
    <w:pPr>
      <w:widowControl/>
      <w:shd w:val="clear" w:color="auto" w:fill="FFFFFF"/>
      <w:autoSpaceDE/>
      <w:autoSpaceDN/>
      <w:adjustRightInd/>
      <w:spacing w:line="263" w:lineRule="exact"/>
      <w:jc w:val="both"/>
    </w:pPr>
    <w:rPr>
      <w:rFonts w:asciiTheme="minorHAnsi" w:eastAsiaTheme="minorHAnsi" w:hAnsiTheme="minorHAnsi" w:cstheme="minorBidi"/>
      <w:b/>
      <w:bCs/>
      <w:sz w:val="21"/>
      <w:szCs w:val="21"/>
      <w:lang w:eastAsia="en-US"/>
    </w:rPr>
  </w:style>
  <w:style w:type="character" w:styleId="afff2">
    <w:name w:val="FollowedHyperlink"/>
    <w:uiPriority w:val="99"/>
    <w:semiHidden/>
    <w:unhideWhenUsed/>
    <w:rsid w:val="005B31C6"/>
    <w:rPr>
      <w:color w:val="800080"/>
      <w:u w:val="single"/>
    </w:rPr>
  </w:style>
  <w:style w:type="character" w:customStyle="1" w:styleId="7Exact">
    <w:name w:val="Основной текст (7) Exact"/>
    <w:basedOn w:val="a1"/>
    <w:link w:val="71"/>
    <w:rsid w:val="005B31C6"/>
    <w:rPr>
      <w:rFonts w:ascii="Tahoma" w:hAnsi="Tahoma"/>
      <w:b/>
      <w:bCs/>
      <w:spacing w:val="-15"/>
      <w:sz w:val="35"/>
      <w:szCs w:val="35"/>
      <w:shd w:val="clear" w:color="auto" w:fill="FFFFFF"/>
    </w:rPr>
  </w:style>
  <w:style w:type="paragraph" w:customStyle="1" w:styleId="71">
    <w:name w:val="Основной текст (7)"/>
    <w:basedOn w:val="a0"/>
    <w:link w:val="7Exact"/>
    <w:rsid w:val="005B31C6"/>
    <w:pPr>
      <w:shd w:val="clear" w:color="auto" w:fill="FFFFFF"/>
      <w:autoSpaceDE/>
      <w:autoSpaceDN/>
      <w:adjustRightInd/>
      <w:spacing w:line="377" w:lineRule="exact"/>
      <w:jc w:val="center"/>
    </w:pPr>
    <w:rPr>
      <w:rFonts w:ascii="Tahoma" w:eastAsiaTheme="minorHAnsi" w:hAnsi="Tahoma" w:cstheme="minorBidi"/>
      <w:b/>
      <w:bCs/>
      <w:spacing w:val="-15"/>
      <w:sz w:val="35"/>
      <w:szCs w:val="35"/>
      <w:lang w:eastAsia="en-US"/>
    </w:rPr>
  </w:style>
  <w:style w:type="paragraph" w:customStyle="1" w:styleId="afff3">
    <w:name w:val="Комментарий"/>
    <w:basedOn w:val="a0"/>
    <w:rsid w:val="005B31C6"/>
    <w:pPr>
      <w:widowControl/>
      <w:overflowPunct w:val="0"/>
      <w:ind w:firstLine="323"/>
      <w:jc w:val="both"/>
      <w:textAlignment w:val="baseline"/>
    </w:pPr>
    <w:rPr>
      <w:rFonts w:ascii="Times New Roman" w:hAnsi="Times New Roman" w:cs="Times New Roman"/>
      <w:sz w:val="21"/>
      <w:szCs w:val="20"/>
    </w:rPr>
  </w:style>
  <w:style w:type="paragraph" w:customStyle="1" w:styleId="newncpi">
    <w:name w:val="newncpi"/>
    <w:basedOn w:val="a0"/>
    <w:rsid w:val="00FB1C3D"/>
    <w:pPr>
      <w:widowControl/>
      <w:autoSpaceDE/>
      <w:autoSpaceDN/>
      <w:adjustRightInd/>
      <w:ind w:firstLine="567"/>
      <w:jc w:val="both"/>
    </w:pPr>
    <w:rPr>
      <w:rFonts w:ascii="Times New Roman" w:eastAsiaTheme="minorEastAsia" w:hAnsi="Times New Roman" w:cs="Times New Roman"/>
    </w:rPr>
  </w:style>
  <w:style w:type="paragraph" w:customStyle="1" w:styleId="articleintext">
    <w:name w:val="articleintext"/>
    <w:basedOn w:val="a0"/>
    <w:rsid w:val="00FB1C3D"/>
    <w:pPr>
      <w:widowControl/>
      <w:autoSpaceDE/>
      <w:autoSpaceDN/>
      <w:adjustRightInd/>
      <w:ind w:firstLine="567"/>
      <w:jc w:val="both"/>
    </w:pPr>
    <w:rPr>
      <w:rFonts w:ascii="Times New Roman" w:eastAsiaTheme="minorEastAsia" w:hAnsi="Times New Roman" w:cs="Times New Roman"/>
    </w:rPr>
  </w:style>
  <w:style w:type="character" w:customStyle="1" w:styleId="articlec">
    <w:name w:val="articlec"/>
    <w:basedOn w:val="a1"/>
    <w:rsid w:val="00FB1C3D"/>
    <w:rPr>
      <w:rFonts w:ascii="Times New Roman" w:hAnsi="Times New Roman" w:cs="Times New Roman" w:hint="default"/>
      <w:b/>
      <w:bCs/>
    </w:rPr>
  </w:style>
  <w:style w:type="character" w:customStyle="1" w:styleId="datepr">
    <w:name w:val="datepr"/>
    <w:basedOn w:val="a1"/>
    <w:rsid w:val="00FB1C3D"/>
    <w:rPr>
      <w:rFonts w:ascii="Times New Roman" w:hAnsi="Times New Roman" w:cs="Times New Roman" w:hint="default"/>
    </w:rPr>
  </w:style>
  <w:style w:type="character" w:customStyle="1" w:styleId="number">
    <w:name w:val="number"/>
    <w:basedOn w:val="a1"/>
    <w:rsid w:val="00FB1C3D"/>
    <w:rPr>
      <w:rFonts w:ascii="Times New Roman" w:hAnsi="Times New Roman" w:cs="Times New Roman" w:hint="default"/>
    </w:rPr>
  </w:style>
  <w:style w:type="paragraph" w:customStyle="1" w:styleId="underpoint">
    <w:name w:val="underpoint"/>
    <w:basedOn w:val="a0"/>
    <w:rsid w:val="00FB1C3D"/>
    <w:pPr>
      <w:widowControl/>
      <w:autoSpaceDE/>
      <w:autoSpaceDN/>
      <w:adjustRightInd/>
      <w:ind w:firstLine="567"/>
      <w:jc w:val="both"/>
    </w:pPr>
    <w:rPr>
      <w:rFonts w:ascii="Times New Roman" w:eastAsiaTheme="minorEastAsia" w:hAnsi="Times New Roman" w:cs="Times New Roman"/>
    </w:rPr>
  </w:style>
  <w:style w:type="paragraph" w:customStyle="1" w:styleId="newncpi0">
    <w:name w:val="newncpi0"/>
    <w:basedOn w:val="a0"/>
    <w:rsid w:val="00FB1C3D"/>
    <w:pPr>
      <w:widowControl/>
      <w:autoSpaceDE/>
      <w:autoSpaceDN/>
      <w:adjustRightInd/>
      <w:jc w:val="both"/>
    </w:pPr>
    <w:rPr>
      <w:rFonts w:ascii="Times New Roman" w:hAnsi="Times New Roman" w:cs="Times New Roman"/>
    </w:rPr>
  </w:style>
  <w:style w:type="paragraph" w:customStyle="1" w:styleId="2b">
    <w:name w:val="2"/>
    <w:basedOn w:val="a0"/>
    <w:rsid w:val="00FB1C3D"/>
    <w:pPr>
      <w:widowControl/>
      <w:autoSpaceDE/>
      <w:autoSpaceDN/>
      <w:adjustRightInd/>
      <w:spacing w:before="100" w:beforeAutospacing="1" w:after="100" w:afterAutospacing="1"/>
    </w:pPr>
    <w:rPr>
      <w:rFonts w:ascii="Times New Roman" w:hAnsi="Times New Roman" w:cs="Times New Roman"/>
    </w:rPr>
  </w:style>
  <w:style w:type="paragraph" w:customStyle="1" w:styleId="j15">
    <w:name w:val="j15"/>
    <w:basedOn w:val="a0"/>
    <w:rsid w:val="00EF1B7A"/>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476339184">
      <w:bodyDiv w:val="1"/>
      <w:marLeft w:val="0"/>
      <w:marRight w:val="0"/>
      <w:marTop w:val="0"/>
      <w:marBottom w:val="0"/>
      <w:divBdr>
        <w:top w:val="none" w:sz="0" w:space="0" w:color="auto"/>
        <w:left w:val="none" w:sz="0" w:space="0" w:color="auto"/>
        <w:bottom w:val="none" w:sz="0" w:space="0" w:color="auto"/>
        <w:right w:val="none" w:sz="0" w:space="0" w:color="auto"/>
      </w:divBdr>
    </w:div>
    <w:div w:id="545875521">
      <w:bodyDiv w:val="1"/>
      <w:marLeft w:val="0"/>
      <w:marRight w:val="0"/>
      <w:marTop w:val="0"/>
      <w:marBottom w:val="0"/>
      <w:divBdr>
        <w:top w:val="none" w:sz="0" w:space="0" w:color="auto"/>
        <w:left w:val="none" w:sz="0" w:space="0" w:color="auto"/>
        <w:bottom w:val="none" w:sz="0" w:space="0" w:color="auto"/>
        <w:right w:val="none" w:sz="0" w:space="0" w:color="auto"/>
      </w:divBdr>
    </w:div>
    <w:div w:id="631979195">
      <w:bodyDiv w:val="1"/>
      <w:marLeft w:val="0"/>
      <w:marRight w:val="0"/>
      <w:marTop w:val="0"/>
      <w:marBottom w:val="0"/>
      <w:divBdr>
        <w:top w:val="none" w:sz="0" w:space="0" w:color="auto"/>
        <w:left w:val="none" w:sz="0" w:space="0" w:color="auto"/>
        <w:bottom w:val="none" w:sz="0" w:space="0" w:color="auto"/>
        <w:right w:val="none" w:sz="0" w:space="0" w:color="auto"/>
      </w:divBdr>
    </w:div>
    <w:div w:id="1208301418">
      <w:bodyDiv w:val="1"/>
      <w:marLeft w:val="0"/>
      <w:marRight w:val="0"/>
      <w:marTop w:val="0"/>
      <w:marBottom w:val="0"/>
      <w:divBdr>
        <w:top w:val="none" w:sz="0" w:space="0" w:color="auto"/>
        <w:left w:val="none" w:sz="0" w:space="0" w:color="auto"/>
        <w:bottom w:val="none" w:sz="0" w:space="0" w:color="auto"/>
        <w:right w:val="none" w:sz="0" w:space="0" w:color="auto"/>
      </w:divBdr>
    </w:div>
    <w:div w:id="1535927233">
      <w:bodyDiv w:val="1"/>
      <w:marLeft w:val="0"/>
      <w:marRight w:val="0"/>
      <w:marTop w:val="0"/>
      <w:marBottom w:val="0"/>
      <w:divBdr>
        <w:top w:val="none" w:sz="0" w:space="0" w:color="auto"/>
        <w:left w:val="none" w:sz="0" w:space="0" w:color="auto"/>
        <w:bottom w:val="none" w:sz="0" w:space="0" w:color="auto"/>
        <w:right w:val="none" w:sz="0" w:space="0" w:color="auto"/>
      </w:divBdr>
    </w:div>
    <w:div w:id="1558013262">
      <w:bodyDiv w:val="1"/>
      <w:marLeft w:val="0"/>
      <w:marRight w:val="0"/>
      <w:marTop w:val="0"/>
      <w:marBottom w:val="0"/>
      <w:divBdr>
        <w:top w:val="none" w:sz="0" w:space="0" w:color="auto"/>
        <w:left w:val="none" w:sz="0" w:space="0" w:color="auto"/>
        <w:bottom w:val="none" w:sz="0" w:space="0" w:color="auto"/>
        <w:right w:val="none" w:sz="0" w:space="0" w:color="auto"/>
      </w:divBdr>
    </w:div>
    <w:div w:id="160735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onsultant.ru/document/cons_doc_LAW_36528/" TargetMode="External"/><Relationship Id="rId299" Type="http://schemas.openxmlformats.org/officeDocument/2006/relationships/hyperlink" Target="mailto:manuchester97@mail.ru" TargetMode="External"/><Relationship Id="rId21" Type="http://schemas.openxmlformats.org/officeDocument/2006/relationships/hyperlink" Target="mailto:mr.mortem@list.ru" TargetMode="External"/><Relationship Id="rId63" Type="http://schemas.openxmlformats.org/officeDocument/2006/relationships/hyperlink" Target="mailto:aziz.rahimov0001@gmail.com" TargetMode="External"/><Relationship Id="rId159" Type="http://schemas.openxmlformats.org/officeDocument/2006/relationships/hyperlink" Target="file:///C:\Users\veresthaginaav\AppData\Local\Temp\&#8470;%2094-&#1060;&#1047;" TargetMode="External"/><Relationship Id="rId324" Type="http://schemas.openxmlformats.org/officeDocument/2006/relationships/hyperlink" Target="http://cbd.minjust.gov.kg/act/view/ru-ru/9" TargetMode="External"/><Relationship Id="rId366" Type="http://schemas.openxmlformats.org/officeDocument/2006/relationships/hyperlink" Target="mailto:didenko_969696@mail.ru" TargetMode="External"/><Relationship Id="rId170" Type="http://schemas.openxmlformats.org/officeDocument/2006/relationships/hyperlink" Target="http://www.neuch.ru/referat/155526.html" TargetMode="External"/><Relationship Id="rId226" Type="http://schemas.openxmlformats.org/officeDocument/2006/relationships/hyperlink" Target="consultantplus://offline/ref=D3C52143C032115FA60F3D42F541D84CEB799C5FC419F65FADC513CA12DE2237EAD75694EDDEE519b3l7M" TargetMode="External"/><Relationship Id="rId268" Type="http://schemas.openxmlformats.org/officeDocument/2006/relationships/hyperlink" Target="mailto:reefat@yandex.ru" TargetMode="External"/><Relationship Id="rId32" Type="http://schemas.openxmlformats.org/officeDocument/2006/relationships/hyperlink" Target="http://www.refworld.org/docid%20/3de5f2d52.html" TargetMode="External"/><Relationship Id="rId74" Type="http://schemas.openxmlformats.org/officeDocument/2006/relationships/hyperlink" Target="http://eulaw.ru/treaties/tfeu" TargetMode="External"/><Relationship Id="rId128" Type="http://schemas.openxmlformats.org/officeDocument/2006/relationships/hyperlink" Target="mailto:zumrad1998@mail.ru" TargetMode="External"/><Relationship Id="rId335" Type="http://schemas.openxmlformats.org/officeDocument/2006/relationships/hyperlink" Target="mailto:sharipov93@mail.ru" TargetMode="External"/><Relationship Id="rId377" Type="http://schemas.openxmlformats.org/officeDocument/2006/relationships/hyperlink" Target="mailto:abdulloev.f@mail.ru" TargetMode="External"/><Relationship Id="rId5" Type="http://schemas.openxmlformats.org/officeDocument/2006/relationships/webSettings" Target="webSettings.xml"/><Relationship Id="rId181" Type="http://schemas.openxmlformats.org/officeDocument/2006/relationships/hyperlink" Target="http://www.regnko.ru/regfond.shtml" TargetMode="External"/><Relationship Id="rId237" Type="http://schemas.openxmlformats.org/officeDocument/2006/relationships/hyperlink" Target="mailto:huseinjon@inbox..ru" TargetMode="External"/><Relationship Id="rId402" Type="http://schemas.openxmlformats.org/officeDocument/2006/relationships/hyperlink" Target="mailto:dilovar.naskov@mail.ru" TargetMode="External"/><Relationship Id="rId258" Type="http://schemas.openxmlformats.org/officeDocument/2006/relationships/hyperlink" Target="consultantplus://offline/ref=17B8B5CA77F7B363DCE1CE2126B218FBFE68943F037328B8AF5EFEC4A4112AA49D0DA78250E29DFEjCNDQ" TargetMode="External"/><Relationship Id="rId279" Type="http://schemas.openxmlformats.org/officeDocument/2006/relationships/hyperlink" Target="http://zn.asu.ru/issue.shtml?i_n_seq=1422&amp;a_n=22" TargetMode="External"/><Relationship Id="rId22" Type="http://schemas.openxmlformats.org/officeDocument/2006/relationships/hyperlink" Target="http://hudoc.echr.coe.int/" TargetMode="External"/><Relationship Id="rId43" Type="http://schemas.openxmlformats.org/officeDocument/2006/relationships/hyperlink" Target="http://library.fes.de/pdf-files/id/06566.pdf" TargetMode="External"/><Relationship Id="rId64" Type="http://schemas.openxmlformats.org/officeDocument/2006/relationships/hyperlink" Target="http://www.un.org/ru/documents/decl_conv/declarations/declhr.shtml" TargetMode="External"/><Relationship Id="rId118" Type="http://schemas.openxmlformats.org/officeDocument/2006/relationships/hyperlink" Target="mailto:gafurova_gb@mail.ru" TargetMode="External"/><Relationship Id="rId139" Type="http://schemas.openxmlformats.org/officeDocument/2006/relationships/hyperlink" Target="consultantplus://offline/ref=4E56863CB05CAFAA4A056F8726D5F97A2BCC99BB8910EBBD08AC182DJ4G" TargetMode="External"/><Relationship Id="rId290" Type="http://schemas.openxmlformats.org/officeDocument/2006/relationships/hyperlink" Target="http://www.mmk.tj" TargetMode="External"/><Relationship Id="rId304" Type="http://schemas.openxmlformats.org/officeDocument/2006/relationships/hyperlink" Target="http://www.uk-rf.com/" TargetMode="External"/><Relationship Id="rId325" Type="http://schemas.openxmlformats.org/officeDocument/2006/relationships/hyperlink" Target="https://online.zakon.kz/Document/?doc_id=30594304" TargetMode="External"/><Relationship Id="rId346" Type="http://schemas.openxmlformats.org/officeDocument/2006/relationships/hyperlink" Target="mailto:dily_997@mail.ru" TargetMode="External"/><Relationship Id="rId367" Type="http://schemas.openxmlformats.org/officeDocument/2006/relationships/hyperlink" Target="mailto:didenko_969696@mail.ru" TargetMode="External"/><Relationship Id="rId388" Type="http://schemas.openxmlformats.org/officeDocument/2006/relationships/hyperlink" Target="http://unro.minjust.ru/NKOs.aspx" TargetMode="External"/><Relationship Id="rId85" Type="http://schemas.openxmlformats.org/officeDocument/2006/relationships/hyperlink" Target="mailto:htsattorov@gmail.com" TargetMode="External"/><Relationship Id="rId150" Type="http://schemas.openxmlformats.org/officeDocument/2006/relationships/hyperlink" Target="consultantplus://offline/ref=38BA0A67EF31EBE2DE2FA10578348A23D1A1715C4E649C2FDA2E569551A85E9414E413F99F476DB500n9Q" TargetMode="External"/><Relationship Id="rId171" Type="http://schemas.openxmlformats.org/officeDocument/2006/relationships/hyperlink" Target="http://www.neuch.ru/referat/155526.html" TargetMode="External"/><Relationship Id="rId192" Type="http://schemas.openxmlformats.org/officeDocument/2006/relationships/hyperlink" Target="http://www.smartcat.ru/Referat/vtneeramie/" TargetMode="External"/><Relationship Id="rId206" Type="http://schemas.openxmlformats.org/officeDocument/2006/relationships/hyperlink" Target="mailto:kozienkov430@gmail.com" TargetMode="External"/><Relationship Id="rId227" Type="http://schemas.openxmlformats.org/officeDocument/2006/relationships/hyperlink" Target="consultantplus://offline/ref=D3C52143C032115FA60F3D42F541D84CEB799C5FC414F65FADC513CA12DE2237EAD75694EDDFE71Bb3l5M" TargetMode="External"/><Relationship Id="rId413" Type="http://schemas.openxmlformats.org/officeDocument/2006/relationships/hyperlink" Target="mailto:ms.firdavsova@mail.ru" TargetMode="External"/><Relationship Id="rId248" Type="http://schemas.openxmlformats.org/officeDocument/2006/relationships/hyperlink" Target="consultantplus://offline/ref=C18CA344DBE36C15F0532ADF86D3B7EEBF455E158E7018B07BE3BFt67DN" TargetMode="External"/><Relationship Id="rId269" Type="http://schemas.openxmlformats.org/officeDocument/2006/relationships/hyperlink" Target="mailto:reefat@yandex.ru" TargetMode="External"/><Relationship Id="rId12" Type="http://schemas.openxmlformats.org/officeDocument/2006/relationships/hyperlink" Target="http://www.lawmix.ru/commlaw/1193" TargetMode="External"/><Relationship Id="rId33" Type="http://schemas.openxmlformats.org/officeDocument/2006/relationships/hyperlink" Target="http://www.un.org/ru/documents/decl_conv/conventions/unhcr_statute.shtml" TargetMode="External"/><Relationship Id="rId108" Type="http://schemas.openxmlformats.org/officeDocument/2006/relationships/hyperlink" Target="mailto:bobodzhonov97@list.ru" TargetMode="External"/><Relationship Id="rId129" Type="http://schemas.openxmlformats.org/officeDocument/2006/relationships/hyperlink" Target="https://ru.wikipedia.org/wiki/%D0%A1%D0%B5%D0%BC%D1%8C%D1%8F" TargetMode="External"/><Relationship Id="rId280" Type="http://schemas.openxmlformats.org/officeDocument/2006/relationships/hyperlink" Target="http://xn--80ayjz.xn--p1ai/archives/2529" TargetMode="External"/><Relationship Id="rId315" Type="http://schemas.openxmlformats.org/officeDocument/2006/relationships/hyperlink" Target="http://base.garant.ru/10104229/4d6cc5b8235f826b2c67847b967f8695/" TargetMode="External"/><Relationship Id="rId336" Type="http://schemas.openxmlformats.org/officeDocument/2006/relationships/hyperlink" Target="mailto:sharipov93@mail.ru" TargetMode="External"/><Relationship Id="rId357" Type="http://schemas.openxmlformats.org/officeDocument/2006/relationships/hyperlink" Target="http://elibrary.ru/contents.asp?issueid=1123735" TargetMode="External"/><Relationship Id="rId54" Type="http://schemas.openxmlformats.org/officeDocument/2006/relationships/hyperlink" Target="mailto:simin.9292@mail.ru" TargetMode="External"/><Relationship Id="rId75" Type="http://schemas.openxmlformats.org/officeDocument/2006/relationships/hyperlink" Target="https://girinazw9.files.wordpress.com/2010/09/zkeu-russ1.doc" TargetMode="External"/><Relationship Id="rId96" Type="http://schemas.openxmlformats.org/officeDocument/2006/relationships/hyperlink" Target="mailto:azizov_k@mail.ru" TargetMode="External"/><Relationship Id="rId140" Type="http://schemas.openxmlformats.org/officeDocument/2006/relationships/hyperlink" Target="consultantplus://offline/ref=4E56863CB05CAFAA4A056A8825D5F97A2FC29ABB854DE1B551A01AD325J7G" TargetMode="External"/><Relationship Id="rId161" Type="http://schemas.openxmlformats.org/officeDocument/2006/relationships/hyperlink" Target="consultantplus://offline/ref=32AFDA195E76F797CAB42B0D76E6CFE1DDB1296F12576637E89AA1E72F7A4C73307713441511AF76sB17T" TargetMode="External"/><Relationship Id="rId182" Type="http://schemas.openxmlformats.org/officeDocument/2006/relationships/hyperlink" Target="http://www.smartcat.ru/Referat/gtgehramtt/" TargetMode="External"/><Relationship Id="rId217" Type="http://schemas.openxmlformats.org/officeDocument/2006/relationships/hyperlink" Target="http://www.president.tj/ru/taxonomy/term/5/112" TargetMode="External"/><Relationship Id="rId378" Type="http://schemas.openxmlformats.org/officeDocument/2006/relationships/hyperlink" Target="mailto:salayrik@mail.ru" TargetMode="External"/><Relationship Id="rId399" Type="http://schemas.openxmlformats.org/officeDocument/2006/relationships/hyperlink" Target="https://base.spinform.ru/show_doc.fwx?rgn=5876" TargetMode="External"/><Relationship Id="rId403" Type="http://schemas.openxmlformats.org/officeDocument/2006/relationships/hyperlink" Target="mailto:dilovar.naskov@mail.ru" TargetMode="External"/><Relationship Id="rId6" Type="http://schemas.openxmlformats.org/officeDocument/2006/relationships/footnotes" Target="footnotes.xml"/><Relationship Id="rId238" Type="http://schemas.openxmlformats.org/officeDocument/2006/relationships/hyperlink" Target="http://www.consultant" TargetMode="External"/><Relationship Id="rId259" Type="http://schemas.openxmlformats.org/officeDocument/2006/relationships/hyperlink" Target="consultantplus://offline/ref=AD01216DAFF6B30BCF807AD08C41BBF7BA248FB86C56F9F30875C633047CFE2B6EA41A906499B71AwEbCQ" TargetMode="External"/><Relationship Id="rId23" Type="http://schemas.openxmlformats.org/officeDocument/2006/relationships/hyperlink" Target="http://hudoc.echr.coe.int/" TargetMode="External"/><Relationship Id="rId119" Type="http://schemas.openxmlformats.org/officeDocument/2006/relationships/hyperlink" Target="mailto:gafurova_gb@mail.ru" TargetMode="External"/><Relationship Id="rId270" Type="http://schemas.openxmlformats.org/officeDocument/2006/relationships/hyperlink" Target="mailto:gadjievv81@mail.ru" TargetMode="External"/><Relationship Id="rId291" Type="http://schemas.openxmlformats.org/officeDocument/2006/relationships/hyperlink" Target="http://www.mmk.tj" TargetMode="External"/><Relationship Id="rId305" Type="http://schemas.openxmlformats.org/officeDocument/2006/relationships/hyperlink" Target="http://www.cis.minsk.by/page.php?id=7548" TargetMode="External"/><Relationship Id="rId326" Type="http://schemas.openxmlformats.org/officeDocument/2006/relationships/hyperlink" Target="http://andoz.tj/ru/uploads/Code_%E2%84%961__Civil_code-II_RT_ru.pdf" TargetMode="External"/><Relationship Id="rId347" Type="http://schemas.openxmlformats.org/officeDocument/2006/relationships/hyperlink" Target="http://nashamolodezh.ru/society/rol_molodezhi_v_razvitii_socialnoj_sredy.html" TargetMode="External"/><Relationship Id="rId44" Type="http://schemas.openxmlformats.org/officeDocument/2006/relationships/hyperlink" Target="mailto:anora.d@gmail.com" TargetMode="External"/><Relationship Id="rId65" Type="http://schemas.openxmlformats.org/officeDocument/2006/relationships/hyperlink" Target="http://www.un.org/ru/documents/decl_%20conv/conventions/pactpol.shtml" TargetMode="External"/><Relationship Id="rId86" Type="http://schemas.openxmlformats.org/officeDocument/2006/relationships/hyperlink" Target="http://center-yf.ru/data/stat/Osnovnoe-soderzhanie-processa-organizacii-dostavki-tovarov.%20-%20Koncepciya-logistiki.php" TargetMode="External"/><Relationship Id="rId130" Type="http://schemas.openxmlformats.org/officeDocument/2006/relationships/hyperlink" Target="http://www.president.tj/ru/taxonomy/term/5/112" TargetMode="External"/><Relationship Id="rId151" Type="http://schemas.openxmlformats.org/officeDocument/2006/relationships/hyperlink" Target="consultantplus://offline/ref=38BA0A67EF31EBE2DE2FA10578348A23D1A1715C4E649C2FDA2E569551A85E9414E413F99F476DB500n8Q" TargetMode="External"/><Relationship Id="rId368" Type="http://schemas.openxmlformats.org/officeDocument/2006/relationships/hyperlink" Target="consultantplus://offline/ref=FDD3543192FA82BA5468797C4AD5C594665DEFCF93223B5A7F9E3A1DB17515B29D9F35065D3A9Bw0mCL" TargetMode="External"/><Relationship Id="rId389" Type="http://schemas.openxmlformats.org/officeDocument/2006/relationships/hyperlink" Target="http://www.statdata.ru/russia" TargetMode="External"/><Relationship Id="rId172" Type="http://schemas.openxmlformats.org/officeDocument/2006/relationships/hyperlink" Target="http://www.neuch.ru/referat/155526.html" TargetMode="External"/><Relationship Id="rId193" Type="http://schemas.openxmlformats.org/officeDocument/2006/relationships/hyperlink" Target="http://www.smartcat.ru/Referat/btleiramoy/" TargetMode="External"/><Relationship Id="rId207" Type="http://schemas.openxmlformats.org/officeDocument/2006/relationships/hyperlink" Target="mailto:kozienkov430@gmail.com" TargetMode="External"/><Relationship Id="rId228" Type="http://schemas.openxmlformats.org/officeDocument/2006/relationships/hyperlink" Target="consultantplus://offline/ref=A0CC34008328B16582D9D30B980B081BAA3025DA0EB90682759762606C73E934A640AFECBF82FBD0vF2AN" TargetMode="External"/><Relationship Id="rId249" Type="http://schemas.openxmlformats.org/officeDocument/2006/relationships/hyperlink" Target="mailto:m_sykalo@mail.ru" TargetMode="External"/><Relationship Id="rId414" Type="http://schemas.openxmlformats.org/officeDocument/2006/relationships/hyperlink" Target="http://www.zakon.kz/87580-mestnoe-samoupravlenie-kakim-emu-byt.html" TargetMode="External"/><Relationship Id="rId13" Type="http://schemas.openxmlformats.org/officeDocument/2006/relationships/hyperlink" Target="mailto:abdulloev.f@mail.ru" TargetMode="External"/><Relationship Id="rId109" Type="http://schemas.openxmlformats.org/officeDocument/2006/relationships/hyperlink" Target="mailto:bobodzhonov97@list.ru" TargetMode="External"/><Relationship Id="rId260" Type="http://schemas.openxmlformats.org/officeDocument/2006/relationships/hyperlink" Target="mailto:rajab-01@mail.ru" TargetMode="External"/><Relationship Id="rId281" Type="http://schemas.openxmlformats.org/officeDocument/2006/relationships/hyperlink" Target="mailto:ai-gornov@yandex.ru" TargetMode="External"/><Relationship Id="rId316" Type="http://schemas.openxmlformats.org/officeDocument/2006/relationships/hyperlink" Target="http://www.consultant.ru/document/Cons_doc_LAW_34481/" TargetMode="External"/><Relationship Id="rId337" Type="http://schemas.openxmlformats.org/officeDocument/2006/relationships/hyperlink" Target="mailto:reefat@yandex.ru" TargetMode="External"/><Relationship Id="rId34" Type="http://schemas.openxmlformats.org/officeDocument/2006/relationships/hyperlink" Target="mailto:abehruz93@mail.ru" TargetMode="External"/><Relationship Id="rId55" Type="http://schemas.openxmlformats.org/officeDocument/2006/relationships/hyperlink" Target="URL://http://www.yu&#1075;p&#1075;actika.com/a&#1075;-ticle.php?id=0000643" TargetMode="External"/><Relationship Id="rId76" Type="http://schemas.openxmlformats.org/officeDocument/2006/relationships/hyperlink" Target="http://curia.europa.eu/juris/showPdf.jsf;jsessionid=9ea7d2dc30db06d7b0293c2a44e482%20f2b603adc866d6.e34KaxiLc3qMb40Rch0SaxuKbNz0?text=&amp;docid=98756&amp;pageIndex=0&amp;doclang=EN&amp;mode=lst&amp;dir=&amp;occ=first&amp;part=1&amp;cid=409136" TargetMode="External"/><Relationship Id="rId97" Type="http://schemas.openxmlformats.org/officeDocument/2006/relationships/hyperlink" Target="mailto:azizov_k@mail.ru" TargetMode="External"/><Relationship Id="rId120" Type="http://schemas.openxmlformats.org/officeDocument/2006/relationships/hyperlink" Target="mailto:madam.evtuschencko@yandex.ru" TargetMode="External"/><Relationship Id="rId141" Type="http://schemas.openxmlformats.org/officeDocument/2006/relationships/hyperlink" Target="consultantplus://offline/ref=084F3FB9EFDA69F4C5A451345FE60F86727EA01F7454C34F2F3DEB98t6a6E" TargetMode="External"/><Relationship Id="rId358" Type="http://schemas.openxmlformats.org/officeDocument/2006/relationships/hyperlink" Target="http://elibrary.ru/contents.asp?issueid=1123735&amp;selid=19083881" TargetMode="External"/><Relationship Id="rId379" Type="http://schemas.openxmlformats.org/officeDocument/2006/relationships/hyperlink" Target="mailto:salayrik@mail.ru" TargetMode="External"/><Relationship Id="rId7" Type="http://schemas.openxmlformats.org/officeDocument/2006/relationships/endnotes" Target="endnotes.xml"/><Relationship Id="rId162" Type="http://schemas.openxmlformats.org/officeDocument/2006/relationships/hyperlink" Target="consultantplus://offline/ref=38BA0A67EF31EBE2DE2FA10578348A23D1AC7D5B49639C2FDA2E5695510An8Q" TargetMode="External"/><Relationship Id="rId183" Type="http://schemas.openxmlformats.org/officeDocument/2006/relationships/hyperlink" Target="http://www.smartcat.ru/Referat/stuegramfh/" TargetMode="External"/><Relationship Id="rId218" Type="http://schemas.openxmlformats.org/officeDocument/2006/relationships/hyperlink" Target="https://digitalcommons.law.lsu.edu/cgi/viewcontent.cgi?article=4539&amp;" TargetMode="External"/><Relationship Id="rId239" Type="http://schemas.openxmlformats.org/officeDocument/2006/relationships/hyperlink" Target="http://www.minjust.ru" TargetMode="External"/><Relationship Id="rId390" Type="http://schemas.openxmlformats.org/officeDocument/2006/relationships/hyperlink" Target="http://carnegie.ru/2010/05/26/ru-event-2926" TargetMode="External"/><Relationship Id="rId404" Type="http://schemas.openxmlformats.org/officeDocument/2006/relationships/hyperlink" Target="mailto:Muminov-U85@mail.ru" TargetMode="External"/><Relationship Id="rId250" Type="http://schemas.openxmlformats.org/officeDocument/2006/relationships/hyperlink" Target="mailto:trapeznikowa.anastasia2017@yandex.ru" TargetMode="External"/><Relationship Id="rId271" Type="http://schemas.openxmlformats.org/officeDocument/2006/relationships/hyperlink" Target="mailto:dyomina-mari@mail.ru" TargetMode="External"/><Relationship Id="rId292" Type="http://schemas.openxmlformats.org/officeDocument/2006/relationships/hyperlink" Target="http://www.mmk.tj" TargetMode="External"/><Relationship Id="rId306" Type="http://schemas.openxmlformats.org/officeDocument/2006/relationships/hyperlink" Target="http://www.adlia.tj/show_doc.fwx?Rgn=114979" TargetMode="External"/><Relationship Id="rId24" Type="http://schemas.openxmlformats.org/officeDocument/2006/relationships/hyperlink" Target="http://hudoc.echr.coe.int/" TargetMode="External"/><Relationship Id="rId45" Type="http://schemas.openxmlformats.org/officeDocument/2006/relationships/hyperlink" Target="mailto:mpsp@mail.ru" TargetMode="External"/><Relationship Id="rId66" Type="http://schemas.openxmlformats.org/officeDocument/2006/relationships/hyperlink" Target="https://ru.wikisource.org/wiki/%D0%9F%D0%B5%D1%80%D0%B2%D1%8B%D0%B9_%D1%84%D0%B0%D0%BA%D1%83%D0%BB%D1%8C%D1%82%D0%B0%D1%82%D0%B8%D0%B2%D0%BD%D1%8B%D0%B9_%D0%BF%D1%80%D0%BE%D1%82%D0%BE%D0%BA%D0%BE%D0%BB_%D0%BA_%D0%9C%D0%B5%D0%B6%D0%B4%D1%83%D0%BD%D0%B0%D1%80%D0%BE%D0%B4%D0%BD%D0%BE%D0%BC%D1%83_%D0%BF%D0%B0%D0%BA%D1%82%D1%83_%D0%BE_%D0%B3%D1%80%D0%B0%D0%B6%D0%B4%D0%B0%D0%BD%D1%81%D0%BA%D0%B8%D1%85_%D0%B8_%D0%BF%D0%BE%D0%BB%D0%B8%D1%82%D0%B8%D1%87%D0%B5%D1%81%D0%BA%D0%B8%D1%85_%D0%BF%D1%80%D0%B0%D0%B2%D0%B0%D1%85" TargetMode="External"/><Relationship Id="rId87" Type="http://schemas.openxmlformats.org/officeDocument/2006/relationships/hyperlink" Target="mailto:firuzovnaf@mail.ru" TargetMode="External"/><Relationship Id="rId110" Type="http://schemas.openxmlformats.org/officeDocument/2006/relationships/hyperlink" Target="mailto:nekru-b@mail.ru" TargetMode="External"/><Relationship Id="rId131" Type="http://schemas.openxmlformats.org/officeDocument/2006/relationships/hyperlink" Target="http://www.asia-realty.ru/co-zakon-tajikistan.php?Id=324" TargetMode="External"/><Relationship Id="rId327" Type="http://schemas.openxmlformats.org/officeDocument/2006/relationships/hyperlink" Target="http://base.spinform.ru/show_doc.%20fwx?rgn=94388" TargetMode="External"/><Relationship Id="rId348" Type="http://schemas.openxmlformats.org/officeDocument/2006/relationships/hyperlink" Target="mailto:katusha1599@rambler.ru" TargetMode="External"/><Relationship Id="rId369" Type="http://schemas.openxmlformats.org/officeDocument/2006/relationships/hyperlink" Target="consultantplus://offline/ref=FDD3543192FA82BA5468797C4AD5C5946353ECCF907F3152269238w1mAL" TargetMode="External"/><Relationship Id="rId152" Type="http://schemas.openxmlformats.org/officeDocument/2006/relationships/hyperlink" Target="consultantplus://offline/ref=38BA0A67EF31EBE2DE2FA10578348A23D1A1715C4E649C2FDA2E569551A85E9414E413F99F476DB500nAQ" TargetMode="External"/><Relationship Id="rId173" Type="http://schemas.openxmlformats.org/officeDocument/2006/relationships/hyperlink" Target="http://www.neuch.ru/referat/155526.html" TargetMode="External"/><Relationship Id="rId194" Type="http://schemas.openxmlformats.org/officeDocument/2006/relationships/hyperlink" Target="http://www.smartcat.ru/Referat/stuegramfh/" TargetMode="External"/><Relationship Id="rId208" Type="http://schemas.openxmlformats.org/officeDocument/2006/relationships/hyperlink" Target="http://www.consultant.ru" TargetMode="External"/><Relationship Id="rId229" Type="http://schemas.openxmlformats.org/officeDocument/2006/relationships/hyperlink" Target="file:///C:\Users\veresthaginaav\AppData\Local\Temp\&#8470;%2094-&#1060;&#1047;" TargetMode="External"/><Relationship Id="rId380" Type="http://schemas.openxmlformats.org/officeDocument/2006/relationships/hyperlink" Target="http://www.constitution.ru/10003000/10003000-3.htm" TargetMode="External"/><Relationship Id="rId415" Type="http://schemas.openxmlformats.org/officeDocument/2006/relationships/hyperlink" Target="mailto:erov.i@mail.ru" TargetMode="External"/><Relationship Id="rId240" Type="http://schemas.openxmlformats.org/officeDocument/2006/relationships/hyperlink" Target="http://www.consultant.ru/" TargetMode="External"/><Relationship Id="rId261" Type="http://schemas.openxmlformats.org/officeDocument/2006/relationships/hyperlink" Target="mailto:rajab-01@mail.ru" TargetMode="External"/><Relationship Id="rId14" Type="http://schemas.openxmlformats.org/officeDocument/2006/relationships/hyperlink" Target="mailto:abdulloev.f@mail.ru" TargetMode="External"/><Relationship Id="rId35" Type="http://schemas.openxmlformats.org/officeDocument/2006/relationships/hyperlink" Target="mailto:abehruz93@mail.ru" TargetMode="External"/><Relationship Id="rId56" Type="http://schemas.openxmlformats.org/officeDocument/2006/relationships/hyperlink" Target="mailto:saadi.odinaev@yandex.ru" TargetMode="External"/><Relationship Id="rId77" Type="http://schemas.openxmlformats.org/officeDocument/2006/relationships/hyperlink" Target="https://www.cvce.eu/content/publication/1999/1/1/3d423d60-6cdc-4f74-8a1b-b2877ddbf618/publishable_en.pdf" TargetMode="External"/><Relationship Id="rId100" Type="http://schemas.openxmlformats.org/officeDocument/2006/relationships/hyperlink" Target="http://www.president.tj/ru/taxonomy/term/5/112" TargetMode="External"/><Relationship Id="rId282" Type="http://schemas.openxmlformats.org/officeDocument/2006/relationships/hyperlink" Target="mailto:dudko-1997@mail.ru" TargetMode="External"/><Relationship Id="rId317" Type="http://schemas.openxmlformats.org/officeDocument/2006/relationships/hyperlink" Target="http://www.rapsinews_news" TargetMode="External"/><Relationship Id="rId338" Type="http://schemas.openxmlformats.org/officeDocument/2006/relationships/hyperlink" Target="mailto:reefat@yandex.ru" TargetMode="External"/><Relationship Id="rId359" Type="http://schemas.openxmlformats.org/officeDocument/2006/relationships/hyperlink" Target="https://sdelanounas.ru/blogs/103650/" TargetMode="External"/><Relationship Id="rId8" Type="http://schemas.openxmlformats.org/officeDocument/2006/relationships/hyperlink" Target="mailto:rukha_95@mail.ru" TargetMode="External"/><Relationship Id="rId98" Type="http://schemas.openxmlformats.org/officeDocument/2006/relationships/hyperlink" Target="mailto:alimova_farajon@mail.ru" TargetMode="External"/><Relationship Id="rId121" Type="http://schemas.openxmlformats.org/officeDocument/2006/relationships/hyperlink" Target="http://www.consultant.ru/document/cons_doc_LAW_5142/00bae34650696e16e03651b9b4c97e814bd53b53/" TargetMode="External"/><Relationship Id="rId142" Type="http://schemas.openxmlformats.org/officeDocument/2006/relationships/hyperlink" Target="consultantplus://offline/ref=846DAA86F098A3E240AB1DE81C3A1240529078ED5F4F7C4F7801F95D589180CBC4AAF22DAEA4q80FE" TargetMode="External"/><Relationship Id="rId163" Type="http://schemas.openxmlformats.org/officeDocument/2006/relationships/hyperlink" Target="consultantplus://offline/ref=D68F9D44C9EC50E4773A0A6CD7C08D5ADD15B9EB4BA5BD97A97A611E4C28F4F88016CC0AD67276h4dAT" TargetMode="External"/><Relationship Id="rId184" Type="http://schemas.openxmlformats.org/officeDocument/2006/relationships/hyperlink" Target="http://www.smartcat.ru/Referat/gtgehramtt/" TargetMode="External"/><Relationship Id="rId219" Type="http://schemas.openxmlformats.org/officeDocument/2006/relationships/hyperlink" Target="http://digitalcommons.law.yale.edu/cgi/" TargetMode="External"/><Relationship Id="rId370" Type="http://schemas.openxmlformats.org/officeDocument/2006/relationships/hyperlink" Target="mailto:erov.i@mail.ru" TargetMode="External"/><Relationship Id="rId391" Type="http://schemas.openxmlformats.org/officeDocument/2006/relationships/hyperlink" Target="https://mir24.tv/news/16266778/putin-pozdravil-rahmona-s-dnem-nezavisimosti-tadzhikistana" TargetMode="External"/><Relationship Id="rId405" Type="http://schemas.openxmlformats.org/officeDocument/2006/relationships/hyperlink" Target="mailto:Muminov-U85@mail.ru" TargetMode="External"/><Relationship Id="rId230" Type="http://schemas.openxmlformats.org/officeDocument/2006/relationships/hyperlink" Target="mailto:k.prokofjew@yandex.ua" TargetMode="External"/><Relationship Id="rId251" Type="http://schemas.openxmlformats.org/officeDocument/2006/relationships/hyperlink" Target="mailto:nigina-93@mail.ru" TargetMode="External"/><Relationship Id="rId25" Type="http://schemas.openxmlformats.org/officeDocument/2006/relationships/hyperlink" Target="http://hudoc.echr.coe.int/" TargetMode="External"/><Relationship Id="rId46" Type="http://schemas.openxmlformats.org/officeDocument/2006/relationships/hyperlink" Target="http://e-notabene.ru/wl/article_545.html" TargetMode="External"/><Relationship Id="rId67" Type="http://schemas.openxmlformats.org/officeDocument/2006/relationships/hyperlink" Target="http://www.un.org/ru/documents/decl_%20conv/conventions/pactpro1.shtml" TargetMode="External"/><Relationship Id="rId272" Type="http://schemas.openxmlformats.org/officeDocument/2006/relationships/hyperlink" Target="mailto:super.yudin@bk.ru" TargetMode="External"/><Relationship Id="rId293" Type="http://schemas.openxmlformats.org/officeDocument/2006/relationships/hyperlink" Target="mailto:rahim.kadirov@inbox.ru" TargetMode="External"/><Relationship Id="rId307" Type="http://schemas.openxmlformats.org/officeDocument/2006/relationships/hyperlink" Target="https://ru.wikipedia.org/wiki/%D0%93%D1%80%D1%83%D0%BF%D0%BF%D1%8B_%D1%81%D0%BC%D0%B5%D1%80%D1%82%D0%B8" TargetMode="External"/><Relationship Id="rId328" Type="http://schemas.openxmlformats.org/officeDocument/2006/relationships/hyperlink" Target="consultantplus://offline/ref=9CBEFD70F6E338C8204D85660FE56F282B5415612D09012AC9DEB89E347BD5E8P6JAP" TargetMode="External"/><Relationship Id="rId349" Type="http://schemas.openxmlformats.org/officeDocument/2006/relationships/hyperlink" Target="mailto:katusha1599@rambler.ru" TargetMode="External"/><Relationship Id="rId88" Type="http://schemas.openxmlformats.org/officeDocument/2006/relationships/hyperlink" Target="mailto:firuzovnaf@mail.ru" TargetMode="External"/><Relationship Id="rId111" Type="http://schemas.openxmlformats.org/officeDocument/2006/relationships/hyperlink" Target="mailto:nekru-b@mail.ru" TargetMode="External"/><Relationship Id="rId132" Type="http://schemas.openxmlformats.org/officeDocument/2006/relationships/hyperlink" Target="https://ru.sputnik-tj.com/society/20151022/1017214707.html" TargetMode="External"/><Relationship Id="rId153" Type="http://schemas.openxmlformats.org/officeDocument/2006/relationships/hyperlink" Target="consultantplus://offline/ref=32AFDA195E76F797CAB42B0D76E6CFE1DDB1296F12576637E89AA1E72F7A4C73307713441511AF76sB17T" TargetMode="External"/><Relationship Id="rId174" Type="http://schemas.openxmlformats.org/officeDocument/2006/relationships/hyperlink" Target="http://www.neuch.ru/referat/155526.html" TargetMode="External"/><Relationship Id="rId195" Type="http://schemas.openxmlformats.org/officeDocument/2006/relationships/hyperlink" Target="http://www.smartcat.ru/Referat/itxemramvr/" TargetMode="External"/><Relationship Id="rId209" Type="http://schemas.openxmlformats.org/officeDocument/2006/relationships/hyperlink" Target="mailto:Nurullo1988@inbox.ru" TargetMode="External"/><Relationship Id="rId360" Type="http://schemas.openxmlformats.org/officeDocument/2006/relationships/hyperlink" Target="https://realnoevremya.ru/articles/88359-demografiya-v-rossii-v-2017-godu" TargetMode="External"/><Relationship Id="rId381" Type="http://schemas.openxmlformats.org/officeDocument/2006/relationships/hyperlink" Target="http://www.president.tj/ru/taxonomy/term/5/112" TargetMode="External"/><Relationship Id="rId416" Type="http://schemas.openxmlformats.org/officeDocument/2006/relationships/hyperlink" Target="mailto:erov.i@mail.ru" TargetMode="External"/><Relationship Id="rId220" Type="http://schemas.openxmlformats.org/officeDocument/2006/relationships/hyperlink" Target="https://papers.ssrn.com/sol3/papers.cfm" TargetMode="External"/><Relationship Id="rId241" Type="http://schemas.openxmlformats.org/officeDocument/2006/relationships/hyperlink" Target="mailto:ryazanowa.anastasya@yandex.ru" TargetMode="External"/><Relationship Id="rId15" Type="http://schemas.openxmlformats.org/officeDocument/2006/relationships/hyperlink" Target="mailto:rukha_95@mail.ru" TargetMode="External"/><Relationship Id="rId36" Type="http://schemas.openxmlformats.org/officeDocument/2006/relationships/hyperlink" Target="mailto:abehruz93@mail.ru" TargetMode="External"/><Relationship Id="rId57" Type="http://schemas.openxmlformats.org/officeDocument/2006/relationships/hyperlink" Target="http://science.ncstu.ru/artic1es/vak74/1aw/14.pdf" TargetMode="External"/><Relationship Id="rId262" Type="http://schemas.openxmlformats.org/officeDocument/2006/relationships/hyperlink" Target="mailto:wuqianzhi@mail.ru" TargetMode="External"/><Relationship Id="rId283" Type="http://schemas.openxmlformats.org/officeDocument/2006/relationships/hyperlink" Target="http://www.hist.msu.ru/ER/Etext/cnst" TargetMode="External"/><Relationship Id="rId318" Type="http://schemas.openxmlformats.org/officeDocument/2006/relationships/hyperlink" Target="mailto:galina.porichuk@mail.ru" TargetMode="External"/><Relationship Id="rId339" Type="http://schemas.openxmlformats.org/officeDocument/2006/relationships/hyperlink" Target="mailto:reefat@yandex.ru" TargetMode="External"/><Relationship Id="rId78" Type="http://schemas.openxmlformats.org/officeDocument/2006/relationships/hyperlink" Target="mailto:Sayfullozodasr@mail.ru" TargetMode="External"/><Relationship Id="rId99" Type="http://schemas.openxmlformats.org/officeDocument/2006/relationships/hyperlink" Target="mailto:alimova_farajon@mail.ru" TargetMode="External"/><Relationship Id="rId101" Type="http://schemas.openxmlformats.org/officeDocument/2006/relationships/hyperlink" Target="mailto:nazokat-b@mail.ru" TargetMode="External"/><Relationship Id="rId122" Type="http://schemas.openxmlformats.org/officeDocument/2006/relationships/hyperlink" Target="mailto:e.epifanova2017@yandex.ru" TargetMode="External"/><Relationship Id="rId143" Type="http://schemas.openxmlformats.org/officeDocument/2006/relationships/hyperlink" Target="mailto:jandiya-l@mail.ru" TargetMode="External"/><Relationship Id="rId164" Type="http://schemas.openxmlformats.org/officeDocument/2006/relationships/hyperlink" Target="http://online.zakon.kz/Document/?doc_id=1013880" TargetMode="External"/><Relationship Id="rId185" Type="http://schemas.openxmlformats.org/officeDocument/2006/relationships/hyperlink" Target="http://www.smartcat.ru/Referat/rtbeqramei/" TargetMode="External"/><Relationship Id="rId350" Type="http://schemas.openxmlformats.org/officeDocument/2006/relationships/hyperlink" Target="http://reconomica.ru/%D1%8D%D0%BA%D0%BE%D0%BD%D0%BE%D0%BC%D0%B8%D0%BA%D0%B0/%D1%81%D1%82%D0%B0%D1%82%D0%B8%D1%81%D1%82%D0%B8%D0%BA%D0%B0/%D1%81%D1%80%D0%B5%D0%B4%D0%BD%D1%8F%D1%8F-%D0%B7%D0%B0%D1%80%D0%BF%D0%BB%D0%B0%D1%82%D0%B0-%D0%B2-%D1%80%D1%84-2017/" TargetMode="External"/><Relationship Id="rId371" Type="http://schemas.openxmlformats.org/officeDocument/2006/relationships/hyperlink" Target="mailto:erov.i@mail.ru" TargetMode="External"/><Relationship Id="rId406" Type="http://schemas.openxmlformats.org/officeDocument/2006/relationships/hyperlink" Target="mailto:sekaterinat@gmail.com" TargetMode="External"/><Relationship Id="rId9" Type="http://schemas.openxmlformats.org/officeDocument/2006/relationships/hyperlink" Target="mailto:rukha_95@mail.ru" TargetMode="External"/><Relationship Id="rId210" Type="http://schemas.openxmlformats.org/officeDocument/2006/relationships/hyperlink" Target="mailto:Nurullo1988@inbox.ru" TargetMode="External"/><Relationship Id="rId392" Type="http://schemas.openxmlformats.org/officeDocument/2006/relationships/hyperlink" Target="http://www.consultant.ru/document/cons_doc_LAW_28399/" TargetMode="External"/><Relationship Id="rId26" Type="http://schemas.openxmlformats.org/officeDocument/2006/relationships/hyperlink" Target="http://hudoc.echr.coe.int/" TargetMode="External"/><Relationship Id="rId231" Type="http://schemas.openxmlformats.org/officeDocument/2006/relationships/hyperlink" Target="http://zakon2.rada.gov.ua/laws/show/436-15" TargetMode="External"/><Relationship Id="rId252" Type="http://schemas.openxmlformats.org/officeDocument/2006/relationships/hyperlink" Target="mailto:nigina-93@mail.ru" TargetMode="External"/><Relationship Id="rId273" Type="http://schemas.openxmlformats.org/officeDocument/2006/relationships/hyperlink" Target="mailto:gadjievv81@mail.ru" TargetMode="External"/><Relationship Id="rId294" Type="http://schemas.openxmlformats.org/officeDocument/2006/relationships/hyperlink" Target="mailto:rahim.kadirov@inbox.ru" TargetMode="External"/><Relationship Id="rId308" Type="http://schemas.openxmlformats.org/officeDocument/2006/relationships/hyperlink" Target="https://www.novayagazeta.ru/articles/2016/05/16/68604-gruppy-smerti-18" TargetMode="External"/><Relationship Id="rId329" Type="http://schemas.openxmlformats.org/officeDocument/2006/relationships/hyperlink" Target="http://www.mmk.tj" TargetMode="External"/><Relationship Id="rId47" Type="http://schemas.openxmlformats.org/officeDocument/2006/relationships/hyperlink" Target="http://unctad.org/meetings/en/SessionalDocuments/a70d17_ru.pdf" TargetMode="External"/><Relationship Id="rId68" Type="http://schemas.openxmlformats.org/officeDocument/2006/relationships/hyperlink" Target="https://www.consultant.ru/edu/student/download_books/book/ashavskii_bm_biriukov_mm_bordunov_vd_mezhdunarodnoe_pravo/" TargetMode="External"/><Relationship Id="rId89" Type="http://schemas.openxmlformats.org/officeDocument/2006/relationships/hyperlink" Target="mailto:animhat_88@mail.ru" TargetMode="External"/><Relationship Id="rId112" Type="http://schemas.openxmlformats.org/officeDocument/2006/relationships/hyperlink" Target="http://www.crime.vl.ru/" TargetMode="External"/><Relationship Id="rId133" Type="http://schemas.openxmlformats.org/officeDocument/2006/relationships/hyperlink" Target="https://news.tj/ru/news/osobennosti-natsionalnogo-usynovleniya" TargetMode="External"/><Relationship Id="rId154" Type="http://schemas.openxmlformats.org/officeDocument/2006/relationships/hyperlink" Target="consultantplus://offline/ref=32AFDA195E76F797CAB4371E6BE6CFE1DEB2266C1F5D6637E89AA1E72Fs71AT" TargetMode="External"/><Relationship Id="rId175" Type="http://schemas.openxmlformats.org/officeDocument/2006/relationships/hyperlink" Target="http://www.neuch.ru/referat/155526.html" TargetMode="External"/><Relationship Id="rId340" Type="http://schemas.openxmlformats.org/officeDocument/2006/relationships/hyperlink" Target="mailto:abdulloev.f@mail.ru" TargetMode="External"/><Relationship Id="rId361" Type="http://schemas.openxmlformats.org/officeDocument/2006/relationships/hyperlink" Target="mailto:nevazhnovv@inbox.ru" TargetMode="External"/><Relationship Id="rId196" Type="http://schemas.openxmlformats.org/officeDocument/2006/relationships/hyperlink" Target="http://www.smartcat.ru/Referat/gtgehramtt/" TargetMode="External"/><Relationship Id="rId200" Type="http://schemas.openxmlformats.org/officeDocument/2006/relationships/hyperlink" Target="http://www.smartcat.ru/Referat/oteeframbl/" TargetMode="External"/><Relationship Id="rId382" Type="http://schemas.openxmlformats.org/officeDocument/2006/relationships/hyperlink" Target="http://www.pandia.ru/text/78/199/20418.php" TargetMode="External"/><Relationship Id="rId417" Type="http://schemas.openxmlformats.org/officeDocument/2006/relationships/hyperlink" Target="http://www.archipelag.ru" TargetMode="External"/><Relationship Id="rId16" Type="http://schemas.openxmlformats.org/officeDocument/2006/relationships/hyperlink" Target="mailto:rukha_95@mail.ru" TargetMode="External"/><Relationship Id="rId221" Type="http://schemas.openxmlformats.org/officeDocument/2006/relationships/hyperlink" Target="consultantplus://offline/ref=D3C52143C032115FA60F3D42F541D84CEB799C5FC414F65FADC513CA12bDlEM" TargetMode="External"/><Relationship Id="rId242" Type="http://schemas.openxmlformats.org/officeDocument/2006/relationships/hyperlink" Target="mailto:ryazanowa.anastasya@yandex.ru" TargetMode="External"/><Relationship Id="rId263" Type="http://schemas.openxmlformats.org/officeDocument/2006/relationships/hyperlink" Target="mailto:wuqianzhi@mail.ru" TargetMode="External"/><Relationship Id="rId284" Type="http://schemas.openxmlformats.org/officeDocument/2006/relationships/hyperlink" Target="http://www.consultant.ru/document/cons_doc_" TargetMode="External"/><Relationship Id="rId319" Type="http://schemas.openxmlformats.org/officeDocument/2006/relationships/hyperlink" Target="mailto:galina.porichuk@mail.ru" TargetMode="External"/><Relationship Id="rId37" Type="http://schemas.openxmlformats.org/officeDocument/2006/relationships/hyperlink" Target="mailto:abehruz93@mail.ru" TargetMode="External"/><Relationship Id="rId58" Type="http://schemas.openxmlformats.org/officeDocument/2006/relationships/hyperlink" Target="mailto:olga-morozova@tut.by" TargetMode="External"/><Relationship Id="rId79" Type="http://schemas.openxmlformats.org/officeDocument/2006/relationships/hyperlink" Target="mailto:Sayfullozodasr@mail.ru" TargetMode="External"/><Relationship Id="rId102" Type="http://schemas.openxmlformats.org/officeDocument/2006/relationships/hyperlink" Target="mailto:e-mail:%20nazokat-b@mail.ru" TargetMode="External"/><Relationship Id="rId123" Type="http://schemas.openxmlformats.org/officeDocument/2006/relationships/hyperlink" Target="mailto:e.epifanova2017@yandex.ru" TargetMode="External"/><Relationship Id="rId144" Type="http://schemas.openxmlformats.org/officeDocument/2006/relationships/hyperlink" Target="mailto:jandiya-l@mail.ru" TargetMode="External"/><Relationship Id="rId330" Type="http://schemas.openxmlformats.org/officeDocument/2006/relationships/hyperlink" Target="mailto:sattorov87@mail.ru" TargetMode="External"/><Relationship Id="rId90" Type="http://schemas.openxmlformats.org/officeDocument/2006/relationships/hyperlink" Target="mailto:animhat_88@mail.ru" TargetMode="External"/><Relationship Id="rId165" Type="http://schemas.openxmlformats.org/officeDocument/2006/relationships/hyperlink" Target="mailto:kabirov-s@mail.ru" TargetMode="External"/><Relationship Id="rId186" Type="http://schemas.openxmlformats.org/officeDocument/2006/relationships/hyperlink" Target="http://www.smartcat.ru/Referat/stuegramfh/" TargetMode="External"/><Relationship Id="rId351" Type="http://schemas.openxmlformats.org/officeDocument/2006/relationships/hyperlink" Target="http://reconomica.ru/%D0%B4%D0%B5%D0%BD%D1%8C%D0%B3%D0%B8/%D0%BA%D0%B0%D0%BA-%D1%8D%D0%BA%D0%BE%D0%BD%D0%BE%D0%BC%D0%B8%D1%82%D1%8C-%D0%BD%D0%B0-%D0%BF%D1%80%D0%BE%D0%B4%D1%83%D0%BA%D1%82%D0%B0%D1%85/" TargetMode="External"/><Relationship Id="rId372" Type="http://schemas.openxmlformats.org/officeDocument/2006/relationships/hyperlink" Target="mailto:erov.i@mail.ru" TargetMode="External"/><Relationship Id="rId393" Type="http://schemas.openxmlformats.org/officeDocument/2006/relationships/hyperlink" Target="http://www.president.tj/ru/taxonomy/term/5/112" TargetMode="External"/><Relationship Id="rId407" Type="http://schemas.openxmlformats.org/officeDocument/2006/relationships/hyperlink" Target="mailto:sekaterinat@gmail.com" TargetMode="External"/><Relationship Id="rId211" Type="http://schemas.openxmlformats.org/officeDocument/2006/relationships/hyperlink" Target="http://www.worldislamlaw.ru" TargetMode="External"/><Relationship Id="rId232" Type="http://schemas.openxmlformats.org/officeDocument/2006/relationships/hyperlink" Target="mailto:rahimova@mail.ru" TargetMode="External"/><Relationship Id="rId253" Type="http://schemas.openxmlformats.org/officeDocument/2006/relationships/hyperlink" Target="mailto:nigina-93@mail.ru" TargetMode="External"/><Relationship Id="rId274" Type="http://schemas.openxmlformats.org/officeDocument/2006/relationships/hyperlink" Target="mailto:dyomina-mari@mail.ru" TargetMode="External"/><Relationship Id="rId295" Type="http://schemas.openxmlformats.org/officeDocument/2006/relationships/hyperlink" Target="http://mmk.tj/ru/legislation/legislation-base/codecs/" TargetMode="External"/><Relationship Id="rId309" Type="http://schemas.openxmlformats.org/officeDocument/2006/relationships/hyperlink" Target="http://xn----7sbbaj7auwnffhk.xn--p1ai/article/22232" TargetMode="External"/><Relationship Id="rId27" Type="http://schemas.openxmlformats.org/officeDocument/2006/relationships/hyperlink" Target="http://hudoc.echr.coe.int/" TargetMode="External"/><Relationship Id="rId48" Type="http://schemas.openxmlformats.org/officeDocument/2006/relationships/hyperlink" Target="http://evolutio.info/" TargetMode="External"/><Relationship Id="rId69" Type="http://schemas.openxmlformats.org/officeDocument/2006/relationships/hyperlink" Target="https://www.consultant.ru/edu/student/download_books/book/valeev_rm_kurdiukov_gi_mezhdunarodnoe_pravo_uchebnik_%20dlja_bakalavrov/" TargetMode="External"/><Relationship Id="rId113" Type="http://schemas.openxmlformats.org/officeDocument/2006/relationships/hyperlink" Target="mailto:kristina.boldireva97@gmail.com" TargetMode="External"/><Relationship Id="rId134" Type="http://schemas.openxmlformats.org/officeDocument/2006/relationships/hyperlink" Target="mailto:AnnaVladimirovna2009@yandex.ru" TargetMode="External"/><Relationship Id="rId320" Type="http://schemas.openxmlformats.org/officeDocument/2006/relationships/hyperlink" Target="http://cbd.minjust.gov.kg/act/view/ru-ru/202913/20?mode=tekst" TargetMode="External"/><Relationship Id="rId80" Type="http://schemas.openxmlformats.org/officeDocument/2006/relationships/hyperlink" Target="garantF1://2566561.0" TargetMode="External"/><Relationship Id="rId155" Type="http://schemas.openxmlformats.org/officeDocument/2006/relationships/hyperlink" Target="consultantplus://offline/ref=38BA0A67EF31EBE2DE2FA10578348A23D1A1715C4E649C2FDA2E569551A85E9414E413F99F476DB600nDQ" TargetMode="External"/><Relationship Id="rId176" Type="http://schemas.openxmlformats.org/officeDocument/2006/relationships/hyperlink" Target="http://www.neuch.ru/referat/155526.html" TargetMode="External"/><Relationship Id="rId197" Type="http://schemas.openxmlformats.org/officeDocument/2006/relationships/hyperlink" Target="http://www.smartcat.ru/Referat/gtgehramtt/" TargetMode="External"/><Relationship Id="rId341" Type="http://schemas.openxmlformats.org/officeDocument/2006/relationships/hyperlink" Target="mailto:abdulloev.f@mail.ru" TargetMode="External"/><Relationship Id="rId362" Type="http://schemas.openxmlformats.org/officeDocument/2006/relationships/hyperlink" Target="https://old.rublacklist.net/33048/" TargetMode="External"/><Relationship Id="rId383" Type="http://schemas.openxmlformats.org/officeDocument/2006/relationships/hyperlink" Target="http://kremlin.ru/events/president/transcripts/21408" TargetMode="External"/><Relationship Id="rId418" Type="http://schemas.openxmlformats.org/officeDocument/2006/relationships/footer" Target="footer1.xml"/><Relationship Id="rId201" Type="http://schemas.openxmlformats.org/officeDocument/2006/relationships/hyperlink" Target="http://www.smartcat.ru/Referat/mtoehramzn/" TargetMode="External"/><Relationship Id="rId222" Type="http://schemas.openxmlformats.org/officeDocument/2006/relationships/hyperlink" Target="consultantplus://offline/ref=D3C52143C032115FA60F3D42F541D84CEB799C5FC419F65FADC513CA12DE2237EAD75694EDDEE415b3lAM" TargetMode="External"/><Relationship Id="rId243" Type="http://schemas.openxmlformats.org/officeDocument/2006/relationships/hyperlink" Target="mailto:Sidnodira@rambler.ru" TargetMode="External"/><Relationship Id="rId264" Type="http://schemas.openxmlformats.org/officeDocument/2006/relationships/hyperlink" Target="http://www.consultant.ru/document/cons_doc_LAW_5142/" TargetMode="External"/><Relationship Id="rId285" Type="http://schemas.openxmlformats.org/officeDocument/2006/relationships/hyperlink" Target="http://pravo.by/ImgPravo/pdf/sm_" TargetMode="External"/><Relationship Id="rId17" Type="http://schemas.openxmlformats.org/officeDocument/2006/relationships/hyperlink" Target="https://pravo.hse.ru/intprilaw/doc/042801" TargetMode="External"/><Relationship Id="rId38" Type="http://schemas.openxmlformats.org/officeDocument/2006/relationships/hyperlink" Target="mailto:nigora1597@mail.ru" TargetMode="External"/><Relationship Id="rId59" Type="http://schemas.openxmlformats.org/officeDocument/2006/relationships/hyperlink" Target="mailto:olga-morozova@tut.by" TargetMode="External"/><Relationship Id="rId103" Type="http://schemas.openxmlformats.org/officeDocument/2006/relationships/hyperlink" Target="consultantplus://offline/main?base=LAW;n=48270;fld=134;dst=101574" TargetMode="External"/><Relationship Id="rId124" Type="http://schemas.openxmlformats.org/officeDocument/2006/relationships/hyperlink" Target="http://www.yurist-online.net/tag/372" TargetMode="External"/><Relationship Id="rId310" Type="http://schemas.openxmlformats.org/officeDocument/2006/relationships/hyperlink" Target="https://ru.wikipedia.org/wiki/%D0%98%D0%BD%D1%82%D0%B5%D1%80%D0%BD%D0%B5%D1%82-%D1%86%D0%B5%D0%BD%D0%B7%D1%83%D1%80%D0%B0" TargetMode="External"/><Relationship Id="rId70" Type="http://schemas.openxmlformats.org/officeDocument/2006/relationships/hyperlink" Target="http://law.edu.ru/norm/norm.asp?normID=1375811" TargetMode="External"/><Relationship Id="rId91" Type="http://schemas.openxmlformats.org/officeDocument/2006/relationships/hyperlink" Target="http://www.akn.tj/mejsotr3.htm" TargetMode="External"/><Relationship Id="rId145" Type="http://schemas.openxmlformats.org/officeDocument/2006/relationships/hyperlink" Target="https://ru.wikipedia.org/wiki/%D0%9F%D1%83%D0%B1%D0%BB%D0%B8%D1%87%D0%BD%D0%B0%D1%8F_%D0%B2%D0%BB%D0%B0%D1%81%D1%82%D1%8C" TargetMode="External"/><Relationship Id="rId166" Type="http://schemas.openxmlformats.org/officeDocument/2006/relationships/hyperlink" Target="mailto:kabirov-s@mail.ru" TargetMode="External"/><Relationship Id="rId187" Type="http://schemas.openxmlformats.org/officeDocument/2006/relationships/hyperlink" Target="http://www.smartcat.ru/Referat/gtgehramtt/" TargetMode="External"/><Relationship Id="rId331" Type="http://schemas.openxmlformats.org/officeDocument/2006/relationships/hyperlink" Target="mailto:lawserd@yandex.ru" TargetMode="External"/><Relationship Id="rId352" Type="http://schemas.openxmlformats.org/officeDocument/2006/relationships/hyperlink" Target="http://www.consultant.ru/document/cons_doc_LAW_28399/" TargetMode="External"/><Relationship Id="rId373" Type="http://schemas.openxmlformats.org/officeDocument/2006/relationships/hyperlink" Target="http://feminism.livejournal.com/558881.html" TargetMode="External"/><Relationship Id="rId394" Type="http://schemas.openxmlformats.org/officeDocument/2006/relationships/hyperlink" Target="http://www.consultant.ru/cons/cgi/online.cgi?req=doc&amp;base=LAW&amp;n=187049&amp;rnd=B2F557CB0CADC43F0E49ECAF5DBD0332&amp;dst=100053&amp;fld=134" TargetMode="External"/><Relationship Id="rId408" Type="http://schemas.openxmlformats.org/officeDocument/2006/relationships/hyperlink" Target="mailto:sekaterinat@gmail.com" TargetMode="External"/><Relationship Id="rId1" Type="http://schemas.openxmlformats.org/officeDocument/2006/relationships/customXml" Target="../customXml/item1.xml"/><Relationship Id="rId212" Type="http://schemas.openxmlformats.org/officeDocument/2006/relationships/hyperlink" Target="http://www/Lawmix.ru/abro.php?id=11489" TargetMode="External"/><Relationship Id="rId233" Type="http://schemas.openxmlformats.org/officeDocument/2006/relationships/hyperlink" Target="mailto:rahimova@mail.ru" TargetMode="External"/><Relationship Id="rId254" Type="http://schemas.openxmlformats.org/officeDocument/2006/relationships/hyperlink" Target="mailto:nigina-93@mail.ru" TargetMode="External"/><Relationship Id="rId28" Type="http://schemas.openxmlformats.org/officeDocument/2006/relationships/hyperlink" Target="http://hudoc.echr.coe.int/" TargetMode="External"/><Relationship Id="rId49" Type="http://schemas.openxmlformats.org/officeDocument/2006/relationships/hyperlink" Target="http://base.mmk.tj/view_sanadhoview.php?showdetail=&amp;sanadID=1&amp;language" TargetMode="External"/><Relationship Id="rId114" Type="http://schemas.openxmlformats.org/officeDocument/2006/relationships/hyperlink" Target="mailto:kristina.boldireva97@gmail.com" TargetMode="External"/><Relationship Id="rId275" Type="http://schemas.openxmlformats.org/officeDocument/2006/relationships/hyperlink" Target="mailto:super.yudin@bk.ru" TargetMode="External"/><Relationship Id="rId296" Type="http://schemas.openxmlformats.org/officeDocument/2006/relationships/hyperlink" Target="mailto:Askarali@mail.ru" TargetMode="External"/><Relationship Id="rId300" Type="http://schemas.openxmlformats.org/officeDocument/2006/relationships/hyperlink" Target="https://www.echr.coe.int/Documents/Convention_RUS.pdf" TargetMode="External"/><Relationship Id="rId60" Type="http://schemas.openxmlformats.org/officeDocument/2006/relationships/hyperlink" Target="http://base.spinform.ru" TargetMode="External"/><Relationship Id="rId81" Type="http://schemas.openxmlformats.org/officeDocument/2006/relationships/hyperlink" Target="garantF1://2466558.5000" TargetMode="External"/><Relationship Id="rId135" Type="http://schemas.openxmlformats.org/officeDocument/2006/relationships/hyperlink" Target="mailto:AnnaVladimirovna2009@yandex.ru" TargetMode="External"/><Relationship Id="rId156" Type="http://schemas.openxmlformats.org/officeDocument/2006/relationships/hyperlink" Target="consultantplus://offline/ref=38BA0A67EF31EBE2DE2FA10578348A23D1AC7D5B49639C2FDA2E5695510An8Q" TargetMode="External"/><Relationship Id="rId177" Type="http://schemas.openxmlformats.org/officeDocument/2006/relationships/hyperlink" Target="http://www.neuch.ru/referat/155526.html" TargetMode="External"/><Relationship Id="rId198" Type="http://schemas.openxmlformats.org/officeDocument/2006/relationships/hyperlink" Target="http://www.smartcat.ru/Referat/itxemramvr/" TargetMode="External"/><Relationship Id="rId321" Type="http://schemas.openxmlformats.org/officeDocument/2006/relationships/hyperlink" Target="http://www.president.tj/ru/taxonomy/term/5/112" TargetMode="External"/><Relationship Id="rId342" Type="http://schemas.openxmlformats.org/officeDocument/2006/relationships/hyperlink" Target="mailto:alimova.m@mail.ru" TargetMode="External"/><Relationship Id="rId363" Type="http://schemas.openxmlformats.org/officeDocument/2006/relationships/hyperlink" Target="https://old.rublacklist.net/33048/" TargetMode="External"/><Relationship Id="rId384" Type="http://schemas.openxmlformats.org/officeDocument/2006/relationships/hyperlink" Target="https://www.pravda.ru/news/politics/%20elections/29-08-2016/1311466-politika-0/" TargetMode="External"/><Relationship Id="rId419" Type="http://schemas.openxmlformats.org/officeDocument/2006/relationships/fontTable" Target="fontTable.xml"/><Relationship Id="rId202" Type="http://schemas.openxmlformats.org/officeDocument/2006/relationships/hyperlink" Target="http://www.smartcat.ru/Referat/ltdeqramyo/" TargetMode="External"/><Relationship Id="rId223" Type="http://schemas.openxmlformats.org/officeDocument/2006/relationships/hyperlink" Target="consultantplus://offline/ref=D3C52143C032115FA60F3D42F541D84CEB799C5FC419F65FADC513CA12DE2237EAD75694EDDEE51Fb3lAM" TargetMode="External"/><Relationship Id="rId244" Type="http://schemas.openxmlformats.org/officeDocument/2006/relationships/hyperlink" Target="mailto:Sidnodira@rambler.ru" TargetMode="External"/><Relationship Id="rId18" Type="http://schemas.openxmlformats.org/officeDocument/2006/relationships/hyperlink" Target="https://pravo.hse.ru/intprilaw/doc/042901" TargetMode="External"/><Relationship Id="rId39" Type="http://schemas.openxmlformats.org/officeDocument/2006/relationships/hyperlink" Target="mailto:nigora1597@mail.ru" TargetMode="External"/><Relationship Id="rId265" Type="http://schemas.openxmlformats.org/officeDocument/2006/relationships/hyperlink" Target="http://www.consultant.ru/document/cons_doc_LAW_9027/" TargetMode="External"/><Relationship Id="rId286" Type="http://schemas.openxmlformats.org/officeDocument/2006/relationships/image" Target="media/image1.png"/><Relationship Id="rId50" Type="http://schemas.openxmlformats.org/officeDocument/2006/relationships/hyperlink" Target="mailto:fb.kurbanov90@gmail.com" TargetMode="External"/><Relationship Id="rId104" Type="http://schemas.openxmlformats.org/officeDocument/2006/relationships/hyperlink" Target="consultantplus://offline/main?base=LAW;n=48270;fld=134;dst=102044" TargetMode="External"/><Relationship Id="rId125" Type="http://schemas.openxmlformats.org/officeDocument/2006/relationships/hyperlink" Target="http://www.yurist-online.net/tag/1175" TargetMode="External"/><Relationship Id="rId146" Type="http://schemas.openxmlformats.org/officeDocument/2006/relationships/hyperlink" Target="https://ru.wikipedia.org/wiki/%D0%93%D1%80%D0%B0%D0%B6%D0%B4%D0%B0%D0%BD%D1%81%D0%BA%D0%BE%D0%B5_%D0%BE%D0%B1%D1%89%D0%B5%D1%81%D1%82%D0%B2%D0%BE" TargetMode="External"/><Relationship Id="rId167" Type="http://schemas.openxmlformats.org/officeDocument/2006/relationships/hyperlink" Target="mailto:kabirov-s@mail.ru" TargetMode="External"/><Relationship Id="rId188" Type="http://schemas.openxmlformats.org/officeDocument/2006/relationships/hyperlink" Target="http://www.smartcat.ru/Referat/jtceframwq/" TargetMode="External"/><Relationship Id="rId311" Type="http://schemas.openxmlformats.org/officeDocument/2006/relationships/hyperlink" Target="https://ru.wikipedia.org/wiki/%D0%A1%D0%B2%D0%BE%D0%B1%D0%BE%D0%B4%D0%B0_%D1%81%D0%BB%D0%BE%D0%B2%D0%B0" TargetMode="External"/><Relationship Id="rId332" Type="http://schemas.openxmlformats.org/officeDocument/2006/relationships/hyperlink" Target="mailto:g.khautov@mail.ru" TargetMode="External"/><Relationship Id="rId353" Type="http://schemas.openxmlformats.org/officeDocument/2006/relationships/hyperlink" Target="http://www.president.tj/ru/taxonomy/term/5/112" TargetMode="External"/><Relationship Id="rId374" Type="http://schemas.openxmlformats.org/officeDocument/2006/relationships/hyperlink" Target="mailto:abdulloev.f@mail.ru" TargetMode="External"/><Relationship Id="rId395" Type="http://schemas.openxmlformats.org/officeDocument/2006/relationships/hyperlink" Target="http://base.spinform.ru/show_doc.fwx?rgn=46031" TargetMode="External"/><Relationship Id="rId409" Type="http://schemas.openxmlformats.org/officeDocument/2006/relationships/hyperlink" Target="mailto:dandi93_93@mail.ru" TargetMode="External"/><Relationship Id="rId71" Type="http://schemas.openxmlformats.org/officeDocument/2006/relationships/hyperlink" Target="http://eulaw.ru/treaties/tfeu" TargetMode="External"/><Relationship Id="rId92" Type="http://schemas.openxmlformats.org/officeDocument/2006/relationships/hyperlink" Target="mailto:Amrik_95@bk.ru" TargetMode="External"/><Relationship Id="rId213" Type="http://schemas.openxmlformats.org/officeDocument/2006/relationships/hyperlink" Target="mailto:mohru-80@mail.ru" TargetMode="External"/><Relationship Id="rId234" Type="http://schemas.openxmlformats.org/officeDocument/2006/relationships/hyperlink" Target="consultantplus://offline/ref=9CB6DE79201EA725D0021AF7236B79E62C64207E6B0F2FA9ECDCFF0B8CE5C7E7815E124D98BFGC61F" TargetMode="External"/><Relationship Id="rId420"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mailto:shirin.tulyaganova@mail.ru" TargetMode="External"/><Relationship Id="rId255" Type="http://schemas.openxmlformats.org/officeDocument/2006/relationships/hyperlink" Target="mailto:g.khautov@mail.ru" TargetMode="External"/><Relationship Id="rId276" Type="http://schemas.openxmlformats.org/officeDocument/2006/relationships/hyperlink" Target="http://www.consultant.ru/document/cons_doc_LAW_58840/" TargetMode="External"/><Relationship Id="rId297" Type="http://schemas.openxmlformats.org/officeDocument/2006/relationships/hyperlink" Target="mailto:Askarali@mail.ru" TargetMode="External"/><Relationship Id="rId40" Type="http://schemas.openxmlformats.org/officeDocument/2006/relationships/hyperlink" Target="http://www.ilo.org/moscow/information-esources/publications/WCMS_554824/lang--ru/index.htm" TargetMode="External"/><Relationship Id="rId115" Type="http://schemas.openxmlformats.org/officeDocument/2006/relationships/hyperlink" Target="http://www.president.tj/ru/taxonomy/term/5/112" TargetMode="External"/><Relationship Id="rId136" Type="http://schemas.openxmlformats.org/officeDocument/2006/relationships/hyperlink" Target="consultantplus://offline/ref=4E56863CB05CAFAA4A056A8825D5F97A2DC594BE8910EBBD08AC182DJ4G" TargetMode="External"/><Relationship Id="rId157" Type="http://schemas.openxmlformats.org/officeDocument/2006/relationships/hyperlink" Target="consultantplus://offline/ref=BB49F793D3F0E59A8A1E974B82169FF7EA0E4CD582BC6CBAF3695B8C6AC84B8B9CCBEA27AB80856FZDzAQ" TargetMode="External"/><Relationship Id="rId178" Type="http://schemas.openxmlformats.org/officeDocument/2006/relationships/hyperlink" Target="http://www.neuch.ru/referat/155526.html" TargetMode="External"/><Relationship Id="rId301" Type="http://schemas.openxmlformats.org/officeDocument/2006/relationships/hyperlink" Target="http://base.mmk.tj/view_sanadhoview.php?showdetail=&amp;sanadID=1" TargetMode="External"/><Relationship Id="rId322" Type="http://schemas.openxmlformats.org/officeDocument/2006/relationships/hyperlink" Target="http://base.garant.ru/2540800/" TargetMode="External"/><Relationship Id="rId343" Type="http://schemas.openxmlformats.org/officeDocument/2006/relationships/hyperlink" Target="mailto:alimova.m@mail.ru" TargetMode="External"/><Relationship Id="rId364" Type="http://schemas.openxmlformats.org/officeDocument/2006/relationships/hyperlink" Target="http://www.newsru.com/russia/27nov2017/cancelyokliog.html" TargetMode="External"/><Relationship Id="rId61" Type="http://schemas.openxmlformats.org/officeDocument/2006/relationships/hyperlink" Target="http://pravo.by/document/?guid=3941&amp;p0=2016004024" TargetMode="External"/><Relationship Id="rId82" Type="http://schemas.openxmlformats.org/officeDocument/2006/relationships/hyperlink" Target="mailto:htsattorov@gmail.com" TargetMode="External"/><Relationship Id="rId199" Type="http://schemas.openxmlformats.org/officeDocument/2006/relationships/hyperlink" Target="http://www.smartcat.ru/Referat/gtgehramtt/" TargetMode="External"/><Relationship Id="rId203" Type="http://schemas.openxmlformats.org/officeDocument/2006/relationships/hyperlink" Target="http://www.smartcat.ru/Referat/ltfeeramyo/" TargetMode="External"/><Relationship Id="rId385" Type="http://schemas.openxmlformats.org/officeDocument/2006/relationships/hyperlink" Target="http://www.justicemaker.ru/view-article.php?id=13&amp;art=6003" TargetMode="External"/><Relationship Id="rId19" Type="http://schemas.openxmlformats.org/officeDocument/2006/relationships/hyperlink" Target="http://eulaw.edu.ru/documents/legislation/collision/vnedogovornoe.htm" TargetMode="External"/><Relationship Id="rId224" Type="http://schemas.openxmlformats.org/officeDocument/2006/relationships/hyperlink" Target="consultantplus://offline/ref=D3C52143C032115FA60F3D42F541D84CEB799C5FC419F65FADC513CA12DE2237EAD75694EDDEE519b3l1M" TargetMode="External"/><Relationship Id="rId245" Type="http://schemas.openxmlformats.org/officeDocument/2006/relationships/hyperlink" Target="http://www.consultant.ru/" TargetMode="External"/><Relationship Id="rId266" Type="http://schemas.openxmlformats.org/officeDocument/2006/relationships/hyperlink" Target="mailto:alayarov92@mail.ru" TargetMode="External"/><Relationship Id="rId287" Type="http://schemas.openxmlformats.org/officeDocument/2006/relationships/hyperlink" Target="https://russian.rt.com/%20russia/articl/382394-" TargetMode="External"/><Relationship Id="rId410" Type="http://schemas.openxmlformats.org/officeDocument/2006/relationships/hyperlink" Target="mailto:v.t.temirov@gmail.com" TargetMode="External"/><Relationship Id="rId30" Type="http://schemas.openxmlformats.org/officeDocument/2006/relationships/hyperlink" Target="mailto:a_farida@list.ru" TargetMode="External"/><Relationship Id="rId105" Type="http://schemas.openxmlformats.org/officeDocument/2006/relationships/hyperlink" Target="consultantplus://offline/main?base=LAW;n=48270;fld=134;dst=101574" TargetMode="External"/><Relationship Id="rId126" Type="http://schemas.openxmlformats.org/officeDocument/2006/relationships/hyperlink" Target="http://semadv.ru/info/articles/reshenie-o-priznanii-ottsovstva/" TargetMode="External"/><Relationship Id="rId147" Type="http://schemas.openxmlformats.org/officeDocument/2006/relationships/hyperlink" Target="mailto:law@vizmailov.ru" TargetMode="External"/><Relationship Id="rId168" Type="http://schemas.openxmlformats.org/officeDocument/2006/relationships/hyperlink" Target="mailto:kabirov-s@mail.ru" TargetMode="External"/><Relationship Id="rId312" Type="http://schemas.openxmlformats.org/officeDocument/2006/relationships/hyperlink" Target="http://www.mmk.tj" TargetMode="External"/><Relationship Id="rId333" Type="http://schemas.openxmlformats.org/officeDocument/2006/relationships/hyperlink" Target="mailto:tursenkanov@outlook.com" TargetMode="External"/><Relationship Id="rId354" Type="http://schemas.openxmlformats.org/officeDocument/2006/relationships/hyperlink" Target="https://vk.com/away.php?to=http%3A%2F%2Fkremlin.ru%2Fevents%2Fpresident%2Fnews%2F56957&amp;el=snippet" TargetMode="External"/><Relationship Id="rId51" Type="http://schemas.openxmlformats.org/officeDocument/2006/relationships/hyperlink" Target="mailto:fb.kurbanov90@gmail.com" TargetMode="External"/><Relationship Id="rId72" Type="http://schemas.openxmlformats.org/officeDocument/2006/relationships/hyperlink" Target="http://law.edu.ru/norm/norm.asp?normID=1375811" TargetMode="External"/><Relationship Id="rId93" Type="http://schemas.openxmlformats.org/officeDocument/2006/relationships/hyperlink" Target="mailto:Amrik_95@bk.ru" TargetMode="External"/><Relationship Id="rId189" Type="http://schemas.openxmlformats.org/officeDocument/2006/relationships/hyperlink" Target="http://www.smartcat.ru/Referat/ctneframpx/" TargetMode="External"/><Relationship Id="rId375" Type="http://schemas.openxmlformats.org/officeDocument/2006/relationships/hyperlink" Target="mailto:abdulloev.f@mail.ru" TargetMode="External"/><Relationship Id="rId396" Type="http://schemas.openxmlformats.org/officeDocument/2006/relationships/hyperlink" Target="http://pravo.gov.ru/proxy/ips/?docbody=&amp;firstDoc=1&amp;lastDoc=1&amp;nd=102023634" TargetMode="External"/><Relationship Id="rId3" Type="http://schemas.openxmlformats.org/officeDocument/2006/relationships/styles" Target="styles.xml"/><Relationship Id="rId214" Type="http://schemas.openxmlformats.org/officeDocument/2006/relationships/hyperlink" Target="mailto:mohru-80@mail.ru" TargetMode="External"/><Relationship Id="rId235" Type="http://schemas.openxmlformats.org/officeDocument/2006/relationships/hyperlink" Target="mailto:huseinjon@inbox.ru" TargetMode="External"/><Relationship Id="rId256" Type="http://schemas.openxmlformats.org/officeDocument/2006/relationships/hyperlink" Target="mailto:maria199723@mail.ru" TargetMode="External"/><Relationship Id="rId277" Type="http://schemas.openxmlformats.org/officeDocument/2006/relationships/hyperlink" Target="http://genproc.gov.ru/smi/news/genproc/news-1091254/" TargetMode="External"/><Relationship Id="rId298" Type="http://schemas.openxmlformats.org/officeDocument/2006/relationships/hyperlink" Target="mailto:manuchester97@mail.ru" TargetMode="External"/><Relationship Id="rId400" Type="http://schemas.openxmlformats.org/officeDocument/2006/relationships/hyperlink" Target="https://base.spinform.ru/show_doc.fwx?rgn=104408" TargetMode="External"/><Relationship Id="rId116" Type="http://schemas.openxmlformats.org/officeDocument/2006/relationships/hyperlink" Target="http://www.consultant.ru/document/cons_doc_LAW_9027/" TargetMode="External"/><Relationship Id="rId137" Type="http://schemas.openxmlformats.org/officeDocument/2006/relationships/hyperlink" Target="consultantplus://offline/ref=4E56863CB05CAFAA4A056A8825D5F97A2DC598B88910EBBD08AC182DJ4G" TargetMode="External"/><Relationship Id="rId158" Type="http://schemas.openxmlformats.org/officeDocument/2006/relationships/hyperlink" Target="consultantplus://offline/ref=62869667CEAB2A4E7F1429E0700A9464A08126E8D7724325D79293116107EDB27073985A0326E8D4ZFv3T" TargetMode="External"/><Relationship Id="rId302" Type="http://schemas.openxmlformats.org/officeDocument/2006/relationships/hyperlink" Target="http://www.constitution.ru/" TargetMode="External"/><Relationship Id="rId323" Type="http://schemas.openxmlformats.org/officeDocument/2006/relationships/hyperlink" Target="http://www.consultant.ru/document/cons_doc_%20LAW_34481/" TargetMode="External"/><Relationship Id="rId344" Type="http://schemas.openxmlformats.org/officeDocument/2006/relationships/hyperlink" Target="mailto:malika@mail.ru" TargetMode="External"/><Relationship Id="rId20" Type="http://schemas.openxmlformats.org/officeDocument/2006/relationships/hyperlink" Target="mailto:mr.mortem@list.ru" TargetMode="External"/><Relationship Id="rId41" Type="http://schemas.openxmlformats.org/officeDocument/2006/relationships/hyperlink" Target="https://cyberleninka.ru/article/v/ponyatie-ezhdunarodnyh-standartov-v-prave-vto" TargetMode="External"/><Relationship Id="rId62" Type="http://schemas.openxmlformats.org/officeDocument/2006/relationships/hyperlink" Target="mailto:aziz.rahimov0001@gmail.com" TargetMode="External"/><Relationship Id="rId83" Type="http://schemas.openxmlformats.org/officeDocument/2006/relationships/hyperlink" Target="mailto:htsattorov@gmail.com" TargetMode="External"/><Relationship Id="rId179" Type="http://schemas.openxmlformats.org/officeDocument/2006/relationships/hyperlink" Target="http://ekoncept.ru/2014/14815.htm" TargetMode="External"/><Relationship Id="rId365" Type="http://schemas.openxmlformats.org/officeDocument/2006/relationships/hyperlink" Target="http://www.ksrf.ru/ru/Decision/Statisticses/Pages/Definition.aspx" TargetMode="External"/><Relationship Id="rId386" Type="http://schemas.openxmlformats.org/officeDocument/2006/relationships/hyperlink" Target="http://gtmarket.ru/laboratory/expertize/5118" TargetMode="External"/><Relationship Id="rId190" Type="http://schemas.openxmlformats.org/officeDocument/2006/relationships/hyperlink" Target="http://www.smartcat.ru/Referat/vtneeramie/" TargetMode="External"/><Relationship Id="rId204" Type="http://schemas.openxmlformats.org/officeDocument/2006/relationships/hyperlink" Target="http://www.cis2000.ru/cisFinAnalysis/ctxeframpx/" TargetMode="External"/><Relationship Id="rId225" Type="http://schemas.openxmlformats.org/officeDocument/2006/relationships/hyperlink" Target="consultantplus://offline/ref=D3C52143C032115FA60F3D42F541D84CEB799C5FC419F65FADC513CA12DE2237EAD75694EDDEE519b3l7M" TargetMode="External"/><Relationship Id="rId246" Type="http://schemas.openxmlformats.org/officeDocument/2006/relationships/hyperlink" Target="http://www.consultant.ru/" TargetMode="External"/><Relationship Id="rId267" Type="http://schemas.openxmlformats.org/officeDocument/2006/relationships/hyperlink" Target="mailto:reefat@yandex.ru" TargetMode="External"/><Relationship Id="rId288" Type="http://schemas.openxmlformats.org/officeDocument/2006/relationships/hyperlink" Target="mailto:minfin_karimov@mail.ru" TargetMode="External"/><Relationship Id="rId411" Type="http://schemas.openxmlformats.org/officeDocument/2006/relationships/hyperlink" Target="mailto:ms.firdavsova@mail.ru" TargetMode="External"/><Relationship Id="rId106" Type="http://schemas.openxmlformats.org/officeDocument/2006/relationships/hyperlink" Target="mailto:nazokat-b@mail.ru" TargetMode="External"/><Relationship Id="rId127" Type="http://schemas.openxmlformats.org/officeDocument/2006/relationships/hyperlink" Target="http://www.president.tj/ru/taxonomy/term/5/112" TargetMode="External"/><Relationship Id="rId313" Type="http://schemas.openxmlformats.org/officeDocument/2006/relationships/hyperlink" Target="mailto:nin.nikulin.92@mail.ru" TargetMode="External"/><Relationship Id="rId10" Type="http://schemas.openxmlformats.org/officeDocument/2006/relationships/hyperlink" Target="http://www.juristlib.ru/book_9631.html" TargetMode="External"/><Relationship Id="rId31" Type="http://schemas.openxmlformats.org/officeDocument/2006/relationships/hyperlink" Target="mailto:a_farida@list.ru" TargetMode="External"/><Relationship Id="rId52" Type="http://schemas.openxmlformats.org/officeDocument/2006/relationships/hyperlink" Target="mailto:azizahon27@126.com" TargetMode="External"/><Relationship Id="rId73" Type="http://schemas.openxmlformats.org/officeDocument/2006/relationships/hyperlink" Target="http://eulaw.ru/treaties/lisbon" TargetMode="External"/><Relationship Id="rId94" Type="http://schemas.openxmlformats.org/officeDocument/2006/relationships/hyperlink" Target="mailto:aziza_eco@inbox.ru" TargetMode="External"/><Relationship Id="rId148" Type="http://schemas.openxmlformats.org/officeDocument/2006/relationships/hyperlink" Target="consultantplus://offline/ref=38BA0A67EF31EBE2DE2FA10578348A23D1A1715C4E649C2FDA2E569551A85E9414E413F99F476DB500n1Q" TargetMode="External"/><Relationship Id="rId169" Type="http://schemas.openxmlformats.org/officeDocument/2006/relationships/hyperlink" Target="http://www.neuch.ru/referat/155526.html" TargetMode="External"/><Relationship Id="rId334" Type="http://schemas.openxmlformats.org/officeDocument/2006/relationships/hyperlink" Target="http://www.consultant.ru/document/cons_doc_LAW_34481" TargetMode="External"/><Relationship Id="rId355" Type="http://schemas.openxmlformats.org/officeDocument/2006/relationships/hyperlink" Target="http://kremlin.ru" TargetMode="External"/><Relationship Id="rId376" Type="http://schemas.openxmlformats.org/officeDocument/2006/relationships/hyperlink" Target="mailto:abdulloev.f@mail.ru" TargetMode="External"/><Relationship Id="rId397" Type="http://schemas.openxmlformats.org/officeDocument/2006/relationships/hyperlink" Target="http://www.consultant.ru/cons/cgi/online.cgi?req=doc&amp;base=LAW&amp;n=191669&amp;fld=134&amp;dst=100014,0&amp;rnd=0.43395633317100657" TargetMode="External"/><Relationship Id="rId4" Type="http://schemas.openxmlformats.org/officeDocument/2006/relationships/settings" Target="settings.xml"/><Relationship Id="rId180" Type="http://schemas.openxmlformats.org/officeDocument/2006/relationships/hyperlink" Target="mailto:takha.karimova@gmail.com" TargetMode="External"/><Relationship Id="rId215" Type="http://schemas.openxmlformats.org/officeDocument/2006/relationships/hyperlink" Target="mailto:alina.mustafina@globe.tj" TargetMode="External"/><Relationship Id="rId236" Type="http://schemas.openxmlformats.org/officeDocument/2006/relationships/hyperlink" Target="mailto:huseinjon@inbox..ru" TargetMode="External"/><Relationship Id="rId257" Type="http://schemas.openxmlformats.org/officeDocument/2006/relationships/hyperlink" Target="mailto:maria199723@mail.ru" TargetMode="External"/><Relationship Id="rId278" Type="http://schemas.openxmlformats.org/officeDocument/2006/relationships/hyperlink" Target="http://www.muslim-info.com/kak-verbuyut-zhenschin-v-igil.html" TargetMode="External"/><Relationship Id="rId401" Type="http://schemas.openxmlformats.org/officeDocument/2006/relationships/hyperlink" Target="https://rg.ru/2017/02/27/rossiia-i-tadzhikistan-reshat-problemu-nevezdnyh-migrantov.html" TargetMode="External"/><Relationship Id="rId303" Type="http://schemas.openxmlformats.org/officeDocument/2006/relationships/hyperlink" Target="http://base.mmk.tj/view_sanadhoview.php?showdetail=&amp;sanadID=23" TargetMode="External"/><Relationship Id="rId42" Type="http://schemas.openxmlformats.org/officeDocument/2006/relationships/hyperlink" Target="https://ru.wikipedia.org/wiki/%D0%9C%D0%B5%D0%B6%D0%B4%D1%83%D0%BD%D0%B0%D1%80%D0%BE%D0%B4%D0%BD%D0%B0%D1%8F_%D0%BE%D1%80%D0%B3%D0%B0%D0%BD%D0%B8%D0%B7%D0%B0%D1%86%D0%B8%D1%8F_%D1%82%D1%80%D1%83%D0%B4%D0%B0" TargetMode="External"/><Relationship Id="rId84" Type="http://schemas.openxmlformats.org/officeDocument/2006/relationships/hyperlink" Target="mailto:htsattorov@gmail.com" TargetMode="External"/><Relationship Id="rId138" Type="http://schemas.openxmlformats.org/officeDocument/2006/relationships/hyperlink" Target="consultantplus://offline/ref=4E56863CB05CAFAA4A056A8825D5F97A2FC09ABE804DE1B551A01AD325J7G" TargetMode="External"/><Relationship Id="rId345" Type="http://schemas.openxmlformats.org/officeDocument/2006/relationships/hyperlink" Target="mailto:malika@mail.ru" TargetMode="External"/><Relationship Id="rId387" Type="http://schemas.openxmlformats.org/officeDocument/2006/relationships/hyperlink" Target="https://rg.ru/2014/09/09/peremen.html" TargetMode="External"/><Relationship Id="rId191" Type="http://schemas.openxmlformats.org/officeDocument/2006/relationships/hyperlink" Target="http://www.smartcat.ru/Referat/stuegramfh/" TargetMode="External"/><Relationship Id="rId205" Type="http://schemas.openxmlformats.org/officeDocument/2006/relationships/hyperlink" Target="http://www.consultant.ru/document/cons_doc_LAW_8824/" TargetMode="External"/><Relationship Id="rId247" Type="http://schemas.openxmlformats.org/officeDocument/2006/relationships/hyperlink" Target="http://www.consultant.ru/" TargetMode="External"/><Relationship Id="rId412" Type="http://schemas.openxmlformats.org/officeDocument/2006/relationships/hyperlink" Target="mailto:v.t.temirov@gmail.com" TargetMode="External"/><Relationship Id="rId107" Type="http://schemas.openxmlformats.org/officeDocument/2006/relationships/hyperlink" Target="mailto:e-mail:%20nazokat-b@mail.ru" TargetMode="External"/><Relationship Id="rId289" Type="http://schemas.openxmlformats.org/officeDocument/2006/relationships/hyperlink" Target="mailto:minfin_karimov@mail.ru" TargetMode="External"/><Relationship Id="rId11" Type="http://schemas.openxmlformats.org/officeDocument/2006/relationships/hyperlink" Target="http://netprava.ru/ek/b8/14_6.htm" TargetMode="External"/><Relationship Id="rId53" Type="http://schemas.openxmlformats.org/officeDocument/2006/relationships/hyperlink" Target="consultantplus://offline/ref=7B815B3D27425352EE5299F90F6271299D337F4CB9963E2A9C01635BVAd7M" TargetMode="External"/><Relationship Id="rId149" Type="http://schemas.openxmlformats.org/officeDocument/2006/relationships/hyperlink" Target="consultantplus://offline/ref=AFB2A846A6ED8DD62997AB91F5EBC6B70F540C3E01BA7DACBDB4C5B56D4A16F1DC4DD4CCD2355955N2j8G" TargetMode="External"/><Relationship Id="rId314" Type="http://schemas.openxmlformats.org/officeDocument/2006/relationships/hyperlink" Target="mailto:nin.nikulin.92@mail.ru" TargetMode="External"/><Relationship Id="rId356" Type="http://schemas.openxmlformats.org/officeDocument/2006/relationships/hyperlink" Target="http://reconomica.ru/&#1101;&#1082;&#1086;&#1085;&#1086;&#1084;&#1080;&#1082;&#1072;/&#1089;&#1090;&#1072;&#1090;&#1080;&#1089;&#1090;&#1080;&#1082;&#1072;/&#1089;&#1088;&#1077;&#1076;&#1085;&#1103;&#1103;-&#1087;&#1088;&#1086;&#1076;&#1086;&#1083;&#1078;&#1080;&#1090;&#1077;&#1083;&#1100;&#1085;&#1086;&#1089;&#1090;&#1100;-&#1078;&#1080;&#1079;&#1085;&#1080;-&#1074;-&#1088;&#1092;/" TargetMode="External"/><Relationship Id="rId398" Type="http://schemas.openxmlformats.org/officeDocument/2006/relationships/hyperlink" Target="http://kremlin.ru/acts/bank/35435" TargetMode="External"/><Relationship Id="rId95" Type="http://schemas.openxmlformats.org/officeDocument/2006/relationships/hyperlink" Target="mailto:aziza_eco@inbox.ru" TargetMode="External"/><Relationship Id="rId160" Type="http://schemas.openxmlformats.org/officeDocument/2006/relationships/hyperlink" Target="consultantplus://offline/ref=51A6AC3943FAA57E1E5F0838D915B3C9D5833134E7F2EF6893978F9D622C6C7090F68B3AC38F0340M64DN" TargetMode="External"/><Relationship Id="rId216" Type="http://schemas.openxmlformats.org/officeDocument/2006/relationships/hyperlink" Target="mailto:alina.mustafina@globe.t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2A055-335F-4743-A7FE-61CD5BC32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715</Pages>
  <Words>395917</Words>
  <Characters>2256732</Characters>
  <Application>Microsoft Office Word</Application>
  <DocSecurity>0</DocSecurity>
  <Lines>18806</Lines>
  <Paragraphs>5294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2647355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граж.право</dc:creator>
  <cp:lastModifiedBy>veresthaginaav</cp:lastModifiedBy>
  <cp:revision>2</cp:revision>
  <cp:lastPrinted>2018-04-25T10:34:00Z</cp:lastPrinted>
  <dcterms:created xsi:type="dcterms:W3CDTF">2018-05-10T07:24:00Z</dcterms:created>
  <dcterms:modified xsi:type="dcterms:W3CDTF">2018-05-10T07:24:00Z</dcterms:modified>
</cp:coreProperties>
</file>