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B355BD" w14:textId="4AE06F37" w:rsidR="00D201A5" w:rsidRDefault="00D201A5" w:rsidP="00D201A5">
      <w:pPr>
        <w:suppressAutoHyphens/>
        <w:spacing w:after="0" w:line="240" w:lineRule="auto"/>
        <w:jc w:val="both"/>
        <w:rPr>
          <w:rFonts w:ascii="Times New Roman" w:eastAsia="Times New Roman" w:hAnsi="Times New Roman" w:cs="Times New Roman"/>
          <w:color w:val="000000"/>
          <w:sz w:val="24"/>
          <w:szCs w:val="24"/>
          <w:lang w:eastAsia="ru-RU"/>
        </w:rPr>
      </w:pPr>
      <w:r w:rsidRPr="00D201A5">
        <w:rPr>
          <w:rFonts w:ascii="Times New Roman" w:eastAsia="Times New Roman" w:hAnsi="Times New Roman" w:cs="Times New Roman"/>
          <w:color w:val="000000"/>
          <w:sz w:val="24"/>
          <w:szCs w:val="24"/>
          <w:lang w:eastAsia="ru-RU"/>
        </w:rPr>
        <w:t>УДК 336.6</w:t>
      </w:r>
    </w:p>
    <w:p w14:paraId="1F177E3A" w14:textId="77777777" w:rsidR="00D201A5" w:rsidRDefault="00D201A5" w:rsidP="00D201A5">
      <w:pPr>
        <w:suppressAutoHyphens/>
        <w:spacing w:after="0" w:line="240" w:lineRule="auto"/>
        <w:jc w:val="both"/>
        <w:rPr>
          <w:rFonts w:ascii="Times New Roman" w:eastAsia="Times New Roman" w:hAnsi="Times New Roman" w:cs="Times New Roman"/>
          <w:color w:val="000000"/>
          <w:sz w:val="24"/>
          <w:szCs w:val="24"/>
          <w:lang w:eastAsia="ru-RU"/>
        </w:rPr>
      </w:pPr>
    </w:p>
    <w:p w14:paraId="64B80879" w14:textId="2691C68B" w:rsidR="00AC4935" w:rsidRDefault="00657459" w:rsidP="00D201A5">
      <w:pPr>
        <w:suppressAutoHyphens/>
        <w:spacing w:after="0" w:line="240" w:lineRule="auto"/>
        <w:rPr>
          <w:rFonts w:eastAsia="Times New Roman" w:cs="Times New Roman"/>
          <w:b/>
          <w:caps/>
          <w:color w:val="000000"/>
          <w:sz w:val="24"/>
          <w:szCs w:val="24"/>
          <w:lang w:eastAsia="ru-RU"/>
        </w:rPr>
      </w:pPr>
      <w:bookmarkStart w:id="0" w:name="_GoBack"/>
      <w:r w:rsidRPr="00D201A5">
        <w:rPr>
          <w:rFonts w:ascii="Times New Roman Полужирный" w:eastAsia="Times New Roman" w:hAnsi="Times New Roman Полужирный" w:cs="Times New Roman"/>
          <w:b/>
          <w:caps/>
          <w:color w:val="000000"/>
          <w:sz w:val="24"/>
          <w:szCs w:val="24"/>
          <w:lang w:eastAsia="ru-RU"/>
        </w:rPr>
        <w:t>П</w:t>
      </w:r>
      <w:r w:rsidR="0017282D" w:rsidRPr="00D201A5">
        <w:rPr>
          <w:rFonts w:ascii="Times New Roman Полужирный" w:eastAsia="Times New Roman" w:hAnsi="Times New Roman Полужирный" w:cs="Times New Roman" w:hint="eastAsia"/>
          <w:b/>
          <w:color w:val="000000"/>
          <w:sz w:val="24"/>
          <w:szCs w:val="24"/>
          <w:lang w:eastAsia="ru-RU"/>
        </w:rPr>
        <w:t>риоритеты</w:t>
      </w:r>
      <w:r w:rsidR="0017282D" w:rsidRPr="00D201A5">
        <w:rPr>
          <w:rFonts w:ascii="Times New Roman Полужирный" w:eastAsia="Times New Roman" w:hAnsi="Times New Roman Полужирный" w:cs="Times New Roman"/>
          <w:b/>
          <w:color w:val="000000"/>
          <w:sz w:val="24"/>
          <w:szCs w:val="24"/>
          <w:lang w:eastAsia="ru-RU"/>
        </w:rPr>
        <w:t xml:space="preserve"> </w:t>
      </w:r>
      <w:r w:rsidR="0017282D" w:rsidRPr="00D201A5">
        <w:rPr>
          <w:rFonts w:ascii="Times New Roman Полужирный" w:eastAsia="Times New Roman" w:hAnsi="Times New Roman Полужирный" w:cs="Times New Roman" w:hint="eastAsia"/>
          <w:b/>
          <w:color w:val="000000"/>
          <w:sz w:val="24"/>
          <w:szCs w:val="24"/>
          <w:lang w:eastAsia="ru-RU"/>
        </w:rPr>
        <w:t>корпоративной</w:t>
      </w:r>
      <w:r w:rsidR="0017282D" w:rsidRPr="00D201A5">
        <w:rPr>
          <w:rFonts w:ascii="Times New Roman Полужирный" w:eastAsia="Times New Roman" w:hAnsi="Times New Roman Полужирный" w:cs="Times New Roman"/>
          <w:b/>
          <w:color w:val="000000"/>
          <w:sz w:val="24"/>
          <w:szCs w:val="24"/>
          <w:lang w:eastAsia="ru-RU"/>
        </w:rPr>
        <w:t xml:space="preserve"> </w:t>
      </w:r>
      <w:r w:rsidR="0017282D" w:rsidRPr="00D201A5">
        <w:rPr>
          <w:rFonts w:ascii="Times New Roman Полужирный" w:eastAsia="Times New Roman" w:hAnsi="Times New Roman Полужирный" w:cs="Times New Roman" w:hint="eastAsia"/>
          <w:b/>
          <w:color w:val="000000"/>
          <w:sz w:val="24"/>
          <w:szCs w:val="24"/>
          <w:lang w:eastAsia="ru-RU"/>
        </w:rPr>
        <w:t>социальной</w:t>
      </w:r>
      <w:r w:rsidR="0017282D" w:rsidRPr="00D201A5">
        <w:rPr>
          <w:rFonts w:ascii="Times New Roman Полужирный" w:eastAsia="Times New Roman" w:hAnsi="Times New Roman Полужирный" w:cs="Times New Roman"/>
          <w:b/>
          <w:color w:val="000000"/>
          <w:sz w:val="24"/>
          <w:szCs w:val="24"/>
          <w:lang w:eastAsia="ru-RU"/>
        </w:rPr>
        <w:t xml:space="preserve"> </w:t>
      </w:r>
      <w:r w:rsidR="0017282D" w:rsidRPr="00D201A5">
        <w:rPr>
          <w:rFonts w:ascii="Times New Roman Полужирный" w:eastAsia="Times New Roman" w:hAnsi="Times New Roman Полужирный" w:cs="Times New Roman" w:hint="eastAsia"/>
          <w:b/>
          <w:color w:val="000000"/>
          <w:sz w:val="24"/>
          <w:szCs w:val="24"/>
          <w:lang w:eastAsia="ru-RU"/>
        </w:rPr>
        <w:t>ответственности</w:t>
      </w:r>
      <w:r w:rsidR="0017282D" w:rsidRPr="00D201A5">
        <w:rPr>
          <w:rFonts w:ascii="Times New Roman Полужирный" w:eastAsia="Times New Roman" w:hAnsi="Times New Roman Полужирный" w:cs="Times New Roman"/>
          <w:b/>
          <w:color w:val="000000"/>
          <w:sz w:val="24"/>
          <w:szCs w:val="24"/>
          <w:lang w:eastAsia="ru-RU"/>
        </w:rPr>
        <w:t xml:space="preserve"> </w:t>
      </w:r>
      <w:r w:rsidR="0017282D" w:rsidRPr="00D201A5">
        <w:rPr>
          <w:rFonts w:ascii="Times New Roman Полужирный" w:eastAsia="Times New Roman" w:hAnsi="Times New Roman Полужирный" w:cs="Times New Roman" w:hint="eastAsia"/>
          <w:b/>
          <w:color w:val="000000"/>
          <w:sz w:val="24"/>
          <w:szCs w:val="24"/>
          <w:lang w:eastAsia="ru-RU"/>
        </w:rPr>
        <w:t>российского</w:t>
      </w:r>
      <w:r w:rsidR="0017282D" w:rsidRPr="00D201A5">
        <w:rPr>
          <w:rFonts w:ascii="Times New Roman Полужирный" w:eastAsia="Times New Roman" w:hAnsi="Times New Roman Полужирный" w:cs="Times New Roman"/>
          <w:b/>
          <w:color w:val="000000"/>
          <w:sz w:val="24"/>
          <w:szCs w:val="24"/>
          <w:lang w:eastAsia="ru-RU"/>
        </w:rPr>
        <w:t xml:space="preserve"> </w:t>
      </w:r>
      <w:r w:rsidR="0017282D" w:rsidRPr="00D201A5">
        <w:rPr>
          <w:rFonts w:ascii="Times New Roman Полужирный" w:eastAsia="Times New Roman" w:hAnsi="Times New Roman Полужирный" w:cs="Times New Roman" w:hint="eastAsia"/>
          <w:b/>
          <w:color w:val="000000"/>
          <w:sz w:val="24"/>
          <w:szCs w:val="24"/>
          <w:lang w:eastAsia="ru-RU"/>
        </w:rPr>
        <w:t>финансового</w:t>
      </w:r>
      <w:r w:rsidR="0017282D" w:rsidRPr="00D201A5">
        <w:rPr>
          <w:rFonts w:ascii="Times New Roman Полужирный" w:eastAsia="Times New Roman" w:hAnsi="Times New Roman Полужирный" w:cs="Times New Roman"/>
          <w:b/>
          <w:color w:val="000000"/>
          <w:sz w:val="24"/>
          <w:szCs w:val="24"/>
          <w:lang w:eastAsia="ru-RU"/>
        </w:rPr>
        <w:t xml:space="preserve"> </w:t>
      </w:r>
      <w:r w:rsidR="0017282D" w:rsidRPr="00D201A5">
        <w:rPr>
          <w:rFonts w:ascii="Times New Roman Полужирный" w:eastAsia="Times New Roman" w:hAnsi="Times New Roman Полужирный" w:cs="Times New Roman" w:hint="eastAsia"/>
          <w:b/>
          <w:color w:val="000000"/>
          <w:sz w:val="24"/>
          <w:szCs w:val="24"/>
          <w:lang w:eastAsia="ru-RU"/>
        </w:rPr>
        <w:t>сектора</w:t>
      </w:r>
      <w:r w:rsidR="0017282D" w:rsidRPr="00D201A5">
        <w:rPr>
          <w:rFonts w:ascii="Times New Roman Полужирный" w:eastAsia="Times New Roman" w:hAnsi="Times New Roman Полужирный" w:cs="Times New Roman"/>
          <w:b/>
          <w:color w:val="000000"/>
          <w:sz w:val="24"/>
          <w:szCs w:val="24"/>
          <w:lang w:eastAsia="ru-RU"/>
        </w:rPr>
        <w:t xml:space="preserve"> </w:t>
      </w:r>
      <w:r w:rsidR="0017282D" w:rsidRPr="00D201A5">
        <w:rPr>
          <w:rFonts w:ascii="Times New Roman Полужирный" w:eastAsia="Times New Roman" w:hAnsi="Times New Roman Полужирный" w:cs="Times New Roman" w:hint="eastAsia"/>
          <w:b/>
          <w:color w:val="000000"/>
          <w:sz w:val="24"/>
          <w:szCs w:val="24"/>
          <w:lang w:eastAsia="ru-RU"/>
        </w:rPr>
        <w:t>в</w:t>
      </w:r>
      <w:r w:rsidR="0017282D" w:rsidRPr="00D201A5">
        <w:rPr>
          <w:rFonts w:ascii="Times New Roman Полужирный" w:eastAsia="Times New Roman" w:hAnsi="Times New Roman Полужирный" w:cs="Times New Roman"/>
          <w:b/>
          <w:color w:val="000000"/>
          <w:sz w:val="24"/>
          <w:szCs w:val="24"/>
          <w:lang w:eastAsia="ru-RU"/>
        </w:rPr>
        <w:t xml:space="preserve"> </w:t>
      </w:r>
      <w:r w:rsidR="0017282D" w:rsidRPr="00D201A5">
        <w:rPr>
          <w:rFonts w:ascii="Times New Roman Полужирный" w:eastAsia="Times New Roman" w:hAnsi="Times New Roman Полужирный" w:cs="Times New Roman" w:hint="eastAsia"/>
          <w:b/>
          <w:color w:val="000000"/>
          <w:sz w:val="24"/>
          <w:szCs w:val="24"/>
          <w:lang w:eastAsia="ru-RU"/>
        </w:rPr>
        <w:t>системе</w:t>
      </w:r>
      <w:r w:rsidR="0017282D" w:rsidRPr="00D201A5">
        <w:rPr>
          <w:rFonts w:ascii="Times New Roman Полужирный" w:eastAsia="Times New Roman" w:hAnsi="Times New Roman Полужирный" w:cs="Times New Roman"/>
          <w:b/>
          <w:color w:val="000000"/>
          <w:sz w:val="24"/>
          <w:szCs w:val="24"/>
          <w:lang w:eastAsia="ru-RU"/>
        </w:rPr>
        <w:t xml:space="preserve"> </w:t>
      </w:r>
      <w:r w:rsidR="0017282D" w:rsidRPr="00D201A5">
        <w:rPr>
          <w:rFonts w:ascii="Times New Roman Полужирный" w:eastAsia="Times New Roman" w:hAnsi="Times New Roman Полужирный" w:cs="Times New Roman" w:hint="eastAsia"/>
          <w:b/>
          <w:color w:val="000000"/>
          <w:sz w:val="24"/>
          <w:szCs w:val="24"/>
          <w:lang w:eastAsia="ru-RU"/>
        </w:rPr>
        <w:t>управления</w:t>
      </w:r>
      <w:r w:rsidR="0017282D" w:rsidRPr="00D201A5">
        <w:rPr>
          <w:rFonts w:ascii="Times New Roman Полужирный" w:eastAsia="Times New Roman" w:hAnsi="Times New Roman Полужирный" w:cs="Times New Roman"/>
          <w:b/>
          <w:color w:val="000000"/>
          <w:sz w:val="24"/>
          <w:szCs w:val="24"/>
          <w:lang w:eastAsia="ru-RU"/>
        </w:rPr>
        <w:t xml:space="preserve"> </w:t>
      </w:r>
      <w:r w:rsidR="0017282D" w:rsidRPr="00D201A5">
        <w:rPr>
          <w:rFonts w:ascii="Times New Roman Полужирный" w:eastAsia="Times New Roman" w:hAnsi="Times New Roman Полужирный" w:cs="Times New Roman" w:hint="eastAsia"/>
          <w:b/>
          <w:color w:val="000000"/>
          <w:sz w:val="24"/>
          <w:szCs w:val="24"/>
          <w:lang w:eastAsia="ru-RU"/>
        </w:rPr>
        <w:t>устойчивым</w:t>
      </w:r>
      <w:r w:rsidR="0017282D" w:rsidRPr="00D201A5">
        <w:rPr>
          <w:rFonts w:ascii="Times New Roman Полужирный" w:eastAsia="Times New Roman" w:hAnsi="Times New Roman Полужирный" w:cs="Times New Roman"/>
          <w:b/>
          <w:color w:val="000000"/>
          <w:sz w:val="24"/>
          <w:szCs w:val="24"/>
          <w:lang w:eastAsia="ru-RU"/>
        </w:rPr>
        <w:t xml:space="preserve"> </w:t>
      </w:r>
      <w:r w:rsidR="0017282D" w:rsidRPr="00D201A5">
        <w:rPr>
          <w:rFonts w:ascii="Times New Roman Полужирный" w:eastAsia="Times New Roman" w:hAnsi="Times New Roman Полужирный" w:cs="Times New Roman" w:hint="eastAsia"/>
          <w:b/>
          <w:color w:val="000000"/>
          <w:sz w:val="24"/>
          <w:szCs w:val="24"/>
          <w:lang w:eastAsia="ru-RU"/>
        </w:rPr>
        <w:t>развитием</w:t>
      </w:r>
      <w:bookmarkEnd w:id="0"/>
    </w:p>
    <w:p w14:paraId="04ADC257" w14:textId="7A8051C1" w:rsidR="00D201A5" w:rsidRDefault="00D201A5" w:rsidP="00D201A5">
      <w:pPr>
        <w:suppressAutoHyphens/>
        <w:spacing w:after="0" w:line="240" w:lineRule="auto"/>
        <w:rPr>
          <w:rFonts w:ascii="Times New Roman Полужирный" w:eastAsia="Times New Roman" w:hAnsi="Times New Roman Полужирный" w:cs="Times New Roman"/>
          <w:b/>
          <w:caps/>
          <w:color w:val="000000"/>
          <w:sz w:val="24"/>
          <w:szCs w:val="24"/>
          <w:lang w:val="en-US" w:eastAsia="ru-RU"/>
        </w:rPr>
      </w:pPr>
      <w:r w:rsidRPr="00D201A5">
        <w:rPr>
          <w:rFonts w:ascii="Times New Roman Полужирный" w:eastAsia="Times New Roman" w:hAnsi="Times New Roman Полужирный" w:cs="Times New Roman"/>
          <w:b/>
          <w:caps/>
          <w:color w:val="000000"/>
          <w:sz w:val="24"/>
          <w:szCs w:val="24"/>
          <w:lang w:val="en-US" w:eastAsia="ru-RU"/>
        </w:rPr>
        <w:t>Priorities of corporate social responsibility of the Russian financial sector in the management system of sustainable development</w:t>
      </w:r>
    </w:p>
    <w:p w14:paraId="6AD5581C" w14:textId="77777777" w:rsidR="00D201A5" w:rsidRDefault="00D201A5" w:rsidP="00D201A5">
      <w:pPr>
        <w:suppressAutoHyphens/>
        <w:spacing w:after="0" w:line="240" w:lineRule="auto"/>
        <w:rPr>
          <w:rFonts w:ascii="Times New Roman Полужирный" w:eastAsia="Times New Roman" w:hAnsi="Times New Roman Полужирный" w:cs="Times New Roman"/>
          <w:b/>
          <w:caps/>
          <w:color w:val="000000"/>
          <w:sz w:val="24"/>
          <w:szCs w:val="24"/>
          <w:lang w:val="en-US" w:eastAsia="ru-RU"/>
        </w:rPr>
      </w:pPr>
    </w:p>
    <w:p w14:paraId="06FBD0C0" w14:textId="4544E76D" w:rsidR="00D201A5" w:rsidRPr="00C539D6" w:rsidRDefault="00D201A5" w:rsidP="00D201A5">
      <w:pPr>
        <w:suppressAutoHyphens/>
        <w:spacing w:after="0" w:line="240" w:lineRule="auto"/>
        <w:rPr>
          <w:rFonts w:ascii="Times New Roman" w:eastAsia="Times New Roman" w:hAnsi="Times New Roman"/>
          <w:b/>
          <w:sz w:val="24"/>
          <w:szCs w:val="24"/>
          <w:lang w:eastAsia="ru-RU"/>
        </w:rPr>
      </w:pPr>
      <w:r w:rsidRPr="00C539D6">
        <w:rPr>
          <w:rFonts w:ascii="Times New Roman" w:eastAsia="Times New Roman" w:hAnsi="Times New Roman"/>
          <w:b/>
          <w:sz w:val="24"/>
          <w:szCs w:val="24"/>
          <w:vertAlign w:val="superscript"/>
          <w:lang w:eastAsia="ru-RU"/>
        </w:rPr>
        <w:t>1</w:t>
      </w:r>
      <w:r>
        <w:rPr>
          <w:rFonts w:ascii="Times New Roman" w:eastAsia="Times New Roman" w:hAnsi="Times New Roman"/>
          <w:b/>
          <w:sz w:val="24"/>
          <w:szCs w:val="24"/>
          <w:lang w:eastAsia="ru-RU"/>
        </w:rPr>
        <w:t>Н</w:t>
      </w:r>
      <w:r w:rsidRPr="00862BB0">
        <w:rPr>
          <w:rFonts w:ascii="Times New Roman" w:eastAsia="Times New Roman" w:hAnsi="Times New Roman"/>
          <w:b/>
          <w:sz w:val="24"/>
          <w:szCs w:val="24"/>
          <w:lang w:eastAsia="ru-RU"/>
        </w:rPr>
        <w:t>.</w:t>
      </w:r>
      <w:r>
        <w:rPr>
          <w:rFonts w:ascii="Times New Roman" w:eastAsia="Times New Roman" w:hAnsi="Times New Roman"/>
          <w:b/>
          <w:sz w:val="24"/>
          <w:szCs w:val="24"/>
          <w:lang w:eastAsia="ru-RU"/>
        </w:rPr>
        <w:t>Ю</w:t>
      </w:r>
      <w:r w:rsidRPr="00862BB0">
        <w:rPr>
          <w:rFonts w:ascii="Times New Roman" w:eastAsia="Times New Roman" w:hAnsi="Times New Roman"/>
          <w:b/>
          <w:sz w:val="24"/>
          <w:szCs w:val="24"/>
          <w:lang w:eastAsia="ru-RU"/>
        </w:rPr>
        <w:t xml:space="preserve">. </w:t>
      </w:r>
      <w:r>
        <w:rPr>
          <w:rFonts w:ascii="Times New Roman" w:eastAsia="Times New Roman" w:hAnsi="Times New Roman"/>
          <w:b/>
          <w:sz w:val="24"/>
          <w:szCs w:val="24"/>
          <w:lang w:eastAsia="ru-RU"/>
        </w:rPr>
        <w:t>Титова</w:t>
      </w:r>
      <w:r w:rsidRPr="00C539D6">
        <w:rPr>
          <w:rFonts w:ascii="Times New Roman" w:eastAsia="Times New Roman" w:hAnsi="Times New Roman"/>
          <w:b/>
          <w:sz w:val="24"/>
          <w:szCs w:val="24"/>
          <w:lang w:eastAsia="ru-RU"/>
        </w:rPr>
        <w:t xml:space="preserve">, </w:t>
      </w:r>
      <w:r>
        <w:rPr>
          <w:rFonts w:ascii="Times New Roman" w:eastAsia="Times New Roman" w:hAnsi="Times New Roman"/>
          <w:b/>
          <w:sz w:val="24"/>
          <w:szCs w:val="24"/>
          <w:lang w:eastAsia="ru-RU"/>
        </w:rPr>
        <w:t>Т.В. Ершова</w:t>
      </w:r>
    </w:p>
    <w:p w14:paraId="05840436" w14:textId="083DC896" w:rsidR="00D201A5" w:rsidRPr="00C539D6" w:rsidRDefault="00D201A5" w:rsidP="00D201A5">
      <w:pPr>
        <w:suppressAutoHyphens/>
        <w:spacing w:after="0" w:line="240" w:lineRule="auto"/>
        <w:rPr>
          <w:rFonts w:ascii="Times New Roman" w:eastAsia="Times New Roman" w:hAnsi="Times New Roman"/>
          <w:b/>
          <w:sz w:val="24"/>
          <w:szCs w:val="24"/>
          <w:lang w:val="en-US" w:eastAsia="ru-RU"/>
        </w:rPr>
      </w:pPr>
      <w:r w:rsidRPr="00C539D6">
        <w:rPr>
          <w:rFonts w:ascii="Times New Roman" w:eastAsia="Times New Roman" w:hAnsi="Times New Roman"/>
          <w:b/>
          <w:sz w:val="24"/>
          <w:szCs w:val="24"/>
          <w:vertAlign w:val="superscript"/>
          <w:lang w:val="en-US" w:eastAsia="ru-RU"/>
        </w:rPr>
        <w:t>1</w:t>
      </w:r>
      <w:r>
        <w:rPr>
          <w:rFonts w:ascii="Times New Roman" w:eastAsia="Times New Roman" w:hAnsi="Times New Roman"/>
          <w:b/>
          <w:sz w:val="24"/>
          <w:szCs w:val="24"/>
          <w:lang w:val="en-US" w:eastAsia="ru-RU"/>
        </w:rPr>
        <w:t>N</w:t>
      </w:r>
      <w:r w:rsidRPr="00C539D6">
        <w:rPr>
          <w:rFonts w:ascii="Times New Roman" w:eastAsia="Times New Roman" w:hAnsi="Times New Roman"/>
          <w:b/>
          <w:sz w:val="24"/>
          <w:szCs w:val="24"/>
          <w:lang w:val="en-US" w:eastAsia="ru-RU"/>
        </w:rPr>
        <w:t>.</w:t>
      </w:r>
      <w:r>
        <w:rPr>
          <w:rFonts w:ascii="Times New Roman" w:eastAsia="Times New Roman" w:hAnsi="Times New Roman"/>
          <w:b/>
          <w:sz w:val="24"/>
          <w:szCs w:val="24"/>
          <w:lang w:val="en-US" w:eastAsia="ru-RU"/>
        </w:rPr>
        <w:t>Y</w:t>
      </w:r>
      <w:r w:rsidRPr="00C539D6">
        <w:rPr>
          <w:rFonts w:ascii="Times New Roman" w:eastAsia="Times New Roman" w:hAnsi="Times New Roman"/>
          <w:b/>
          <w:sz w:val="24"/>
          <w:szCs w:val="24"/>
          <w:lang w:val="en-US" w:eastAsia="ru-RU"/>
        </w:rPr>
        <w:t xml:space="preserve">. </w:t>
      </w:r>
      <w:r>
        <w:rPr>
          <w:rFonts w:ascii="Times New Roman" w:eastAsia="Times New Roman" w:hAnsi="Times New Roman"/>
          <w:b/>
          <w:sz w:val="24"/>
          <w:szCs w:val="24"/>
          <w:lang w:val="en-US" w:eastAsia="ru-RU"/>
        </w:rPr>
        <w:t>Titova, T.V. Ershova</w:t>
      </w:r>
    </w:p>
    <w:p w14:paraId="34A23068" w14:textId="77777777" w:rsidR="00D201A5" w:rsidRPr="00C539D6" w:rsidRDefault="00D201A5" w:rsidP="00D201A5">
      <w:pPr>
        <w:suppressAutoHyphens/>
        <w:spacing w:after="0" w:line="240" w:lineRule="auto"/>
        <w:rPr>
          <w:rFonts w:ascii="Times New Roman" w:eastAsia="Times New Roman" w:hAnsi="Times New Roman"/>
          <w:sz w:val="24"/>
          <w:szCs w:val="24"/>
          <w:lang w:val="en-US" w:eastAsia="ru-RU"/>
        </w:rPr>
      </w:pPr>
    </w:p>
    <w:p w14:paraId="4D27E6BD" w14:textId="3A9F6BC1" w:rsidR="00D201A5" w:rsidRPr="00862BB0" w:rsidRDefault="00D201A5" w:rsidP="00D201A5">
      <w:pPr>
        <w:suppressAutoHyphens/>
        <w:spacing w:after="0" w:line="240" w:lineRule="auto"/>
        <w:rPr>
          <w:rFonts w:ascii="Times New Roman" w:eastAsia="Times New Roman" w:hAnsi="Times New Roman"/>
          <w:bCs/>
          <w:sz w:val="24"/>
          <w:szCs w:val="24"/>
          <w:lang w:eastAsia="ru-RU"/>
        </w:rPr>
      </w:pPr>
      <w:r w:rsidRPr="00C539D6">
        <w:rPr>
          <w:rFonts w:ascii="Times New Roman" w:eastAsia="Times New Roman" w:hAnsi="Times New Roman"/>
          <w:bCs/>
          <w:sz w:val="24"/>
          <w:szCs w:val="24"/>
          <w:lang w:eastAsia="ru-RU"/>
        </w:rPr>
        <w:t xml:space="preserve">1. </w:t>
      </w:r>
      <w:r>
        <w:rPr>
          <w:rFonts w:ascii="Times New Roman" w:eastAsia="Times New Roman" w:hAnsi="Times New Roman"/>
          <w:bCs/>
          <w:sz w:val="24"/>
          <w:szCs w:val="24"/>
          <w:lang w:eastAsia="ru-RU"/>
        </w:rPr>
        <w:t>Владивостокский</w:t>
      </w:r>
      <w:r w:rsidRPr="00862BB0">
        <w:rPr>
          <w:rFonts w:ascii="Times New Roman" w:eastAsia="Times New Roman" w:hAnsi="Times New Roman"/>
          <w:bCs/>
          <w:sz w:val="24"/>
          <w:szCs w:val="24"/>
          <w:lang w:eastAsia="ru-RU"/>
        </w:rPr>
        <w:t xml:space="preserve"> государственный университет, </w:t>
      </w:r>
    </w:p>
    <w:p w14:paraId="0ECBBC27" w14:textId="0D8F30EF" w:rsidR="00D201A5" w:rsidRPr="00C222C1" w:rsidRDefault="00D201A5" w:rsidP="00D201A5">
      <w:pPr>
        <w:suppressAutoHyphens/>
        <w:spacing w:after="0" w:line="240" w:lineRule="auto"/>
        <w:rPr>
          <w:rFonts w:ascii="Times New Roman" w:eastAsia="Times New Roman" w:hAnsi="Times New Roman"/>
          <w:bCs/>
          <w:sz w:val="24"/>
          <w:szCs w:val="24"/>
          <w:lang w:val="en-US" w:eastAsia="ru-RU"/>
        </w:rPr>
      </w:pPr>
      <w:r w:rsidRPr="00862BB0">
        <w:rPr>
          <w:rFonts w:ascii="Times New Roman" w:eastAsia="Times New Roman" w:hAnsi="Times New Roman"/>
          <w:bCs/>
          <w:sz w:val="24"/>
          <w:szCs w:val="24"/>
          <w:lang w:eastAsia="ru-RU"/>
        </w:rPr>
        <w:t xml:space="preserve">Россия, </w:t>
      </w:r>
      <w:r>
        <w:rPr>
          <w:rFonts w:ascii="Times New Roman" w:eastAsia="Times New Roman" w:hAnsi="Times New Roman"/>
          <w:bCs/>
          <w:sz w:val="24"/>
          <w:szCs w:val="24"/>
          <w:lang w:eastAsia="ru-RU"/>
        </w:rPr>
        <w:t>690014</w:t>
      </w:r>
      <w:r w:rsidRPr="00862BB0">
        <w:rPr>
          <w:rFonts w:ascii="Times New Roman" w:eastAsia="Times New Roman" w:hAnsi="Times New Roman"/>
          <w:bCs/>
          <w:sz w:val="24"/>
          <w:szCs w:val="24"/>
          <w:lang w:eastAsia="ru-RU"/>
        </w:rPr>
        <w:t xml:space="preserve">, г. </w:t>
      </w:r>
      <w:r>
        <w:rPr>
          <w:rFonts w:ascii="Times New Roman" w:eastAsia="Times New Roman" w:hAnsi="Times New Roman"/>
          <w:bCs/>
          <w:sz w:val="24"/>
          <w:szCs w:val="24"/>
          <w:lang w:eastAsia="ru-RU"/>
        </w:rPr>
        <w:t>Владивосток</w:t>
      </w:r>
      <w:r w:rsidRPr="00862BB0">
        <w:rPr>
          <w:rFonts w:ascii="Times New Roman" w:eastAsia="Times New Roman" w:hAnsi="Times New Roman"/>
          <w:bCs/>
          <w:sz w:val="24"/>
          <w:szCs w:val="24"/>
          <w:lang w:eastAsia="ru-RU"/>
        </w:rPr>
        <w:t xml:space="preserve">, ул. </w:t>
      </w:r>
      <w:r>
        <w:rPr>
          <w:rFonts w:ascii="Times New Roman" w:eastAsia="Times New Roman" w:hAnsi="Times New Roman"/>
          <w:bCs/>
          <w:sz w:val="24"/>
          <w:szCs w:val="24"/>
          <w:lang w:eastAsia="ru-RU"/>
        </w:rPr>
        <w:t>Гоголя</w:t>
      </w:r>
      <w:r w:rsidRPr="00D201A5">
        <w:rPr>
          <w:rFonts w:ascii="Times New Roman" w:eastAsia="Times New Roman" w:hAnsi="Times New Roman"/>
          <w:bCs/>
          <w:sz w:val="24"/>
          <w:szCs w:val="24"/>
          <w:lang w:val="en-US" w:eastAsia="ru-RU"/>
        </w:rPr>
        <w:t xml:space="preserve">, 41, </w:t>
      </w:r>
      <w:r>
        <w:rPr>
          <w:rFonts w:ascii="Times New Roman" w:eastAsia="Times New Roman" w:hAnsi="Times New Roman"/>
          <w:bCs/>
          <w:sz w:val="24"/>
          <w:szCs w:val="24"/>
          <w:lang w:val="en-US" w:eastAsia="ru-RU"/>
        </w:rPr>
        <w:t>email</w:t>
      </w:r>
      <w:r w:rsidRPr="00D201A5">
        <w:rPr>
          <w:rFonts w:ascii="Times New Roman" w:eastAsia="Times New Roman" w:hAnsi="Times New Roman"/>
          <w:bCs/>
          <w:sz w:val="24"/>
          <w:szCs w:val="24"/>
          <w:lang w:val="en-US" w:eastAsia="ru-RU"/>
        </w:rPr>
        <w:t xml:space="preserve">: </w:t>
      </w:r>
      <w:r w:rsidR="00C222C1" w:rsidRPr="00C222C1">
        <w:rPr>
          <w:rFonts w:ascii="Times New Roman" w:eastAsia="Times New Roman" w:hAnsi="Times New Roman"/>
          <w:bCs/>
          <w:sz w:val="24"/>
          <w:szCs w:val="24"/>
          <w:lang w:val="en-US" w:eastAsia="ru-RU"/>
        </w:rPr>
        <w:t>titova_2010@mail.ru; Tatyana.Ershova@vvsu.ru</w:t>
      </w:r>
    </w:p>
    <w:p w14:paraId="38FDCF54" w14:textId="77777777" w:rsidR="00D201A5" w:rsidRPr="00D201A5" w:rsidRDefault="00D201A5" w:rsidP="00D201A5">
      <w:pPr>
        <w:suppressAutoHyphens/>
        <w:spacing w:after="0" w:line="240" w:lineRule="auto"/>
        <w:rPr>
          <w:rFonts w:ascii="Times New Roman" w:eastAsia="Times New Roman" w:hAnsi="Times New Roman"/>
          <w:bCs/>
          <w:sz w:val="24"/>
          <w:szCs w:val="24"/>
          <w:lang w:val="en-US" w:eastAsia="ru-RU"/>
        </w:rPr>
      </w:pPr>
    </w:p>
    <w:p w14:paraId="7C0794F7" w14:textId="0285170F" w:rsidR="00D201A5" w:rsidRPr="007C18E4" w:rsidRDefault="00D201A5" w:rsidP="00D201A5">
      <w:pPr>
        <w:suppressAutoHyphens/>
        <w:spacing w:after="0" w:line="240" w:lineRule="auto"/>
        <w:rPr>
          <w:rFonts w:ascii="Times New Roman" w:eastAsia="Times New Roman" w:hAnsi="Times New Roman"/>
          <w:bCs/>
          <w:sz w:val="24"/>
          <w:szCs w:val="24"/>
          <w:lang w:val="en-US" w:eastAsia="ru-RU"/>
        </w:rPr>
      </w:pPr>
      <w:r w:rsidRPr="00D201A5">
        <w:rPr>
          <w:rFonts w:ascii="Times New Roman" w:eastAsia="Times New Roman" w:hAnsi="Times New Roman"/>
          <w:sz w:val="24"/>
          <w:szCs w:val="24"/>
          <w:lang w:val="en-US" w:eastAsia="ru-RU"/>
        </w:rPr>
        <w:t>Vladivostok State University</w:t>
      </w:r>
      <w:r w:rsidRPr="00862BB0">
        <w:rPr>
          <w:rFonts w:ascii="Times New Roman" w:eastAsia="Times New Roman" w:hAnsi="Times New Roman"/>
          <w:sz w:val="24"/>
          <w:szCs w:val="24"/>
          <w:lang w:val="en-US" w:eastAsia="ru-RU"/>
        </w:rPr>
        <w:t xml:space="preserve">, </w:t>
      </w:r>
      <w:r>
        <w:rPr>
          <w:rFonts w:ascii="Times New Roman" w:eastAsia="Times New Roman" w:hAnsi="Times New Roman"/>
          <w:sz w:val="24"/>
          <w:szCs w:val="24"/>
          <w:lang w:val="en-US" w:eastAsia="ru-RU"/>
        </w:rPr>
        <w:t>41</w:t>
      </w:r>
      <w:r w:rsidRPr="00862BB0">
        <w:rPr>
          <w:rFonts w:ascii="Times New Roman" w:eastAsia="Times New Roman" w:hAnsi="Times New Roman"/>
          <w:sz w:val="24"/>
          <w:szCs w:val="24"/>
          <w:lang w:val="en-US" w:eastAsia="ru-RU"/>
        </w:rPr>
        <w:t xml:space="preserve"> </w:t>
      </w:r>
      <w:r>
        <w:rPr>
          <w:rFonts w:ascii="Times New Roman" w:eastAsia="Times New Roman" w:hAnsi="Times New Roman"/>
          <w:sz w:val="24"/>
          <w:szCs w:val="24"/>
          <w:lang w:val="en-US" w:eastAsia="ru-RU"/>
        </w:rPr>
        <w:t>Gogolya</w:t>
      </w:r>
      <w:r w:rsidRPr="00862BB0">
        <w:rPr>
          <w:rFonts w:ascii="Times New Roman" w:eastAsia="Times New Roman" w:hAnsi="Times New Roman"/>
          <w:sz w:val="24"/>
          <w:szCs w:val="24"/>
          <w:lang w:val="en-US" w:eastAsia="ru-RU"/>
        </w:rPr>
        <w:t xml:space="preserve"> St, </w:t>
      </w:r>
      <w:r>
        <w:rPr>
          <w:rFonts w:ascii="Times New Roman" w:eastAsia="Times New Roman" w:hAnsi="Times New Roman"/>
          <w:sz w:val="24"/>
          <w:szCs w:val="24"/>
          <w:lang w:val="en-US" w:eastAsia="ru-RU"/>
        </w:rPr>
        <w:t>Vladivostok</w:t>
      </w:r>
      <w:r w:rsidRPr="00862BB0">
        <w:rPr>
          <w:rFonts w:ascii="Times New Roman" w:eastAsia="Times New Roman" w:hAnsi="Times New Roman"/>
          <w:sz w:val="24"/>
          <w:szCs w:val="24"/>
          <w:lang w:val="en-US" w:eastAsia="ru-RU"/>
        </w:rPr>
        <w:t xml:space="preserve">, </w:t>
      </w:r>
      <w:r>
        <w:rPr>
          <w:rFonts w:ascii="Times New Roman" w:eastAsia="Times New Roman" w:hAnsi="Times New Roman"/>
          <w:sz w:val="24"/>
          <w:szCs w:val="24"/>
          <w:lang w:val="en-US" w:eastAsia="ru-RU"/>
        </w:rPr>
        <w:t>690014</w:t>
      </w:r>
      <w:r w:rsidRPr="00862BB0">
        <w:rPr>
          <w:rFonts w:ascii="Times New Roman" w:eastAsia="Times New Roman" w:hAnsi="Times New Roman"/>
          <w:sz w:val="24"/>
          <w:szCs w:val="24"/>
          <w:lang w:val="en-US" w:eastAsia="ru-RU"/>
        </w:rPr>
        <w:t>, Russia</w:t>
      </w:r>
      <w:r>
        <w:rPr>
          <w:rFonts w:ascii="Times New Roman" w:eastAsia="Times New Roman" w:hAnsi="Times New Roman"/>
          <w:sz w:val="24"/>
          <w:szCs w:val="24"/>
          <w:lang w:val="en-US" w:eastAsia="ru-RU"/>
        </w:rPr>
        <w:t xml:space="preserve">, </w:t>
      </w:r>
      <w:r>
        <w:rPr>
          <w:rFonts w:ascii="Times New Roman" w:eastAsia="Times New Roman" w:hAnsi="Times New Roman"/>
          <w:bCs/>
          <w:sz w:val="24"/>
          <w:szCs w:val="24"/>
          <w:lang w:val="en-US" w:eastAsia="ru-RU"/>
        </w:rPr>
        <w:t>email: titova_2010</w:t>
      </w:r>
      <w:r w:rsidRPr="00D201A5">
        <w:rPr>
          <w:rFonts w:ascii="Times New Roman" w:eastAsia="Times New Roman" w:hAnsi="Times New Roman"/>
          <w:bCs/>
          <w:sz w:val="24"/>
          <w:szCs w:val="24"/>
          <w:lang w:val="en-US" w:eastAsia="ru-RU"/>
        </w:rPr>
        <w:t>@</w:t>
      </w:r>
      <w:r>
        <w:rPr>
          <w:rFonts w:ascii="Times New Roman" w:eastAsia="Times New Roman" w:hAnsi="Times New Roman"/>
          <w:bCs/>
          <w:sz w:val="24"/>
          <w:szCs w:val="24"/>
          <w:lang w:val="en-US" w:eastAsia="ru-RU"/>
        </w:rPr>
        <w:t>mail</w:t>
      </w:r>
      <w:r w:rsidRPr="00D201A5">
        <w:rPr>
          <w:rFonts w:ascii="Times New Roman" w:eastAsia="Times New Roman" w:hAnsi="Times New Roman"/>
          <w:bCs/>
          <w:sz w:val="24"/>
          <w:szCs w:val="24"/>
          <w:lang w:val="en-US" w:eastAsia="ru-RU"/>
        </w:rPr>
        <w:t>.</w:t>
      </w:r>
      <w:r>
        <w:rPr>
          <w:rFonts w:ascii="Times New Roman" w:eastAsia="Times New Roman" w:hAnsi="Times New Roman"/>
          <w:bCs/>
          <w:sz w:val="24"/>
          <w:szCs w:val="24"/>
          <w:lang w:val="en-US" w:eastAsia="ru-RU"/>
        </w:rPr>
        <w:t>ru</w:t>
      </w:r>
      <w:r w:rsidR="00C222C1" w:rsidRPr="00C222C1">
        <w:rPr>
          <w:rFonts w:ascii="Times New Roman" w:eastAsia="Times New Roman" w:hAnsi="Times New Roman"/>
          <w:bCs/>
          <w:sz w:val="24"/>
          <w:szCs w:val="24"/>
          <w:lang w:val="en-US" w:eastAsia="ru-RU"/>
        </w:rPr>
        <w:t xml:space="preserve">; </w:t>
      </w:r>
      <w:hyperlink r:id="rId8" w:history="1">
        <w:r w:rsidR="007C18E4" w:rsidRPr="009173DA">
          <w:rPr>
            <w:rStyle w:val="a9"/>
            <w:rFonts w:ascii="Times New Roman" w:eastAsia="Times New Roman" w:hAnsi="Times New Roman"/>
            <w:bCs/>
            <w:sz w:val="24"/>
            <w:szCs w:val="24"/>
            <w:lang w:val="en-US" w:eastAsia="ru-RU"/>
          </w:rPr>
          <w:t>Tatyana.Ershova@vvsu.ru</w:t>
        </w:r>
      </w:hyperlink>
    </w:p>
    <w:p w14:paraId="1E78C3C9" w14:textId="77777777" w:rsidR="007C18E4" w:rsidRPr="00862BB0" w:rsidRDefault="007C18E4" w:rsidP="007C18E4">
      <w:pPr>
        <w:shd w:val="clear" w:color="auto" w:fill="FFFFFF"/>
        <w:suppressAutoHyphens/>
        <w:spacing w:after="0" w:line="240" w:lineRule="auto"/>
        <w:jc w:val="both"/>
        <w:rPr>
          <w:rFonts w:ascii="Times New Roman" w:eastAsia="Times New Roman" w:hAnsi="Times New Roman"/>
          <w:b/>
          <w:sz w:val="24"/>
          <w:szCs w:val="24"/>
          <w:lang w:eastAsia="ru-RU"/>
        </w:rPr>
      </w:pPr>
      <w:r w:rsidRPr="00862BB0">
        <w:rPr>
          <w:rFonts w:ascii="Times New Roman" w:eastAsia="Times New Roman" w:hAnsi="Times New Roman"/>
          <w:b/>
          <w:sz w:val="24"/>
          <w:szCs w:val="24"/>
          <w:lang w:eastAsia="ru-RU"/>
        </w:rPr>
        <w:t>Аннотация</w:t>
      </w:r>
    </w:p>
    <w:p w14:paraId="11BEEEDE" w14:textId="25DB86DA" w:rsidR="008748D9" w:rsidRDefault="007C18E4" w:rsidP="007C18E4">
      <w:pPr>
        <w:shd w:val="clear" w:color="auto" w:fill="FFFFFF"/>
        <w:suppressAutoHyphen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Статья посвящена анализу приоритетов </w:t>
      </w:r>
      <w:r w:rsidRPr="007C18E4">
        <w:rPr>
          <w:rFonts w:ascii="Times New Roman" w:eastAsia="Times New Roman" w:hAnsi="Times New Roman"/>
          <w:sz w:val="24"/>
          <w:szCs w:val="24"/>
          <w:lang w:eastAsia="ru-RU"/>
        </w:rPr>
        <w:t>корпоративной социальной ответственности российского финансового сектора в системе управления устойчивым развитием</w:t>
      </w:r>
      <w:r w:rsidR="0051310C">
        <w:rPr>
          <w:rFonts w:ascii="Times New Roman" w:eastAsia="Times New Roman" w:hAnsi="Times New Roman"/>
          <w:sz w:val="24"/>
          <w:szCs w:val="24"/>
          <w:lang w:eastAsia="ru-RU"/>
        </w:rPr>
        <w:t xml:space="preserve">. В результате определены организации финансового сектора, которые публикуют отчеты в области устойчивого развития. Содержание отчетов об устойчивом развитии изучено методом контент-анализа на предмет определения целей устойчивого развития, выделяемых организациями в качестве приоритетных. </w:t>
      </w:r>
      <w:r w:rsidR="008748D9">
        <w:rPr>
          <w:rFonts w:ascii="Times New Roman" w:eastAsia="Times New Roman" w:hAnsi="Times New Roman"/>
          <w:sz w:val="24"/>
          <w:szCs w:val="24"/>
          <w:lang w:eastAsia="ru-RU"/>
        </w:rPr>
        <w:t xml:space="preserve">Рассмотрен вклад организаций финансового сектора в достижение целей устойчивого развития. Сделаны выводы о направлениях реализации корпоративной социальной ответственности </w:t>
      </w:r>
      <w:r w:rsidR="00B82DD7">
        <w:rPr>
          <w:rFonts w:ascii="Times New Roman" w:eastAsia="Times New Roman" w:hAnsi="Times New Roman"/>
          <w:sz w:val="24"/>
          <w:szCs w:val="24"/>
          <w:lang w:eastAsia="ru-RU"/>
        </w:rPr>
        <w:t xml:space="preserve">в системе управления устойчивым развитием. </w:t>
      </w:r>
    </w:p>
    <w:p w14:paraId="7D5E6C20" w14:textId="77777777" w:rsidR="00035427" w:rsidRDefault="00035427" w:rsidP="00035427">
      <w:pPr>
        <w:shd w:val="clear" w:color="auto" w:fill="FFFFFF"/>
        <w:suppressAutoHyphens/>
        <w:spacing w:after="0" w:line="240" w:lineRule="auto"/>
        <w:jc w:val="both"/>
        <w:rPr>
          <w:rFonts w:ascii="Times New Roman" w:eastAsia="Times New Roman" w:hAnsi="Times New Roman"/>
          <w:b/>
          <w:color w:val="000000"/>
          <w:spacing w:val="-4"/>
          <w:sz w:val="24"/>
          <w:szCs w:val="24"/>
          <w:lang w:eastAsia="ru-RU"/>
        </w:rPr>
      </w:pPr>
    </w:p>
    <w:p w14:paraId="6B02CDA0" w14:textId="49A295EC" w:rsidR="00035427" w:rsidRPr="00862BB0" w:rsidRDefault="00035427" w:rsidP="00035427">
      <w:pPr>
        <w:shd w:val="clear" w:color="auto" w:fill="FFFFFF"/>
        <w:suppressAutoHyphens/>
        <w:spacing w:after="0" w:line="240" w:lineRule="auto"/>
        <w:jc w:val="both"/>
        <w:rPr>
          <w:rFonts w:ascii="Times New Roman" w:eastAsia="Times New Roman" w:hAnsi="Times New Roman"/>
          <w:b/>
          <w:color w:val="000000"/>
          <w:spacing w:val="-4"/>
          <w:sz w:val="24"/>
          <w:szCs w:val="24"/>
          <w:lang w:val="en-US" w:eastAsia="ru-RU"/>
        </w:rPr>
      </w:pPr>
      <w:r w:rsidRPr="00862BB0">
        <w:rPr>
          <w:rFonts w:ascii="Times New Roman" w:eastAsia="Times New Roman" w:hAnsi="Times New Roman"/>
          <w:b/>
          <w:color w:val="000000"/>
          <w:spacing w:val="-4"/>
          <w:sz w:val="24"/>
          <w:szCs w:val="24"/>
          <w:lang w:val="en-US" w:eastAsia="ru-RU"/>
        </w:rPr>
        <w:t>Abstract</w:t>
      </w:r>
    </w:p>
    <w:p w14:paraId="5C991D2B" w14:textId="65E99893" w:rsidR="00B82DD7" w:rsidRPr="00035427" w:rsidRDefault="00B82DD7" w:rsidP="00B82DD7">
      <w:pPr>
        <w:shd w:val="clear" w:color="auto" w:fill="FFFFFF"/>
        <w:suppressAutoHyphens/>
        <w:spacing w:after="0" w:line="240" w:lineRule="auto"/>
        <w:jc w:val="both"/>
        <w:rPr>
          <w:rFonts w:ascii="Times New Roman" w:eastAsia="Times New Roman" w:hAnsi="Times New Roman"/>
          <w:sz w:val="24"/>
          <w:szCs w:val="24"/>
          <w:lang w:val="en-US" w:eastAsia="ru-RU"/>
        </w:rPr>
      </w:pPr>
      <w:r w:rsidRPr="00035427">
        <w:rPr>
          <w:rFonts w:ascii="Times New Roman" w:eastAsia="Times New Roman" w:hAnsi="Times New Roman"/>
          <w:sz w:val="24"/>
          <w:szCs w:val="24"/>
          <w:lang w:val="en-US" w:eastAsia="ru-RU"/>
        </w:rPr>
        <w:t>The article is devoted to the analysis of corporate social responsibility priorities of the Russian financial sector in the system of sustainable management.</w:t>
      </w:r>
      <w:r w:rsidR="00035427" w:rsidRPr="00035427">
        <w:rPr>
          <w:rFonts w:ascii="Times New Roman" w:eastAsia="Times New Roman" w:hAnsi="Times New Roman"/>
          <w:sz w:val="24"/>
          <w:szCs w:val="24"/>
          <w:lang w:val="en-US" w:eastAsia="ru-RU"/>
        </w:rPr>
        <w:t xml:space="preserve"> </w:t>
      </w:r>
      <w:r w:rsidRPr="00035427">
        <w:rPr>
          <w:rFonts w:ascii="Times New Roman" w:eastAsia="Times New Roman" w:hAnsi="Times New Roman"/>
          <w:sz w:val="24"/>
          <w:szCs w:val="24"/>
          <w:lang w:val="en-US" w:eastAsia="ru-RU"/>
        </w:rPr>
        <w:t>The article analyzes the priorities of corporate social responsibility of the Russian financial sector in the sustainable development management system.</w:t>
      </w:r>
      <w:r w:rsidR="00035427" w:rsidRPr="00035427">
        <w:rPr>
          <w:rFonts w:ascii="Times New Roman" w:eastAsia="Times New Roman" w:hAnsi="Times New Roman"/>
          <w:sz w:val="24"/>
          <w:szCs w:val="24"/>
          <w:lang w:val="en-US" w:eastAsia="ru-RU"/>
        </w:rPr>
        <w:t xml:space="preserve"> </w:t>
      </w:r>
      <w:r w:rsidRPr="00035427">
        <w:rPr>
          <w:rFonts w:ascii="Times New Roman" w:eastAsia="Times New Roman" w:hAnsi="Times New Roman"/>
          <w:sz w:val="24"/>
          <w:szCs w:val="24"/>
          <w:lang w:val="en-US" w:eastAsia="ru-RU"/>
        </w:rPr>
        <w:t>development. As a result, the organizations of the financial sector that</w:t>
      </w:r>
      <w:r w:rsidR="00035427" w:rsidRPr="00035427">
        <w:rPr>
          <w:rFonts w:ascii="Times New Roman" w:eastAsia="Times New Roman" w:hAnsi="Times New Roman"/>
          <w:sz w:val="24"/>
          <w:szCs w:val="24"/>
          <w:lang w:val="en-US" w:eastAsia="ru-RU"/>
        </w:rPr>
        <w:t xml:space="preserve"> </w:t>
      </w:r>
      <w:r w:rsidRPr="00035427">
        <w:rPr>
          <w:rFonts w:ascii="Times New Roman" w:eastAsia="Times New Roman" w:hAnsi="Times New Roman"/>
          <w:sz w:val="24"/>
          <w:szCs w:val="24"/>
          <w:lang w:val="en-US" w:eastAsia="ru-RU"/>
        </w:rPr>
        <w:t>organizations of the financial sector that publish sustainability reports. The content of sustainability reports was analyzed by the content analysis method to identify the sustainable development goals highlighted by the organizations as priorities. Consideration was given to</w:t>
      </w:r>
      <w:r w:rsidR="00035427" w:rsidRPr="00035427">
        <w:rPr>
          <w:rFonts w:ascii="Times New Roman" w:eastAsia="Times New Roman" w:hAnsi="Times New Roman"/>
          <w:sz w:val="24"/>
          <w:szCs w:val="24"/>
          <w:lang w:val="en-US" w:eastAsia="ru-RU"/>
        </w:rPr>
        <w:t xml:space="preserve"> </w:t>
      </w:r>
      <w:r w:rsidRPr="00035427">
        <w:rPr>
          <w:rFonts w:ascii="Times New Roman" w:eastAsia="Times New Roman" w:hAnsi="Times New Roman"/>
          <w:sz w:val="24"/>
          <w:szCs w:val="24"/>
          <w:lang w:val="en-US" w:eastAsia="ru-RU"/>
        </w:rPr>
        <w:t>contribution of financial sector organizations to the achievement of sustainable development goals.</w:t>
      </w:r>
    </w:p>
    <w:p w14:paraId="7900D07C" w14:textId="77777777" w:rsidR="00B82DD7" w:rsidRPr="00035427" w:rsidRDefault="00B82DD7" w:rsidP="00B82DD7">
      <w:pPr>
        <w:shd w:val="clear" w:color="auto" w:fill="FFFFFF"/>
        <w:suppressAutoHyphens/>
        <w:spacing w:after="0" w:line="240" w:lineRule="auto"/>
        <w:jc w:val="both"/>
        <w:rPr>
          <w:rFonts w:ascii="Times New Roman" w:eastAsia="Times New Roman" w:hAnsi="Times New Roman"/>
          <w:sz w:val="24"/>
          <w:szCs w:val="24"/>
          <w:lang w:val="en-US" w:eastAsia="ru-RU"/>
        </w:rPr>
      </w:pPr>
      <w:r w:rsidRPr="00035427">
        <w:rPr>
          <w:rFonts w:ascii="Times New Roman" w:eastAsia="Times New Roman" w:hAnsi="Times New Roman"/>
          <w:sz w:val="24"/>
          <w:szCs w:val="24"/>
          <w:lang w:val="en-US" w:eastAsia="ru-RU"/>
        </w:rPr>
        <w:t>Conclusions are made about the directions of realization of corporate social responsibility in the sustainable development management system.</w:t>
      </w:r>
    </w:p>
    <w:p w14:paraId="71CC8F64" w14:textId="77777777" w:rsidR="00B82DD7" w:rsidRPr="00035427" w:rsidRDefault="00B82DD7" w:rsidP="00B82DD7">
      <w:pPr>
        <w:shd w:val="clear" w:color="auto" w:fill="FFFFFF"/>
        <w:suppressAutoHyphens/>
        <w:spacing w:after="0" w:line="240" w:lineRule="auto"/>
        <w:jc w:val="both"/>
        <w:rPr>
          <w:rFonts w:ascii="Times New Roman" w:eastAsia="Times New Roman" w:hAnsi="Times New Roman"/>
          <w:sz w:val="24"/>
          <w:szCs w:val="24"/>
          <w:lang w:val="en-US" w:eastAsia="ru-RU"/>
        </w:rPr>
      </w:pPr>
    </w:p>
    <w:p w14:paraId="44188191" w14:textId="36FA5DE6" w:rsidR="00035427" w:rsidRPr="00862BB0" w:rsidRDefault="00035427" w:rsidP="00035427">
      <w:pPr>
        <w:suppressAutoHyphens/>
        <w:spacing w:after="0" w:line="240" w:lineRule="auto"/>
        <w:jc w:val="both"/>
        <w:rPr>
          <w:rFonts w:ascii="Times New Roman" w:eastAsia="Times New Roman" w:hAnsi="Times New Roman"/>
          <w:sz w:val="24"/>
          <w:szCs w:val="24"/>
          <w:lang w:eastAsia="ru-RU"/>
        </w:rPr>
      </w:pPr>
      <w:r w:rsidRPr="00862BB0">
        <w:rPr>
          <w:rFonts w:ascii="Times New Roman" w:eastAsia="Times New Roman" w:hAnsi="Times New Roman"/>
          <w:b/>
          <w:sz w:val="24"/>
          <w:szCs w:val="24"/>
          <w:lang w:eastAsia="ru-RU"/>
        </w:rPr>
        <w:t>Ключевые слова</w:t>
      </w:r>
      <w:r w:rsidRPr="00862BB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корпоративная социальная ответственность</w:t>
      </w:r>
      <w:r w:rsidRPr="00862BB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цели устойчивого развития</w:t>
      </w:r>
      <w:r w:rsidRPr="00862BB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система управления устойчивым развитием</w:t>
      </w:r>
      <w:r w:rsidRPr="00862BB0">
        <w:rPr>
          <w:rFonts w:ascii="Times New Roman" w:eastAsia="Times New Roman" w:hAnsi="Times New Roman"/>
          <w:sz w:val="24"/>
          <w:szCs w:val="24"/>
          <w:lang w:eastAsia="ru-RU"/>
        </w:rPr>
        <w:t>.</w:t>
      </w:r>
    </w:p>
    <w:p w14:paraId="7B2F6AB1" w14:textId="48BE5A7F" w:rsidR="00035427" w:rsidRPr="00035427" w:rsidRDefault="00035427" w:rsidP="00035427">
      <w:pPr>
        <w:shd w:val="clear" w:color="auto" w:fill="FFFFFF"/>
        <w:suppressAutoHyphens/>
        <w:spacing w:after="0" w:line="240" w:lineRule="auto"/>
        <w:jc w:val="both"/>
        <w:rPr>
          <w:rFonts w:ascii="Times New Roman" w:eastAsia="Times New Roman" w:hAnsi="Times New Roman"/>
          <w:sz w:val="24"/>
          <w:szCs w:val="24"/>
          <w:lang w:val="en-US" w:eastAsia="ru-RU"/>
        </w:rPr>
      </w:pPr>
      <w:r w:rsidRPr="00862BB0">
        <w:rPr>
          <w:rFonts w:ascii="Times New Roman" w:eastAsia="Times New Roman" w:hAnsi="Times New Roman"/>
          <w:b/>
          <w:sz w:val="24"/>
          <w:szCs w:val="24"/>
          <w:lang w:val="en" w:eastAsia="ru-RU"/>
        </w:rPr>
        <w:t>Keywords</w:t>
      </w:r>
      <w:r w:rsidRPr="00862BB0">
        <w:rPr>
          <w:rFonts w:ascii="Times New Roman" w:eastAsia="Times New Roman" w:hAnsi="Times New Roman"/>
          <w:sz w:val="24"/>
          <w:szCs w:val="24"/>
          <w:lang w:val="en" w:eastAsia="ru-RU"/>
        </w:rPr>
        <w:t xml:space="preserve">: </w:t>
      </w:r>
      <w:r w:rsidRPr="00035427">
        <w:rPr>
          <w:rFonts w:ascii="Times New Roman" w:eastAsia="Times New Roman" w:hAnsi="Times New Roman"/>
          <w:sz w:val="24"/>
          <w:szCs w:val="24"/>
          <w:lang w:val="en-US" w:eastAsia="ru-RU"/>
        </w:rPr>
        <w:t>corporate social responsibility, sustainable development goals, sustainable development management system</w:t>
      </w:r>
      <w:r w:rsidRPr="00862BB0">
        <w:rPr>
          <w:rFonts w:ascii="Times New Roman" w:eastAsia="Times New Roman" w:hAnsi="Times New Roman"/>
          <w:sz w:val="24"/>
          <w:szCs w:val="24"/>
          <w:lang w:val="en-US" w:eastAsia="ru-RU"/>
        </w:rPr>
        <w:t>.</w:t>
      </w:r>
    </w:p>
    <w:p w14:paraId="66FF9770" w14:textId="77777777" w:rsidR="00D201A5" w:rsidRPr="00035427" w:rsidRDefault="00D201A5" w:rsidP="00D201A5">
      <w:pPr>
        <w:suppressAutoHyphens/>
        <w:spacing w:after="0" w:line="240" w:lineRule="auto"/>
        <w:rPr>
          <w:rFonts w:eastAsia="Times New Roman" w:cs="Times New Roman"/>
          <w:b/>
          <w:caps/>
          <w:color w:val="000000"/>
          <w:sz w:val="24"/>
          <w:szCs w:val="24"/>
          <w:lang w:val="en-US" w:eastAsia="ru-RU"/>
        </w:rPr>
      </w:pPr>
    </w:p>
    <w:p w14:paraId="33BEB19A" w14:textId="35B0285A" w:rsidR="00D201A5" w:rsidRPr="009204D9" w:rsidRDefault="00D201A5" w:rsidP="00CA3487">
      <w:pPr>
        <w:pStyle w:val="a7"/>
        <w:spacing w:line="240" w:lineRule="auto"/>
      </w:pPr>
      <w:r>
        <w:rPr>
          <w:b/>
        </w:rPr>
        <w:t>Введение</w:t>
      </w:r>
    </w:p>
    <w:p w14:paraId="49748F87" w14:textId="28334842" w:rsidR="00A07AFB" w:rsidRDefault="00A07AFB" w:rsidP="00CA3487">
      <w:pPr>
        <w:pStyle w:val="a7"/>
        <w:spacing w:line="240" w:lineRule="auto"/>
      </w:pPr>
      <w:r>
        <w:t xml:space="preserve">Основная идея концепции устойчивого развития заключается в том, </w:t>
      </w:r>
      <w:r w:rsidR="002B6857" w:rsidRPr="002B6857">
        <w:t>чтобы все ресурсы, имеющиеся сегодня, не использовались для лишения будущих поколений экономических, экологических и социальных благ [</w:t>
      </w:r>
      <w:r w:rsidR="003F676B">
        <w:t>1</w:t>
      </w:r>
      <w:r w:rsidR="002B6857" w:rsidRPr="002B6857">
        <w:t xml:space="preserve">]. </w:t>
      </w:r>
      <w:r>
        <w:t xml:space="preserve">В настоящее время данная концепция представляет собой систему из взаимосвязанных 17 целей устойчивого развития (ЦУР), утвержденных ООН на глобальном уровне, и посвященных широкому спектру </w:t>
      </w:r>
      <w:r>
        <w:lastRenderedPageBreak/>
        <w:t xml:space="preserve">проблем человечества, </w:t>
      </w:r>
      <w:r w:rsidR="00D00BA6">
        <w:t>таки</w:t>
      </w:r>
      <w:r w:rsidR="003F676B">
        <w:t>м</w:t>
      </w:r>
      <w:r w:rsidR="00D00BA6">
        <w:t xml:space="preserve"> как</w:t>
      </w:r>
      <w:r>
        <w:t xml:space="preserve"> необходимост</w:t>
      </w:r>
      <w:r w:rsidR="00D00BA6">
        <w:t>ь</w:t>
      </w:r>
      <w:r>
        <w:t xml:space="preserve"> ликвидации нищеты и голода, улучшения состояния окружающей среды, минимизации последствий климатических изменений и других. Достижение поставленных целей зависит не только от глобальной международной повестки и вклада каждой страны, но и от деятельности </w:t>
      </w:r>
      <w:r w:rsidR="009209DE">
        <w:t xml:space="preserve">компаний </w:t>
      </w:r>
      <w:r>
        <w:t xml:space="preserve">корпоративного сектора. Вклад корпоративного сектора в достижение ЦУР возможен </w:t>
      </w:r>
      <w:r w:rsidR="009209DE">
        <w:t xml:space="preserve">благодаря реализации корпоративной социальной ответственности (КСО), которая может быть направлена в том числе на решение упомянутых </w:t>
      </w:r>
      <w:r w:rsidR="00D00BA6">
        <w:t>проблем.</w:t>
      </w:r>
    </w:p>
    <w:p w14:paraId="3AB12BC2" w14:textId="3CED0C0D" w:rsidR="007A58B8" w:rsidRPr="00CA3487" w:rsidRDefault="002B6857" w:rsidP="00CA3487">
      <w:pPr>
        <w:pStyle w:val="a7"/>
        <w:spacing w:line="240" w:lineRule="auto"/>
      </w:pPr>
      <w:r w:rsidRPr="002B6857">
        <w:t>Эффективным инструментом, позволяющим публично заявить о своей ответственности за экологическое, экономическое и социальное благополучие общества, является нефинансовая отчетность</w:t>
      </w:r>
      <w:r>
        <w:t>, основной формой которой являются отчеты об устойчивом развитии</w:t>
      </w:r>
      <w:r w:rsidRPr="002B6857">
        <w:t>. К преимуществам составления отчетов об устойчивом развитии относится, с одной стороны, возможность компании укрепить уровень доверия и повысить ценность своего бренда</w:t>
      </w:r>
      <w:r w:rsidR="003F676B">
        <w:t xml:space="preserve"> </w:t>
      </w:r>
      <w:r w:rsidR="003F676B" w:rsidRPr="003F676B">
        <w:t>[2]</w:t>
      </w:r>
      <w:r w:rsidRPr="002B6857">
        <w:t>. С другой стороны, публикация нефинансовой отчетности повышает качество корпоративного управления</w:t>
      </w:r>
      <w:r w:rsidR="003F676B" w:rsidRPr="003F676B">
        <w:t xml:space="preserve"> [3]</w:t>
      </w:r>
      <w:r w:rsidRPr="002B6857">
        <w:t>; способствует реализации социальных и экологических проектов, увеличивая инвестиции в устойчивое развитие</w:t>
      </w:r>
      <w:r w:rsidR="003F676B" w:rsidRPr="003F676B">
        <w:t xml:space="preserve"> [4]</w:t>
      </w:r>
      <w:r w:rsidRPr="002B6857">
        <w:t>; позволяет оценить неэкономический вклад компании в развитие общества</w:t>
      </w:r>
      <w:r w:rsidR="003F676B" w:rsidRPr="003F676B">
        <w:t xml:space="preserve"> [5]</w:t>
      </w:r>
      <w:r w:rsidRPr="002B6857">
        <w:t>; улучшает диалог с заинтересованными сторонами, повышая благосклонность к компании</w:t>
      </w:r>
      <w:r w:rsidR="003F676B" w:rsidRPr="003F676B">
        <w:t xml:space="preserve"> [6]</w:t>
      </w:r>
      <w:r w:rsidRPr="002B6857">
        <w:t>. Также</w:t>
      </w:r>
      <w:r w:rsidRPr="003F676B">
        <w:t xml:space="preserve"> </w:t>
      </w:r>
      <w:r w:rsidRPr="002B6857">
        <w:t>проектирование</w:t>
      </w:r>
      <w:r w:rsidRPr="003F676B">
        <w:t xml:space="preserve"> </w:t>
      </w:r>
      <w:r w:rsidRPr="002B6857">
        <w:t>управленческих</w:t>
      </w:r>
      <w:r w:rsidRPr="003F676B">
        <w:t xml:space="preserve"> </w:t>
      </w:r>
      <w:r w:rsidRPr="002B6857">
        <w:t>и</w:t>
      </w:r>
      <w:r w:rsidRPr="003F676B">
        <w:t xml:space="preserve"> </w:t>
      </w:r>
      <w:r w:rsidRPr="002B6857">
        <w:t>производственных</w:t>
      </w:r>
      <w:r w:rsidRPr="003F676B">
        <w:t xml:space="preserve"> </w:t>
      </w:r>
      <w:r w:rsidRPr="002B6857">
        <w:t>процессов</w:t>
      </w:r>
      <w:r w:rsidRPr="003F676B">
        <w:t xml:space="preserve"> </w:t>
      </w:r>
      <w:r w:rsidRPr="002B6857">
        <w:t>с</w:t>
      </w:r>
      <w:r w:rsidRPr="003F676B">
        <w:t xml:space="preserve"> </w:t>
      </w:r>
      <w:r w:rsidRPr="002B6857">
        <w:t>позиции</w:t>
      </w:r>
      <w:r w:rsidRPr="003F676B">
        <w:t xml:space="preserve"> </w:t>
      </w:r>
      <w:r w:rsidRPr="002B6857">
        <w:t>устойчивого</w:t>
      </w:r>
      <w:r w:rsidRPr="003F676B">
        <w:t xml:space="preserve"> </w:t>
      </w:r>
      <w:r w:rsidRPr="002B6857">
        <w:t>развития</w:t>
      </w:r>
      <w:r w:rsidRPr="003F676B">
        <w:t xml:space="preserve"> </w:t>
      </w:r>
      <w:r w:rsidRPr="002B6857">
        <w:t>позволяет</w:t>
      </w:r>
      <w:r w:rsidRPr="003F676B">
        <w:t xml:space="preserve"> </w:t>
      </w:r>
      <w:r w:rsidRPr="002B6857">
        <w:t>повысить</w:t>
      </w:r>
      <w:r w:rsidRPr="003F676B">
        <w:t xml:space="preserve"> </w:t>
      </w:r>
      <w:r w:rsidRPr="002B6857">
        <w:t>эффективность</w:t>
      </w:r>
      <w:r w:rsidRPr="003F676B">
        <w:t xml:space="preserve"> </w:t>
      </w:r>
      <w:r w:rsidRPr="002B6857">
        <w:t>производства</w:t>
      </w:r>
      <w:r w:rsidRPr="003F676B">
        <w:t xml:space="preserve"> </w:t>
      </w:r>
      <w:r w:rsidRPr="002B6857">
        <w:t>за</w:t>
      </w:r>
      <w:r w:rsidRPr="003F676B">
        <w:t xml:space="preserve"> </w:t>
      </w:r>
      <w:r w:rsidRPr="002B6857">
        <w:t>счет</w:t>
      </w:r>
      <w:r w:rsidRPr="003F676B">
        <w:t xml:space="preserve"> </w:t>
      </w:r>
      <w:r w:rsidRPr="002B6857">
        <w:t>снижения</w:t>
      </w:r>
      <w:r w:rsidRPr="003F676B">
        <w:t xml:space="preserve"> </w:t>
      </w:r>
      <w:r w:rsidRPr="002B6857">
        <w:t>затрат</w:t>
      </w:r>
      <w:r w:rsidR="003F676B" w:rsidRPr="003F676B">
        <w:t xml:space="preserve"> [7]</w:t>
      </w:r>
      <w:r w:rsidR="003F676B" w:rsidRPr="002B6857">
        <w:t>.</w:t>
      </w:r>
      <w:r w:rsidR="003F676B" w:rsidRPr="00CA3487">
        <w:t xml:space="preserve"> С</w:t>
      </w:r>
      <w:r w:rsidR="007A58B8" w:rsidRPr="00CA3487">
        <w:t xml:space="preserve"> управленческой точки зрения, менеджерам следует ориентироваться на построение системы управления устойчивым развитием, поскольку она положительно коррелирует с корпоративными финансовыми и социальными показателями.</w:t>
      </w:r>
    </w:p>
    <w:p w14:paraId="797A4981" w14:textId="2AD04D56" w:rsidR="00EF4E7F" w:rsidRPr="00CA3487" w:rsidRDefault="00EF4E7F" w:rsidP="00CA3487">
      <w:pPr>
        <w:pStyle w:val="a7"/>
        <w:spacing w:line="240" w:lineRule="auto"/>
      </w:pPr>
      <w:r w:rsidRPr="00CA3487">
        <w:t>Анализ научной литературы позволил выявить достаточное количество исследований, которые идентифицируют прямую положительную связь между раскрытием инициатив устойчивого развития в отчетах и повышени</w:t>
      </w:r>
      <w:r w:rsidR="0014334A">
        <w:t>ем</w:t>
      </w:r>
      <w:r w:rsidRPr="00CA3487">
        <w:t xml:space="preserve"> рыночной капитализации компаний. Это обуславливается тем, что развитие инициатив в области устойчивого развития, напрямую влияет на доступ компаний к заемному финансированию, в связи с чем корпоративный сектор заинтересован в повышении качества своей отчетности, в том числе нефинансовой. </w:t>
      </w:r>
    </w:p>
    <w:p w14:paraId="1EEB1924" w14:textId="120E19DB" w:rsidR="00EF4E7F" w:rsidRDefault="00EF4E7F" w:rsidP="00CA3487">
      <w:pPr>
        <w:pStyle w:val="a7"/>
        <w:spacing w:line="240" w:lineRule="auto"/>
      </w:pPr>
      <w:r w:rsidRPr="004647A4">
        <w:t xml:space="preserve">Исследования, проведенные на примере российской экономики о взаимосвязи раскрытия отчетности в сфере устойчивого развития и </w:t>
      </w:r>
      <w:r w:rsidR="003F676B" w:rsidRPr="004647A4">
        <w:t>финансового положения компаний,</w:t>
      </w:r>
      <w:r w:rsidRPr="004647A4">
        <w:t xml:space="preserve"> также встречаются среди современных публикаций. Изучение масштабов практик устойчивого развития России, позволило определить, что компании улучшают раскрытие информации об устойчивом развитии</w:t>
      </w:r>
      <w:r>
        <w:t xml:space="preserve"> для того</w:t>
      </w:r>
      <w:r w:rsidRPr="004647A4">
        <w:t>, чтобы управлять рисками и улучшать свою финансовую стабильность [</w:t>
      </w:r>
      <w:r w:rsidR="009204D9" w:rsidRPr="009204D9">
        <w:t xml:space="preserve">1, </w:t>
      </w:r>
      <w:r w:rsidR="0014334A">
        <w:t>8</w:t>
      </w:r>
      <w:r w:rsidRPr="004647A4">
        <w:t>]. При этом, по мнению Е. Ветошкиной, наблюдается существенное влияние политических факторов в повышении капитализации и развитии мероприятий по экологизации российских компаний [</w:t>
      </w:r>
      <w:r w:rsidR="0014334A">
        <w:t>9</w:t>
      </w:r>
      <w:r w:rsidRPr="004647A4">
        <w:t>].</w:t>
      </w:r>
      <w:r w:rsidR="00A07AFB">
        <w:t xml:space="preserve"> </w:t>
      </w:r>
    </w:p>
    <w:p w14:paraId="07E1C67E" w14:textId="178BEC23" w:rsidR="00D00BA6" w:rsidRDefault="00D00BA6" w:rsidP="00DD5489">
      <w:pPr>
        <w:pStyle w:val="a7"/>
        <w:spacing w:line="240" w:lineRule="auto"/>
      </w:pPr>
      <w:r>
        <w:t>Также существуют исследования, посвященные изучению приоритетов КСО ведущих российских отечественных компаний, осуществляющих свою деятельность в строительной</w:t>
      </w:r>
      <w:r w:rsidR="0014334A">
        <w:t xml:space="preserve"> </w:t>
      </w:r>
      <w:r w:rsidR="0014334A" w:rsidRPr="0014334A">
        <w:t>[10]</w:t>
      </w:r>
      <w:r>
        <w:t>, нефтегазовой отраслях промышленности</w:t>
      </w:r>
      <w:r w:rsidR="0014334A" w:rsidRPr="0014334A">
        <w:t xml:space="preserve"> [11, 12]</w:t>
      </w:r>
      <w:r>
        <w:t>. При этом, для корпоративного сектора, осуществляющего деятельность в секторах экономики, обладающих повышенным уровнем отрицательного влияния на окружающую среду, вопрос необходимости построения системы управления устойчивым развитием и информирования общества о практиках КСО в результате публикации нефинансовой отчетности, уже давно определен</w:t>
      </w:r>
      <w:r w:rsidR="0014334A" w:rsidRPr="0014334A">
        <w:t xml:space="preserve"> [1</w:t>
      </w:r>
      <w:r w:rsidR="0014334A" w:rsidRPr="00426BE8">
        <w:t>3</w:t>
      </w:r>
      <w:r w:rsidR="0014334A" w:rsidRPr="0014334A">
        <w:t>]</w:t>
      </w:r>
      <w:r>
        <w:t>. Кроме того, такое раскрытие информации в большинстве случаев оказывает положительное влияние на финансовое положение компании и способствует улучшению доступа к заемному финансированию</w:t>
      </w:r>
      <w:r w:rsidR="0014334A" w:rsidRPr="0014334A">
        <w:t xml:space="preserve"> </w:t>
      </w:r>
      <w:r w:rsidR="0014334A" w:rsidRPr="009204D9">
        <w:t>[1</w:t>
      </w:r>
      <w:r w:rsidR="00426BE8" w:rsidRPr="009204D9">
        <w:t>4, 15</w:t>
      </w:r>
      <w:r w:rsidR="0014334A" w:rsidRPr="009204D9">
        <w:t>]</w:t>
      </w:r>
      <w:r>
        <w:t xml:space="preserve">. В то же время, вопрос о необходимости аналогичной практики среди организаций, предоставляющих данное финансирование, изучен недостаточно. </w:t>
      </w:r>
    </w:p>
    <w:p w14:paraId="44E157A5" w14:textId="13EC3707" w:rsidR="00D201A5" w:rsidRDefault="00D201A5" w:rsidP="00DD5489">
      <w:pPr>
        <w:pStyle w:val="a7"/>
        <w:spacing w:line="240" w:lineRule="auto"/>
      </w:pPr>
      <w:r>
        <w:rPr>
          <w:b/>
        </w:rPr>
        <w:t>Цель исследования</w:t>
      </w:r>
    </w:p>
    <w:p w14:paraId="67122539" w14:textId="74A05087" w:rsidR="00A00DE5" w:rsidRDefault="00D00BA6" w:rsidP="00DD5489">
      <w:pPr>
        <w:pStyle w:val="a7"/>
        <w:spacing w:line="240" w:lineRule="auto"/>
      </w:pPr>
      <w:r>
        <w:t>В этой связи, возникают вопросы о то</w:t>
      </w:r>
      <w:r w:rsidR="00A00DE5">
        <w:t xml:space="preserve">м, </w:t>
      </w:r>
      <w:r>
        <w:t xml:space="preserve">публикуют ли ведущие российские организации финансового сектора отчеты об устойчивом развитии, а также, </w:t>
      </w:r>
      <w:r w:rsidR="00A00DE5">
        <w:t xml:space="preserve">какие </w:t>
      </w:r>
      <w:r w:rsidR="00A00DE5">
        <w:lastRenderedPageBreak/>
        <w:t xml:space="preserve">приоритеты </w:t>
      </w:r>
      <w:r>
        <w:t>КСО</w:t>
      </w:r>
      <w:r w:rsidR="00A00DE5">
        <w:t xml:space="preserve"> </w:t>
      </w:r>
      <w:r>
        <w:t xml:space="preserve">они </w:t>
      </w:r>
      <w:r w:rsidR="00A00DE5">
        <w:t>устанавливают</w:t>
      </w:r>
      <w:r>
        <w:t xml:space="preserve">, что </w:t>
      </w:r>
      <w:r w:rsidR="00A00DE5">
        <w:t>до сих пор нужда</w:t>
      </w:r>
      <w:r w:rsidR="002B6857">
        <w:t>е</w:t>
      </w:r>
      <w:r w:rsidR="00A00DE5">
        <w:t>тся в углубленном изучении и анализе. Особенно важно определить, придерживаются ли организации финансового сектора</w:t>
      </w:r>
      <w:r w:rsidR="002B6857">
        <w:t xml:space="preserve"> в реализации своей ответственности</w:t>
      </w:r>
      <w:r w:rsidR="00A00DE5">
        <w:t xml:space="preserve"> ЦУР. В этой связи, целью настоящего исследования является определение </w:t>
      </w:r>
      <w:r w:rsidR="002B6857">
        <w:t xml:space="preserve">стратегического вектора системы управления устойчивым развитием ведущих организаций финансового сектора и идентификация </w:t>
      </w:r>
      <w:r w:rsidR="00A00DE5">
        <w:t xml:space="preserve">ЦУР, которые </w:t>
      </w:r>
      <w:r w:rsidR="002B6857">
        <w:t xml:space="preserve">они </w:t>
      </w:r>
      <w:r w:rsidR="00A00DE5">
        <w:t>выбирают в качестве приоритетных. Для этого необходимо в первую очередь определить распространенность публикаций отчетов КСО среди российских организаций финансового сектора.</w:t>
      </w:r>
      <w:r w:rsidR="001412EC">
        <w:t xml:space="preserve"> Далее, определив организации, которые публикуют отчеты КСО, необходимо проанализировать содержание данных отчетов на предмет ЦУР, которые определяют организации в качестве приоритетных. Те ЦУР, которые выбирают в качестве </w:t>
      </w:r>
      <w:r w:rsidR="00715D53">
        <w:t>приоритетных</w:t>
      </w:r>
      <w:r w:rsidR="001412EC">
        <w:t xml:space="preserve"> наибольшее число организаций, следует проанализировать на предмет того, какой вклад вносится в настоящее время организациями финансового сектора в </w:t>
      </w:r>
      <w:r w:rsidR="00715D53">
        <w:t>их достижение</w:t>
      </w:r>
      <w:r w:rsidR="001412EC">
        <w:t>.</w:t>
      </w:r>
    </w:p>
    <w:p w14:paraId="4DA8AFF5" w14:textId="41158292" w:rsidR="00E30580" w:rsidRDefault="00D201A5" w:rsidP="00DD5489">
      <w:pPr>
        <w:pStyle w:val="a7"/>
        <w:spacing w:line="240" w:lineRule="auto"/>
      </w:pPr>
      <w:r>
        <w:rPr>
          <w:b/>
        </w:rPr>
        <w:t>Материал и методы исследования</w:t>
      </w:r>
    </w:p>
    <w:p w14:paraId="344E5A8E" w14:textId="46180FA0" w:rsidR="00E30580" w:rsidRDefault="007A15E4" w:rsidP="00C06675">
      <w:pPr>
        <w:pStyle w:val="a7"/>
        <w:spacing w:line="240" w:lineRule="auto"/>
      </w:pPr>
      <w:r>
        <w:t xml:space="preserve">Материалами исследования выступают отчеты КСО российских организаций финансового сектора. Поиск отчетов осуществлен в несколько этапов. Сбор материалов для исследования осуществлен в несколько этапов. </w:t>
      </w:r>
      <w:r w:rsidRPr="00D00BA6">
        <w:t xml:space="preserve">На первом этапе </w:t>
      </w:r>
      <w:r>
        <w:t xml:space="preserve">исследования </w:t>
      </w:r>
      <w:r w:rsidRPr="00D00BA6">
        <w:t>сформирован</w:t>
      </w:r>
      <w:r>
        <w:t>а</w:t>
      </w:r>
      <w:r w:rsidRPr="00D00BA6">
        <w:t xml:space="preserve"> выборка </w:t>
      </w:r>
      <w:r>
        <w:t>организаций финансового сектора</w:t>
      </w:r>
      <w:r w:rsidRPr="00D00BA6">
        <w:t xml:space="preserve"> для </w:t>
      </w:r>
      <w:r>
        <w:t>изучения системы КСО</w:t>
      </w:r>
      <w:r w:rsidRPr="00D00BA6">
        <w:t>. Выборка компаний для анализа произведена на основании рейтинга “ESG-рэнкинг российских компаний” РА «Эксперт», проведенного по итогам января 2024 г.</w:t>
      </w:r>
      <w:r w:rsidR="000452E4" w:rsidRPr="000452E4">
        <w:t xml:space="preserve"> [17]</w:t>
      </w:r>
      <w:r w:rsidRPr="00D00BA6">
        <w:t>.</w:t>
      </w:r>
      <w:r>
        <w:t xml:space="preserve"> Из общего перечня компаний рейтинга в первоначальную выборку включены организации финансового сектора, основная деятельность которых относится к группе ВЭД «</w:t>
      </w:r>
      <w:r w:rsidRPr="002C264D">
        <w:t>Деятельность финансовая и страховая</w:t>
      </w:r>
      <w:r>
        <w:t xml:space="preserve">». Второй этап сбора данных произведен в мае 2024 года, третий этап – в сентябре 2024 года. В мае 2024 года на официальных сайтах организаций финансового сектора осуществлен поиск отчетов КСО за 2023 год. Однако, в связи с тем, что по запросу были найдены только отчеты за 2022 год, исследование было отложено. В результате поиск был продолжен в сентябре 2024 года. </w:t>
      </w:r>
    </w:p>
    <w:p w14:paraId="75E495BA" w14:textId="370781F7" w:rsidR="00C06675" w:rsidRDefault="00C06675" w:rsidP="00C06675">
      <w:pPr>
        <w:pStyle w:val="a7"/>
        <w:spacing w:line="240" w:lineRule="auto"/>
      </w:pPr>
      <w:r>
        <w:t>В результате исследования определено, что информация о результатах КСО представлена организациями в разделах сайта, посвященных информации о самой организации. Исключением является АФК «Система», на сайте которой представлен отдельный раздел «Устойчивое развитие» на главной странице сайта. Следует отметить, что представители корпоративного сектора, работающие в более экологически чувствительных отраслях – например, компании энергетического или нефтегазового сектора, чаще всего также раскрывают информацию в специальном разделе, который называется «Устойчивое развитие» и расположен на главной странице сайта.</w:t>
      </w:r>
    </w:p>
    <w:p w14:paraId="26C93464" w14:textId="4AC8247E" w:rsidR="00C06675" w:rsidRDefault="00C06675" w:rsidP="00C06675">
      <w:pPr>
        <w:pStyle w:val="a7"/>
        <w:spacing w:line="240" w:lineRule="auto"/>
      </w:pPr>
      <w:r>
        <w:t>На рисунке 1 показана распространенность публикации отчетов среди организаций финансового сектора. Поскольку</w:t>
      </w:r>
      <w:r w:rsidR="00426BE8" w:rsidRPr="00426BE8">
        <w:t xml:space="preserve"> </w:t>
      </w:r>
      <w:r>
        <w:t xml:space="preserve">на момент сбора материалов первого этапа исследования отчеты за 2023 год найдены не были, релевантным отчетом на 01.06.2024 г. считаются отчеты по результатам за 2022 год, а на 01.09.2024 г. – за 2023 год. Таким образом, исходя из данных о наличии релевантных отчетов по состоянию на 01.10.2024 г. из 23 финансовых организаций, вошедших в итоговую выборку, 11 не опубликовали отчет за 2023 год. Соответственно, на 01.06.2024 года из 23 финансовых организаций, вошедших в итоговую выборку, за 2022 год не опубликовали отчет 10 организаций. </w:t>
      </w:r>
    </w:p>
    <w:p w14:paraId="6E652447" w14:textId="7188B676" w:rsidR="00E30580" w:rsidRDefault="00FF1B94" w:rsidP="00DD5489">
      <w:pPr>
        <w:pStyle w:val="a7"/>
        <w:spacing w:line="240" w:lineRule="auto"/>
      </w:pPr>
      <w:r>
        <w:rPr>
          <w:noProof/>
          <w:lang w:eastAsia="ru-RU"/>
        </w:rPr>
        <w:drawing>
          <wp:inline distT="0" distB="0" distL="0" distR="0" wp14:anchorId="24CCB04D" wp14:editId="328EB148">
            <wp:extent cx="5365750" cy="2225040"/>
            <wp:effectExtent l="0" t="0" r="6350" b="3810"/>
            <wp:docPr id="2146966844"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83ECABC-6239-D32E-7E69-B731EE5B7E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448E6E0" w14:textId="3E4478E5" w:rsidR="00E30580" w:rsidRPr="003C6825" w:rsidRDefault="00E30580" w:rsidP="00C222C1">
      <w:pPr>
        <w:pStyle w:val="a7"/>
        <w:spacing w:line="240" w:lineRule="auto"/>
        <w:jc w:val="center"/>
        <w:rPr>
          <w:sz w:val="22"/>
          <w:szCs w:val="22"/>
        </w:rPr>
      </w:pPr>
      <w:r w:rsidRPr="003C6825">
        <w:rPr>
          <w:sz w:val="22"/>
          <w:szCs w:val="22"/>
        </w:rPr>
        <w:t>Рис</w:t>
      </w:r>
      <w:r w:rsidR="003C6825" w:rsidRPr="003C6825">
        <w:rPr>
          <w:sz w:val="22"/>
          <w:szCs w:val="22"/>
        </w:rPr>
        <w:t xml:space="preserve">. </w:t>
      </w:r>
      <w:r w:rsidRPr="003C6825">
        <w:rPr>
          <w:sz w:val="22"/>
          <w:szCs w:val="22"/>
        </w:rPr>
        <w:t>1</w:t>
      </w:r>
      <w:r w:rsidR="003C6825" w:rsidRPr="003C6825">
        <w:rPr>
          <w:sz w:val="22"/>
          <w:szCs w:val="22"/>
        </w:rPr>
        <w:t xml:space="preserve">. </w:t>
      </w:r>
      <w:r w:rsidRPr="003C6825">
        <w:rPr>
          <w:sz w:val="22"/>
          <w:szCs w:val="22"/>
        </w:rPr>
        <w:t xml:space="preserve">Анализ наличия отчетов организаций финансового сектора </w:t>
      </w:r>
      <w:r w:rsidR="00EA25F6" w:rsidRPr="003C6825">
        <w:rPr>
          <w:sz w:val="22"/>
          <w:szCs w:val="22"/>
        </w:rPr>
        <w:t>из выборки исследования</w:t>
      </w:r>
    </w:p>
    <w:p w14:paraId="672B32F9" w14:textId="219B36B2" w:rsidR="006174B7" w:rsidRPr="003C6825" w:rsidRDefault="006174B7" w:rsidP="00C222C1">
      <w:pPr>
        <w:pStyle w:val="a7"/>
        <w:spacing w:line="240" w:lineRule="auto"/>
        <w:jc w:val="center"/>
        <w:rPr>
          <w:sz w:val="22"/>
          <w:szCs w:val="22"/>
        </w:rPr>
      </w:pPr>
      <w:r w:rsidRPr="003C6825">
        <w:rPr>
          <w:sz w:val="22"/>
          <w:szCs w:val="22"/>
        </w:rPr>
        <w:t>Источник: составлено авторами</w:t>
      </w:r>
    </w:p>
    <w:p w14:paraId="354C90E9" w14:textId="693CAC9B" w:rsidR="000B2818" w:rsidRDefault="000B2818" w:rsidP="00272776">
      <w:pPr>
        <w:pStyle w:val="a7"/>
        <w:spacing w:line="240" w:lineRule="auto"/>
      </w:pPr>
      <w:r>
        <w:t xml:space="preserve">Исходя из данных рисунка 1 также можно сделать вывод о том, что чаще всего организации финансового сектора отчеты в области КСО публикуют в виде отдельного отчета, поскольку только 3 из 23 организаций опубликовали результаты работы системы управления устойчивым развитием в составе годового отчета. Также следует отметить, что организации называют отчеты КСО как отчеты об устойчивом развитии, а </w:t>
      </w:r>
      <w:r>
        <w:rPr>
          <w:lang w:val="en-US"/>
        </w:rPr>
        <w:t>ESG</w:t>
      </w:r>
      <w:r w:rsidRPr="000B2818">
        <w:t>-</w:t>
      </w:r>
      <w:r>
        <w:t>отчеты встречаются реже.</w:t>
      </w:r>
      <w:r w:rsidR="00272776">
        <w:t xml:space="preserve"> Таким образом, в итоговую выборку организаций финансового сектора по критерию наличия релевантного отчета КСО вошли </w:t>
      </w:r>
      <w:r w:rsidR="000452E4" w:rsidRPr="000452E4">
        <w:t>10</w:t>
      </w:r>
      <w:r w:rsidR="003D2102">
        <w:t xml:space="preserve"> организаций, среди которых </w:t>
      </w:r>
      <w:r w:rsidR="00272776" w:rsidRPr="00272776">
        <w:t xml:space="preserve">ПАО </w:t>
      </w:r>
      <w:bookmarkStart w:id="1" w:name="_Hlk179965375"/>
      <w:r w:rsidR="00272776">
        <w:t>«МОСКОВСКИЙ КРЕДИТНЫЙ БАНК»,</w:t>
      </w:r>
      <w:r w:rsidR="00F73376">
        <w:t xml:space="preserve"> </w:t>
      </w:r>
      <w:r w:rsidR="00F73376" w:rsidRPr="00272776">
        <w:t>ПАО</w:t>
      </w:r>
      <w:r w:rsidR="00F73376">
        <w:t xml:space="preserve"> </w:t>
      </w:r>
      <w:r w:rsidR="00272776" w:rsidRPr="00272776">
        <w:t>«Московская Биржа ММВБ-РТС»</w:t>
      </w:r>
      <w:r w:rsidR="00272776">
        <w:t xml:space="preserve">, </w:t>
      </w:r>
      <w:r w:rsidR="00F73376" w:rsidRPr="00F73376">
        <w:t>ПАО</w:t>
      </w:r>
      <w:r w:rsidR="00F73376">
        <w:t xml:space="preserve"> «</w:t>
      </w:r>
      <w:r w:rsidR="00F73376" w:rsidRPr="00F73376">
        <w:t>АК БАРС</w:t>
      </w:r>
      <w:r w:rsidR="00F73376">
        <w:t>»</w:t>
      </w:r>
      <w:r w:rsidR="00F73376" w:rsidRPr="00F73376">
        <w:t xml:space="preserve"> БАНК</w:t>
      </w:r>
      <w:r w:rsidR="00272776">
        <w:t>, ‎</w:t>
      </w:r>
      <w:r w:rsidR="00F73376" w:rsidRPr="00F73376">
        <w:t xml:space="preserve"> ПАО КБ «Центр-инвест»</w:t>
      </w:r>
      <w:r w:rsidR="00272776">
        <w:t xml:space="preserve">, </w:t>
      </w:r>
      <w:r w:rsidR="00F73376" w:rsidRPr="00F73376">
        <w:t>АКБ «Алмазэргиэнбанк» АО</w:t>
      </w:r>
      <w:r w:rsidR="00272776">
        <w:t xml:space="preserve">, </w:t>
      </w:r>
      <w:r w:rsidR="00F73376" w:rsidRPr="00F73376">
        <w:t>ПАО «Совкомбанк»</w:t>
      </w:r>
      <w:r w:rsidR="00272776">
        <w:t xml:space="preserve">, </w:t>
      </w:r>
      <w:r w:rsidR="00F73376" w:rsidRPr="00F73376">
        <w:t>Банк ВТБ (ПАО)</w:t>
      </w:r>
      <w:r w:rsidR="00272776">
        <w:t xml:space="preserve">, </w:t>
      </w:r>
      <w:r w:rsidR="00F73376" w:rsidRPr="00F73376">
        <w:tab/>
        <w:t xml:space="preserve">ПАО </w:t>
      </w:r>
      <w:r w:rsidR="00F73376">
        <w:t>«</w:t>
      </w:r>
      <w:r w:rsidR="00F73376" w:rsidRPr="00F73376">
        <w:t>РОСБАНК</w:t>
      </w:r>
      <w:r w:rsidR="00F73376">
        <w:t>»</w:t>
      </w:r>
      <w:r w:rsidR="00272776">
        <w:t xml:space="preserve">, </w:t>
      </w:r>
      <w:r w:rsidR="00F73376" w:rsidRPr="00F73376">
        <w:t>АО «ТБанк»</w:t>
      </w:r>
      <w:r w:rsidR="00272776">
        <w:t xml:space="preserve">, </w:t>
      </w:r>
      <w:r w:rsidR="00F73376" w:rsidRPr="00F73376">
        <w:t>АО АКБ «НОВИКОМБАНК»</w:t>
      </w:r>
      <w:bookmarkEnd w:id="1"/>
      <w:r w:rsidR="000452E4" w:rsidRPr="000452E4">
        <w:t xml:space="preserve"> [18-27]</w:t>
      </w:r>
      <w:r w:rsidR="00272776">
        <w:t>.</w:t>
      </w:r>
      <w:r w:rsidR="00F73376">
        <w:t xml:space="preserve"> Далее по тексту статьи использованы сокращенные названия финансовых организаций, которые использованы </w:t>
      </w:r>
      <w:r w:rsidR="00C06675">
        <w:t xml:space="preserve">самими организациями </w:t>
      </w:r>
      <w:r w:rsidR="00F73376">
        <w:t>в отчетах КСО.</w:t>
      </w:r>
    </w:p>
    <w:p w14:paraId="1616D40A" w14:textId="672BEA7F" w:rsidR="00272776" w:rsidRPr="003C6825" w:rsidRDefault="00FF1B94" w:rsidP="00C06675">
      <w:pPr>
        <w:pStyle w:val="a7"/>
        <w:spacing w:line="240" w:lineRule="auto"/>
        <w:jc w:val="center"/>
        <w:rPr>
          <w:sz w:val="22"/>
          <w:szCs w:val="22"/>
        </w:rPr>
      </w:pPr>
      <w:r>
        <w:rPr>
          <w:noProof/>
          <w:lang w:eastAsia="ru-RU"/>
        </w:rPr>
        <w:drawing>
          <wp:inline distT="0" distB="0" distL="0" distR="0" wp14:anchorId="46AD953E" wp14:editId="79DA8EBD">
            <wp:extent cx="4953000" cy="2385060"/>
            <wp:effectExtent l="0" t="0" r="0" b="0"/>
            <wp:docPr id="760906375"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26C6933-BB1B-9436-0676-1424387293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B926B6">
        <w:br w:type="textWrapping" w:clear="all"/>
      </w:r>
      <w:r w:rsidR="00272776" w:rsidRPr="003C6825">
        <w:rPr>
          <w:sz w:val="22"/>
          <w:szCs w:val="22"/>
        </w:rPr>
        <w:t>Рис</w:t>
      </w:r>
      <w:r w:rsidR="003C6825">
        <w:rPr>
          <w:sz w:val="22"/>
          <w:szCs w:val="22"/>
        </w:rPr>
        <w:t xml:space="preserve">. </w:t>
      </w:r>
      <w:r w:rsidR="003D2102" w:rsidRPr="003C6825">
        <w:rPr>
          <w:sz w:val="22"/>
          <w:szCs w:val="22"/>
        </w:rPr>
        <w:t>2</w:t>
      </w:r>
      <w:r w:rsidR="003C6825">
        <w:rPr>
          <w:sz w:val="22"/>
          <w:szCs w:val="22"/>
        </w:rPr>
        <w:t>.</w:t>
      </w:r>
      <w:r w:rsidR="00272776" w:rsidRPr="003C6825">
        <w:rPr>
          <w:sz w:val="22"/>
          <w:szCs w:val="22"/>
        </w:rPr>
        <w:t xml:space="preserve"> Раскрытие данных в отчетах КСО организаций российского финансового сектора о приоритезации ЦУР и вкладе в их достижение</w:t>
      </w:r>
    </w:p>
    <w:p w14:paraId="6315AB67" w14:textId="0CAB41A5" w:rsidR="006174B7" w:rsidRPr="003C6825" w:rsidRDefault="006174B7" w:rsidP="003C6825">
      <w:pPr>
        <w:pStyle w:val="a7"/>
        <w:spacing w:line="240" w:lineRule="auto"/>
        <w:jc w:val="center"/>
        <w:rPr>
          <w:sz w:val="22"/>
          <w:szCs w:val="22"/>
        </w:rPr>
      </w:pPr>
      <w:r w:rsidRPr="003C6825">
        <w:rPr>
          <w:sz w:val="22"/>
          <w:szCs w:val="22"/>
        </w:rPr>
        <w:t>Источник: составлено авторами</w:t>
      </w:r>
    </w:p>
    <w:p w14:paraId="44AF9593" w14:textId="77777777" w:rsidR="00C06675" w:rsidRDefault="00C06675" w:rsidP="00C06675">
      <w:pPr>
        <w:pStyle w:val="a7"/>
        <w:spacing w:line="240" w:lineRule="auto"/>
      </w:pPr>
      <w:r>
        <w:t xml:space="preserve">Найденные отчеты исследованы методами контент-анализа, осуществлена группировка информации в разделах отчетов, содержащих информацию о приоритизации ЦУР и вкладе в их достижение.  </w:t>
      </w:r>
    </w:p>
    <w:p w14:paraId="59F66FE0" w14:textId="30828DD7" w:rsidR="00C06675" w:rsidRDefault="00D201A5" w:rsidP="003D2102">
      <w:pPr>
        <w:pStyle w:val="a7"/>
        <w:spacing w:line="240" w:lineRule="auto"/>
      </w:pPr>
      <w:r>
        <w:rPr>
          <w:b/>
        </w:rPr>
        <w:t>Результаты исследования и их обсуждение</w:t>
      </w:r>
    </w:p>
    <w:p w14:paraId="02D75E7A" w14:textId="643B4A17" w:rsidR="00272776" w:rsidRDefault="003D2102" w:rsidP="003D2102">
      <w:pPr>
        <w:pStyle w:val="a7"/>
        <w:spacing w:line="240" w:lineRule="auto"/>
      </w:pPr>
      <w:r>
        <w:t>В соответствии с данными, представленными на рисунке 2, из 11 организаций</w:t>
      </w:r>
      <w:r w:rsidRPr="003D2102">
        <w:t xml:space="preserve"> </w:t>
      </w:r>
      <w:r>
        <w:t xml:space="preserve">российского финансового сектора, вошедших в итоговую выборку, 6 раскрывают приоритетные ЦУР, а 8 – декларируют вклад в достижение ЦУР. </w:t>
      </w:r>
      <w:r w:rsidR="00B926B6">
        <w:t xml:space="preserve">Также, на рисунке указано место организации в рейтинге, согласно которому можно сделать вывод о том, что банки, которые занимают не самые верхние позиции в рейтинге, </w:t>
      </w:r>
      <w:r w:rsidR="00426BE8">
        <w:t xml:space="preserve">также </w:t>
      </w:r>
      <w:r w:rsidR="00B926B6">
        <w:t>раскрывают данные приорит</w:t>
      </w:r>
      <w:r w:rsidR="00426BE8">
        <w:t xml:space="preserve">изации </w:t>
      </w:r>
      <w:r w:rsidR="00B926B6">
        <w:t xml:space="preserve">ЦУР и </w:t>
      </w:r>
      <w:r w:rsidR="00426BE8">
        <w:t xml:space="preserve">информации о </w:t>
      </w:r>
      <w:r w:rsidR="00B926B6">
        <w:t>вкладе в их достижение, среди которых Московская Биржа, Алмазэргиэнбанк, Банк ВТБ, Росбанк. При этом, российские организации финансового сектора, которые занимают самые последние места в рейтинге – Тбанк и Новикомбанк не раскрывают данных о повестке в области ЦУР. В этой связи, отчеты данных банков исключены из дальнейшего анализа.</w:t>
      </w:r>
      <w:r w:rsidR="00973C94">
        <w:t xml:space="preserve"> </w:t>
      </w:r>
      <w:r>
        <w:t xml:space="preserve">Далее рассмотрим, какие именно ЦУР распространены и являются стратегическими для </w:t>
      </w:r>
      <w:r w:rsidR="006C085A">
        <w:t>КСО организаций</w:t>
      </w:r>
      <w:r w:rsidRPr="003D2102">
        <w:t xml:space="preserve"> </w:t>
      </w:r>
      <w:r>
        <w:t>российского финансового сектора.</w:t>
      </w:r>
    </w:p>
    <w:p w14:paraId="40AB8DCE" w14:textId="6C9B014D" w:rsidR="00973C94" w:rsidRDefault="00973C94" w:rsidP="00973C94">
      <w:pPr>
        <w:pStyle w:val="a7"/>
        <w:spacing w:line="240" w:lineRule="auto"/>
        <w:ind w:firstLine="0"/>
      </w:pPr>
      <w:r>
        <w:rPr>
          <w:noProof/>
          <w:lang w:eastAsia="ru-RU"/>
        </w:rPr>
        <w:drawing>
          <wp:inline distT="0" distB="0" distL="0" distR="0" wp14:anchorId="118DE4C8" wp14:editId="263C7ED6">
            <wp:extent cx="6197600" cy="3421380"/>
            <wp:effectExtent l="0" t="0" r="0" b="7620"/>
            <wp:docPr id="682630536"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F65519A-BC68-3E02-758B-1D974732C3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6A9711F" w14:textId="5AD74D58" w:rsidR="00973C94" w:rsidRPr="003C6825" w:rsidRDefault="00973C94" w:rsidP="00C222C1">
      <w:pPr>
        <w:pStyle w:val="a7"/>
        <w:spacing w:line="240" w:lineRule="auto"/>
        <w:jc w:val="center"/>
        <w:rPr>
          <w:sz w:val="22"/>
          <w:szCs w:val="22"/>
        </w:rPr>
      </w:pPr>
      <w:r w:rsidRPr="003C6825">
        <w:rPr>
          <w:sz w:val="22"/>
          <w:szCs w:val="22"/>
        </w:rPr>
        <w:t>Рис</w:t>
      </w:r>
      <w:r w:rsidR="003C6825">
        <w:rPr>
          <w:sz w:val="22"/>
          <w:szCs w:val="22"/>
        </w:rPr>
        <w:t>.</w:t>
      </w:r>
      <w:r w:rsidRPr="003C6825">
        <w:rPr>
          <w:sz w:val="22"/>
          <w:szCs w:val="22"/>
        </w:rPr>
        <w:t xml:space="preserve"> 3</w:t>
      </w:r>
      <w:r w:rsidR="003C6825">
        <w:rPr>
          <w:sz w:val="22"/>
          <w:szCs w:val="22"/>
        </w:rPr>
        <w:t>.</w:t>
      </w:r>
      <w:r w:rsidRPr="003C6825">
        <w:rPr>
          <w:sz w:val="22"/>
          <w:szCs w:val="22"/>
        </w:rPr>
        <w:t xml:space="preserve"> Приоритетные ЦУР организаций российского финансового сектора</w:t>
      </w:r>
    </w:p>
    <w:p w14:paraId="4F58EEB3" w14:textId="77777777" w:rsidR="006174B7" w:rsidRPr="003C6825" w:rsidRDefault="006174B7" w:rsidP="00C222C1">
      <w:pPr>
        <w:pStyle w:val="a7"/>
        <w:spacing w:line="240" w:lineRule="auto"/>
        <w:jc w:val="center"/>
        <w:rPr>
          <w:sz w:val="22"/>
          <w:szCs w:val="22"/>
        </w:rPr>
      </w:pPr>
      <w:r w:rsidRPr="003C6825">
        <w:rPr>
          <w:sz w:val="22"/>
          <w:szCs w:val="22"/>
        </w:rPr>
        <w:t>Источник: составлено авторами</w:t>
      </w:r>
    </w:p>
    <w:p w14:paraId="0E70EE47" w14:textId="3A25819E" w:rsidR="00973C94" w:rsidRDefault="00973C94" w:rsidP="00DD5489">
      <w:pPr>
        <w:pStyle w:val="a7"/>
        <w:spacing w:line="240" w:lineRule="auto"/>
      </w:pPr>
      <w:r>
        <w:t>Согласно рисунка 3, лидер</w:t>
      </w:r>
      <w:r w:rsidR="00E86368">
        <w:t>ами</w:t>
      </w:r>
      <w:r>
        <w:t xml:space="preserve"> по количеству приоритизируемых ЦУР явля</w:t>
      </w:r>
      <w:r w:rsidR="00E86368">
        <w:t>ю</w:t>
      </w:r>
      <w:r>
        <w:t>тся Московская Биржа</w:t>
      </w:r>
      <w:r w:rsidR="00E86368">
        <w:t xml:space="preserve"> (10 ЦУР), Московский кредитный банк (9 ЦУР), Алмазэргиенбанк (</w:t>
      </w:r>
      <w:r w:rsidR="00FC20CC">
        <w:t>8</w:t>
      </w:r>
      <w:r w:rsidR="00E86368">
        <w:t xml:space="preserve"> ЦУР)</w:t>
      </w:r>
      <w:r>
        <w:t xml:space="preserve">. </w:t>
      </w:r>
      <w:r w:rsidR="00FC20CC">
        <w:t xml:space="preserve">Наименьшее количество ЦУР приоритизируют Росбанк (4 ЦУР), Банк ВТБ (6 ЦУР). </w:t>
      </w:r>
      <w:r>
        <w:t xml:space="preserve">В среднем количество ЦУР, определенных в качестве приоритетных, составляет 7. Чаще всего организации российского финансового сектора приоритизируют </w:t>
      </w:r>
      <w:r w:rsidRPr="00973C94">
        <w:t>ЦУР 8</w:t>
      </w:r>
      <w:r>
        <w:t xml:space="preserve"> «</w:t>
      </w:r>
      <w:r w:rsidRPr="00973C94">
        <w:t>Достойная работа и экономический рост</w:t>
      </w:r>
      <w:r>
        <w:t xml:space="preserve">» (7 организаций), </w:t>
      </w:r>
      <w:r w:rsidRPr="00973C94">
        <w:t>ЦУР 9</w:t>
      </w:r>
      <w:r>
        <w:t xml:space="preserve"> «</w:t>
      </w:r>
      <w:r w:rsidRPr="00973C94">
        <w:t>Индустриализация, инновации и инфраструктура</w:t>
      </w:r>
      <w:r>
        <w:t xml:space="preserve">» (6 организаций), </w:t>
      </w:r>
      <w:r w:rsidRPr="00973C94">
        <w:t>ЦУР 11</w:t>
      </w:r>
      <w:r>
        <w:t xml:space="preserve"> «</w:t>
      </w:r>
      <w:r w:rsidRPr="00973C94">
        <w:t>Устойчивые города и населенные пункты</w:t>
      </w:r>
      <w:r>
        <w:t xml:space="preserve">» (6 организаций). </w:t>
      </w:r>
      <w:r w:rsidR="00D77ACE">
        <w:t xml:space="preserve">Наименьшее число организаций выбирают в качестве приоритетных </w:t>
      </w:r>
      <w:r w:rsidR="00D77ACE" w:rsidRPr="00D77ACE">
        <w:t>ЦУР 1</w:t>
      </w:r>
      <w:r w:rsidR="00D77ACE">
        <w:t xml:space="preserve"> «</w:t>
      </w:r>
      <w:r w:rsidR="00D77ACE" w:rsidRPr="00D77ACE">
        <w:t>Ликвидация нищеты</w:t>
      </w:r>
      <w:r w:rsidR="00D77ACE">
        <w:t xml:space="preserve">», </w:t>
      </w:r>
      <w:r w:rsidR="00D77ACE" w:rsidRPr="00D77ACE">
        <w:t>ЦУР 2</w:t>
      </w:r>
      <w:r w:rsidR="00D77ACE">
        <w:t xml:space="preserve"> «</w:t>
      </w:r>
      <w:r w:rsidR="00D77ACE" w:rsidRPr="00D77ACE">
        <w:t>Ликвидация голода</w:t>
      </w:r>
      <w:r w:rsidR="00D77ACE">
        <w:t xml:space="preserve">» , </w:t>
      </w:r>
      <w:r w:rsidR="00D77ACE" w:rsidRPr="00D77ACE">
        <w:t>ЦУР 7</w:t>
      </w:r>
      <w:r w:rsidR="00D77ACE">
        <w:t xml:space="preserve"> «</w:t>
      </w:r>
      <w:r w:rsidR="00D77ACE" w:rsidRPr="00D77ACE">
        <w:t>Недорогостоящая и чистая энергия</w:t>
      </w:r>
      <w:r w:rsidR="00D77ACE">
        <w:t>»,</w:t>
      </w:r>
      <w:r w:rsidR="00D77ACE" w:rsidRPr="00D77ACE">
        <w:t xml:space="preserve"> ЦУР 10</w:t>
      </w:r>
      <w:r w:rsidR="00D77ACE">
        <w:t xml:space="preserve"> «</w:t>
      </w:r>
      <w:r w:rsidR="00D77ACE" w:rsidRPr="00D77ACE">
        <w:t>Уменьшение неравенства</w:t>
      </w:r>
      <w:r w:rsidR="00D77ACE">
        <w:t>»</w:t>
      </w:r>
      <w:r w:rsidR="006C085A">
        <w:t>,</w:t>
      </w:r>
      <w:r w:rsidR="00D77ACE" w:rsidRPr="00D77ACE">
        <w:t xml:space="preserve"> ЦУР 15</w:t>
      </w:r>
      <w:r w:rsidR="00D77ACE">
        <w:t xml:space="preserve"> «</w:t>
      </w:r>
      <w:r w:rsidR="00D77ACE" w:rsidRPr="00D77ACE">
        <w:t>Сохранение экосистем суши</w:t>
      </w:r>
      <w:r w:rsidR="00D77ACE">
        <w:t>».</w:t>
      </w:r>
      <w:r w:rsidR="00D77ACE" w:rsidRPr="00D77ACE">
        <w:t xml:space="preserve"> </w:t>
      </w:r>
      <w:r>
        <w:t xml:space="preserve">При этом ЦУР, которые не выбирают организации российского финансового сектора, являются </w:t>
      </w:r>
      <w:r w:rsidRPr="00973C94">
        <w:t>ЦУР 6</w:t>
      </w:r>
      <w:r>
        <w:t xml:space="preserve"> «</w:t>
      </w:r>
      <w:r w:rsidRPr="00973C94">
        <w:t>Чистая вода и санитария</w:t>
      </w:r>
      <w:r>
        <w:t xml:space="preserve">» и </w:t>
      </w:r>
      <w:r w:rsidRPr="00973C94">
        <w:t>ЦУР 14</w:t>
      </w:r>
      <w:r>
        <w:t xml:space="preserve"> «</w:t>
      </w:r>
      <w:r w:rsidRPr="00973C94">
        <w:t>Сохранение морских экосистем</w:t>
      </w:r>
      <w:r>
        <w:t>».</w:t>
      </w:r>
      <w:r w:rsidR="00E86368">
        <w:t xml:space="preserve"> Далее рассмотрим, вклад в достижение каких ЦУР декларируют российские организации финансового сектора.</w:t>
      </w:r>
    </w:p>
    <w:p w14:paraId="45702EBA" w14:textId="1E967A35" w:rsidR="006C085A" w:rsidRDefault="006C085A" w:rsidP="006C085A">
      <w:pPr>
        <w:pStyle w:val="a7"/>
        <w:spacing w:line="240" w:lineRule="auto"/>
      </w:pPr>
      <w:r>
        <w:t>Исходя из данных, представленных на рисунке 4, можно сделать вывод о том, что лидерами по количеству ЦУР, в достижение которых организации российского финансового сектора декларируют свой вклад, являются Банк ВТБ (12 ЦУР), Московская Биржа (10 ЦУР). Аутсайдерами по данному критерию являются Московский кредитный банк (3 ЦУР), Росбанк (6 ЦУР). Однако, данное распределение по лидерам и аутсайдерам весьма условно, так как наибольшее значение имеет тот конкретный вклад, который организация вносит в результате реализации своей КСО. При этом ЦУР 8 «</w:t>
      </w:r>
      <w:r w:rsidRPr="00973C94">
        <w:t>Достойная работа и экономический рост</w:t>
      </w:r>
      <w:r>
        <w:t xml:space="preserve">» (8 организаций), </w:t>
      </w:r>
      <w:r w:rsidRPr="00973C94">
        <w:t>ЦУР 9</w:t>
      </w:r>
      <w:r>
        <w:t xml:space="preserve"> «</w:t>
      </w:r>
      <w:r w:rsidRPr="00973C94">
        <w:t>Индустриализация, инновации и инфраструктура</w:t>
      </w:r>
      <w:r>
        <w:t>» (7 организаций) и ЦУР 13 «</w:t>
      </w:r>
      <w:r w:rsidRPr="000D2CF8">
        <w:t>Борьба с изменением климата</w:t>
      </w:r>
      <w:r>
        <w:t xml:space="preserve">» (7 организаций) являются теми ЦУР, в которые декларируют вклад наибольшее число российских финансовых организаций. </w:t>
      </w:r>
    </w:p>
    <w:p w14:paraId="5A13E43E" w14:textId="49E727FF" w:rsidR="00E86368" w:rsidRDefault="00FF1B94" w:rsidP="00FC20CC">
      <w:pPr>
        <w:pStyle w:val="a7"/>
        <w:spacing w:line="240" w:lineRule="auto"/>
        <w:ind w:firstLine="0"/>
      </w:pPr>
      <w:r>
        <w:rPr>
          <w:noProof/>
          <w:lang w:eastAsia="ru-RU"/>
        </w:rPr>
        <w:drawing>
          <wp:inline distT="0" distB="0" distL="0" distR="0" wp14:anchorId="43F63329" wp14:editId="1872DA84">
            <wp:extent cx="5867400" cy="3352800"/>
            <wp:effectExtent l="0" t="0" r="0" b="0"/>
            <wp:docPr id="850968753"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9BECEF-A3DC-4E36-B91C-3BB396D4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72D561" w14:textId="7FCAE14C" w:rsidR="00320317" w:rsidRPr="003C6825" w:rsidRDefault="00320317" w:rsidP="00C222C1">
      <w:pPr>
        <w:pStyle w:val="a7"/>
        <w:spacing w:line="240" w:lineRule="auto"/>
        <w:jc w:val="center"/>
        <w:rPr>
          <w:sz w:val="22"/>
          <w:szCs w:val="22"/>
        </w:rPr>
      </w:pPr>
      <w:r w:rsidRPr="003C6825">
        <w:rPr>
          <w:sz w:val="22"/>
          <w:szCs w:val="22"/>
        </w:rPr>
        <w:t>Рис</w:t>
      </w:r>
      <w:r w:rsidR="003C6825">
        <w:rPr>
          <w:sz w:val="22"/>
          <w:szCs w:val="22"/>
        </w:rPr>
        <w:t>.</w:t>
      </w:r>
      <w:r w:rsidRPr="003C6825">
        <w:rPr>
          <w:sz w:val="22"/>
          <w:szCs w:val="22"/>
        </w:rPr>
        <w:t xml:space="preserve"> 4</w:t>
      </w:r>
      <w:r w:rsidR="003C6825">
        <w:rPr>
          <w:sz w:val="22"/>
          <w:szCs w:val="22"/>
        </w:rPr>
        <w:t>.</w:t>
      </w:r>
      <w:r w:rsidRPr="003C6825">
        <w:rPr>
          <w:sz w:val="22"/>
          <w:szCs w:val="22"/>
        </w:rPr>
        <w:t xml:space="preserve"> Вклад организаций российского финансового сектора в достижение ЦУР</w:t>
      </w:r>
    </w:p>
    <w:p w14:paraId="392AB780" w14:textId="3A76D452" w:rsidR="006174B7" w:rsidRPr="003C6825" w:rsidRDefault="006174B7" w:rsidP="00C222C1">
      <w:pPr>
        <w:pStyle w:val="a7"/>
        <w:spacing w:line="240" w:lineRule="auto"/>
        <w:jc w:val="center"/>
        <w:rPr>
          <w:sz w:val="22"/>
          <w:szCs w:val="22"/>
        </w:rPr>
      </w:pPr>
      <w:r w:rsidRPr="003C6825">
        <w:rPr>
          <w:sz w:val="22"/>
          <w:szCs w:val="22"/>
        </w:rPr>
        <w:t>Источник: составлено авторами</w:t>
      </w:r>
    </w:p>
    <w:p w14:paraId="423F0B65" w14:textId="6DAE8747" w:rsidR="008E00FB" w:rsidRDefault="008E00FB" w:rsidP="00320317">
      <w:pPr>
        <w:pStyle w:val="a7"/>
        <w:spacing w:line="240" w:lineRule="auto"/>
      </w:pPr>
      <w:r>
        <w:t>Далее рассмотрим, в чем конкретно заключается данный вклад и приведем основные достигнутые результаты по данным ЦУР</w:t>
      </w:r>
      <w:r w:rsidR="00D269C5">
        <w:t>. Вклад в достижение ЦУР 8 «</w:t>
      </w:r>
      <w:r w:rsidR="00D269C5" w:rsidRPr="00973C94">
        <w:t>Достойная работа и экономический рост</w:t>
      </w:r>
      <w:r w:rsidR="00D269C5">
        <w:t xml:space="preserve">» в отчетах КСО отражается в форме описания направлений реализуемых мероприятий, сводный перечень которых изложен в таблице 1. </w:t>
      </w:r>
    </w:p>
    <w:p w14:paraId="35B4509F" w14:textId="77777777" w:rsidR="003C6825" w:rsidRDefault="008E00FB" w:rsidP="003C6825">
      <w:pPr>
        <w:pStyle w:val="a7"/>
        <w:spacing w:line="240" w:lineRule="auto"/>
        <w:jc w:val="right"/>
      </w:pPr>
      <w:r>
        <w:t xml:space="preserve">Таблица </w:t>
      </w:r>
      <w:r w:rsidR="00986D7C">
        <w:t>1</w:t>
      </w:r>
    </w:p>
    <w:p w14:paraId="63167905" w14:textId="0F47C33D" w:rsidR="008E00FB" w:rsidRDefault="008E00FB" w:rsidP="003C6825">
      <w:pPr>
        <w:pStyle w:val="a7"/>
        <w:spacing w:after="240" w:line="240" w:lineRule="auto"/>
        <w:jc w:val="center"/>
      </w:pPr>
      <w:r>
        <w:t>Вклад организаций российского финансового сектора в достижение ЦУР</w:t>
      </w:r>
      <w:r w:rsidR="00E76A32">
        <w:t xml:space="preserve"> 8 «</w:t>
      </w:r>
      <w:r w:rsidR="00E76A32" w:rsidRPr="00973C94">
        <w:t>Достойная работа и экономический рост</w:t>
      </w:r>
      <w:r w:rsidR="00E76A32">
        <w:t>»</w:t>
      </w:r>
    </w:p>
    <w:tbl>
      <w:tblPr>
        <w:tblStyle w:val="a8"/>
        <w:tblW w:w="0" w:type="auto"/>
        <w:tblLook w:val="04A0" w:firstRow="1" w:lastRow="0" w:firstColumn="1" w:lastColumn="0" w:noHBand="0" w:noVBand="1"/>
      </w:tblPr>
      <w:tblGrid>
        <w:gridCol w:w="5613"/>
        <w:gridCol w:w="3731"/>
      </w:tblGrid>
      <w:tr w:rsidR="00483AF0" w14:paraId="28905506" w14:textId="77777777" w:rsidTr="006174B7">
        <w:tc>
          <w:tcPr>
            <w:tcW w:w="5613" w:type="dxa"/>
          </w:tcPr>
          <w:p w14:paraId="014BE0E7" w14:textId="01DACD55" w:rsidR="00483AF0" w:rsidRDefault="00483AF0" w:rsidP="00EB5688">
            <w:pPr>
              <w:pStyle w:val="a7"/>
              <w:spacing w:line="240" w:lineRule="auto"/>
              <w:ind w:firstLine="0"/>
            </w:pPr>
            <w:r>
              <w:t>Направлени</w:t>
            </w:r>
            <w:r w:rsidR="00623B62">
              <w:t>я вклада в достижение ЦУР</w:t>
            </w:r>
          </w:p>
        </w:tc>
        <w:tc>
          <w:tcPr>
            <w:tcW w:w="3731" w:type="dxa"/>
          </w:tcPr>
          <w:p w14:paraId="56FFA601" w14:textId="3E0EFB93" w:rsidR="00483AF0" w:rsidRPr="00EB5688" w:rsidRDefault="00623B62" w:rsidP="00EB5688">
            <w:pPr>
              <w:pStyle w:val="a7"/>
              <w:spacing w:line="240" w:lineRule="auto"/>
              <w:ind w:firstLine="0"/>
            </w:pPr>
            <w:r>
              <w:t>Организации</w:t>
            </w:r>
          </w:p>
        </w:tc>
      </w:tr>
      <w:tr w:rsidR="00EB5688" w14:paraId="49AA2ECC" w14:textId="77777777" w:rsidTr="006174B7">
        <w:tc>
          <w:tcPr>
            <w:tcW w:w="5613" w:type="dxa"/>
          </w:tcPr>
          <w:p w14:paraId="3628B2CC" w14:textId="6862575B" w:rsidR="00EB5688" w:rsidRDefault="00F30228" w:rsidP="00EB5688">
            <w:pPr>
              <w:pStyle w:val="a7"/>
              <w:spacing w:line="240" w:lineRule="auto"/>
              <w:ind w:firstLine="0"/>
            </w:pPr>
            <w:r>
              <w:t>П</w:t>
            </w:r>
            <w:r w:rsidR="00EB5688" w:rsidRPr="00EB5688">
              <w:t xml:space="preserve">оддержание достойных условий труда </w:t>
            </w:r>
            <w:r w:rsidR="00EB5688" w:rsidRPr="00EB5688">
              <w:br/>
              <w:t xml:space="preserve">для сотрудников и предоставление </w:t>
            </w:r>
            <w:r w:rsidR="00EB5688" w:rsidRPr="00EB5688">
              <w:br/>
              <w:t>возможностей для их развития</w:t>
            </w:r>
          </w:p>
        </w:tc>
        <w:tc>
          <w:tcPr>
            <w:tcW w:w="3731" w:type="dxa"/>
          </w:tcPr>
          <w:p w14:paraId="52600B9C" w14:textId="0DDB0FE9" w:rsidR="00EB5688" w:rsidRPr="00F30228" w:rsidRDefault="00FF016F" w:rsidP="00EB5688">
            <w:pPr>
              <w:pStyle w:val="a7"/>
              <w:spacing w:line="240" w:lineRule="auto"/>
              <w:ind w:firstLine="0"/>
            </w:pPr>
            <w:r w:rsidRPr="00FF016F">
              <w:t>Московская Биржа</w:t>
            </w:r>
            <w:r w:rsidR="00F30228">
              <w:t xml:space="preserve">, </w:t>
            </w:r>
            <w:r w:rsidR="00F30228" w:rsidRPr="00F30228">
              <w:t>АК Барс Банк</w:t>
            </w:r>
            <w:r w:rsidR="00F30228">
              <w:t>,</w:t>
            </w:r>
            <w:r w:rsidR="00986D7C">
              <w:t xml:space="preserve"> Росбанк</w:t>
            </w:r>
          </w:p>
        </w:tc>
      </w:tr>
      <w:tr w:rsidR="00EB5688" w14:paraId="224BDA77" w14:textId="77777777" w:rsidTr="006174B7">
        <w:tc>
          <w:tcPr>
            <w:tcW w:w="5613" w:type="dxa"/>
          </w:tcPr>
          <w:p w14:paraId="30A4BFF4" w14:textId="462279EE" w:rsidR="00EB5688" w:rsidRDefault="00EB5688" w:rsidP="00EB5688">
            <w:pPr>
              <w:pStyle w:val="a7"/>
              <w:spacing w:line="240" w:lineRule="auto"/>
              <w:ind w:firstLine="0"/>
            </w:pPr>
            <w:r w:rsidRPr="00EB5688">
              <w:t xml:space="preserve">Практики ответственного </w:t>
            </w:r>
            <w:r w:rsidR="006C4064">
              <w:t>инвестирования</w:t>
            </w:r>
          </w:p>
        </w:tc>
        <w:tc>
          <w:tcPr>
            <w:tcW w:w="3731" w:type="dxa"/>
          </w:tcPr>
          <w:p w14:paraId="3B64BA4C" w14:textId="27FE0A27" w:rsidR="00EB5688" w:rsidRDefault="006C4064" w:rsidP="00EB5688">
            <w:pPr>
              <w:pStyle w:val="a7"/>
              <w:spacing w:line="240" w:lineRule="auto"/>
              <w:ind w:firstLine="0"/>
            </w:pPr>
            <w:r>
              <w:t>Московский кредитный банк</w:t>
            </w:r>
          </w:p>
        </w:tc>
      </w:tr>
      <w:tr w:rsidR="00EB5688" w14:paraId="5EEB9BD3" w14:textId="77777777" w:rsidTr="006174B7">
        <w:tc>
          <w:tcPr>
            <w:tcW w:w="5613" w:type="dxa"/>
          </w:tcPr>
          <w:p w14:paraId="13BE2319" w14:textId="18F7B661" w:rsidR="00EB5688" w:rsidRDefault="00EB5688" w:rsidP="00EB5688">
            <w:pPr>
              <w:pStyle w:val="a7"/>
              <w:spacing w:line="240" w:lineRule="auto"/>
              <w:ind w:firstLine="0"/>
            </w:pPr>
            <w:r w:rsidRPr="00EB5688">
              <w:t xml:space="preserve">Вклад в социально-экономическое развитие </w:t>
            </w:r>
            <w:r w:rsidRPr="00EB5688">
              <w:br/>
            </w:r>
            <w:r w:rsidR="00166B07">
              <w:t>регионов</w:t>
            </w:r>
          </w:p>
        </w:tc>
        <w:tc>
          <w:tcPr>
            <w:tcW w:w="3731" w:type="dxa"/>
          </w:tcPr>
          <w:p w14:paraId="00552EA8" w14:textId="57D84FF6" w:rsidR="00EB5688" w:rsidRDefault="00166B07" w:rsidP="00EB5688">
            <w:pPr>
              <w:pStyle w:val="a7"/>
              <w:spacing w:line="240" w:lineRule="auto"/>
              <w:ind w:firstLine="0"/>
            </w:pPr>
            <w:r>
              <w:t>Московский кредитный банк</w:t>
            </w:r>
            <w:r w:rsidR="00986D7C">
              <w:t>, Банк ВТБ</w:t>
            </w:r>
          </w:p>
        </w:tc>
      </w:tr>
      <w:tr w:rsidR="00EB5688" w14:paraId="34E3A30A" w14:textId="77777777" w:rsidTr="006174B7">
        <w:tc>
          <w:tcPr>
            <w:tcW w:w="5613" w:type="dxa"/>
          </w:tcPr>
          <w:p w14:paraId="35711F92" w14:textId="17343A70" w:rsidR="00EB5688" w:rsidRDefault="00F30228" w:rsidP="00EB5688">
            <w:pPr>
              <w:pStyle w:val="a7"/>
              <w:spacing w:line="240" w:lineRule="auto"/>
              <w:ind w:firstLine="0"/>
            </w:pPr>
            <w:r w:rsidRPr="00EB5688">
              <w:t>Создание рабочих мест</w:t>
            </w:r>
          </w:p>
        </w:tc>
        <w:tc>
          <w:tcPr>
            <w:tcW w:w="3731" w:type="dxa"/>
          </w:tcPr>
          <w:p w14:paraId="4FD4E1B4" w14:textId="20806962" w:rsidR="00EB5688" w:rsidRDefault="00F30228" w:rsidP="00EB5688">
            <w:pPr>
              <w:pStyle w:val="a7"/>
              <w:spacing w:line="240" w:lineRule="auto"/>
              <w:ind w:firstLine="0"/>
            </w:pPr>
            <w:r w:rsidRPr="00F30228">
              <w:t>АК Барс Банк</w:t>
            </w:r>
            <w:r w:rsidR="00F14634">
              <w:t xml:space="preserve">, </w:t>
            </w:r>
            <w:r w:rsidR="00F14634" w:rsidRPr="00F14634">
              <w:t>Алмазэргиэнбанк</w:t>
            </w:r>
            <w:r w:rsidR="00E76A32">
              <w:t xml:space="preserve">, </w:t>
            </w:r>
            <w:r w:rsidR="00E76A32" w:rsidRPr="00E76A32">
              <w:t>Совкомбанк</w:t>
            </w:r>
          </w:p>
        </w:tc>
      </w:tr>
      <w:tr w:rsidR="00EB5688" w14:paraId="09B7F57D" w14:textId="77777777" w:rsidTr="006174B7">
        <w:tc>
          <w:tcPr>
            <w:tcW w:w="5613" w:type="dxa"/>
          </w:tcPr>
          <w:p w14:paraId="400B2CC1" w14:textId="49136DA5" w:rsidR="00EB5688" w:rsidRDefault="00E76A32" w:rsidP="00EB5688">
            <w:pPr>
              <w:pStyle w:val="a7"/>
              <w:spacing w:line="240" w:lineRule="auto"/>
              <w:ind w:firstLine="0"/>
            </w:pPr>
            <w:r>
              <w:t>Обеспечение круглосуточного доступа клиентов к банковским услугам</w:t>
            </w:r>
          </w:p>
        </w:tc>
        <w:tc>
          <w:tcPr>
            <w:tcW w:w="3731" w:type="dxa"/>
          </w:tcPr>
          <w:p w14:paraId="07C0C7A7" w14:textId="1D2F81F0" w:rsidR="00EB5688" w:rsidRDefault="00E76A32" w:rsidP="00EB5688">
            <w:pPr>
              <w:pStyle w:val="a7"/>
              <w:spacing w:line="240" w:lineRule="auto"/>
              <w:ind w:firstLine="0"/>
            </w:pPr>
            <w:r w:rsidRPr="00E76A32">
              <w:t>Алмазэргиэнбанк</w:t>
            </w:r>
            <w:r>
              <w:t xml:space="preserve">, </w:t>
            </w:r>
            <w:r w:rsidRPr="00E76A32">
              <w:t>Совкомбанк</w:t>
            </w:r>
          </w:p>
        </w:tc>
      </w:tr>
      <w:tr w:rsidR="00EB5688" w14:paraId="5F7290C8" w14:textId="77777777" w:rsidTr="006174B7">
        <w:tc>
          <w:tcPr>
            <w:tcW w:w="5613" w:type="dxa"/>
          </w:tcPr>
          <w:p w14:paraId="5B3B74C6" w14:textId="751C61B5" w:rsidR="00EB5688" w:rsidRDefault="00E76A32" w:rsidP="00EB5688">
            <w:pPr>
              <w:pStyle w:val="a7"/>
              <w:spacing w:line="240" w:lineRule="auto"/>
              <w:ind w:firstLine="0"/>
            </w:pPr>
            <w:r>
              <w:t>Взаимодействие с учебными заведениями для трудоустройства и обучения молодых специалистов</w:t>
            </w:r>
          </w:p>
        </w:tc>
        <w:tc>
          <w:tcPr>
            <w:tcW w:w="3731" w:type="dxa"/>
          </w:tcPr>
          <w:p w14:paraId="12FBC2F3" w14:textId="002CBB5C" w:rsidR="00EB5688" w:rsidRDefault="00E76A32" w:rsidP="00EB5688">
            <w:pPr>
              <w:pStyle w:val="a7"/>
              <w:spacing w:line="240" w:lineRule="auto"/>
              <w:ind w:firstLine="0"/>
            </w:pPr>
            <w:r w:rsidRPr="00E76A32">
              <w:t>Алмазэргиэнбанк</w:t>
            </w:r>
            <w:r>
              <w:t xml:space="preserve">, </w:t>
            </w:r>
            <w:r w:rsidRPr="00E76A32">
              <w:t>Совкомбанк</w:t>
            </w:r>
            <w:r w:rsidR="00986D7C">
              <w:t>, Росбанк</w:t>
            </w:r>
          </w:p>
        </w:tc>
      </w:tr>
      <w:tr w:rsidR="00EB5688" w14:paraId="3509D117" w14:textId="77777777" w:rsidTr="006174B7">
        <w:tc>
          <w:tcPr>
            <w:tcW w:w="5613" w:type="dxa"/>
          </w:tcPr>
          <w:p w14:paraId="6941F70A" w14:textId="44389702" w:rsidR="00EB5688" w:rsidRDefault="00986D7C" w:rsidP="002D4BF0">
            <w:pPr>
              <w:pStyle w:val="a7"/>
              <w:spacing w:line="240" w:lineRule="auto"/>
              <w:ind w:firstLine="0"/>
            </w:pPr>
            <w:r w:rsidRPr="00986D7C">
              <w:t>Развитие ипотечного кредитования для улучшения</w:t>
            </w:r>
            <w:r w:rsidRPr="00986D7C">
              <w:br/>
              <w:t>жилищных условий, в том числе на основе программы</w:t>
            </w:r>
            <w:r w:rsidR="006174B7">
              <w:t xml:space="preserve"> </w:t>
            </w:r>
            <w:r w:rsidRPr="00986D7C">
              <w:t>государственной поддержки</w:t>
            </w:r>
          </w:p>
        </w:tc>
        <w:tc>
          <w:tcPr>
            <w:tcW w:w="3731" w:type="dxa"/>
          </w:tcPr>
          <w:p w14:paraId="22AF2ACD" w14:textId="33D0D195" w:rsidR="00EB5688" w:rsidRDefault="00986D7C" w:rsidP="00EB5688">
            <w:pPr>
              <w:pStyle w:val="a7"/>
              <w:spacing w:line="240" w:lineRule="auto"/>
              <w:ind w:firstLine="0"/>
            </w:pPr>
            <w:r>
              <w:t>Росбанк</w:t>
            </w:r>
          </w:p>
        </w:tc>
      </w:tr>
    </w:tbl>
    <w:p w14:paraId="46582FFE" w14:textId="42ABA31D" w:rsidR="00807731" w:rsidRPr="002B6857" w:rsidRDefault="00807731" w:rsidP="00807731">
      <w:pPr>
        <w:pStyle w:val="a7"/>
        <w:spacing w:line="240" w:lineRule="auto"/>
        <w:rPr>
          <w:sz w:val="22"/>
          <w:szCs w:val="22"/>
        </w:rPr>
      </w:pPr>
      <w:r>
        <w:rPr>
          <w:sz w:val="22"/>
          <w:szCs w:val="22"/>
        </w:rPr>
        <w:t xml:space="preserve">Источник: составлено авторами по </w:t>
      </w:r>
      <w:r w:rsidR="00C222C1" w:rsidRPr="000452E4">
        <w:t>[18-27]</w:t>
      </w:r>
    </w:p>
    <w:p w14:paraId="1179FA41" w14:textId="57AD124F" w:rsidR="00986D7C" w:rsidRDefault="00AA2982" w:rsidP="00986D7C">
      <w:pPr>
        <w:pStyle w:val="a7"/>
        <w:spacing w:line="240" w:lineRule="auto"/>
      </w:pPr>
      <w:r>
        <w:t xml:space="preserve">Среди показателей, упомянутых в качестве достижения вклада в ЦУР 8 </w:t>
      </w:r>
      <w:r w:rsidRPr="00973C94">
        <w:t>Достойная работа и экономический рост</w:t>
      </w:r>
      <w:r>
        <w:t xml:space="preserve">» </w:t>
      </w:r>
      <w:r w:rsidR="00D269C5">
        <w:t xml:space="preserve">организации финансового сектора отражают </w:t>
      </w:r>
      <w:r w:rsidR="00986D7C">
        <w:t>количество сотрудников, прошедших дистанционное обучение по охране труда в сертифицированном учебном центре</w:t>
      </w:r>
      <w:r w:rsidR="00D269C5">
        <w:t xml:space="preserve"> (Московская биржа)</w:t>
      </w:r>
      <w:r w:rsidR="00986D7C">
        <w:t>; утверждение новых документов системы управления в области охраны труда ISO 45001</w:t>
      </w:r>
      <w:r w:rsidR="00D269C5">
        <w:t xml:space="preserve"> (Московская биржа); </w:t>
      </w:r>
      <w:r w:rsidR="00986D7C">
        <w:t>число занятых сотрудников (</w:t>
      </w:r>
      <w:r w:rsidR="00986D7C" w:rsidRPr="00F14634">
        <w:t>АК Барс Банк</w:t>
      </w:r>
      <w:r w:rsidR="00986D7C">
        <w:t xml:space="preserve">, </w:t>
      </w:r>
      <w:r w:rsidR="00986D7C" w:rsidRPr="00F14634">
        <w:t>Алмазэргиэнбанк</w:t>
      </w:r>
      <w:r w:rsidR="00986D7C">
        <w:t>); численность клиентов-субъектов МСП (</w:t>
      </w:r>
      <w:r w:rsidR="00986D7C" w:rsidRPr="00F14634">
        <w:t>Алмазэргиэнбанк</w:t>
      </w:r>
      <w:r w:rsidR="00986D7C">
        <w:t xml:space="preserve">); число соглашений с ВУЗами (ВТБ Банк); количество </w:t>
      </w:r>
      <w:r w:rsidR="00986D7C" w:rsidRPr="00986D7C">
        <w:t>спонсорских и благотворительных</w:t>
      </w:r>
      <w:r w:rsidR="00986D7C">
        <w:t xml:space="preserve"> </w:t>
      </w:r>
      <w:r w:rsidR="00986D7C" w:rsidRPr="00986D7C">
        <w:t>экопроектов с партнерами</w:t>
      </w:r>
      <w:r w:rsidR="00986D7C">
        <w:t xml:space="preserve">, в том числе их объем финансирования </w:t>
      </w:r>
      <w:r w:rsidR="00D269C5">
        <w:t>(</w:t>
      </w:r>
      <w:r w:rsidR="00986D7C">
        <w:t>ВТБ Банк); число посетителей образовательного портала «Ближе к делу» (ВТБ Банк).</w:t>
      </w:r>
      <w:r w:rsidR="006174B7">
        <w:t xml:space="preserve"> В отчете Банка ВТБ также указан объем финансирования в реализацию ЦУР, направленный на  спонсорство и благотворительность в размере </w:t>
      </w:r>
      <w:r w:rsidR="00986D7C" w:rsidRPr="00986D7C">
        <w:t>174,6 млн рублей</w:t>
      </w:r>
      <w:r w:rsidR="006174B7">
        <w:t>. Далее в таблице 2 рассмотрим, какой вклад декларируют российские организации финансового сектора в достижение ЦУР 9 «</w:t>
      </w:r>
      <w:r w:rsidR="006174B7" w:rsidRPr="00973C94">
        <w:t>Достойная работа и экономический рост</w:t>
      </w:r>
      <w:r w:rsidR="006174B7">
        <w:t>».</w:t>
      </w:r>
    </w:p>
    <w:p w14:paraId="75435D2B" w14:textId="77777777" w:rsidR="003C6825" w:rsidRDefault="00483AF0" w:rsidP="003C6825">
      <w:pPr>
        <w:pStyle w:val="a7"/>
        <w:spacing w:line="240" w:lineRule="auto"/>
        <w:jc w:val="right"/>
      </w:pPr>
      <w:r>
        <w:t>Таблица 2</w:t>
      </w:r>
    </w:p>
    <w:p w14:paraId="64F77C36" w14:textId="77777777" w:rsidR="003C6825" w:rsidRDefault="003C6825" w:rsidP="003C6825">
      <w:pPr>
        <w:pStyle w:val="a7"/>
        <w:spacing w:line="240" w:lineRule="auto"/>
        <w:jc w:val="right"/>
      </w:pPr>
    </w:p>
    <w:p w14:paraId="618F18C6" w14:textId="57ED3047" w:rsidR="00483AF0" w:rsidRDefault="00483AF0" w:rsidP="003C6825">
      <w:pPr>
        <w:pStyle w:val="a7"/>
        <w:spacing w:after="240" w:line="240" w:lineRule="auto"/>
        <w:jc w:val="center"/>
      </w:pPr>
      <w:r>
        <w:t>Вклад организаций российского финансового сектора в достижение ЦУР 9 «</w:t>
      </w:r>
      <w:r w:rsidR="006174B7" w:rsidRPr="00973C94">
        <w:t>Индустриализация, инновации и инфраструктура</w:t>
      </w:r>
      <w:r>
        <w:t>»</w:t>
      </w:r>
    </w:p>
    <w:tbl>
      <w:tblPr>
        <w:tblStyle w:val="a8"/>
        <w:tblW w:w="0" w:type="auto"/>
        <w:tblLook w:val="04A0" w:firstRow="1" w:lastRow="0" w:firstColumn="1" w:lastColumn="0" w:noHBand="0" w:noVBand="1"/>
      </w:tblPr>
      <w:tblGrid>
        <w:gridCol w:w="5617"/>
        <w:gridCol w:w="3727"/>
      </w:tblGrid>
      <w:tr w:rsidR="006174B7" w14:paraId="5CAAA05C" w14:textId="77777777" w:rsidTr="006174B7">
        <w:tc>
          <w:tcPr>
            <w:tcW w:w="5617" w:type="dxa"/>
          </w:tcPr>
          <w:p w14:paraId="1FF5D423" w14:textId="536CB9E1" w:rsidR="006174B7" w:rsidRDefault="006174B7" w:rsidP="006174B7">
            <w:pPr>
              <w:pStyle w:val="a7"/>
              <w:spacing w:line="240" w:lineRule="auto"/>
              <w:ind w:firstLine="0"/>
            </w:pPr>
            <w:r>
              <w:t>Направления вклада в достижение ЦУР</w:t>
            </w:r>
          </w:p>
        </w:tc>
        <w:tc>
          <w:tcPr>
            <w:tcW w:w="3727" w:type="dxa"/>
          </w:tcPr>
          <w:p w14:paraId="34D7FA50" w14:textId="0D23BCC4" w:rsidR="006174B7" w:rsidRPr="00EB5688" w:rsidRDefault="006174B7" w:rsidP="006174B7">
            <w:pPr>
              <w:pStyle w:val="a7"/>
              <w:spacing w:line="240" w:lineRule="auto"/>
              <w:ind w:firstLine="0"/>
            </w:pPr>
            <w:r>
              <w:t>Организации</w:t>
            </w:r>
          </w:p>
        </w:tc>
      </w:tr>
      <w:tr w:rsidR="006174B7" w14:paraId="356C419B" w14:textId="77777777" w:rsidTr="006174B7">
        <w:tc>
          <w:tcPr>
            <w:tcW w:w="5617" w:type="dxa"/>
          </w:tcPr>
          <w:p w14:paraId="245C7687" w14:textId="3A399D2B" w:rsidR="006174B7" w:rsidRDefault="006174B7" w:rsidP="006174B7">
            <w:pPr>
              <w:pStyle w:val="a7"/>
              <w:spacing w:line="240" w:lineRule="auto"/>
              <w:ind w:firstLine="0"/>
            </w:pPr>
            <w:r>
              <w:t xml:space="preserve">Развитие устойчивого, ответственного, </w:t>
            </w:r>
            <w:r w:rsidRPr="00483AF0">
              <w:t>зеленого финансирования</w:t>
            </w:r>
          </w:p>
        </w:tc>
        <w:tc>
          <w:tcPr>
            <w:tcW w:w="3727" w:type="dxa"/>
          </w:tcPr>
          <w:p w14:paraId="0A3BDBCF" w14:textId="7957A658" w:rsidR="006174B7" w:rsidRPr="00F30228" w:rsidRDefault="006174B7" w:rsidP="006174B7">
            <w:pPr>
              <w:pStyle w:val="a7"/>
              <w:spacing w:line="240" w:lineRule="auto"/>
              <w:ind w:firstLine="0"/>
            </w:pPr>
            <w:r>
              <w:t>Московский кредитный банк,</w:t>
            </w:r>
            <w:r w:rsidRPr="00FF016F">
              <w:t xml:space="preserve"> Московская Биржа</w:t>
            </w:r>
            <w:r>
              <w:t>, Росбанк</w:t>
            </w:r>
          </w:p>
        </w:tc>
      </w:tr>
      <w:tr w:rsidR="006174B7" w14:paraId="112F59CB" w14:textId="77777777" w:rsidTr="006174B7">
        <w:tc>
          <w:tcPr>
            <w:tcW w:w="5617" w:type="dxa"/>
          </w:tcPr>
          <w:p w14:paraId="717ABAD3" w14:textId="4FC47672" w:rsidR="006174B7" w:rsidRDefault="006174B7" w:rsidP="006174B7">
            <w:pPr>
              <w:pStyle w:val="a7"/>
              <w:spacing w:line="240" w:lineRule="auto"/>
              <w:ind w:firstLine="0"/>
            </w:pPr>
            <w:r w:rsidRPr="00623B62">
              <w:t xml:space="preserve">Разработка методики </w:t>
            </w:r>
            <w:r w:rsidRPr="00623B62">
              <w:br/>
              <w:t>ESG-индекса</w:t>
            </w:r>
          </w:p>
        </w:tc>
        <w:tc>
          <w:tcPr>
            <w:tcW w:w="3727" w:type="dxa"/>
          </w:tcPr>
          <w:p w14:paraId="0C5E1A9B" w14:textId="6C2AE641" w:rsidR="006174B7" w:rsidRDefault="006174B7" w:rsidP="006174B7">
            <w:pPr>
              <w:pStyle w:val="a7"/>
              <w:spacing w:line="240" w:lineRule="auto"/>
              <w:ind w:firstLine="0"/>
            </w:pPr>
            <w:r w:rsidRPr="00FF016F">
              <w:t>Московская Биржа</w:t>
            </w:r>
          </w:p>
        </w:tc>
      </w:tr>
      <w:tr w:rsidR="006174B7" w14:paraId="05C1124F" w14:textId="77777777" w:rsidTr="006174B7">
        <w:tc>
          <w:tcPr>
            <w:tcW w:w="5617" w:type="dxa"/>
          </w:tcPr>
          <w:p w14:paraId="60947E09" w14:textId="0A80A8D3" w:rsidR="006174B7" w:rsidRDefault="006174B7" w:rsidP="006174B7">
            <w:pPr>
              <w:pStyle w:val="a7"/>
              <w:spacing w:line="240" w:lineRule="auto"/>
              <w:ind w:firstLine="0"/>
            </w:pPr>
            <w:r>
              <w:t>Цифровая трансформация оказываемых финансовых услуг</w:t>
            </w:r>
          </w:p>
        </w:tc>
        <w:tc>
          <w:tcPr>
            <w:tcW w:w="3727" w:type="dxa"/>
          </w:tcPr>
          <w:p w14:paraId="3BB40F70" w14:textId="63F94C53" w:rsidR="006174B7" w:rsidRDefault="006174B7" w:rsidP="006174B7">
            <w:pPr>
              <w:pStyle w:val="a7"/>
              <w:spacing w:line="240" w:lineRule="auto"/>
              <w:ind w:firstLine="0"/>
            </w:pPr>
            <w:r>
              <w:t xml:space="preserve">Московский кредитный банк, </w:t>
            </w:r>
            <w:r w:rsidRPr="00F30228">
              <w:t>АК Барс Банк</w:t>
            </w:r>
            <w:r>
              <w:t>,</w:t>
            </w:r>
            <w:r w:rsidRPr="00E76A32">
              <w:t xml:space="preserve"> Алмазэргиэнбанк</w:t>
            </w:r>
          </w:p>
        </w:tc>
      </w:tr>
      <w:tr w:rsidR="006174B7" w14:paraId="50B9BB13" w14:textId="77777777" w:rsidTr="006174B7">
        <w:tc>
          <w:tcPr>
            <w:tcW w:w="5617" w:type="dxa"/>
          </w:tcPr>
          <w:p w14:paraId="5797E0F2" w14:textId="53FD04EF" w:rsidR="006174B7" w:rsidRDefault="006174B7" w:rsidP="006174B7">
            <w:pPr>
              <w:pStyle w:val="a7"/>
              <w:spacing w:line="240" w:lineRule="auto"/>
              <w:ind w:firstLine="0"/>
            </w:pPr>
            <w:r>
              <w:t>Рост кредитования инновационных и инфраструктурных проектов, содействие в информировании о льготных программах финансирования</w:t>
            </w:r>
          </w:p>
        </w:tc>
        <w:tc>
          <w:tcPr>
            <w:tcW w:w="3727" w:type="dxa"/>
          </w:tcPr>
          <w:p w14:paraId="789D9713" w14:textId="41A17E98" w:rsidR="006174B7" w:rsidRDefault="006174B7" w:rsidP="006174B7">
            <w:pPr>
              <w:pStyle w:val="a7"/>
              <w:spacing w:line="240" w:lineRule="auto"/>
              <w:ind w:firstLine="0"/>
            </w:pPr>
            <w:r w:rsidRPr="00E76A32">
              <w:t>Совкомбанк</w:t>
            </w:r>
          </w:p>
        </w:tc>
      </w:tr>
    </w:tbl>
    <w:p w14:paraId="4F1DA071" w14:textId="27E3BBF3" w:rsidR="00807731" w:rsidRPr="002B6857" w:rsidRDefault="00807731" w:rsidP="00807731">
      <w:pPr>
        <w:pStyle w:val="a7"/>
        <w:spacing w:line="240" w:lineRule="auto"/>
        <w:rPr>
          <w:sz w:val="22"/>
          <w:szCs w:val="22"/>
        </w:rPr>
      </w:pPr>
      <w:r>
        <w:rPr>
          <w:sz w:val="22"/>
          <w:szCs w:val="22"/>
        </w:rPr>
        <w:t xml:space="preserve">Источник: составлено авторами по </w:t>
      </w:r>
      <w:r w:rsidR="00C222C1" w:rsidRPr="000452E4">
        <w:t>[18-27]</w:t>
      </w:r>
    </w:p>
    <w:p w14:paraId="24EF5877" w14:textId="78E36257" w:rsidR="006174B7" w:rsidRDefault="00623B62" w:rsidP="006174B7">
      <w:pPr>
        <w:pStyle w:val="a7"/>
        <w:spacing w:line="240" w:lineRule="auto"/>
      </w:pPr>
      <w:r>
        <w:t>Среди показателей, упомянутых в качестве достижения вклада в ЦУР 9 «</w:t>
      </w:r>
      <w:r w:rsidRPr="00973C94">
        <w:t>Достойная работа и экономический рост</w:t>
      </w:r>
      <w:r>
        <w:t xml:space="preserve">» организации финансового сектора отражают количество зарегистрированных физических лиц, которые используют два или более рынков, количество охваченных финансовыми услугами городов, объем новых выпусков первичного размещения в секторе устойчивого развития, объем размещенных ценных бумаг в секторе роста (Московская биржа); </w:t>
      </w:r>
      <w:r w:rsidR="00415111">
        <w:t xml:space="preserve">стоимостной объем портфеля ответственного финансирования (Московский кредитный банк); </w:t>
      </w:r>
      <w:r>
        <w:t>число пользователей банковского мобильного приложения (</w:t>
      </w:r>
      <w:r w:rsidRPr="00F14634">
        <w:t>Алмазэргиэнбанк</w:t>
      </w:r>
      <w:r>
        <w:t xml:space="preserve">); рост суммы быстрых кредитов, процент увеличения кредитного портфеля (Банк ВТБ). </w:t>
      </w:r>
      <w:r w:rsidR="006174B7">
        <w:t xml:space="preserve"> Далее в таблице 3 рассмотрим, какой вклад декларируют российские организации финансового сектора в достижение ЦУР 13 «</w:t>
      </w:r>
      <w:r w:rsidR="006174B7" w:rsidRPr="000D2CF8">
        <w:t>Борьба с изменением климата</w:t>
      </w:r>
      <w:r w:rsidR="006174B7">
        <w:t>».</w:t>
      </w:r>
    </w:p>
    <w:p w14:paraId="426DFA13" w14:textId="77777777" w:rsidR="003C6825" w:rsidRDefault="00194F8C" w:rsidP="003C6825">
      <w:pPr>
        <w:pStyle w:val="a7"/>
        <w:spacing w:after="240" w:line="240" w:lineRule="auto"/>
        <w:jc w:val="right"/>
      </w:pPr>
      <w:r>
        <w:t>Таблица 3</w:t>
      </w:r>
    </w:p>
    <w:p w14:paraId="6B491C9D" w14:textId="3E5697AE" w:rsidR="00194F8C" w:rsidRDefault="00194F8C" w:rsidP="003C6825">
      <w:pPr>
        <w:pStyle w:val="a7"/>
        <w:spacing w:after="240" w:line="240" w:lineRule="auto"/>
        <w:jc w:val="center"/>
      </w:pPr>
      <w:r>
        <w:t xml:space="preserve">Вклад организаций российского финансового сектора в достижение </w:t>
      </w:r>
      <w:r w:rsidR="001E0856">
        <w:t>ЦУР 13 «</w:t>
      </w:r>
      <w:r w:rsidR="001E0856" w:rsidRPr="000D2CF8">
        <w:t>Борьба с изменением климата</w:t>
      </w:r>
      <w:r w:rsidR="001E0856">
        <w:t>»</w:t>
      </w:r>
    </w:p>
    <w:tbl>
      <w:tblPr>
        <w:tblStyle w:val="a8"/>
        <w:tblW w:w="0" w:type="auto"/>
        <w:tblLook w:val="04A0" w:firstRow="1" w:lastRow="0" w:firstColumn="1" w:lastColumn="0" w:noHBand="0" w:noVBand="1"/>
      </w:tblPr>
      <w:tblGrid>
        <w:gridCol w:w="5524"/>
        <w:gridCol w:w="3820"/>
      </w:tblGrid>
      <w:tr w:rsidR="00807731" w14:paraId="56F052A2" w14:textId="77777777" w:rsidTr="003C6825">
        <w:trPr>
          <w:tblHeader/>
        </w:trPr>
        <w:tc>
          <w:tcPr>
            <w:tcW w:w="5524" w:type="dxa"/>
          </w:tcPr>
          <w:p w14:paraId="5685B10D" w14:textId="5D635856" w:rsidR="00807731" w:rsidRDefault="00807731" w:rsidP="00807731">
            <w:pPr>
              <w:pStyle w:val="a7"/>
              <w:spacing w:line="240" w:lineRule="auto"/>
              <w:ind w:firstLine="0"/>
            </w:pPr>
            <w:r>
              <w:t>Направления вклада в достижение ЦУР</w:t>
            </w:r>
          </w:p>
        </w:tc>
        <w:tc>
          <w:tcPr>
            <w:tcW w:w="3820" w:type="dxa"/>
          </w:tcPr>
          <w:p w14:paraId="61E630F0" w14:textId="4740C2DE" w:rsidR="00807731" w:rsidRPr="00EB5688" w:rsidRDefault="00807731" w:rsidP="00807731">
            <w:pPr>
              <w:pStyle w:val="a7"/>
              <w:spacing w:line="240" w:lineRule="auto"/>
              <w:ind w:firstLine="0"/>
            </w:pPr>
            <w:r>
              <w:t>Организации</w:t>
            </w:r>
          </w:p>
        </w:tc>
      </w:tr>
      <w:tr w:rsidR="00807731" w14:paraId="6814E2EB" w14:textId="77777777" w:rsidTr="008E7470">
        <w:tc>
          <w:tcPr>
            <w:tcW w:w="5524" w:type="dxa"/>
          </w:tcPr>
          <w:p w14:paraId="08CF648B" w14:textId="5789C4FE" w:rsidR="00807731" w:rsidRDefault="00807731" w:rsidP="00807731">
            <w:pPr>
              <w:pStyle w:val="a7"/>
              <w:spacing w:line="240" w:lineRule="auto"/>
              <w:ind w:firstLine="0"/>
            </w:pPr>
            <w:r>
              <w:t xml:space="preserve">Расчет углеродного следа и реализация </w:t>
            </w:r>
          </w:p>
          <w:p w14:paraId="70354A6A" w14:textId="1750EFC1" w:rsidR="00807731" w:rsidRDefault="00807731" w:rsidP="00807731">
            <w:pPr>
              <w:pStyle w:val="a7"/>
              <w:spacing w:line="240" w:lineRule="auto"/>
              <w:ind w:firstLine="0"/>
            </w:pPr>
            <w:r>
              <w:t>мероприятий по его сокращению</w:t>
            </w:r>
          </w:p>
        </w:tc>
        <w:tc>
          <w:tcPr>
            <w:tcW w:w="3820" w:type="dxa"/>
          </w:tcPr>
          <w:p w14:paraId="63E5204C" w14:textId="2BF98D05" w:rsidR="00807731" w:rsidRPr="00F30228" w:rsidRDefault="00807731" w:rsidP="00DA6ABA">
            <w:pPr>
              <w:pStyle w:val="a7"/>
              <w:spacing w:line="240" w:lineRule="auto"/>
              <w:ind w:firstLine="0"/>
            </w:pPr>
            <w:r w:rsidRPr="00F30228">
              <w:t>АК Барс Банк</w:t>
            </w:r>
            <w:r>
              <w:t xml:space="preserve">, </w:t>
            </w:r>
            <w:r w:rsidRPr="00E76A32">
              <w:t>Алмазэргиэнбанк</w:t>
            </w:r>
            <w:r>
              <w:t xml:space="preserve">, </w:t>
            </w:r>
            <w:r w:rsidRPr="00E76A32">
              <w:t>Совкомбанк</w:t>
            </w:r>
          </w:p>
        </w:tc>
      </w:tr>
      <w:tr w:rsidR="00807731" w14:paraId="062345A7" w14:textId="77777777" w:rsidTr="008E7470">
        <w:tc>
          <w:tcPr>
            <w:tcW w:w="5524" w:type="dxa"/>
          </w:tcPr>
          <w:p w14:paraId="04522D03" w14:textId="3280A8BB" w:rsidR="00807731" w:rsidRDefault="00807731" w:rsidP="00807731">
            <w:pPr>
              <w:pStyle w:val="a7"/>
              <w:spacing w:line="240" w:lineRule="auto"/>
              <w:ind w:firstLine="0"/>
            </w:pPr>
            <w:r w:rsidRPr="004A58B4">
              <w:t>Финансирование проектов</w:t>
            </w:r>
            <w:r>
              <w:t xml:space="preserve"> </w:t>
            </w:r>
            <w:r w:rsidRPr="004A58B4">
              <w:t xml:space="preserve">для перехода </w:t>
            </w:r>
            <w:r w:rsidRPr="004A58B4">
              <w:br/>
              <w:t>к низкоуглеродной экономике</w:t>
            </w:r>
          </w:p>
        </w:tc>
        <w:tc>
          <w:tcPr>
            <w:tcW w:w="3820" w:type="dxa"/>
          </w:tcPr>
          <w:p w14:paraId="5F95852F" w14:textId="2D10448E" w:rsidR="00807731" w:rsidRDefault="00807731" w:rsidP="00807731">
            <w:pPr>
              <w:pStyle w:val="a7"/>
              <w:spacing w:line="240" w:lineRule="auto"/>
              <w:ind w:firstLine="0"/>
            </w:pPr>
            <w:r>
              <w:t xml:space="preserve">Московский кредитный банк, </w:t>
            </w:r>
            <w:r w:rsidRPr="00F30228">
              <w:t>АК Барс Банк</w:t>
            </w:r>
            <w:r>
              <w:t xml:space="preserve">, </w:t>
            </w:r>
            <w:r w:rsidRPr="00E76A32">
              <w:t>Совкомбанк</w:t>
            </w:r>
          </w:p>
        </w:tc>
      </w:tr>
      <w:tr w:rsidR="00807731" w14:paraId="6895ABF7" w14:textId="77777777" w:rsidTr="008E7470">
        <w:tc>
          <w:tcPr>
            <w:tcW w:w="5524" w:type="dxa"/>
          </w:tcPr>
          <w:p w14:paraId="6D8D9FAC" w14:textId="7694BABF" w:rsidR="00807731" w:rsidRPr="004A58B4" w:rsidRDefault="00807731" w:rsidP="00807731">
            <w:pPr>
              <w:pStyle w:val="a7"/>
              <w:spacing w:line="240" w:lineRule="auto"/>
              <w:ind w:firstLine="0"/>
            </w:pPr>
            <w:r>
              <w:t>В</w:t>
            </w:r>
            <w:r w:rsidRPr="002F6E1A">
              <w:t>недрение метрик мониторинга</w:t>
            </w:r>
            <w:r w:rsidRPr="002F6E1A">
              <w:br/>
              <w:t>климатических рисков</w:t>
            </w:r>
            <w:r>
              <w:t xml:space="preserve">, проведение сценарного анализа </w:t>
            </w:r>
          </w:p>
        </w:tc>
        <w:tc>
          <w:tcPr>
            <w:tcW w:w="3820" w:type="dxa"/>
          </w:tcPr>
          <w:p w14:paraId="6D336AD0" w14:textId="6DEE10E8" w:rsidR="00807731" w:rsidRPr="00EB5688" w:rsidRDefault="00807731" w:rsidP="00807731">
            <w:pPr>
              <w:pStyle w:val="a7"/>
              <w:spacing w:line="240" w:lineRule="auto"/>
              <w:ind w:firstLine="0"/>
            </w:pPr>
            <w:r>
              <w:t>Московская биржа</w:t>
            </w:r>
          </w:p>
        </w:tc>
      </w:tr>
      <w:tr w:rsidR="00807731" w14:paraId="5FF52439" w14:textId="77777777" w:rsidTr="008E7470">
        <w:tc>
          <w:tcPr>
            <w:tcW w:w="5524" w:type="dxa"/>
          </w:tcPr>
          <w:p w14:paraId="1233C886" w14:textId="32FF2B26" w:rsidR="00807731" w:rsidRDefault="00807731" w:rsidP="00807731">
            <w:pPr>
              <w:pStyle w:val="a7"/>
              <w:spacing w:line="240" w:lineRule="auto"/>
              <w:ind w:firstLine="0"/>
            </w:pPr>
            <w:r>
              <w:t>Закуп сертифицированной офисной бумаги</w:t>
            </w:r>
          </w:p>
        </w:tc>
        <w:tc>
          <w:tcPr>
            <w:tcW w:w="3820" w:type="dxa"/>
          </w:tcPr>
          <w:p w14:paraId="1373E3C1" w14:textId="0B6B2745" w:rsidR="00807731" w:rsidRDefault="00807731" w:rsidP="00807731">
            <w:pPr>
              <w:pStyle w:val="a7"/>
              <w:spacing w:line="240" w:lineRule="auto"/>
              <w:ind w:firstLine="0"/>
            </w:pPr>
            <w:r w:rsidRPr="00F30228">
              <w:t>АК Барс Банк</w:t>
            </w:r>
            <w:r>
              <w:t xml:space="preserve"> </w:t>
            </w:r>
          </w:p>
        </w:tc>
      </w:tr>
      <w:tr w:rsidR="00807731" w14:paraId="3A52A974" w14:textId="77777777" w:rsidTr="008E7470">
        <w:tc>
          <w:tcPr>
            <w:tcW w:w="5524" w:type="dxa"/>
          </w:tcPr>
          <w:p w14:paraId="5A7B98FD" w14:textId="0DCCFD0B" w:rsidR="00807731" w:rsidRDefault="00807731" w:rsidP="00807731">
            <w:pPr>
              <w:pStyle w:val="a7"/>
              <w:spacing w:line="240" w:lineRule="auto"/>
              <w:ind w:firstLine="0"/>
            </w:pPr>
            <w:r>
              <w:t>Сокращение количества используемых ресурсов</w:t>
            </w:r>
          </w:p>
        </w:tc>
        <w:tc>
          <w:tcPr>
            <w:tcW w:w="3820" w:type="dxa"/>
          </w:tcPr>
          <w:p w14:paraId="52A90C88" w14:textId="014EF2D8" w:rsidR="00807731" w:rsidRDefault="00807731" w:rsidP="00807731">
            <w:pPr>
              <w:pStyle w:val="a7"/>
              <w:spacing w:line="240" w:lineRule="auto"/>
              <w:ind w:firstLine="0"/>
            </w:pPr>
            <w:r w:rsidRPr="00F30228">
              <w:t>АК Барс Банк</w:t>
            </w:r>
          </w:p>
        </w:tc>
      </w:tr>
      <w:tr w:rsidR="00807731" w14:paraId="2E7781D1" w14:textId="77777777" w:rsidTr="008E7470">
        <w:tc>
          <w:tcPr>
            <w:tcW w:w="5524" w:type="dxa"/>
          </w:tcPr>
          <w:p w14:paraId="3731BCF6" w14:textId="7D3C7B1F" w:rsidR="00807731" w:rsidRDefault="00807731" w:rsidP="00807731">
            <w:pPr>
              <w:pStyle w:val="a7"/>
              <w:spacing w:line="240" w:lineRule="auto"/>
              <w:ind w:firstLine="0"/>
            </w:pPr>
            <w:r>
              <w:t>Утверждение таксономии «зеленых» и адаптационных проектов Банка</w:t>
            </w:r>
          </w:p>
        </w:tc>
        <w:tc>
          <w:tcPr>
            <w:tcW w:w="3820" w:type="dxa"/>
          </w:tcPr>
          <w:p w14:paraId="0A2AFEA4" w14:textId="07A7ADC4" w:rsidR="00807731" w:rsidRPr="00F30228" w:rsidRDefault="00807731" w:rsidP="00807731">
            <w:pPr>
              <w:pStyle w:val="a7"/>
              <w:spacing w:line="240" w:lineRule="auto"/>
              <w:ind w:firstLine="0"/>
            </w:pPr>
            <w:r w:rsidRPr="00E76A32">
              <w:t>Алмазэргиэнбанк</w:t>
            </w:r>
          </w:p>
        </w:tc>
      </w:tr>
      <w:tr w:rsidR="00807731" w14:paraId="2E846C9F" w14:textId="77777777" w:rsidTr="008E7470">
        <w:tc>
          <w:tcPr>
            <w:tcW w:w="5524" w:type="dxa"/>
          </w:tcPr>
          <w:p w14:paraId="2C4B499D" w14:textId="3AB67509" w:rsidR="00807731" w:rsidRDefault="00807731" w:rsidP="00807731">
            <w:pPr>
              <w:pStyle w:val="a7"/>
              <w:spacing w:line="240" w:lineRule="auto"/>
              <w:ind w:firstLine="0"/>
            </w:pPr>
            <w:r w:rsidRPr="00467C87">
              <w:t>Помощь в снижении негативных последствий от стихийных бедствий</w:t>
            </w:r>
          </w:p>
        </w:tc>
        <w:tc>
          <w:tcPr>
            <w:tcW w:w="3820" w:type="dxa"/>
          </w:tcPr>
          <w:p w14:paraId="5F53D7A3" w14:textId="23490987" w:rsidR="00807731" w:rsidRPr="00F30228" w:rsidRDefault="00807731" w:rsidP="00807731">
            <w:pPr>
              <w:pStyle w:val="a7"/>
              <w:spacing w:line="240" w:lineRule="auto"/>
              <w:ind w:firstLine="0"/>
            </w:pPr>
            <w:r w:rsidRPr="00E76A32">
              <w:t>Совкомбанк</w:t>
            </w:r>
          </w:p>
        </w:tc>
      </w:tr>
      <w:tr w:rsidR="00807731" w14:paraId="72AC75FD" w14:textId="77777777" w:rsidTr="008E7470">
        <w:tc>
          <w:tcPr>
            <w:tcW w:w="5524" w:type="dxa"/>
          </w:tcPr>
          <w:p w14:paraId="430F8F0C" w14:textId="11641E2B" w:rsidR="00807731" w:rsidRPr="00467C87" w:rsidRDefault="00807731" w:rsidP="00807731">
            <w:pPr>
              <w:pStyle w:val="a7"/>
              <w:spacing w:line="240" w:lineRule="auto"/>
              <w:ind w:firstLine="0"/>
            </w:pPr>
            <w:r w:rsidRPr="006E487E">
              <w:t>Обеспечение льготного финансирования проектов, снижающих климатические риски российской экономики</w:t>
            </w:r>
          </w:p>
        </w:tc>
        <w:tc>
          <w:tcPr>
            <w:tcW w:w="3820" w:type="dxa"/>
          </w:tcPr>
          <w:p w14:paraId="46EFA57D" w14:textId="6A31BE72" w:rsidR="00807731" w:rsidRPr="00E76A32" w:rsidRDefault="00807731" w:rsidP="00807731">
            <w:pPr>
              <w:pStyle w:val="a7"/>
              <w:spacing w:line="240" w:lineRule="auto"/>
              <w:ind w:firstLine="0"/>
            </w:pPr>
            <w:r w:rsidRPr="00E76A32">
              <w:t>Совкомбанк</w:t>
            </w:r>
          </w:p>
        </w:tc>
      </w:tr>
      <w:tr w:rsidR="00807731" w14:paraId="50DE481F" w14:textId="77777777" w:rsidTr="008E7470">
        <w:tc>
          <w:tcPr>
            <w:tcW w:w="5524" w:type="dxa"/>
          </w:tcPr>
          <w:p w14:paraId="4EE47FCC" w14:textId="3529887D" w:rsidR="00807731" w:rsidRPr="006E487E" w:rsidRDefault="00807731" w:rsidP="00807731">
            <w:pPr>
              <w:pStyle w:val="a7"/>
              <w:spacing w:line="240" w:lineRule="auto"/>
              <w:ind w:firstLine="0"/>
            </w:pPr>
            <w:r w:rsidRPr="006934CC">
              <w:t>Финансирование экологически чистого транспорта и жилья</w:t>
            </w:r>
            <w:r w:rsidR="00DA6ABA">
              <w:t xml:space="preserve"> </w:t>
            </w:r>
            <w:r w:rsidRPr="006934CC">
              <w:t>классом энергоэффективности А и выше</w:t>
            </w:r>
          </w:p>
        </w:tc>
        <w:tc>
          <w:tcPr>
            <w:tcW w:w="3820" w:type="dxa"/>
          </w:tcPr>
          <w:p w14:paraId="2F0794A5" w14:textId="7F320BDA" w:rsidR="00807731" w:rsidRPr="00E76A32" w:rsidRDefault="00807731" w:rsidP="00807731">
            <w:pPr>
              <w:pStyle w:val="a7"/>
              <w:spacing w:line="240" w:lineRule="auto"/>
              <w:ind w:firstLine="0"/>
            </w:pPr>
            <w:r>
              <w:t>Росбанк</w:t>
            </w:r>
          </w:p>
        </w:tc>
      </w:tr>
      <w:tr w:rsidR="00807731" w14:paraId="7D9515B5" w14:textId="77777777" w:rsidTr="008E7470">
        <w:tc>
          <w:tcPr>
            <w:tcW w:w="5524" w:type="dxa"/>
          </w:tcPr>
          <w:p w14:paraId="7EF0375D" w14:textId="1B355AA8" w:rsidR="00807731" w:rsidRPr="006934CC" w:rsidRDefault="00807731" w:rsidP="00807731">
            <w:pPr>
              <w:pStyle w:val="a7"/>
              <w:spacing w:line="240" w:lineRule="auto"/>
              <w:ind w:firstLine="0"/>
            </w:pPr>
            <w:r w:rsidRPr="006934CC">
              <w:t>Программа лесовосстановления в партнёрстве с</w:t>
            </w:r>
            <w:r w:rsidRPr="006934CC">
              <w:br/>
              <w:t>Русклиматфондом</w:t>
            </w:r>
          </w:p>
        </w:tc>
        <w:tc>
          <w:tcPr>
            <w:tcW w:w="3820" w:type="dxa"/>
          </w:tcPr>
          <w:p w14:paraId="6088DD0D" w14:textId="7D6157EE" w:rsidR="00807731" w:rsidRDefault="00807731" w:rsidP="00807731">
            <w:pPr>
              <w:pStyle w:val="a7"/>
              <w:spacing w:line="240" w:lineRule="auto"/>
              <w:ind w:firstLine="0"/>
            </w:pPr>
            <w:r>
              <w:t>Росбанк</w:t>
            </w:r>
          </w:p>
        </w:tc>
      </w:tr>
      <w:tr w:rsidR="00807731" w14:paraId="314645E9" w14:textId="77777777" w:rsidTr="008E7470">
        <w:tc>
          <w:tcPr>
            <w:tcW w:w="5524" w:type="dxa"/>
          </w:tcPr>
          <w:p w14:paraId="5E4D5DBF" w14:textId="148E01B7" w:rsidR="00807731" w:rsidRPr="006934CC" w:rsidRDefault="00807731" w:rsidP="00807731">
            <w:pPr>
              <w:pStyle w:val="a7"/>
              <w:spacing w:line="240" w:lineRule="auto"/>
              <w:ind w:firstLine="0"/>
            </w:pPr>
            <w:r w:rsidRPr="006934CC">
              <w:t>Экологические мероприятия по очистке природных</w:t>
            </w:r>
            <w:r w:rsidRPr="006934CC">
              <w:br/>
              <w:t>территорий «Чистые игры»</w:t>
            </w:r>
          </w:p>
        </w:tc>
        <w:tc>
          <w:tcPr>
            <w:tcW w:w="3820" w:type="dxa"/>
          </w:tcPr>
          <w:p w14:paraId="591261FE" w14:textId="1B78ACB5" w:rsidR="00807731" w:rsidRDefault="00807731" w:rsidP="00807731">
            <w:pPr>
              <w:pStyle w:val="a7"/>
              <w:spacing w:line="240" w:lineRule="auto"/>
              <w:ind w:firstLine="0"/>
            </w:pPr>
            <w:r>
              <w:t>Росбанк</w:t>
            </w:r>
          </w:p>
        </w:tc>
      </w:tr>
      <w:tr w:rsidR="00807731" w14:paraId="1D1AE53A" w14:textId="77777777" w:rsidTr="008E7470">
        <w:tc>
          <w:tcPr>
            <w:tcW w:w="5524" w:type="dxa"/>
          </w:tcPr>
          <w:p w14:paraId="4C9E6C03" w14:textId="4531CA35" w:rsidR="00807731" w:rsidRPr="006934CC" w:rsidRDefault="00807731" w:rsidP="00807731">
            <w:pPr>
              <w:pStyle w:val="a7"/>
              <w:spacing w:line="240" w:lineRule="auto"/>
              <w:ind w:firstLine="0"/>
            </w:pPr>
            <w:r w:rsidRPr="006934CC">
              <w:t>Программы по отслеживанию и снижению негативного</w:t>
            </w:r>
            <w:r>
              <w:t xml:space="preserve"> </w:t>
            </w:r>
            <w:r w:rsidRPr="006934CC">
              <w:t>воздействия на окружающую среду за счёт</w:t>
            </w:r>
            <w:r>
              <w:t xml:space="preserve"> </w:t>
            </w:r>
            <w:r w:rsidRPr="006934CC">
              <w:t>модернизации</w:t>
            </w:r>
            <w:r>
              <w:t xml:space="preserve"> </w:t>
            </w:r>
            <w:r w:rsidRPr="006934CC">
              <w:t>оборудования и повышения энергоэффективности в зданиях</w:t>
            </w:r>
            <w:r>
              <w:t xml:space="preserve"> </w:t>
            </w:r>
            <w:r w:rsidRPr="006934CC">
              <w:t>головного офиса, региональных центров и отделений банка</w:t>
            </w:r>
          </w:p>
        </w:tc>
        <w:tc>
          <w:tcPr>
            <w:tcW w:w="3820" w:type="dxa"/>
          </w:tcPr>
          <w:p w14:paraId="74A29AD5" w14:textId="2825BA73" w:rsidR="00807731" w:rsidRDefault="00807731" w:rsidP="00807731">
            <w:pPr>
              <w:pStyle w:val="a7"/>
              <w:spacing w:line="240" w:lineRule="auto"/>
              <w:ind w:firstLine="0"/>
            </w:pPr>
            <w:r>
              <w:t>Росбанк</w:t>
            </w:r>
          </w:p>
        </w:tc>
      </w:tr>
    </w:tbl>
    <w:p w14:paraId="3EA0DDA7" w14:textId="4167F48A" w:rsidR="00807731" w:rsidRDefault="00807731" w:rsidP="00807731">
      <w:pPr>
        <w:pStyle w:val="a7"/>
        <w:spacing w:line="240" w:lineRule="auto"/>
      </w:pPr>
      <w:r>
        <w:rPr>
          <w:sz w:val="22"/>
          <w:szCs w:val="22"/>
        </w:rPr>
        <w:t xml:space="preserve">Источник: составлено авторами по </w:t>
      </w:r>
      <w:r w:rsidR="00C222C1" w:rsidRPr="000452E4">
        <w:t>[18-27]</w:t>
      </w:r>
    </w:p>
    <w:p w14:paraId="087AE11D" w14:textId="72BDA083" w:rsidR="002407EE" w:rsidRDefault="002407EE" w:rsidP="00807731">
      <w:pPr>
        <w:pStyle w:val="a7"/>
        <w:spacing w:line="240" w:lineRule="auto"/>
      </w:pPr>
      <w:r>
        <w:t>Таким образом, в результате анализа отчетов КСО можно выделить два направления системы управления устойчивого развития среди мероприятий, реализуемых корпоративным сектором для обеспечения вклада в устойчивое развитие, - внутреннее и внешнее. Для обеспечения вклада в ЦУР 8 «</w:t>
      </w:r>
      <w:r w:rsidRPr="00973C94">
        <w:t>Достойная работа и экономический рост</w:t>
      </w:r>
      <w:r>
        <w:t xml:space="preserve">» (8 организаций) внутреннее направление характеризуется созданием благоприятных условий труда </w:t>
      </w:r>
      <w:r w:rsidR="00790CF1">
        <w:t xml:space="preserve">и развития </w:t>
      </w:r>
      <w:r>
        <w:t xml:space="preserve">сотрудников </w:t>
      </w:r>
      <w:r w:rsidR="00790CF1">
        <w:t>организации</w:t>
      </w:r>
      <w:r>
        <w:t xml:space="preserve">, подготовка молодых кадров, по </w:t>
      </w:r>
      <w:r w:rsidRPr="00973C94">
        <w:t>ЦУР 9</w:t>
      </w:r>
      <w:r>
        <w:t xml:space="preserve"> «</w:t>
      </w:r>
      <w:r w:rsidRPr="00973C94">
        <w:t>Индустриализация, инновации и инфраструктура</w:t>
      </w:r>
      <w:r>
        <w:t>» данное направление предполагает развитие новых продуктов, цифровизацию бизнес-процессов, по ЦУР 13 «</w:t>
      </w:r>
      <w:r w:rsidRPr="000D2CF8">
        <w:t>Борьба с изменением климата</w:t>
      </w:r>
      <w:r w:rsidR="00790CF1">
        <w:t xml:space="preserve">» </w:t>
      </w:r>
      <w:r>
        <w:t xml:space="preserve">в рамках направления предполагается минимизация влияния деятельности организации на окружающую среду за счет применения </w:t>
      </w:r>
      <w:r w:rsidR="00790CF1">
        <w:t xml:space="preserve">позволяющих сократить углеродный след </w:t>
      </w:r>
      <w:r>
        <w:t>технологий зеленого офиса, энергоэффективности</w:t>
      </w:r>
      <w:r w:rsidR="00790CF1">
        <w:t xml:space="preserve"> и других</w:t>
      </w:r>
      <w:r>
        <w:t xml:space="preserve">. </w:t>
      </w:r>
    </w:p>
    <w:p w14:paraId="6495FD75" w14:textId="41D4025A" w:rsidR="002407EE" w:rsidRPr="002B6857" w:rsidRDefault="0087348A" w:rsidP="00807731">
      <w:pPr>
        <w:pStyle w:val="a7"/>
        <w:spacing w:line="240" w:lineRule="auto"/>
        <w:rPr>
          <w:sz w:val="22"/>
          <w:szCs w:val="22"/>
        </w:rPr>
      </w:pPr>
      <w:r>
        <w:t xml:space="preserve">Мероприятия </w:t>
      </w:r>
      <w:r w:rsidR="00DA6ABA">
        <w:t>в</w:t>
      </w:r>
      <w:r>
        <w:t>нешне</w:t>
      </w:r>
      <w:r w:rsidR="00DA6ABA">
        <w:t>го</w:t>
      </w:r>
      <w:r>
        <w:t xml:space="preserve"> направлени</w:t>
      </w:r>
      <w:r w:rsidR="00DA6ABA">
        <w:t>я для вклада в</w:t>
      </w:r>
      <w:r>
        <w:t xml:space="preserve"> ЦУР </w:t>
      </w:r>
      <w:r w:rsidR="002407EE">
        <w:t>8 «</w:t>
      </w:r>
      <w:r w:rsidR="002407EE" w:rsidRPr="00973C94">
        <w:t>Достойная работа и экономический рост</w:t>
      </w:r>
      <w:r w:rsidR="002407EE">
        <w:t xml:space="preserve">» </w:t>
      </w:r>
      <w:r w:rsidR="00DA6ABA">
        <w:t xml:space="preserve">предполагают вклад в социально-экономическое развитие регионов, для </w:t>
      </w:r>
      <w:r w:rsidR="00DA6ABA" w:rsidRPr="00973C94">
        <w:t>ЦУР 9</w:t>
      </w:r>
      <w:r w:rsidR="00DA6ABA">
        <w:t xml:space="preserve"> «</w:t>
      </w:r>
      <w:r w:rsidR="00DA6ABA" w:rsidRPr="00973C94">
        <w:t>Индустриализация, инновации и инфраструктура</w:t>
      </w:r>
      <w:r w:rsidR="00DA6ABA">
        <w:t>» - развитие программ ответственного, устойчивого и зеленого инвестирования, в рамках Ц</w:t>
      </w:r>
      <w:r w:rsidR="002407EE">
        <w:t>УР 13 «</w:t>
      </w:r>
      <w:r w:rsidR="002407EE" w:rsidRPr="000D2CF8">
        <w:t>Борьба с изменением климата</w:t>
      </w:r>
      <w:r w:rsidR="002407EE">
        <w:t>»</w:t>
      </w:r>
      <w:r w:rsidR="00DA6ABA">
        <w:t xml:space="preserve"> - минимизация влияния климатических рисков на окружающую среду региона, в том числе за счет реализации программ льготного кредитования, а также </w:t>
      </w:r>
      <w:r w:rsidR="002407EE">
        <w:t xml:space="preserve"> </w:t>
      </w:r>
      <w:r w:rsidR="00DA6ABA">
        <w:t>проведение экологических мероприятий по восстановлению экосистем на территории присутствия.</w:t>
      </w:r>
    </w:p>
    <w:p w14:paraId="5898896E" w14:textId="44F6CE98" w:rsidR="00807731" w:rsidRDefault="00807731" w:rsidP="00DD5489">
      <w:pPr>
        <w:pStyle w:val="a7"/>
        <w:spacing w:line="240" w:lineRule="auto"/>
        <w:rPr>
          <w:b/>
          <w:bCs/>
        </w:rPr>
      </w:pPr>
      <w:r w:rsidRPr="00807731">
        <w:t>Также необходимо подчеркнуть, что в отчетах КСО</w:t>
      </w:r>
      <w:r>
        <w:rPr>
          <w:b/>
          <w:bCs/>
        </w:rPr>
        <w:t xml:space="preserve"> </w:t>
      </w:r>
      <w:r>
        <w:t>организации российского финансового сектора раскрывают, что результаты системы управления устойчивым развитием</w:t>
      </w:r>
      <w:r w:rsidR="00034F2B">
        <w:t xml:space="preserve"> связаны со вкладом в Национальные проекты РФ</w:t>
      </w:r>
      <w:r w:rsidR="00DA6ABA">
        <w:t xml:space="preserve">, </w:t>
      </w:r>
      <w:r w:rsidR="00034F2B">
        <w:t xml:space="preserve">и </w:t>
      </w:r>
      <w:r w:rsidR="00790CF1">
        <w:t>Н</w:t>
      </w:r>
      <w:r w:rsidR="00034F2B">
        <w:t>ациональными целями развития России. При этом некоторые организации напрямую связывают свою деятельность со вкладом в национальные проекты «Образование», «Малое и среднее предпринимательство», «Наука и университеты», «Здоровье», «Жилье и городская среда», «</w:t>
      </w:r>
      <w:r w:rsidR="00034F2B" w:rsidRPr="00034F2B">
        <w:t>Экология»,</w:t>
      </w:r>
      <w:r w:rsidR="00DA6ABA">
        <w:t xml:space="preserve"> </w:t>
      </w:r>
      <w:r w:rsidR="00034F2B" w:rsidRPr="00034F2B">
        <w:t>«Цифровая экономика»</w:t>
      </w:r>
      <w:r w:rsidR="00DA6ABA">
        <w:t>.</w:t>
      </w:r>
    </w:p>
    <w:p w14:paraId="072E99FB" w14:textId="77777777" w:rsidR="00D201A5" w:rsidRDefault="00D201A5" w:rsidP="00DD5489">
      <w:pPr>
        <w:pStyle w:val="a7"/>
        <w:spacing w:line="240" w:lineRule="auto"/>
      </w:pPr>
      <w:r>
        <w:rPr>
          <w:b/>
        </w:rPr>
        <w:t>Выводы (заключение)</w:t>
      </w:r>
      <w:r>
        <w:t xml:space="preserve"> </w:t>
      </w:r>
    </w:p>
    <w:p w14:paraId="624FF804" w14:textId="24544787" w:rsidR="00B53CBC" w:rsidRDefault="00B53CBC" w:rsidP="00DD5489">
      <w:pPr>
        <w:pStyle w:val="a7"/>
        <w:spacing w:line="240" w:lineRule="auto"/>
      </w:pPr>
      <w:r>
        <w:t>Поиск материалов исследования, проведенный в несколько этапов, дает возможность определить сроки, в которые финансовые организации публикуют отчеты КСО. Отчеты за предыдущий год организации публикуют не раньше июня следующего года, поскольку на момент первого этапа ни одна из организаций не представила на своем официальном сайте отчета за 2023 год. Соответственно, пока сроки публикации финансовой отчетности опережают сроки публикации нефинансовой отчетности для финансовых организаций. Это можно связать с такими проблемами как сложность сбора данных и их обработки и последующего агрегирования, а также нехватк</w:t>
      </w:r>
      <w:r w:rsidR="00613DC6">
        <w:t>а</w:t>
      </w:r>
      <w:r>
        <w:t xml:space="preserve"> квалифицированных специалистов по оценке фактов, связанных с экологическими и социальными аспектами деятельности финансовых организаций. </w:t>
      </w:r>
    </w:p>
    <w:p w14:paraId="06D0F728" w14:textId="0D99E6F0" w:rsidR="00464CD2" w:rsidRDefault="00613DC6" w:rsidP="00464CD2">
      <w:pPr>
        <w:pStyle w:val="a7"/>
        <w:spacing w:line="240" w:lineRule="auto"/>
      </w:pPr>
      <w:r>
        <w:t xml:space="preserve">Стратегический фокус КСО и устойчивого развития среди российских финансовых организаций достаточно сложно идентифицировать, поскольку нельзя говорить о какой-либо </w:t>
      </w:r>
      <w:r w:rsidR="007C4D66">
        <w:t xml:space="preserve">единой </w:t>
      </w:r>
      <w:r>
        <w:t xml:space="preserve">стратегии выбора приоритетных ЦУР. Каждая организация выбирает разные ЦУР, при этом причина, по которой та или иная ЦУР приоритетна, </w:t>
      </w:r>
      <w:r w:rsidR="00807731">
        <w:t>в</w:t>
      </w:r>
      <w:r w:rsidR="007C4D66">
        <w:t xml:space="preserve"> отчетах КСО </w:t>
      </w:r>
      <w:r>
        <w:t xml:space="preserve">не раскрывается. </w:t>
      </w:r>
      <w:r w:rsidR="007C4D66">
        <w:t xml:space="preserve">Однако, как показывают исследования, данный аспект также имеет важное значение </w:t>
      </w:r>
      <w:r w:rsidR="007C4D66" w:rsidRPr="007C4D66">
        <w:t>[</w:t>
      </w:r>
      <w:r w:rsidR="000452E4" w:rsidRPr="000452E4">
        <w:t>28</w:t>
      </w:r>
      <w:r w:rsidR="007C4D66" w:rsidRPr="007C4D66">
        <w:t xml:space="preserve">]. </w:t>
      </w:r>
      <w:r w:rsidR="00464CD2">
        <w:t xml:space="preserve">При этом </w:t>
      </w:r>
      <w:r w:rsidR="00E06BCD">
        <w:t xml:space="preserve">стратегический фокус приоритизации ЦУР и реальный вклад в их достижение пока не соотносятся друг с другом в полной мере, что говорит о недостаточной координации между стратегическим и оперативным уровнями системы управления устойчивым развитием. </w:t>
      </w:r>
      <w:r w:rsidR="007E3EFB">
        <w:t xml:space="preserve">В раскрытии информации по обеспечению вклада в устойчивое развитие также отмечено ряд направлений для совершенствования. Так, организации финансового сектора указывают ЦУР, но не указывают задачу ЦУР, к которой относится данное мероприятие. </w:t>
      </w:r>
      <w:r w:rsidR="006C1156">
        <w:t>Кроме того, только некоторые организации отражают количественные показатели, позволяющие определить конкретный результат от инициатив в области устойчивого развития.</w:t>
      </w:r>
    </w:p>
    <w:p w14:paraId="648BF012" w14:textId="10D57872" w:rsidR="007E3EFB" w:rsidRDefault="00464CD2" w:rsidP="00464CD2">
      <w:pPr>
        <w:pStyle w:val="a7"/>
        <w:spacing w:line="240" w:lineRule="auto"/>
      </w:pPr>
      <w:r>
        <w:t xml:space="preserve">В то же время, сам по себе факт публикации отчетов КСО, а также состав реализуемых финансовыми организациями мероприятий, их соответствие национальным проектам РФ, свидетельствует о значительном потенциале российского финансового сектора и его высокой роли в достижении национальных целей развития РФ. При этом тот вклад, который могут вносить российские организации финансового сектора, можно ориентировать не на глобальные ЦУР, а на </w:t>
      </w:r>
      <w:r w:rsidR="007E3EFB">
        <w:t>достижение национальных ЦУР, которые также определены и систематизированы в виде конкретных экономических показателей</w:t>
      </w:r>
      <w:r w:rsidR="000452E4" w:rsidRPr="000452E4">
        <w:t xml:space="preserve"> [29]</w:t>
      </w:r>
      <w:r w:rsidR="007E3EFB">
        <w:t>. В дальнейшем необходимо изучить практики зеленого, ответственного и устойчивого финансирования, их масштаб и текущий объем. Также среди направлений дальнейших исследований необходимо определить роль организаций финансового сектора как участников организационно-экономического механизма национального и регионального устойчивого развития, развивать методические положения к оценке вклада организаций в устойчивое развитие.</w:t>
      </w:r>
    </w:p>
    <w:p w14:paraId="01669F20" w14:textId="0E2B5C3F" w:rsidR="00464CD2" w:rsidRDefault="007E3EFB" w:rsidP="00464CD2">
      <w:pPr>
        <w:pStyle w:val="a7"/>
        <w:spacing w:line="240" w:lineRule="auto"/>
      </w:pPr>
      <w:r>
        <w:t xml:space="preserve">Таким образом, организации финансового сектора являются важнейшими участниками системы устойчивого развития на национальном уровне, от действий которых зависит достижение национальных целей РФ. В этой связи, развитие систем управления устойчивым развитием, достижение единства между стратегией и реальной практикой устойчивого развития, представляется необходимым этапом на пути к достижению национальных ЦУР РФ. </w:t>
      </w:r>
    </w:p>
    <w:p w14:paraId="3B0B7537" w14:textId="307E9396" w:rsidR="00D25108" w:rsidRDefault="00464CD2" w:rsidP="007E3EFB">
      <w:pPr>
        <w:pStyle w:val="a7"/>
        <w:spacing w:line="240" w:lineRule="auto"/>
        <w:rPr>
          <w:iCs w:val="0"/>
        </w:rPr>
      </w:pPr>
      <w:r>
        <w:t xml:space="preserve"> </w:t>
      </w:r>
    </w:p>
    <w:p w14:paraId="2EBF4C0D" w14:textId="322A39DB" w:rsidR="00D25108" w:rsidRDefault="00D201A5" w:rsidP="00DD5489">
      <w:pPr>
        <w:pStyle w:val="a7"/>
        <w:spacing w:line="240" w:lineRule="auto"/>
        <w:rPr>
          <w:b/>
        </w:rPr>
      </w:pPr>
      <w:r>
        <w:rPr>
          <w:b/>
        </w:rPr>
        <w:t>Список литературы</w:t>
      </w:r>
    </w:p>
    <w:p w14:paraId="4F0AA9D1" w14:textId="77777777" w:rsidR="00C222C1" w:rsidRPr="00C222C1" w:rsidRDefault="00C222C1" w:rsidP="00C222C1">
      <w:pPr>
        <w:pStyle w:val="a7"/>
        <w:numPr>
          <w:ilvl w:val="0"/>
          <w:numId w:val="1"/>
        </w:numPr>
        <w:spacing w:line="240" w:lineRule="auto"/>
        <w:ind w:left="0" w:firstLine="709"/>
        <w:rPr>
          <w:lang w:val="en-US"/>
        </w:rPr>
      </w:pPr>
      <w:r w:rsidRPr="00C222C1">
        <w:rPr>
          <w:lang w:val="en-US"/>
        </w:rPr>
        <w:t>Ermolaeva P., Agapeeva K. Sustainability Practices Among Russian Business Communities: Drivers and Barriers Towards Change (The Cases of Moscow and Kazan). Innovations and Traditions for Sustainable Development. World Sustainability Series. 2021. DOI: 10.1007/978-3-030-78825-4_28.</w:t>
      </w:r>
    </w:p>
    <w:p w14:paraId="67218C58" w14:textId="77777777" w:rsidR="00C222C1" w:rsidRPr="00C222C1" w:rsidRDefault="00C222C1" w:rsidP="00C222C1">
      <w:pPr>
        <w:pStyle w:val="a7"/>
        <w:numPr>
          <w:ilvl w:val="0"/>
          <w:numId w:val="1"/>
        </w:numPr>
        <w:spacing w:line="240" w:lineRule="auto"/>
        <w:ind w:left="0" w:firstLine="709"/>
        <w:rPr>
          <w:lang w:val="en-US"/>
        </w:rPr>
      </w:pPr>
      <w:r w:rsidRPr="00C222C1">
        <w:rPr>
          <w:lang w:val="en-US"/>
        </w:rPr>
        <w:t xml:space="preserve">Heenetigala K.; Armstrong, A. The Impact of Sustainability Reporting Determined from the Response of Mining Corporations to Environmental Risk, Springer: Cham, Switzerland. 2019. P. 211–225. </w:t>
      </w:r>
    </w:p>
    <w:p w14:paraId="0D11E882" w14:textId="77777777" w:rsidR="00C222C1" w:rsidRPr="00C222C1" w:rsidRDefault="00C222C1" w:rsidP="00C222C1">
      <w:pPr>
        <w:pStyle w:val="a7"/>
        <w:numPr>
          <w:ilvl w:val="0"/>
          <w:numId w:val="1"/>
        </w:numPr>
        <w:spacing w:line="240" w:lineRule="auto"/>
        <w:ind w:left="0" w:firstLine="709"/>
        <w:rPr>
          <w:lang w:val="en-US"/>
        </w:rPr>
      </w:pPr>
      <w:r w:rsidRPr="00C222C1">
        <w:rPr>
          <w:lang w:val="en-US"/>
        </w:rPr>
        <w:t>Orazalin N., Mahmood M. Determinants of GRI-based sustainability reporting: Evidence from an emerging economy. Journal of Accounting in Emerging Economies. 2019. 10 (1). P. 140–164. DOI: 10.1108/JAEE-12-2018-0137</w:t>
      </w:r>
    </w:p>
    <w:p w14:paraId="03118338" w14:textId="77777777" w:rsidR="00C222C1" w:rsidRPr="00C222C1" w:rsidRDefault="00C222C1" w:rsidP="00C222C1">
      <w:pPr>
        <w:pStyle w:val="a7"/>
        <w:numPr>
          <w:ilvl w:val="0"/>
          <w:numId w:val="1"/>
        </w:numPr>
        <w:spacing w:line="240" w:lineRule="auto"/>
        <w:ind w:left="0" w:firstLine="709"/>
        <w:rPr>
          <w:lang w:val="en-US"/>
        </w:rPr>
      </w:pPr>
      <w:r w:rsidRPr="00C222C1">
        <w:rPr>
          <w:lang w:val="en-US"/>
        </w:rPr>
        <w:t>Tamvada M. (2020) Corporate social responsibility and accountability: a new theoretical foundation for regulating CSR. International Journal of Corporate Social Responsibility. Vol. 5 No. 1. P. 1-14. DOI: 10.1186/s40991-019-0045-8.</w:t>
      </w:r>
    </w:p>
    <w:p w14:paraId="51E3B377" w14:textId="77777777" w:rsidR="00C222C1" w:rsidRPr="00C222C1" w:rsidRDefault="00C222C1" w:rsidP="00C222C1">
      <w:pPr>
        <w:pStyle w:val="a7"/>
        <w:numPr>
          <w:ilvl w:val="0"/>
          <w:numId w:val="1"/>
        </w:numPr>
        <w:spacing w:line="240" w:lineRule="auto"/>
        <w:ind w:left="0" w:firstLine="709"/>
        <w:rPr>
          <w:lang w:val="en-US"/>
        </w:rPr>
      </w:pPr>
      <w:r w:rsidRPr="00C222C1">
        <w:rPr>
          <w:lang w:val="en-US"/>
        </w:rPr>
        <w:t>Dye J., McKinnon M., Van der Byl C. Green Gaps: Firm ESG Disclosure and Financial Institutions’ Reporting Requirements. J. Sustain Res. 2021. 3(1): e210006. DOI: 10.20900/jsr20210006.</w:t>
      </w:r>
    </w:p>
    <w:p w14:paraId="2768B7F2" w14:textId="77777777" w:rsidR="00C222C1" w:rsidRPr="00C222C1" w:rsidRDefault="00C222C1" w:rsidP="00C222C1">
      <w:pPr>
        <w:pStyle w:val="a7"/>
        <w:numPr>
          <w:ilvl w:val="0"/>
          <w:numId w:val="1"/>
        </w:numPr>
        <w:spacing w:line="240" w:lineRule="auto"/>
        <w:ind w:left="0" w:firstLine="709"/>
        <w:rPr>
          <w:lang w:val="en-US"/>
        </w:rPr>
      </w:pPr>
      <w:r w:rsidRPr="00C222C1">
        <w:rPr>
          <w:lang w:val="en-US"/>
        </w:rPr>
        <w:t>Batashova A. F., Popova E. M., Karashchenko V. V., Tishchenko I. A. Analysis of Trends and Experience of Russian Companies in the Formation of Reporting in the Field of Sustainable Development Proceeding of the International Science and Technology Conference “FarEastCon 2021”. Smart Innovation, Systems and Technologies. 275. DOI: 10.1007/978-981-16-8829-4_81.</w:t>
      </w:r>
    </w:p>
    <w:p w14:paraId="776595FA" w14:textId="77777777" w:rsidR="00C222C1" w:rsidRPr="00C222C1" w:rsidRDefault="00C222C1" w:rsidP="00C222C1">
      <w:pPr>
        <w:pStyle w:val="a7"/>
        <w:numPr>
          <w:ilvl w:val="0"/>
          <w:numId w:val="1"/>
        </w:numPr>
        <w:spacing w:line="240" w:lineRule="auto"/>
        <w:ind w:left="0" w:firstLine="709"/>
        <w:rPr>
          <w:lang w:val="en-US"/>
        </w:rPr>
      </w:pPr>
      <w:r w:rsidRPr="00C222C1">
        <w:rPr>
          <w:lang w:val="en-US"/>
        </w:rPr>
        <w:t>Orazalin N., Mahmood M. Economic, environmental, and social performance indicators of sustainability reporting: Evidence from the Russian oil and gas industry. Energy Policy. 2018. 121. P. 70–79. [</w:t>
      </w:r>
    </w:p>
    <w:p w14:paraId="0F379A93" w14:textId="77777777" w:rsidR="00C222C1" w:rsidRPr="00C222C1" w:rsidRDefault="00C222C1" w:rsidP="00C222C1">
      <w:pPr>
        <w:pStyle w:val="a7"/>
        <w:numPr>
          <w:ilvl w:val="0"/>
          <w:numId w:val="1"/>
        </w:numPr>
        <w:spacing w:line="240" w:lineRule="auto"/>
        <w:ind w:left="0" w:firstLine="709"/>
      </w:pPr>
      <w:r w:rsidRPr="00C222C1">
        <w:t xml:space="preserve">Кутергина Г.В., Клестова И.А. Особенности применения корпоративной социальной ответственности в развитии российского региона // Научно-технические ведомости Санкт-Петербургского государственного политехнического университета. Экономические науки. 2017. Т. 10. № 4. С. 126-135. </w:t>
      </w:r>
    </w:p>
    <w:p w14:paraId="6331AB87" w14:textId="77777777" w:rsidR="00C222C1" w:rsidRPr="00C222C1" w:rsidRDefault="00C222C1" w:rsidP="00C222C1">
      <w:pPr>
        <w:pStyle w:val="a7"/>
        <w:numPr>
          <w:ilvl w:val="0"/>
          <w:numId w:val="1"/>
        </w:numPr>
        <w:spacing w:line="240" w:lineRule="auto"/>
        <w:ind w:left="0" w:firstLine="709"/>
        <w:rPr>
          <w:lang w:val="en-US"/>
        </w:rPr>
      </w:pPr>
      <w:r w:rsidRPr="00C222C1">
        <w:rPr>
          <w:lang w:val="en-US"/>
        </w:rPr>
        <w:t xml:space="preserve">Vetoshkina E., Ivanovskaya A., Kazykhanova E., Semenikhina N. Analysis of Impact of Non-financial Information Disclosure on Capitalization of Russian Oil Sector Companies </w:t>
      </w:r>
      <w:r w:rsidRPr="00C222C1">
        <w:rPr>
          <w:bCs/>
          <w:lang w:val="en-US"/>
        </w:rPr>
        <w:t>[</w:t>
      </w:r>
      <w:r w:rsidRPr="00C222C1">
        <w:rPr>
          <w:bCs/>
        </w:rPr>
        <w:t>Электронный</w:t>
      </w:r>
      <w:r w:rsidRPr="00C222C1">
        <w:rPr>
          <w:bCs/>
          <w:lang w:val="en-US"/>
        </w:rPr>
        <w:t xml:space="preserve"> </w:t>
      </w:r>
      <w:r w:rsidRPr="00C222C1">
        <w:rPr>
          <w:bCs/>
        </w:rPr>
        <w:t>ресурс</w:t>
      </w:r>
      <w:r w:rsidRPr="00C222C1">
        <w:rPr>
          <w:bCs/>
          <w:lang w:val="en-US"/>
        </w:rPr>
        <w:t>]. URL:</w:t>
      </w:r>
      <w:r w:rsidRPr="00C222C1">
        <w:rPr>
          <w:lang w:val="en-US"/>
        </w:rPr>
        <w:t xml:space="preserve"> https://ideas.repec.org/a/jfr/ijfr11/v11y2020i5p267-274.html.</w:t>
      </w:r>
    </w:p>
    <w:p w14:paraId="038E47BE" w14:textId="77777777" w:rsidR="00C222C1" w:rsidRPr="00C222C1" w:rsidRDefault="00C222C1" w:rsidP="00C222C1">
      <w:pPr>
        <w:pStyle w:val="a7"/>
        <w:numPr>
          <w:ilvl w:val="0"/>
          <w:numId w:val="1"/>
        </w:numPr>
        <w:spacing w:line="240" w:lineRule="auto"/>
        <w:ind w:left="0" w:firstLine="709"/>
        <w:rPr>
          <w:bCs/>
        </w:rPr>
      </w:pPr>
      <w:r w:rsidRPr="00C222C1">
        <w:rPr>
          <w:bCs/>
        </w:rPr>
        <w:t xml:space="preserve">Малышев А.Н., Малышева Е.А. Приоритетные цели устойчивого развития строительных компаний // Наука </w:t>
      </w:r>
      <w:r w:rsidRPr="00C222C1">
        <w:rPr>
          <w:bCs/>
          <w:lang w:val="en-US"/>
        </w:rPr>
        <w:t>XXI</w:t>
      </w:r>
      <w:r w:rsidRPr="00C222C1">
        <w:rPr>
          <w:bCs/>
        </w:rPr>
        <w:t xml:space="preserve"> века: актуальные направления развития. 2024.</w:t>
      </w:r>
      <w:r w:rsidRPr="00C222C1">
        <w:rPr>
          <w:bCs/>
          <w:lang w:val="en-US"/>
        </w:rPr>
        <w:t> </w:t>
      </w:r>
      <w:r w:rsidRPr="00C222C1">
        <w:rPr>
          <w:bCs/>
        </w:rPr>
        <w:t>№</w:t>
      </w:r>
      <w:r w:rsidRPr="00C222C1">
        <w:rPr>
          <w:bCs/>
          <w:lang w:val="en-US"/>
        </w:rPr>
        <w:t> </w:t>
      </w:r>
      <w:r w:rsidRPr="00C222C1">
        <w:rPr>
          <w:bCs/>
        </w:rPr>
        <w:t>1-2. С. 56-61.</w:t>
      </w:r>
    </w:p>
    <w:p w14:paraId="0462F482" w14:textId="77777777" w:rsidR="00C222C1" w:rsidRPr="00C222C1" w:rsidRDefault="00C222C1" w:rsidP="00C222C1">
      <w:pPr>
        <w:pStyle w:val="a7"/>
        <w:numPr>
          <w:ilvl w:val="0"/>
          <w:numId w:val="1"/>
        </w:numPr>
        <w:spacing w:line="240" w:lineRule="auto"/>
        <w:ind w:left="0" w:firstLine="709"/>
      </w:pPr>
      <w:r w:rsidRPr="00C222C1">
        <w:rPr>
          <w:bCs/>
        </w:rPr>
        <w:t>Неживых Д.А., Дебердиева Е.М. Анализ достижения целей устойчивого развития</w:t>
      </w:r>
      <w:r w:rsidRPr="00C222C1">
        <w:t xml:space="preserve"> в деятельности компаний нефтегазовой отрасли // Финансовая экономика. 2024. № 4. С. 132-135.</w:t>
      </w:r>
    </w:p>
    <w:p w14:paraId="634AC058" w14:textId="77777777" w:rsidR="00C222C1" w:rsidRPr="00C222C1" w:rsidRDefault="00C222C1" w:rsidP="00C222C1">
      <w:pPr>
        <w:pStyle w:val="a7"/>
        <w:numPr>
          <w:ilvl w:val="0"/>
          <w:numId w:val="1"/>
        </w:numPr>
        <w:spacing w:line="240" w:lineRule="auto"/>
        <w:ind w:left="0" w:firstLine="709"/>
      </w:pPr>
      <w:r w:rsidRPr="00C222C1">
        <w:t>Никулина О.В., Демиденко Д.М. Анализ динамики развития инновационной деятельности компаний нефтегазовой отрасли в сфере международного бизнеса // Экономика устойчивого развития. 2020. № 3 (43). С. 175-181.</w:t>
      </w:r>
    </w:p>
    <w:p w14:paraId="45C1D4BF" w14:textId="77777777" w:rsidR="00C222C1" w:rsidRPr="00C222C1" w:rsidRDefault="00C222C1" w:rsidP="00C222C1">
      <w:pPr>
        <w:pStyle w:val="a7"/>
        <w:numPr>
          <w:ilvl w:val="0"/>
          <w:numId w:val="1"/>
        </w:numPr>
        <w:spacing w:line="240" w:lineRule="auto"/>
        <w:ind w:left="0" w:firstLine="709"/>
      </w:pPr>
      <w:r w:rsidRPr="00C222C1">
        <w:t>Капранова Л.Д., Полищук О.А. ESG-Трансформация как парадигма устойчивого развития экономики России // Вестник евразийской науки. 2023. Т. 15. № 3.</w:t>
      </w:r>
    </w:p>
    <w:p w14:paraId="380B88FE" w14:textId="77777777" w:rsidR="00C222C1" w:rsidRPr="00C222C1" w:rsidRDefault="00C222C1" w:rsidP="00C222C1">
      <w:pPr>
        <w:pStyle w:val="a7"/>
        <w:numPr>
          <w:ilvl w:val="0"/>
          <w:numId w:val="1"/>
        </w:numPr>
        <w:spacing w:line="240" w:lineRule="auto"/>
        <w:ind w:left="0" w:firstLine="709"/>
        <w:rPr>
          <w:lang w:val="en-US"/>
        </w:rPr>
      </w:pPr>
      <w:r w:rsidRPr="00C222C1">
        <w:rPr>
          <w:lang w:val="en-US"/>
        </w:rPr>
        <w:t>Berthelot, S., Coulmont, M., &amp; Serret, V. Do investors value sustainability reports? A Canadian study. Corporate Social Responsibility and Environmental Management. 2012. 19(6). P. 355–363. DOI: 10.1002/csr.285.</w:t>
      </w:r>
    </w:p>
    <w:p w14:paraId="2D933770" w14:textId="77777777" w:rsidR="00C222C1" w:rsidRPr="00C222C1" w:rsidRDefault="00C222C1" w:rsidP="00C222C1">
      <w:pPr>
        <w:pStyle w:val="a7"/>
        <w:numPr>
          <w:ilvl w:val="0"/>
          <w:numId w:val="1"/>
        </w:numPr>
        <w:spacing w:line="240" w:lineRule="auto"/>
        <w:ind w:left="0" w:firstLine="709"/>
      </w:pPr>
      <w:r w:rsidRPr="00C222C1">
        <w:t>Ефимова, О. В. Анализ влияния принципов ESG на доходность активов: эмпирическое исследование // Финансы: теория и практика. 2021. Т. 25</w:t>
      </w:r>
      <w:r w:rsidRPr="00C222C1">
        <w:rPr>
          <w:lang w:val="en-US"/>
        </w:rPr>
        <w:t>.</w:t>
      </w:r>
      <w:r w:rsidRPr="00C222C1">
        <w:t xml:space="preserve"> № 4. С. 82-97. DOI</w:t>
      </w:r>
      <w:r w:rsidRPr="00C222C1">
        <w:rPr>
          <w:lang w:val="en-US"/>
        </w:rPr>
        <w:t xml:space="preserve">: </w:t>
      </w:r>
      <w:r w:rsidRPr="00C222C1">
        <w:t>10.26794/2587-5671-2021-25-4-82-97.</w:t>
      </w:r>
    </w:p>
    <w:p w14:paraId="03C2A240" w14:textId="77777777" w:rsidR="00C222C1" w:rsidRPr="00C222C1" w:rsidRDefault="00C222C1" w:rsidP="00C222C1">
      <w:pPr>
        <w:pStyle w:val="a7"/>
        <w:numPr>
          <w:ilvl w:val="0"/>
          <w:numId w:val="1"/>
        </w:numPr>
        <w:spacing w:line="240" w:lineRule="auto"/>
        <w:ind w:left="0" w:firstLine="709"/>
      </w:pPr>
      <w:r w:rsidRPr="00C222C1">
        <w:rPr>
          <w:lang w:val="en-US"/>
        </w:rPr>
        <w:t>RAEX</w:t>
      </w:r>
      <w:r w:rsidRPr="00C222C1">
        <w:t xml:space="preserve">. </w:t>
      </w:r>
      <w:r w:rsidRPr="00C222C1">
        <w:rPr>
          <w:lang w:val="en-US"/>
        </w:rPr>
        <w:t>ESG</w:t>
      </w:r>
      <w:r w:rsidRPr="00C222C1">
        <w:t xml:space="preserve">-рэнкинг российских компаний (январь 2024 года) [Электронный ресурс]. </w:t>
      </w:r>
      <w:r w:rsidRPr="00C222C1">
        <w:rPr>
          <w:lang w:val="en-US"/>
        </w:rPr>
        <w:t>URL</w:t>
      </w:r>
      <w:r w:rsidRPr="00C222C1">
        <w:t xml:space="preserve">: </w:t>
      </w:r>
      <w:r w:rsidRPr="00C222C1">
        <w:rPr>
          <w:lang w:val="en-US"/>
        </w:rPr>
        <w:t>https</w:t>
      </w:r>
      <w:r w:rsidRPr="00C222C1">
        <w:t>://</w:t>
      </w:r>
      <w:r w:rsidRPr="00C222C1">
        <w:rPr>
          <w:lang w:val="en-US"/>
        </w:rPr>
        <w:t>raex</w:t>
      </w:r>
      <w:r w:rsidRPr="00C222C1">
        <w:t>-</w:t>
      </w:r>
      <w:r w:rsidRPr="00C222C1">
        <w:rPr>
          <w:lang w:val="en-US"/>
        </w:rPr>
        <w:t>rr</w:t>
      </w:r>
      <w:r w:rsidRPr="00C222C1">
        <w:t>.</w:t>
      </w:r>
      <w:r w:rsidRPr="00C222C1">
        <w:rPr>
          <w:lang w:val="en-US"/>
        </w:rPr>
        <w:t>com</w:t>
      </w:r>
      <w:r w:rsidRPr="00C222C1">
        <w:t>/</w:t>
      </w:r>
      <w:r w:rsidRPr="00C222C1">
        <w:rPr>
          <w:lang w:val="en-US"/>
        </w:rPr>
        <w:t>ESG</w:t>
      </w:r>
      <w:r w:rsidRPr="00C222C1">
        <w:t>/</w:t>
      </w:r>
      <w:r w:rsidRPr="00C222C1">
        <w:rPr>
          <w:lang w:val="en-US"/>
        </w:rPr>
        <w:t>ESG</w:t>
      </w:r>
      <w:r w:rsidRPr="00C222C1">
        <w:t>_</w:t>
      </w:r>
      <w:r w:rsidRPr="00C222C1">
        <w:rPr>
          <w:lang w:val="en-US"/>
        </w:rPr>
        <w:t>companies</w:t>
      </w:r>
      <w:r w:rsidRPr="00C222C1">
        <w:t>/</w:t>
      </w:r>
      <w:r w:rsidRPr="00C222C1">
        <w:rPr>
          <w:lang w:val="en-US"/>
        </w:rPr>
        <w:t>ESG</w:t>
      </w:r>
      <w:r w:rsidRPr="00C222C1">
        <w:t>_</w:t>
      </w:r>
      <w:r w:rsidRPr="00C222C1">
        <w:rPr>
          <w:lang w:val="en-US"/>
        </w:rPr>
        <w:t>rating</w:t>
      </w:r>
      <w:r w:rsidRPr="00C222C1">
        <w:t>_</w:t>
      </w:r>
      <w:r w:rsidRPr="00C222C1">
        <w:rPr>
          <w:lang w:val="en-US"/>
        </w:rPr>
        <w:t>companies</w:t>
      </w:r>
      <w:r w:rsidRPr="00C222C1">
        <w:t>/2024.1/ (дата обращения: 15.09.2024).</w:t>
      </w:r>
    </w:p>
    <w:p w14:paraId="5CD72D91" w14:textId="77777777" w:rsidR="00C222C1" w:rsidRPr="00C222C1" w:rsidRDefault="00C222C1" w:rsidP="00C222C1">
      <w:pPr>
        <w:pStyle w:val="a7"/>
        <w:numPr>
          <w:ilvl w:val="0"/>
          <w:numId w:val="1"/>
        </w:numPr>
        <w:spacing w:line="240" w:lineRule="auto"/>
        <w:ind w:left="0" w:firstLine="709"/>
      </w:pPr>
      <w:r w:rsidRPr="00C222C1">
        <w:t xml:space="preserve">«МОСКОВСКИЙ КРЕДИТНЫЙ БАНК», Годовой отчет [Электронный ресурс]. </w:t>
      </w:r>
      <w:r w:rsidRPr="00C222C1">
        <w:rPr>
          <w:lang w:val="en-US"/>
        </w:rPr>
        <w:t>URL</w:t>
      </w:r>
      <w:r w:rsidRPr="00C222C1">
        <w:t xml:space="preserve">: </w:t>
      </w:r>
      <w:r w:rsidRPr="00C222C1">
        <w:rPr>
          <w:lang w:val="en-US"/>
        </w:rPr>
        <w:t>https</w:t>
      </w:r>
      <w:r w:rsidRPr="00C222C1">
        <w:t>://</w:t>
      </w:r>
      <w:r w:rsidRPr="00C222C1">
        <w:rPr>
          <w:lang w:val="en-US"/>
        </w:rPr>
        <w:t>ir</w:t>
      </w:r>
      <w:r w:rsidRPr="00C222C1">
        <w:t>.</w:t>
      </w:r>
      <w:r w:rsidRPr="00C222C1">
        <w:rPr>
          <w:lang w:val="en-US"/>
        </w:rPr>
        <w:t>mkb</w:t>
      </w:r>
      <w:r w:rsidRPr="00C222C1">
        <w:t>.</w:t>
      </w:r>
      <w:r w:rsidRPr="00C222C1">
        <w:rPr>
          <w:lang w:val="en-US"/>
        </w:rPr>
        <w:t>ru</w:t>
      </w:r>
      <w:r w:rsidRPr="00C222C1">
        <w:t>/</w:t>
      </w:r>
      <w:r w:rsidRPr="00C222C1">
        <w:rPr>
          <w:lang w:val="en-US"/>
        </w:rPr>
        <w:t>file</w:t>
      </w:r>
      <w:r w:rsidRPr="00C222C1">
        <w:t>/</w:t>
      </w:r>
      <w:r w:rsidRPr="00C222C1">
        <w:rPr>
          <w:lang w:val="en-US"/>
        </w:rPr>
        <w:t>d</w:t>
      </w:r>
      <w:r w:rsidRPr="00C222C1">
        <w:t>6</w:t>
      </w:r>
      <w:r w:rsidRPr="00C222C1">
        <w:rPr>
          <w:lang w:val="en-US"/>
        </w:rPr>
        <w:t>adbc</w:t>
      </w:r>
      <w:r w:rsidRPr="00C222C1">
        <w:t>81-6</w:t>
      </w:r>
      <w:r w:rsidRPr="00C222C1">
        <w:rPr>
          <w:lang w:val="en-US"/>
        </w:rPr>
        <w:t>a</w:t>
      </w:r>
      <w:r w:rsidRPr="00C222C1">
        <w:t>91-477</w:t>
      </w:r>
      <w:r w:rsidRPr="00C222C1">
        <w:rPr>
          <w:lang w:val="en-US"/>
        </w:rPr>
        <w:t>c</w:t>
      </w:r>
      <w:r w:rsidRPr="00C222C1">
        <w:t>-9</w:t>
      </w:r>
      <w:r w:rsidRPr="00C222C1">
        <w:rPr>
          <w:lang w:val="en-US"/>
        </w:rPr>
        <w:t>b</w:t>
      </w:r>
      <w:r w:rsidRPr="00C222C1">
        <w:t>9</w:t>
      </w:r>
      <w:r w:rsidRPr="00C222C1">
        <w:rPr>
          <w:lang w:val="en-US"/>
        </w:rPr>
        <w:t>b</w:t>
      </w:r>
      <w:r w:rsidRPr="00C222C1">
        <w:t>-</w:t>
      </w:r>
      <w:r w:rsidRPr="00C222C1">
        <w:rPr>
          <w:lang w:val="en-US"/>
        </w:rPr>
        <w:t>fdc</w:t>
      </w:r>
      <w:r w:rsidRPr="00C222C1">
        <w:t>4</w:t>
      </w:r>
      <w:r w:rsidRPr="00C222C1">
        <w:rPr>
          <w:lang w:val="en-US"/>
        </w:rPr>
        <w:t>eb</w:t>
      </w:r>
      <w:r w:rsidRPr="00C222C1">
        <w:t>270</w:t>
      </w:r>
      <w:r w:rsidRPr="00C222C1">
        <w:rPr>
          <w:lang w:val="en-US"/>
        </w:rPr>
        <w:t>fcd</w:t>
      </w:r>
      <w:r w:rsidRPr="00C222C1">
        <w:t xml:space="preserve"> (дата обращения: 15.09.2024).</w:t>
      </w:r>
    </w:p>
    <w:p w14:paraId="45FBF5FB" w14:textId="77777777" w:rsidR="00C222C1" w:rsidRPr="00C222C1" w:rsidRDefault="00C222C1" w:rsidP="00C222C1">
      <w:pPr>
        <w:pStyle w:val="a7"/>
        <w:numPr>
          <w:ilvl w:val="0"/>
          <w:numId w:val="1"/>
        </w:numPr>
        <w:spacing w:line="240" w:lineRule="auto"/>
        <w:ind w:left="0" w:firstLine="709"/>
      </w:pPr>
      <w:r w:rsidRPr="00C222C1">
        <w:t xml:space="preserve">ПАО «Московская Биржа ММВБ-РТС», Отчет об устойчивом развитии [Электронный ресурс]. </w:t>
      </w:r>
      <w:r w:rsidRPr="00C222C1">
        <w:rPr>
          <w:lang w:val="en-US"/>
        </w:rPr>
        <w:t>URL</w:t>
      </w:r>
      <w:r w:rsidRPr="00C222C1">
        <w:t>: https://fs.moex.com/files/26691 (дата обращения: 15.09.2024).</w:t>
      </w:r>
    </w:p>
    <w:p w14:paraId="6E188402" w14:textId="262E2AEC" w:rsidR="00C222C1" w:rsidRPr="00C222C1" w:rsidRDefault="00C222C1" w:rsidP="00C222C1">
      <w:pPr>
        <w:pStyle w:val="a7"/>
        <w:numPr>
          <w:ilvl w:val="0"/>
          <w:numId w:val="1"/>
        </w:numPr>
        <w:spacing w:line="240" w:lineRule="auto"/>
        <w:ind w:left="0" w:firstLine="709"/>
      </w:pPr>
      <w:r w:rsidRPr="00C222C1">
        <w:t xml:space="preserve">ПАО «АК БАРС» БАНК, ‎ Отчёт о деятельности в области устойчивого развития за 2023 год [Электронный ресурс]. </w:t>
      </w:r>
      <w:r w:rsidRPr="00C222C1">
        <w:rPr>
          <w:lang w:val="en-US"/>
        </w:rPr>
        <w:t>URL</w:t>
      </w:r>
      <w:r w:rsidRPr="00C222C1">
        <w:t>: https://www.akbars.ru/about/free-info/sustainability/# (дата обращения: 15.09.2024).</w:t>
      </w:r>
    </w:p>
    <w:p w14:paraId="3D8D3B29" w14:textId="77777777" w:rsidR="00C222C1" w:rsidRPr="00C222C1" w:rsidRDefault="00C222C1" w:rsidP="00C222C1">
      <w:pPr>
        <w:pStyle w:val="a7"/>
        <w:numPr>
          <w:ilvl w:val="0"/>
          <w:numId w:val="1"/>
        </w:numPr>
        <w:spacing w:line="240" w:lineRule="auto"/>
        <w:ind w:left="0" w:firstLine="709"/>
      </w:pPr>
      <w:r w:rsidRPr="00C222C1">
        <w:t xml:space="preserve">ПАО КБ «Центр-инвест», ESG-отчет  [Электронный ресурс]. </w:t>
      </w:r>
      <w:r w:rsidRPr="00C222C1">
        <w:rPr>
          <w:lang w:val="en-US"/>
        </w:rPr>
        <w:t>URL</w:t>
      </w:r>
      <w:r w:rsidRPr="00C222C1">
        <w:t xml:space="preserve">: </w:t>
      </w:r>
      <w:r w:rsidRPr="00C222C1">
        <w:rPr>
          <w:lang w:val="en-US"/>
        </w:rPr>
        <w:t>https</w:t>
      </w:r>
      <w:r w:rsidRPr="00C222C1">
        <w:t>://</w:t>
      </w:r>
      <w:r w:rsidRPr="00C222C1">
        <w:rPr>
          <w:lang w:val="en-US"/>
        </w:rPr>
        <w:t>www</w:t>
      </w:r>
      <w:r w:rsidRPr="00C222C1">
        <w:t>.</w:t>
      </w:r>
      <w:r w:rsidRPr="00C222C1">
        <w:rPr>
          <w:lang w:val="en-US"/>
        </w:rPr>
        <w:t>centrinvest</w:t>
      </w:r>
      <w:r w:rsidRPr="00C222C1">
        <w:t>.</w:t>
      </w:r>
      <w:r w:rsidRPr="00C222C1">
        <w:rPr>
          <w:lang w:val="en-US"/>
        </w:rPr>
        <w:t>ru</w:t>
      </w:r>
      <w:r w:rsidRPr="00C222C1">
        <w:t>/</w:t>
      </w:r>
      <w:r w:rsidRPr="00C222C1">
        <w:rPr>
          <w:lang w:val="en-US"/>
        </w:rPr>
        <w:t>media</w:t>
      </w:r>
      <w:r w:rsidRPr="00C222C1">
        <w:t>/</w:t>
      </w:r>
      <w:r w:rsidRPr="00C222C1">
        <w:rPr>
          <w:lang w:val="en-US"/>
        </w:rPr>
        <w:t>about</w:t>
      </w:r>
      <w:r w:rsidRPr="00C222C1">
        <w:t>/</w:t>
      </w:r>
      <w:r w:rsidRPr="00C222C1">
        <w:rPr>
          <w:lang w:val="en-US"/>
        </w:rPr>
        <w:t>investors</w:t>
      </w:r>
      <w:r w:rsidRPr="00C222C1">
        <w:t>/</w:t>
      </w:r>
      <w:r w:rsidRPr="00C222C1">
        <w:rPr>
          <w:lang w:val="en-US"/>
        </w:rPr>
        <w:t>reports</w:t>
      </w:r>
      <w:r w:rsidRPr="00C222C1">
        <w:t>/</w:t>
      </w:r>
      <w:r w:rsidRPr="00C222C1">
        <w:rPr>
          <w:lang w:val="en-US"/>
        </w:rPr>
        <w:t>ESG</w:t>
      </w:r>
      <w:r w:rsidRPr="00C222C1">
        <w:t>2023.</w:t>
      </w:r>
      <w:r w:rsidRPr="00C222C1">
        <w:rPr>
          <w:lang w:val="en-US"/>
        </w:rPr>
        <w:t>pdf</w:t>
      </w:r>
      <w:r w:rsidRPr="00C222C1">
        <w:t xml:space="preserve"> (дата обращения: 15.09.2024).</w:t>
      </w:r>
    </w:p>
    <w:p w14:paraId="6E23663D" w14:textId="77777777" w:rsidR="00C222C1" w:rsidRPr="00C222C1" w:rsidRDefault="00C222C1" w:rsidP="00C222C1">
      <w:pPr>
        <w:pStyle w:val="a7"/>
        <w:numPr>
          <w:ilvl w:val="0"/>
          <w:numId w:val="1"/>
        </w:numPr>
        <w:spacing w:line="240" w:lineRule="auto"/>
        <w:ind w:left="0" w:firstLine="709"/>
      </w:pPr>
      <w:r w:rsidRPr="00C222C1">
        <w:t xml:space="preserve">АКБ «Алмазэргиэнбанк» АО, Отчет об устойчивом развитии [Электронный ресурс]. </w:t>
      </w:r>
      <w:r w:rsidRPr="00C222C1">
        <w:rPr>
          <w:lang w:val="en-US"/>
        </w:rPr>
        <w:t>URL</w:t>
      </w:r>
      <w:r w:rsidRPr="00C222C1">
        <w:t xml:space="preserve">: </w:t>
      </w:r>
      <w:r w:rsidRPr="00C222C1">
        <w:rPr>
          <w:lang w:val="en-US"/>
        </w:rPr>
        <w:t>https</w:t>
      </w:r>
      <w:r w:rsidRPr="00C222C1">
        <w:t>://</w:t>
      </w:r>
      <w:r w:rsidRPr="00C222C1">
        <w:rPr>
          <w:lang w:val="en-US"/>
        </w:rPr>
        <w:t>www</w:t>
      </w:r>
      <w:r w:rsidRPr="00C222C1">
        <w:t>.</w:t>
      </w:r>
      <w:r w:rsidRPr="00C222C1">
        <w:rPr>
          <w:lang w:val="en-US"/>
        </w:rPr>
        <w:t>albank</w:t>
      </w:r>
      <w:r w:rsidRPr="00C222C1">
        <w:t>.</w:t>
      </w:r>
      <w:r w:rsidRPr="00C222C1">
        <w:rPr>
          <w:lang w:val="en-US"/>
        </w:rPr>
        <w:t>ru</w:t>
      </w:r>
      <w:r w:rsidRPr="00C222C1">
        <w:t>/</w:t>
      </w:r>
      <w:r w:rsidRPr="00C222C1">
        <w:rPr>
          <w:lang w:val="en-US"/>
        </w:rPr>
        <w:t>local</w:t>
      </w:r>
      <w:r w:rsidRPr="00C222C1">
        <w:t>/</w:t>
      </w:r>
      <w:r w:rsidRPr="00C222C1">
        <w:rPr>
          <w:lang w:val="en-US"/>
        </w:rPr>
        <w:t>templates</w:t>
      </w:r>
      <w:r w:rsidRPr="00C222C1">
        <w:t>/</w:t>
      </w:r>
      <w:r w:rsidRPr="00C222C1">
        <w:rPr>
          <w:lang w:val="en-US"/>
        </w:rPr>
        <w:t>Aeb</w:t>
      </w:r>
      <w:r w:rsidRPr="00C222C1">
        <w:t>/</w:t>
      </w:r>
      <w:r w:rsidRPr="00C222C1">
        <w:rPr>
          <w:lang w:val="en-US"/>
        </w:rPr>
        <w:t>assets</w:t>
      </w:r>
      <w:r w:rsidRPr="00C222C1">
        <w:t>/</w:t>
      </w:r>
      <w:r w:rsidRPr="00C222C1">
        <w:rPr>
          <w:lang w:val="en-US"/>
        </w:rPr>
        <w:t>docs</w:t>
      </w:r>
      <w:r w:rsidRPr="00C222C1">
        <w:t>/03072024.</w:t>
      </w:r>
      <w:r w:rsidRPr="00C222C1">
        <w:rPr>
          <w:lang w:val="en-US"/>
        </w:rPr>
        <w:t>pdf</w:t>
      </w:r>
      <w:r w:rsidRPr="00C222C1">
        <w:t xml:space="preserve"> (дата обращения: 15.09.2024).</w:t>
      </w:r>
    </w:p>
    <w:p w14:paraId="5F1623E6" w14:textId="77777777" w:rsidR="00C222C1" w:rsidRPr="00C222C1" w:rsidRDefault="00C222C1" w:rsidP="00C222C1">
      <w:pPr>
        <w:pStyle w:val="a7"/>
        <w:numPr>
          <w:ilvl w:val="0"/>
          <w:numId w:val="1"/>
        </w:numPr>
        <w:spacing w:line="240" w:lineRule="auto"/>
        <w:ind w:left="0" w:firstLine="709"/>
      </w:pPr>
      <w:r w:rsidRPr="00C222C1">
        <w:t xml:space="preserve">ПАО «Совкомбанк», Интегрированный годовой отчет [Электронный ресурс]. </w:t>
      </w:r>
      <w:r w:rsidRPr="00C222C1">
        <w:rPr>
          <w:lang w:val="en-US"/>
        </w:rPr>
        <w:t>URL</w:t>
      </w:r>
      <w:r w:rsidRPr="00C222C1">
        <w:t>: https://sovcombank.ru/document/13970 (дата обращения: 15.09.2024).</w:t>
      </w:r>
    </w:p>
    <w:p w14:paraId="6F6C2490" w14:textId="77777777" w:rsidR="00C222C1" w:rsidRPr="00C222C1" w:rsidRDefault="00C222C1" w:rsidP="00C222C1">
      <w:pPr>
        <w:pStyle w:val="a7"/>
        <w:numPr>
          <w:ilvl w:val="0"/>
          <w:numId w:val="1"/>
        </w:numPr>
        <w:spacing w:line="240" w:lineRule="auto"/>
        <w:ind w:left="0" w:firstLine="709"/>
      </w:pPr>
      <w:r w:rsidRPr="00C222C1">
        <w:t xml:space="preserve">Банк ВТБ (ПАО), </w:t>
      </w:r>
      <w:r w:rsidRPr="00C222C1">
        <w:tab/>
        <w:t xml:space="preserve">Отчет об устойчивом развитии [Электронный ресурс]. </w:t>
      </w:r>
      <w:r w:rsidRPr="00C222C1">
        <w:rPr>
          <w:lang w:val="en-US"/>
        </w:rPr>
        <w:t>URL</w:t>
      </w:r>
      <w:r w:rsidRPr="00C222C1">
        <w:t xml:space="preserve">: </w:t>
      </w:r>
      <w:r w:rsidRPr="00C222C1">
        <w:rPr>
          <w:lang w:val="en-US"/>
        </w:rPr>
        <w:t>https</w:t>
      </w:r>
      <w:r w:rsidRPr="00C222C1">
        <w:t>://</w:t>
      </w:r>
      <w:r w:rsidRPr="00C222C1">
        <w:rPr>
          <w:lang w:val="en-US"/>
        </w:rPr>
        <w:t>www</w:t>
      </w:r>
      <w:r w:rsidRPr="00C222C1">
        <w:t>.</w:t>
      </w:r>
      <w:r w:rsidRPr="00C222C1">
        <w:rPr>
          <w:lang w:val="en-US"/>
        </w:rPr>
        <w:t>vtb</w:t>
      </w:r>
      <w:r w:rsidRPr="00C222C1">
        <w:t>.</w:t>
      </w:r>
      <w:r w:rsidRPr="00C222C1">
        <w:rPr>
          <w:lang w:val="en-US"/>
        </w:rPr>
        <w:t>ru</w:t>
      </w:r>
      <w:r w:rsidRPr="00C222C1">
        <w:t>/</w:t>
      </w:r>
      <w:r w:rsidRPr="00C222C1">
        <w:rPr>
          <w:lang w:val="en-US"/>
        </w:rPr>
        <w:t>media</w:t>
      </w:r>
      <w:r w:rsidRPr="00C222C1">
        <w:t>-</w:t>
      </w:r>
      <w:r w:rsidRPr="00C222C1">
        <w:rPr>
          <w:lang w:val="en-US"/>
        </w:rPr>
        <w:t>files</w:t>
      </w:r>
      <w:r w:rsidRPr="00C222C1">
        <w:t>/</w:t>
      </w:r>
      <w:r w:rsidRPr="00C222C1">
        <w:rPr>
          <w:lang w:val="en-US"/>
        </w:rPr>
        <w:t>vtb</w:t>
      </w:r>
      <w:r w:rsidRPr="00C222C1">
        <w:t>.</w:t>
      </w:r>
      <w:r w:rsidRPr="00C222C1">
        <w:rPr>
          <w:lang w:val="en-US"/>
        </w:rPr>
        <w:t>ru</w:t>
      </w:r>
      <w:r w:rsidRPr="00C222C1">
        <w:t>/</w:t>
      </w:r>
      <w:r w:rsidRPr="00C222C1">
        <w:rPr>
          <w:lang w:val="en-US"/>
        </w:rPr>
        <w:t>sitepages</w:t>
      </w:r>
      <w:r w:rsidRPr="00C222C1">
        <w:t>/</w:t>
      </w:r>
      <w:r w:rsidRPr="00C222C1">
        <w:rPr>
          <w:lang w:val="en-US"/>
        </w:rPr>
        <w:t>about</w:t>
      </w:r>
      <w:r w:rsidRPr="00C222C1">
        <w:t>/</w:t>
      </w:r>
      <w:r w:rsidRPr="00C222C1">
        <w:rPr>
          <w:lang w:val="en-US"/>
        </w:rPr>
        <w:t>bank</w:t>
      </w:r>
      <w:r w:rsidRPr="00C222C1">
        <w:t>/</w:t>
      </w:r>
      <w:r w:rsidRPr="00C222C1">
        <w:rPr>
          <w:lang w:val="en-US"/>
        </w:rPr>
        <w:t>sustainability</w:t>
      </w:r>
      <w:r w:rsidRPr="00C222C1">
        <w:t>/</w:t>
      </w:r>
      <w:r w:rsidRPr="00C222C1">
        <w:rPr>
          <w:lang w:val="en-US"/>
        </w:rPr>
        <w:t>VTB</w:t>
      </w:r>
      <w:r w:rsidRPr="00C222C1">
        <w:t>_</w:t>
      </w:r>
      <w:r w:rsidRPr="00C222C1">
        <w:rPr>
          <w:lang w:val="en-US"/>
        </w:rPr>
        <w:t>Sustainability</w:t>
      </w:r>
      <w:r w:rsidRPr="00C222C1">
        <w:t>_</w:t>
      </w:r>
      <w:r w:rsidRPr="00C222C1">
        <w:rPr>
          <w:lang w:val="en-US"/>
        </w:rPr>
        <w:t>Report</w:t>
      </w:r>
      <w:r w:rsidRPr="00C222C1">
        <w:t>_2023_</w:t>
      </w:r>
      <w:r w:rsidRPr="00C222C1">
        <w:rPr>
          <w:lang w:val="en-US"/>
        </w:rPr>
        <w:t>rus</w:t>
      </w:r>
      <w:r w:rsidRPr="00C222C1">
        <w:t>.</w:t>
      </w:r>
      <w:r w:rsidRPr="00C222C1">
        <w:rPr>
          <w:lang w:val="en-US"/>
        </w:rPr>
        <w:t>pdf</w:t>
      </w:r>
      <w:r w:rsidRPr="00C222C1">
        <w:t xml:space="preserve"> (дата обращения: 15.09.2024).</w:t>
      </w:r>
    </w:p>
    <w:p w14:paraId="22C3ABBD" w14:textId="77777777" w:rsidR="00C222C1" w:rsidRPr="00C222C1" w:rsidRDefault="00C222C1" w:rsidP="00C222C1">
      <w:pPr>
        <w:pStyle w:val="a7"/>
        <w:numPr>
          <w:ilvl w:val="0"/>
          <w:numId w:val="1"/>
        </w:numPr>
        <w:spacing w:line="240" w:lineRule="auto"/>
        <w:ind w:left="0" w:firstLine="709"/>
      </w:pPr>
      <w:r w:rsidRPr="00C222C1">
        <w:t xml:space="preserve">ПАО «РОСБАНК», Отчет о деятельности в области устойчивого развития [Электронный ресурс]. </w:t>
      </w:r>
      <w:r w:rsidRPr="00C222C1">
        <w:rPr>
          <w:lang w:val="en-US"/>
        </w:rPr>
        <w:t>URL</w:t>
      </w:r>
      <w:r w:rsidRPr="00C222C1">
        <w:t xml:space="preserve">: </w:t>
      </w:r>
      <w:r w:rsidRPr="00C222C1">
        <w:rPr>
          <w:lang w:val="en-US"/>
        </w:rPr>
        <w:t>https</w:t>
      </w:r>
      <w:r w:rsidRPr="00C222C1">
        <w:t>://</w:t>
      </w:r>
      <w:r w:rsidRPr="00C222C1">
        <w:rPr>
          <w:lang w:val="en-US"/>
        </w:rPr>
        <w:t>api</w:t>
      </w:r>
      <w:r w:rsidRPr="00C222C1">
        <w:t>.</w:t>
      </w:r>
      <w:r w:rsidRPr="00C222C1">
        <w:rPr>
          <w:lang w:val="en-US"/>
        </w:rPr>
        <w:t>rosbank</w:t>
      </w:r>
      <w:r w:rsidRPr="00C222C1">
        <w:t>.</w:t>
      </w:r>
      <w:r w:rsidRPr="00C222C1">
        <w:rPr>
          <w:lang w:val="en-US"/>
        </w:rPr>
        <w:t>ru</w:t>
      </w:r>
      <w:r w:rsidRPr="00C222C1">
        <w:t>/</w:t>
      </w:r>
      <w:r w:rsidRPr="00C222C1">
        <w:rPr>
          <w:lang w:val="en-US"/>
        </w:rPr>
        <w:t>doc</w:t>
      </w:r>
      <w:r w:rsidRPr="00C222C1">
        <w:t>/</w:t>
      </w:r>
      <w:r w:rsidRPr="00C222C1">
        <w:rPr>
          <w:lang w:val="en-US"/>
        </w:rPr>
        <w:t>otchet</w:t>
      </w:r>
      <w:r w:rsidRPr="00C222C1">
        <w:t>-</w:t>
      </w:r>
      <w:r w:rsidRPr="00C222C1">
        <w:rPr>
          <w:lang w:val="en-US"/>
        </w:rPr>
        <w:t>o</w:t>
      </w:r>
      <w:r w:rsidRPr="00C222C1">
        <w:t>-</w:t>
      </w:r>
      <w:r w:rsidRPr="00C222C1">
        <w:rPr>
          <w:lang w:val="en-US"/>
        </w:rPr>
        <w:t>deyatelnosti</w:t>
      </w:r>
      <w:r w:rsidRPr="00C222C1">
        <w:t>-</w:t>
      </w:r>
      <w:r w:rsidRPr="00C222C1">
        <w:rPr>
          <w:lang w:val="en-US"/>
        </w:rPr>
        <w:t>v</w:t>
      </w:r>
      <w:r w:rsidRPr="00C222C1">
        <w:t>-</w:t>
      </w:r>
      <w:r w:rsidRPr="00C222C1">
        <w:rPr>
          <w:lang w:val="en-US"/>
        </w:rPr>
        <w:t>oblasti</w:t>
      </w:r>
      <w:r w:rsidRPr="00C222C1">
        <w:t>-</w:t>
      </w:r>
      <w:r w:rsidRPr="00C222C1">
        <w:rPr>
          <w:lang w:val="en-US"/>
        </w:rPr>
        <w:t>ustoichivogo</w:t>
      </w:r>
      <w:r w:rsidRPr="00C222C1">
        <w:t>-</w:t>
      </w:r>
      <w:r w:rsidRPr="00C222C1">
        <w:rPr>
          <w:lang w:val="en-US"/>
        </w:rPr>
        <w:t>razvitiya</w:t>
      </w:r>
      <w:r w:rsidRPr="00C222C1">
        <w:t>-</w:t>
      </w:r>
      <w:r w:rsidRPr="00C222C1">
        <w:rPr>
          <w:lang w:val="en-US"/>
        </w:rPr>
        <w:t>za</w:t>
      </w:r>
      <w:r w:rsidRPr="00C222C1">
        <w:t>-2023-</w:t>
      </w:r>
      <w:r w:rsidRPr="00C222C1">
        <w:rPr>
          <w:lang w:val="en-US"/>
        </w:rPr>
        <w:t>god</w:t>
      </w:r>
      <w:r w:rsidRPr="00C222C1">
        <w:t>.</w:t>
      </w:r>
      <w:r w:rsidRPr="00C222C1">
        <w:rPr>
          <w:lang w:val="en-US"/>
        </w:rPr>
        <w:t>pdf</w:t>
      </w:r>
      <w:r w:rsidRPr="00C222C1">
        <w:t xml:space="preserve"> (дата обращения: 15.09.2024).</w:t>
      </w:r>
    </w:p>
    <w:p w14:paraId="47A03C37" w14:textId="77777777" w:rsidR="00C222C1" w:rsidRPr="00C222C1" w:rsidRDefault="00C222C1" w:rsidP="00C222C1">
      <w:pPr>
        <w:pStyle w:val="a7"/>
        <w:numPr>
          <w:ilvl w:val="0"/>
          <w:numId w:val="1"/>
        </w:numPr>
        <w:spacing w:line="240" w:lineRule="auto"/>
        <w:ind w:left="0" w:firstLine="709"/>
        <w:rPr>
          <w:lang w:val="en-US"/>
        </w:rPr>
      </w:pPr>
      <w:r w:rsidRPr="00C222C1">
        <w:t xml:space="preserve">АО «ТБанк», Отчет об устойчивом развитии [Электронный ресурс]. </w:t>
      </w:r>
      <w:r w:rsidRPr="00C222C1">
        <w:rPr>
          <w:lang w:val="en-US"/>
        </w:rPr>
        <w:t>URL: ttps://acdn.tinkoff.ru/static/documents/sustainability-report-2023.pdf (</w:t>
      </w:r>
      <w:r w:rsidRPr="00C222C1">
        <w:t>дата</w:t>
      </w:r>
      <w:r w:rsidRPr="00C222C1">
        <w:rPr>
          <w:lang w:val="en-US"/>
        </w:rPr>
        <w:t xml:space="preserve"> </w:t>
      </w:r>
      <w:r w:rsidRPr="00C222C1">
        <w:t>обращения</w:t>
      </w:r>
      <w:r w:rsidRPr="00C222C1">
        <w:rPr>
          <w:lang w:val="en-US"/>
        </w:rPr>
        <w:t>: 15.09.2024).</w:t>
      </w:r>
    </w:p>
    <w:p w14:paraId="6932D98D" w14:textId="77777777" w:rsidR="00C222C1" w:rsidRPr="00C222C1" w:rsidRDefault="00C222C1" w:rsidP="00C222C1">
      <w:pPr>
        <w:pStyle w:val="a7"/>
        <w:numPr>
          <w:ilvl w:val="0"/>
          <w:numId w:val="1"/>
        </w:numPr>
        <w:spacing w:line="240" w:lineRule="auto"/>
        <w:ind w:left="0" w:firstLine="709"/>
      </w:pPr>
      <w:r w:rsidRPr="00C222C1">
        <w:t xml:space="preserve">АО АКБ «НОВИКОМБАНК» [Электронный ресурс]. </w:t>
      </w:r>
      <w:r w:rsidRPr="00C222C1">
        <w:rPr>
          <w:lang w:val="en-US"/>
        </w:rPr>
        <w:t>URL</w:t>
      </w:r>
      <w:r w:rsidRPr="00C222C1">
        <w:t xml:space="preserve">: Годовой отчет </w:t>
      </w:r>
      <w:r w:rsidRPr="00C222C1">
        <w:rPr>
          <w:lang w:val="en-US"/>
        </w:rPr>
        <w:t>https</w:t>
      </w:r>
      <w:r w:rsidRPr="00C222C1">
        <w:t>://</w:t>
      </w:r>
      <w:r w:rsidRPr="00C222C1">
        <w:rPr>
          <w:lang w:val="en-US"/>
        </w:rPr>
        <w:t>ar</w:t>
      </w:r>
      <w:r w:rsidRPr="00C222C1">
        <w:t>2023.</w:t>
      </w:r>
      <w:r w:rsidRPr="00C222C1">
        <w:rPr>
          <w:lang w:val="en-US"/>
        </w:rPr>
        <w:t>novikom</w:t>
      </w:r>
      <w:r w:rsidRPr="00C222C1">
        <w:t>.</w:t>
      </w:r>
      <w:r w:rsidRPr="00C222C1">
        <w:rPr>
          <w:lang w:val="en-US"/>
        </w:rPr>
        <w:t>ru</w:t>
      </w:r>
      <w:r w:rsidRPr="00C222C1">
        <w:t>/</w:t>
      </w:r>
      <w:r w:rsidRPr="00C222C1">
        <w:rPr>
          <w:lang w:val="en-US"/>
        </w:rPr>
        <w:t>download</w:t>
      </w:r>
      <w:r w:rsidRPr="00C222C1">
        <w:t>/</w:t>
      </w:r>
      <w:r w:rsidRPr="00C222C1">
        <w:rPr>
          <w:lang w:val="en-US"/>
        </w:rPr>
        <w:t>full</w:t>
      </w:r>
      <w:r w:rsidRPr="00C222C1">
        <w:t>-</w:t>
      </w:r>
      <w:r w:rsidRPr="00C222C1">
        <w:rPr>
          <w:lang w:val="en-US"/>
        </w:rPr>
        <w:t>reports</w:t>
      </w:r>
      <w:r w:rsidRPr="00C222C1">
        <w:t>/</w:t>
      </w:r>
      <w:r w:rsidRPr="00C222C1">
        <w:rPr>
          <w:lang w:val="en-US"/>
        </w:rPr>
        <w:t>ar</w:t>
      </w:r>
      <w:r w:rsidRPr="00C222C1">
        <w:t>_</w:t>
      </w:r>
      <w:r w:rsidRPr="00C222C1">
        <w:rPr>
          <w:lang w:val="en-US"/>
        </w:rPr>
        <w:t>ru</w:t>
      </w:r>
      <w:r w:rsidRPr="00C222C1">
        <w:t>_</w:t>
      </w:r>
      <w:r w:rsidRPr="00C222C1">
        <w:rPr>
          <w:lang w:val="en-US"/>
        </w:rPr>
        <w:t>annual</w:t>
      </w:r>
      <w:r w:rsidRPr="00C222C1">
        <w:t>-</w:t>
      </w:r>
      <w:r w:rsidRPr="00C222C1">
        <w:rPr>
          <w:lang w:val="en-US"/>
        </w:rPr>
        <w:t>report</w:t>
      </w:r>
      <w:r w:rsidRPr="00C222C1">
        <w:t>_</w:t>
      </w:r>
      <w:r w:rsidRPr="00C222C1">
        <w:rPr>
          <w:lang w:val="en-US"/>
        </w:rPr>
        <w:t>spreads</w:t>
      </w:r>
      <w:r w:rsidRPr="00C222C1">
        <w:t>_</w:t>
      </w:r>
      <w:r w:rsidRPr="00C222C1">
        <w:rPr>
          <w:lang w:val="en-US"/>
        </w:rPr>
        <w:t>novikom</w:t>
      </w:r>
      <w:r w:rsidRPr="00C222C1">
        <w:t>_2023.</w:t>
      </w:r>
      <w:r w:rsidRPr="00C222C1">
        <w:rPr>
          <w:lang w:val="en-US"/>
        </w:rPr>
        <w:t>pdf</w:t>
      </w:r>
      <w:r w:rsidRPr="00C222C1">
        <w:t xml:space="preserve"> (дата обращения: 15.09.2024).</w:t>
      </w:r>
    </w:p>
    <w:p w14:paraId="5ED0F2AD" w14:textId="77777777" w:rsidR="00C222C1" w:rsidRPr="00C222C1" w:rsidRDefault="00C222C1" w:rsidP="00C222C1">
      <w:pPr>
        <w:pStyle w:val="a7"/>
        <w:numPr>
          <w:ilvl w:val="0"/>
          <w:numId w:val="1"/>
        </w:numPr>
        <w:spacing w:line="240" w:lineRule="auto"/>
        <w:ind w:left="0" w:firstLine="709"/>
        <w:rPr>
          <w:lang w:val="en-US"/>
        </w:rPr>
      </w:pPr>
      <w:r w:rsidRPr="00C222C1">
        <w:rPr>
          <w:lang w:val="en-US"/>
        </w:rPr>
        <w:t xml:space="preserve">Borges F.M.M.G., Rampasso I.S., Osvaldo L.G., Quelhas, W., Rosley A., et al. Addressing the UN SDGs in sustainability reports: An analysis of Latin American oil and gas companies. 2022. Environmental Challenges 7. 100515. DOI: 10.1016/j.envc.2022.100515 </w:t>
      </w:r>
      <w:r w:rsidRPr="00C222C1">
        <w:t>(дата обращения: 15.09.2024).</w:t>
      </w:r>
    </w:p>
    <w:p w14:paraId="10FACBBD" w14:textId="77777777" w:rsidR="00C222C1" w:rsidRPr="00C222C1" w:rsidRDefault="00C222C1" w:rsidP="00C222C1">
      <w:pPr>
        <w:pStyle w:val="a7"/>
        <w:numPr>
          <w:ilvl w:val="0"/>
          <w:numId w:val="1"/>
        </w:numPr>
        <w:spacing w:line="240" w:lineRule="auto"/>
        <w:ind w:left="0" w:firstLine="709"/>
      </w:pPr>
      <w:r w:rsidRPr="00C222C1">
        <w:t xml:space="preserve">Национальные цели устойчивого развития РФ. Федеральная служба государственной статистики [Электронный ресурс]. </w:t>
      </w:r>
      <w:r w:rsidRPr="00C222C1">
        <w:rPr>
          <w:lang w:val="en-US"/>
        </w:rPr>
        <w:t>URL</w:t>
      </w:r>
      <w:r w:rsidRPr="00C222C1">
        <w:t xml:space="preserve">: </w:t>
      </w:r>
      <w:r w:rsidRPr="00C222C1">
        <w:rPr>
          <w:lang w:val="en-US"/>
        </w:rPr>
        <w:t>https</w:t>
      </w:r>
      <w:r w:rsidRPr="00C222C1">
        <w:t>://</w:t>
      </w:r>
      <w:r w:rsidRPr="00C222C1">
        <w:rPr>
          <w:lang w:val="en-US"/>
        </w:rPr>
        <w:t>rosstat</w:t>
      </w:r>
      <w:r w:rsidRPr="00C222C1">
        <w:t>.</w:t>
      </w:r>
      <w:r w:rsidRPr="00C222C1">
        <w:rPr>
          <w:lang w:val="en-US"/>
        </w:rPr>
        <w:t>gov</w:t>
      </w:r>
      <w:r w:rsidRPr="00C222C1">
        <w:t>.</w:t>
      </w:r>
      <w:r w:rsidRPr="00C222C1">
        <w:rPr>
          <w:lang w:val="en-US"/>
        </w:rPr>
        <w:t>ru</w:t>
      </w:r>
      <w:r w:rsidRPr="00C222C1">
        <w:t>/</w:t>
      </w:r>
      <w:r w:rsidRPr="00C222C1">
        <w:rPr>
          <w:lang w:val="en-US"/>
        </w:rPr>
        <w:t>sdg</w:t>
      </w:r>
      <w:r w:rsidRPr="00C222C1">
        <w:t>/</w:t>
      </w:r>
      <w:r w:rsidRPr="00C222C1">
        <w:rPr>
          <w:lang w:val="en-US"/>
        </w:rPr>
        <w:t xml:space="preserve">national </w:t>
      </w:r>
      <w:r w:rsidRPr="00C222C1">
        <w:t>(дата обращения: 15.09.2024).</w:t>
      </w:r>
    </w:p>
    <w:p w14:paraId="1DBC18B1" w14:textId="77777777" w:rsidR="000452E4" w:rsidRDefault="000452E4" w:rsidP="00DD5489">
      <w:pPr>
        <w:pStyle w:val="a7"/>
        <w:spacing w:line="240" w:lineRule="auto"/>
      </w:pPr>
    </w:p>
    <w:sectPr w:rsidR="000452E4" w:rsidSect="002B6857">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45EA17" w14:textId="77777777" w:rsidR="001D2C9E" w:rsidRDefault="001D2C9E" w:rsidP="00C66397">
      <w:pPr>
        <w:spacing w:after="0" w:line="240" w:lineRule="auto"/>
      </w:pPr>
      <w:r>
        <w:separator/>
      </w:r>
    </w:p>
  </w:endnote>
  <w:endnote w:type="continuationSeparator" w:id="0">
    <w:p w14:paraId="3E479651" w14:textId="77777777" w:rsidR="001D2C9E" w:rsidRDefault="001D2C9E" w:rsidP="00C66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ontserratRB-Regular">
    <w:altName w:val="Cambria"/>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Times New Roman Полужирный">
    <w:panose1 w:val="02020803070505020304"/>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FDC01" w14:textId="77777777" w:rsidR="001D2C9E" w:rsidRDefault="001D2C9E" w:rsidP="00C66397">
      <w:pPr>
        <w:spacing w:after="0" w:line="240" w:lineRule="auto"/>
      </w:pPr>
      <w:r>
        <w:separator/>
      </w:r>
    </w:p>
  </w:footnote>
  <w:footnote w:type="continuationSeparator" w:id="0">
    <w:p w14:paraId="440AB902" w14:textId="77777777" w:rsidR="001D2C9E" w:rsidRDefault="001D2C9E" w:rsidP="00C663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D46F82"/>
    <w:multiLevelType w:val="hybridMultilevel"/>
    <w:tmpl w:val="2F02D8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397"/>
    <w:rsid w:val="00025495"/>
    <w:rsid w:val="000269F6"/>
    <w:rsid w:val="00034F2B"/>
    <w:rsid w:val="00035427"/>
    <w:rsid w:val="000452E4"/>
    <w:rsid w:val="00054C8F"/>
    <w:rsid w:val="0006554C"/>
    <w:rsid w:val="000B2818"/>
    <w:rsid w:val="000D2CF8"/>
    <w:rsid w:val="00130D17"/>
    <w:rsid w:val="001412EC"/>
    <w:rsid w:val="0014334A"/>
    <w:rsid w:val="00145007"/>
    <w:rsid w:val="00166AC6"/>
    <w:rsid w:val="00166B07"/>
    <w:rsid w:val="0017282D"/>
    <w:rsid w:val="00194F8C"/>
    <w:rsid w:val="001D2C9E"/>
    <w:rsid w:val="001E0856"/>
    <w:rsid w:val="001E1BC3"/>
    <w:rsid w:val="0022423E"/>
    <w:rsid w:val="002407EE"/>
    <w:rsid w:val="00261770"/>
    <w:rsid w:val="00261E65"/>
    <w:rsid w:val="00272776"/>
    <w:rsid w:val="00294951"/>
    <w:rsid w:val="002B6857"/>
    <w:rsid w:val="002C264D"/>
    <w:rsid w:val="002D4BF0"/>
    <w:rsid w:val="002F6E1A"/>
    <w:rsid w:val="00320317"/>
    <w:rsid w:val="00376E3C"/>
    <w:rsid w:val="003A6CA9"/>
    <w:rsid w:val="003C6825"/>
    <w:rsid w:val="003C6BDE"/>
    <w:rsid w:val="003D2102"/>
    <w:rsid w:val="003F676B"/>
    <w:rsid w:val="00415111"/>
    <w:rsid w:val="00426BE8"/>
    <w:rsid w:val="00464CD2"/>
    <w:rsid w:val="00467C87"/>
    <w:rsid w:val="00483AF0"/>
    <w:rsid w:val="004A58B4"/>
    <w:rsid w:val="0051310C"/>
    <w:rsid w:val="00531573"/>
    <w:rsid w:val="00593407"/>
    <w:rsid w:val="005B76F6"/>
    <w:rsid w:val="005E65F9"/>
    <w:rsid w:val="005F6C06"/>
    <w:rsid w:val="00613DC6"/>
    <w:rsid w:val="006144B8"/>
    <w:rsid w:val="006174B7"/>
    <w:rsid w:val="00623B62"/>
    <w:rsid w:val="00657459"/>
    <w:rsid w:val="006934CC"/>
    <w:rsid w:val="006C085A"/>
    <w:rsid w:val="006C1156"/>
    <w:rsid w:val="006C4064"/>
    <w:rsid w:val="006E487E"/>
    <w:rsid w:val="00702AEB"/>
    <w:rsid w:val="00715BED"/>
    <w:rsid w:val="00715D53"/>
    <w:rsid w:val="00790CF1"/>
    <w:rsid w:val="00794146"/>
    <w:rsid w:val="00796578"/>
    <w:rsid w:val="007A15E4"/>
    <w:rsid w:val="007A58B8"/>
    <w:rsid w:val="007A651F"/>
    <w:rsid w:val="007C18E4"/>
    <w:rsid w:val="007C4D66"/>
    <w:rsid w:val="007E3EFB"/>
    <w:rsid w:val="007E6EF6"/>
    <w:rsid w:val="007F4000"/>
    <w:rsid w:val="00807731"/>
    <w:rsid w:val="00814B8C"/>
    <w:rsid w:val="00823A0B"/>
    <w:rsid w:val="0087348A"/>
    <w:rsid w:val="008748D9"/>
    <w:rsid w:val="00886FE5"/>
    <w:rsid w:val="008935ED"/>
    <w:rsid w:val="008D3A4D"/>
    <w:rsid w:val="008E00FB"/>
    <w:rsid w:val="008E3BFE"/>
    <w:rsid w:val="008E7470"/>
    <w:rsid w:val="009204D9"/>
    <w:rsid w:val="009209DE"/>
    <w:rsid w:val="009309B6"/>
    <w:rsid w:val="00934A09"/>
    <w:rsid w:val="00941B4C"/>
    <w:rsid w:val="00973C94"/>
    <w:rsid w:val="00986D7C"/>
    <w:rsid w:val="009C41C2"/>
    <w:rsid w:val="009E6668"/>
    <w:rsid w:val="00A00DE5"/>
    <w:rsid w:val="00A07AFB"/>
    <w:rsid w:val="00A259E8"/>
    <w:rsid w:val="00AA2116"/>
    <w:rsid w:val="00AA2982"/>
    <w:rsid w:val="00AB511C"/>
    <w:rsid w:val="00AC4935"/>
    <w:rsid w:val="00B06BC2"/>
    <w:rsid w:val="00B447A3"/>
    <w:rsid w:val="00B53CBC"/>
    <w:rsid w:val="00B82DD7"/>
    <w:rsid w:val="00B92651"/>
    <w:rsid w:val="00B926B6"/>
    <w:rsid w:val="00B96053"/>
    <w:rsid w:val="00C06675"/>
    <w:rsid w:val="00C067A4"/>
    <w:rsid w:val="00C222C1"/>
    <w:rsid w:val="00C53E38"/>
    <w:rsid w:val="00C66397"/>
    <w:rsid w:val="00CA3487"/>
    <w:rsid w:val="00CB16C8"/>
    <w:rsid w:val="00CF344F"/>
    <w:rsid w:val="00D00BA6"/>
    <w:rsid w:val="00D201A5"/>
    <w:rsid w:val="00D25108"/>
    <w:rsid w:val="00D269C5"/>
    <w:rsid w:val="00D3532C"/>
    <w:rsid w:val="00D711F9"/>
    <w:rsid w:val="00D77ACE"/>
    <w:rsid w:val="00DA6ABA"/>
    <w:rsid w:val="00DD5489"/>
    <w:rsid w:val="00E06BCD"/>
    <w:rsid w:val="00E30580"/>
    <w:rsid w:val="00E76A32"/>
    <w:rsid w:val="00E86368"/>
    <w:rsid w:val="00EA25F6"/>
    <w:rsid w:val="00EB5688"/>
    <w:rsid w:val="00EC4EB3"/>
    <w:rsid w:val="00EF4E7F"/>
    <w:rsid w:val="00EF623F"/>
    <w:rsid w:val="00F14634"/>
    <w:rsid w:val="00F30228"/>
    <w:rsid w:val="00F73376"/>
    <w:rsid w:val="00F91EDC"/>
    <w:rsid w:val="00FA0035"/>
    <w:rsid w:val="00FC20CC"/>
    <w:rsid w:val="00FF016F"/>
    <w:rsid w:val="00FF1B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18532"/>
  <w15:chartTrackingRefBased/>
  <w15:docId w15:val="{310B494C-8F17-4C2D-A331-C1DFAD4C1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qFormat/>
    <w:rsid w:val="00C66397"/>
    <w:pPr>
      <w:spacing w:after="0" w:line="240" w:lineRule="auto"/>
    </w:pPr>
    <w:rPr>
      <w:sz w:val="20"/>
      <w:szCs w:val="20"/>
    </w:rPr>
  </w:style>
  <w:style w:type="character" w:customStyle="1" w:styleId="a4">
    <w:name w:val="Текст сноски Знак"/>
    <w:basedOn w:val="a0"/>
    <w:link w:val="a3"/>
    <w:uiPriority w:val="99"/>
    <w:rsid w:val="00C66397"/>
    <w:rPr>
      <w:sz w:val="20"/>
      <w:szCs w:val="20"/>
    </w:rPr>
  </w:style>
  <w:style w:type="character" w:styleId="a5">
    <w:name w:val="footnote reference"/>
    <w:aliases w:val="Знак сноски 1,Знак сноски-FN,Ciae niinee-FN,Referencia nota al pie,SUPERS"/>
    <w:basedOn w:val="a0"/>
    <w:uiPriority w:val="99"/>
    <w:semiHidden/>
    <w:unhideWhenUsed/>
    <w:rsid w:val="00C66397"/>
    <w:rPr>
      <w:vertAlign w:val="superscript"/>
    </w:rPr>
  </w:style>
  <w:style w:type="character" w:customStyle="1" w:styleId="a6">
    <w:name w:val="тескт осн Знак"/>
    <w:basedOn w:val="a0"/>
    <w:link w:val="a7"/>
    <w:locked/>
    <w:rsid w:val="00B06BC2"/>
    <w:rPr>
      <w:rFonts w:ascii="Times New Roman" w:eastAsia="Times New Roman" w:hAnsi="Times New Roman" w:cs="Times New Roman"/>
      <w:iCs/>
      <w:color w:val="000000"/>
      <w:sz w:val="24"/>
      <w:szCs w:val="24"/>
    </w:rPr>
  </w:style>
  <w:style w:type="paragraph" w:customStyle="1" w:styleId="a7">
    <w:name w:val="тескт осн"/>
    <w:basedOn w:val="a"/>
    <w:link w:val="a6"/>
    <w:qFormat/>
    <w:rsid w:val="00B06BC2"/>
    <w:pPr>
      <w:spacing w:after="0" w:line="360" w:lineRule="auto"/>
      <w:ind w:firstLine="709"/>
      <w:jc w:val="both"/>
    </w:pPr>
    <w:rPr>
      <w:rFonts w:ascii="Times New Roman" w:eastAsia="Times New Roman" w:hAnsi="Times New Roman" w:cs="Times New Roman"/>
      <w:iCs/>
      <w:color w:val="000000"/>
      <w:sz w:val="24"/>
      <w:szCs w:val="24"/>
    </w:rPr>
  </w:style>
  <w:style w:type="table" w:styleId="a8">
    <w:name w:val="Table Grid"/>
    <w:basedOn w:val="a1"/>
    <w:uiPriority w:val="39"/>
    <w:rsid w:val="00EB5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986D7C"/>
    <w:rPr>
      <w:rFonts w:ascii="MontserratRB-Regular" w:hAnsi="MontserratRB-Regular" w:hint="default"/>
      <w:b w:val="0"/>
      <w:bCs w:val="0"/>
      <w:i w:val="0"/>
      <w:iCs w:val="0"/>
      <w:color w:val="000000"/>
      <w:sz w:val="16"/>
      <w:szCs w:val="16"/>
    </w:rPr>
  </w:style>
  <w:style w:type="character" w:styleId="a9">
    <w:name w:val="Hyperlink"/>
    <w:basedOn w:val="a0"/>
    <w:uiPriority w:val="99"/>
    <w:unhideWhenUsed/>
    <w:rsid w:val="00D00BA6"/>
    <w:rPr>
      <w:color w:val="0563C1" w:themeColor="hyperlink"/>
      <w:u w:val="single"/>
    </w:rPr>
  </w:style>
  <w:style w:type="character" w:customStyle="1" w:styleId="1">
    <w:name w:val="Неразрешенное упоминание1"/>
    <w:basedOn w:val="a0"/>
    <w:uiPriority w:val="99"/>
    <w:semiHidden/>
    <w:unhideWhenUsed/>
    <w:rsid w:val="00D00BA6"/>
    <w:rPr>
      <w:color w:val="605E5C"/>
      <w:shd w:val="clear" w:color="auto" w:fill="E1DFDD"/>
    </w:rPr>
  </w:style>
  <w:style w:type="paragraph" w:styleId="aa">
    <w:name w:val="Balloon Text"/>
    <w:basedOn w:val="a"/>
    <w:link w:val="ab"/>
    <w:uiPriority w:val="99"/>
    <w:semiHidden/>
    <w:unhideWhenUsed/>
    <w:rsid w:val="003F676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F676B"/>
    <w:rPr>
      <w:rFonts w:ascii="Segoe UI" w:hAnsi="Segoe UI" w:cs="Segoe UI"/>
      <w:sz w:val="18"/>
      <w:szCs w:val="18"/>
    </w:rPr>
  </w:style>
  <w:style w:type="character" w:customStyle="1" w:styleId="UnresolvedMention">
    <w:name w:val="Unresolved Mention"/>
    <w:basedOn w:val="a0"/>
    <w:uiPriority w:val="99"/>
    <w:semiHidden/>
    <w:unhideWhenUsed/>
    <w:rsid w:val="00C22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9819">
      <w:bodyDiv w:val="1"/>
      <w:marLeft w:val="0"/>
      <w:marRight w:val="0"/>
      <w:marTop w:val="0"/>
      <w:marBottom w:val="0"/>
      <w:divBdr>
        <w:top w:val="none" w:sz="0" w:space="0" w:color="auto"/>
        <w:left w:val="none" w:sz="0" w:space="0" w:color="auto"/>
        <w:bottom w:val="none" w:sz="0" w:space="0" w:color="auto"/>
        <w:right w:val="none" w:sz="0" w:space="0" w:color="auto"/>
      </w:divBdr>
    </w:div>
    <w:div w:id="255865104">
      <w:bodyDiv w:val="1"/>
      <w:marLeft w:val="0"/>
      <w:marRight w:val="0"/>
      <w:marTop w:val="0"/>
      <w:marBottom w:val="0"/>
      <w:divBdr>
        <w:top w:val="none" w:sz="0" w:space="0" w:color="auto"/>
        <w:left w:val="none" w:sz="0" w:space="0" w:color="auto"/>
        <w:bottom w:val="none" w:sz="0" w:space="0" w:color="auto"/>
        <w:right w:val="none" w:sz="0" w:space="0" w:color="auto"/>
      </w:divBdr>
    </w:div>
    <w:div w:id="486169596">
      <w:bodyDiv w:val="1"/>
      <w:marLeft w:val="0"/>
      <w:marRight w:val="0"/>
      <w:marTop w:val="0"/>
      <w:marBottom w:val="0"/>
      <w:divBdr>
        <w:top w:val="none" w:sz="0" w:space="0" w:color="auto"/>
        <w:left w:val="none" w:sz="0" w:space="0" w:color="auto"/>
        <w:bottom w:val="none" w:sz="0" w:space="0" w:color="auto"/>
        <w:right w:val="none" w:sz="0" w:space="0" w:color="auto"/>
      </w:divBdr>
    </w:div>
    <w:div w:id="489830852">
      <w:bodyDiv w:val="1"/>
      <w:marLeft w:val="0"/>
      <w:marRight w:val="0"/>
      <w:marTop w:val="0"/>
      <w:marBottom w:val="0"/>
      <w:divBdr>
        <w:top w:val="none" w:sz="0" w:space="0" w:color="auto"/>
        <w:left w:val="none" w:sz="0" w:space="0" w:color="auto"/>
        <w:bottom w:val="none" w:sz="0" w:space="0" w:color="auto"/>
        <w:right w:val="none" w:sz="0" w:space="0" w:color="auto"/>
      </w:divBdr>
    </w:div>
    <w:div w:id="610668061">
      <w:bodyDiv w:val="1"/>
      <w:marLeft w:val="0"/>
      <w:marRight w:val="0"/>
      <w:marTop w:val="0"/>
      <w:marBottom w:val="0"/>
      <w:divBdr>
        <w:top w:val="none" w:sz="0" w:space="0" w:color="auto"/>
        <w:left w:val="none" w:sz="0" w:space="0" w:color="auto"/>
        <w:bottom w:val="none" w:sz="0" w:space="0" w:color="auto"/>
        <w:right w:val="none" w:sz="0" w:space="0" w:color="auto"/>
      </w:divBdr>
    </w:div>
    <w:div w:id="704210147">
      <w:bodyDiv w:val="1"/>
      <w:marLeft w:val="0"/>
      <w:marRight w:val="0"/>
      <w:marTop w:val="0"/>
      <w:marBottom w:val="0"/>
      <w:divBdr>
        <w:top w:val="none" w:sz="0" w:space="0" w:color="auto"/>
        <w:left w:val="none" w:sz="0" w:space="0" w:color="auto"/>
        <w:bottom w:val="none" w:sz="0" w:space="0" w:color="auto"/>
        <w:right w:val="none" w:sz="0" w:space="0" w:color="auto"/>
      </w:divBdr>
    </w:div>
    <w:div w:id="749617252">
      <w:bodyDiv w:val="1"/>
      <w:marLeft w:val="0"/>
      <w:marRight w:val="0"/>
      <w:marTop w:val="0"/>
      <w:marBottom w:val="0"/>
      <w:divBdr>
        <w:top w:val="none" w:sz="0" w:space="0" w:color="auto"/>
        <w:left w:val="none" w:sz="0" w:space="0" w:color="auto"/>
        <w:bottom w:val="none" w:sz="0" w:space="0" w:color="auto"/>
        <w:right w:val="none" w:sz="0" w:space="0" w:color="auto"/>
      </w:divBdr>
    </w:div>
    <w:div w:id="827942220">
      <w:bodyDiv w:val="1"/>
      <w:marLeft w:val="0"/>
      <w:marRight w:val="0"/>
      <w:marTop w:val="0"/>
      <w:marBottom w:val="0"/>
      <w:divBdr>
        <w:top w:val="none" w:sz="0" w:space="0" w:color="auto"/>
        <w:left w:val="none" w:sz="0" w:space="0" w:color="auto"/>
        <w:bottom w:val="none" w:sz="0" w:space="0" w:color="auto"/>
        <w:right w:val="none" w:sz="0" w:space="0" w:color="auto"/>
      </w:divBdr>
    </w:div>
    <w:div w:id="910776340">
      <w:bodyDiv w:val="1"/>
      <w:marLeft w:val="0"/>
      <w:marRight w:val="0"/>
      <w:marTop w:val="0"/>
      <w:marBottom w:val="0"/>
      <w:divBdr>
        <w:top w:val="none" w:sz="0" w:space="0" w:color="auto"/>
        <w:left w:val="none" w:sz="0" w:space="0" w:color="auto"/>
        <w:bottom w:val="none" w:sz="0" w:space="0" w:color="auto"/>
        <w:right w:val="none" w:sz="0" w:space="0" w:color="auto"/>
      </w:divBdr>
    </w:div>
    <w:div w:id="1322932765">
      <w:bodyDiv w:val="1"/>
      <w:marLeft w:val="0"/>
      <w:marRight w:val="0"/>
      <w:marTop w:val="0"/>
      <w:marBottom w:val="0"/>
      <w:divBdr>
        <w:top w:val="none" w:sz="0" w:space="0" w:color="auto"/>
        <w:left w:val="none" w:sz="0" w:space="0" w:color="auto"/>
        <w:bottom w:val="none" w:sz="0" w:space="0" w:color="auto"/>
        <w:right w:val="none" w:sz="0" w:space="0" w:color="auto"/>
      </w:divBdr>
    </w:div>
    <w:div w:id="1324046746">
      <w:bodyDiv w:val="1"/>
      <w:marLeft w:val="0"/>
      <w:marRight w:val="0"/>
      <w:marTop w:val="0"/>
      <w:marBottom w:val="0"/>
      <w:divBdr>
        <w:top w:val="none" w:sz="0" w:space="0" w:color="auto"/>
        <w:left w:val="none" w:sz="0" w:space="0" w:color="auto"/>
        <w:bottom w:val="none" w:sz="0" w:space="0" w:color="auto"/>
        <w:right w:val="none" w:sz="0" w:space="0" w:color="auto"/>
      </w:divBdr>
    </w:div>
    <w:div w:id="1371565256">
      <w:bodyDiv w:val="1"/>
      <w:marLeft w:val="0"/>
      <w:marRight w:val="0"/>
      <w:marTop w:val="0"/>
      <w:marBottom w:val="0"/>
      <w:divBdr>
        <w:top w:val="none" w:sz="0" w:space="0" w:color="auto"/>
        <w:left w:val="none" w:sz="0" w:space="0" w:color="auto"/>
        <w:bottom w:val="none" w:sz="0" w:space="0" w:color="auto"/>
        <w:right w:val="none" w:sz="0" w:space="0" w:color="auto"/>
      </w:divBdr>
    </w:div>
    <w:div w:id="1573420298">
      <w:bodyDiv w:val="1"/>
      <w:marLeft w:val="0"/>
      <w:marRight w:val="0"/>
      <w:marTop w:val="0"/>
      <w:marBottom w:val="0"/>
      <w:divBdr>
        <w:top w:val="none" w:sz="0" w:space="0" w:color="auto"/>
        <w:left w:val="none" w:sz="0" w:space="0" w:color="auto"/>
        <w:bottom w:val="none" w:sz="0" w:space="0" w:color="auto"/>
        <w:right w:val="none" w:sz="0" w:space="0" w:color="auto"/>
      </w:divBdr>
    </w:div>
    <w:div w:id="1619482313">
      <w:bodyDiv w:val="1"/>
      <w:marLeft w:val="0"/>
      <w:marRight w:val="0"/>
      <w:marTop w:val="0"/>
      <w:marBottom w:val="0"/>
      <w:divBdr>
        <w:top w:val="none" w:sz="0" w:space="0" w:color="auto"/>
        <w:left w:val="none" w:sz="0" w:space="0" w:color="auto"/>
        <w:bottom w:val="none" w:sz="0" w:space="0" w:color="auto"/>
        <w:right w:val="none" w:sz="0" w:space="0" w:color="auto"/>
      </w:divBdr>
    </w:div>
    <w:div w:id="1630740549">
      <w:bodyDiv w:val="1"/>
      <w:marLeft w:val="0"/>
      <w:marRight w:val="0"/>
      <w:marTop w:val="0"/>
      <w:marBottom w:val="0"/>
      <w:divBdr>
        <w:top w:val="none" w:sz="0" w:space="0" w:color="auto"/>
        <w:left w:val="none" w:sz="0" w:space="0" w:color="auto"/>
        <w:bottom w:val="none" w:sz="0" w:space="0" w:color="auto"/>
        <w:right w:val="none" w:sz="0" w:space="0" w:color="auto"/>
      </w:divBdr>
    </w:div>
    <w:div w:id="1640570335">
      <w:bodyDiv w:val="1"/>
      <w:marLeft w:val="0"/>
      <w:marRight w:val="0"/>
      <w:marTop w:val="0"/>
      <w:marBottom w:val="0"/>
      <w:divBdr>
        <w:top w:val="none" w:sz="0" w:space="0" w:color="auto"/>
        <w:left w:val="none" w:sz="0" w:space="0" w:color="auto"/>
        <w:bottom w:val="none" w:sz="0" w:space="0" w:color="auto"/>
        <w:right w:val="none" w:sz="0" w:space="0" w:color="auto"/>
      </w:divBdr>
    </w:div>
    <w:div w:id="1892882947">
      <w:bodyDiv w:val="1"/>
      <w:marLeft w:val="0"/>
      <w:marRight w:val="0"/>
      <w:marTop w:val="0"/>
      <w:marBottom w:val="0"/>
      <w:divBdr>
        <w:top w:val="none" w:sz="0" w:space="0" w:color="auto"/>
        <w:left w:val="none" w:sz="0" w:space="0" w:color="auto"/>
        <w:bottom w:val="none" w:sz="0" w:space="0" w:color="auto"/>
        <w:right w:val="none" w:sz="0" w:space="0" w:color="auto"/>
      </w:divBdr>
    </w:div>
    <w:div w:id="1993025038">
      <w:bodyDiv w:val="1"/>
      <w:marLeft w:val="0"/>
      <w:marRight w:val="0"/>
      <w:marTop w:val="0"/>
      <w:marBottom w:val="0"/>
      <w:divBdr>
        <w:top w:val="none" w:sz="0" w:space="0" w:color="auto"/>
        <w:left w:val="none" w:sz="0" w:space="0" w:color="auto"/>
        <w:bottom w:val="none" w:sz="0" w:space="0" w:color="auto"/>
        <w:right w:val="none" w:sz="0" w:space="0" w:color="auto"/>
      </w:divBdr>
    </w:div>
    <w:div w:id="1997491958">
      <w:bodyDiv w:val="1"/>
      <w:marLeft w:val="0"/>
      <w:marRight w:val="0"/>
      <w:marTop w:val="0"/>
      <w:marBottom w:val="0"/>
      <w:divBdr>
        <w:top w:val="none" w:sz="0" w:space="0" w:color="auto"/>
        <w:left w:val="none" w:sz="0" w:space="0" w:color="auto"/>
        <w:bottom w:val="none" w:sz="0" w:space="0" w:color="auto"/>
        <w:right w:val="none" w:sz="0" w:space="0" w:color="auto"/>
      </w:divBdr>
    </w:div>
    <w:div w:id="209578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yana.Ershova@vvsu.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LPPAAGP\Desktop\&#1057;&#1090;&#1072;&#1090;&#1100;&#1080;%20&#1089;%20&#1095;&#1083;&#1077;&#1085;&#1072;&#1084;&#1080;%20&#1044;&#1057;\&#1060;&#1080;&#1083;&#1100;&#1090;&#1088;&#1099;%20&#1092;&#1080;&#1085;&#1072;&#1085;&#1089;&#109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LPPAAGP\Desktop\&#1057;&#1090;&#1072;&#1090;&#1100;&#1080;%20&#1089;%20&#1095;&#1083;&#1077;&#1085;&#1072;&#1084;&#1080;%20&#1044;&#1057;\&#1045;&#1088;&#1096;&#1086;&#1074;&#1072;%20&#1092;&#1080;&#1085;&#1072;&#1085;&#1089;&#1099;\&#1062;&#1059;&#1056;%20&#1087;&#1088;&#1080;&#1086;&#1088;&#1080;&#1090;&#1077;&#109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LPPAAGP\Desktop\&#1057;&#1090;&#1072;&#1090;&#1100;&#1080;%20&#1089;%20&#1095;&#1083;&#1077;&#1085;&#1072;&#1084;&#1080;%20&#1044;&#1057;\&#1045;&#1088;&#1096;&#1086;&#1074;&#1072;%20&#1092;&#1080;&#1085;&#1072;&#1085;&#1089;&#1099;\&#1062;&#1059;&#1056;%20&#1087;&#1088;&#1080;&#1086;&#1088;&#1080;&#1090;&#1077;&#109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LPPAAGP\Desktop\&#1057;&#1090;&#1072;&#1090;&#1100;&#1080;%20&#1089;%20&#1095;&#1083;&#1077;&#1085;&#1072;&#1084;&#1080;%20&#1044;&#1057;\&#1045;&#1088;&#1096;&#1086;&#1074;&#1072;%20&#1092;&#1080;&#1085;&#1072;&#1085;&#1089;&#1099;\&#1062;&#1059;&#1056;%20&#1087;&#1088;&#1080;&#1086;&#1088;&#1080;&#1090;&#1077;&#1090;.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bar"/>
        <c:grouping val="clustered"/>
        <c:varyColors val="0"/>
        <c:ser>
          <c:idx val="0"/>
          <c:order val="0"/>
          <c:tx>
            <c:strRef>
              <c:f>'1.2'!$S$1</c:f>
              <c:strCache>
                <c:ptCount val="1"/>
                <c:pt idx="0">
                  <c:v>На 01.06.2024</c:v>
                </c:pt>
              </c:strCache>
            </c:strRef>
          </c:tx>
          <c:spPr>
            <a:solidFill>
              <a:schemeClr val="accent1">
                <a:shade val="76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'1.2'!$R$2:$R$5</c:f>
              <c:strCache>
                <c:ptCount val="4"/>
                <c:pt idx="0">
                  <c:v>ESG-отчет</c:v>
                </c:pt>
                <c:pt idx="1">
                  <c:v>Отчет об устойчивом развитии </c:v>
                </c:pt>
                <c:pt idx="2">
                  <c:v>Интегрированный годовой отчет</c:v>
                </c:pt>
                <c:pt idx="3">
                  <c:v>Релевантный отчет отсутствует</c:v>
                </c:pt>
              </c:strCache>
            </c:strRef>
          </c:cat>
          <c:val>
            <c:numRef>
              <c:f>'1.2'!$S$2:$S$5</c:f>
              <c:numCache>
                <c:formatCode>General</c:formatCode>
                <c:ptCount val="4"/>
                <c:pt idx="0">
                  <c:v>1</c:v>
                </c:pt>
                <c:pt idx="1">
                  <c:v>9</c:v>
                </c:pt>
                <c:pt idx="2">
                  <c:v>2</c:v>
                </c:pt>
                <c:pt idx="3">
                  <c:v>10</c:v>
                </c:pt>
              </c:numCache>
            </c:numRef>
          </c:val>
          <c:extLst xmlns:c16r2="http://schemas.microsoft.com/office/drawing/2015/06/chart">
            <c:ext xmlns:c16="http://schemas.microsoft.com/office/drawing/2014/chart" uri="{C3380CC4-5D6E-409C-BE32-E72D297353CC}">
              <c16:uniqueId val="{00000000-F13F-4CE0-96F5-59AA242881F4}"/>
            </c:ext>
          </c:extLst>
        </c:ser>
        <c:ser>
          <c:idx val="1"/>
          <c:order val="1"/>
          <c:tx>
            <c:strRef>
              <c:f>'1.2'!$T$1</c:f>
              <c:strCache>
                <c:ptCount val="1"/>
                <c:pt idx="0">
                  <c:v>На 01.10.2024</c:v>
                </c:pt>
              </c:strCache>
            </c:strRef>
          </c:tx>
          <c:spPr>
            <a:solidFill>
              <a:schemeClr val="accent1">
                <a:tint val="77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'1.2'!$R$2:$R$5</c:f>
              <c:strCache>
                <c:ptCount val="4"/>
                <c:pt idx="0">
                  <c:v>ESG-отчет</c:v>
                </c:pt>
                <c:pt idx="1">
                  <c:v>Отчет об устойчивом развитии </c:v>
                </c:pt>
                <c:pt idx="2">
                  <c:v>Интегрированный годовой отчет</c:v>
                </c:pt>
                <c:pt idx="3">
                  <c:v>Релевантный отчет отсутствует</c:v>
                </c:pt>
              </c:strCache>
            </c:strRef>
          </c:cat>
          <c:val>
            <c:numRef>
              <c:f>'1.2'!$T$2:$T$5</c:f>
              <c:numCache>
                <c:formatCode>General</c:formatCode>
                <c:ptCount val="4"/>
                <c:pt idx="0">
                  <c:v>1</c:v>
                </c:pt>
                <c:pt idx="1">
                  <c:v>7</c:v>
                </c:pt>
                <c:pt idx="2">
                  <c:v>3</c:v>
                </c:pt>
                <c:pt idx="3">
                  <c:v>11</c:v>
                </c:pt>
              </c:numCache>
            </c:numRef>
          </c:val>
          <c:extLst xmlns:c16r2="http://schemas.microsoft.com/office/drawing/2015/06/chart">
            <c:ext xmlns:c16="http://schemas.microsoft.com/office/drawing/2014/chart" uri="{C3380CC4-5D6E-409C-BE32-E72D297353CC}">
              <c16:uniqueId val="{00000001-F13F-4CE0-96F5-59AA242881F4}"/>
            </c:ext>
          </c:extLst>
        </c:ser>
        <c:dLbls>
          <c:dLblPos val="outEnd"/>
          <c:showLegendKey val="0"/>
          <c:showVal val="1"/>
          <c:showCatName val="0"/>
          <c:showSerName val="0"/>
          <c:showPercent val="0"/>
          <c:showBubbleSize val="0"/>
        </c:dLbls>
        <c:gapWidth val="182"/>
        <c:axId val="654170608"/>
        <c:axId val="654176208"/>
      </c:barChart>
      <c:catAx>
        <c:axId val="654170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ru-RU"/>
          </a:p>
        </c:txPr>
        <c:crossAx val="654176208"/>
        <c:crosses val="autoZero"/>
        <c:auto val="1"/>
        <c:lblAlgn val="ctr"/>
        <c:lblOffset val="100"/>
        <c:noMultiLvlLbl val="0"/>
      </c:catAx>
      <c:valAx>
        <c:axId val="6541762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ru-RU"/>
          </a:p>
        </c:txPr>
        <c:crossAx val="65417060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solidFill>
          <a:latin typeface="Arial" panose="020B0604020202020204" pitchFamily="34" charset="0"/>
          <a:cs typeface="Arial" panose="020B0604020202020204" pitchFamily="34" charset="0"/>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'вклад-приори'!$C$1</c:f>
              <c:strCache>
                <c:ptCount val="1"/>
                <c:pt idx="0">
                  <c:v>Приоритезация ЦУР</c:v>
                </c:pt>
              </c:strCache>
            </c:strRef>
          </c:tx>
          <c:spPr>
            <a:solidFill>
              <a:schemeClr val="accent1"/>
            </a:solidFill>
            <a:ln>
              <a:noFill/>
            </a:ln>
            <a:effectLst/>
          </c:spPr>
          <c:invertIfNegative val="0"/>
          <c:cat>
            <c:multiLvlStrRef>
              <c:f>'вклад-приори'!$A$2:$B$11</c:f>
              <c:multiLvlStrCache>
                <c:ptCount val="10"/>
                <c:lvl>
                  <c:pt idx="0">
                    <c:v>Новикомбанк</c:v>
                  </c:pt>
                  <c:pt idx="1">
                    <c:v>Тбанк</c:v>
                  </c:pt>
                  <c:pt idx="2">
                    <c:v>Росбанк</c:v>
                  </c:pt>
                  <c:pt idx="3">
                    <c:v>Банк ВТБ</c:v>
                  </c:pt>
                  <c:pt idx="4">
                    <c:v>Совкомбанк</c:v>
                  </c:pt>
                  <c:pt idx="5">
                    <c:v>Алмазэргиэнбанк</c:v>
                  </c:pt>
                  <c:pt idx="6">
                    <c:v>Банк «Центр-инвест» </c:v>
                  </c:pt>
                  <c:pt idx="7">
                    <c:v>АК Барс Банк</c:v>
                  </c:pt>
                  <c:pt idx="8">
                    <c:v>Московская Биржа</c:v>
                  </c:pt>
                  <c:pt idx="9">
                    <c:v>Московский кредитный банк</c:v>
                  </c:pt>
                </c:lvl>
                <c:lvl>
                  <c:pt idx="0">
                    <c:v>156</c:v>
                  </c:pt>
                  <c:pt idx="1">
                    <c:v>115</c:v>
                  </c:pt>
                  <c:pt idx="2">
                    <c:v>92</c:v>
                  </c:pt>
                  <c:pt idx="3">
                    <c:v>82</c:v>
                  </c:pt>
                  <c:pt idx="4">
                    <c:v>74</c:v>
                  </c:pt>
                  <c:pt idx="5">
                    <c:v>68</c:v>
                  </c:pt>
                  <c:pt idx="6">
                    <c:v>65</c:v>
                  </c:pt>
                  <c:pt idx="7">
                    <c:v>57</c:v>
                  </c:pt>
                  <c:pt idx="8">
                    <c:v>16</c:v>
                  </c:pt>
                  <c:pt idx="9">
                    <c:v>7</c:v>
                  </c:pt>
                </c:lvl>
              </c:multiLvlStrCache>
            </c:multiLvlStrRef>
          </c:cat>
          <c:val>
            <c:numRef>
              <c:f>'вклад-приори'!$C$2:$C$11</c:f>
              <c:numCache>
                <c:formatCode>General</c:formatCode>
                <c:ptCount val="10"/>
                <c:pt idx="0">
                  <c:v>0</c:v>
                </c:pt>
                <c:pt idx="1">
                  <c:v>0</c:v>
                </c:pt>
                <c:pt idx="2">
                  <c:v>1</c:v>
                </c:pt>
                <c:pt idx="3">
                  <c:v>1</c:v>
                </c:pt>
                <c:pt idx="4">
                  <c:v>0</c:v>
                </c:pt>
                <c:pt idx="5">
                  <c:v>1</c:v>
                </c:pt>
                <c:pt idx="6">
                  <c:v>1</c:v>
                </c:pt>
                <c:pt idx="7">
                  <c:v>0</c:v>
                </c:pt>
                <c:pt idx="8">
                  <c:v>1</c:v>
                </c:pt>
                <c:pt idx="9">
                  <c:v>1</c:v>
                </c:pt>
              </c:numCache>
            </c:numRef>
          </c:val>
          <c:extLst xmlns:c16r2="http://schemas.microsoft.com/office/drawing/2015/06/chart">
            <c:ext xmlns:c16="http://schemas.microsoft.com/office/drawing/2014/chart" uri="{C3380CC4-5D6E-409C-BE32-E72D297353CC}">
              <c16:uniqueId val="{00000000-F090-418C-B24F-7CBE260B179E}"/>
            </c:ext>
          </c:extLst>
        </c:ser>
        <c:ser>
          <c:idx val="1"/>
          <c:order val="1"/>
          <c:tx>
            <c:strRef>
              <c:f>'вклад-приори'!$D$1</c:f>
              <c:strCache>
                <c:ptCount val="1"/>
                <c:pt idx="0">
                  <c:v>Вклад в ЦУР</c:v>
                </c:pt>
              </c:strCache>
            </c:strRef>
          </c:tx>
          <c:spPr>
            <a:solidFill>
              <a:srgbClr val="002060"/>
            </a:solidFill>
            <a:ln>
              <a:noFill/>
            </a:ln>
            <a:effectLst/>
          </c:spPr>
          <c:invertIfNegative val="0"/>
          <c:cat>
            <c:multiLvlStrRef>
              <c:f>'вклад-приори'!$A$2:$B$11</c:f>
              <c:multiLvlStrCache>
                <c:ptCount val="10"/>
                <c:lvl>
                  <c:pt idx="0">
                    <c:v>Новикомбанк</c:v>
                  </c:pt>
                  <c:pt idx="1">
                    <c:v>Тбанк</c:v>
                  </c:pt>
                  <c:pt idx="2">
                    <c:v>Росбанк</c:v>
                  </c:pt>
                  <c:pt idx="3">
                    <c:v>Банк ВТБ</c:v>
                  </c:pt>
                  <c:pt idx="4">
                    <c:v>Совкомбанк</c:v>
                  </c:pt>
                  <c:pt idx="5">
                    <c:v>Алмазэргиэнбанк</c:v>
                  </c:pt>
                  <c:pt idx="6">
                    <c:v>Банк «Центр-инвест» </c:v>
                  </c:pt>
                  <c:pt idx="7">
                    <c:v>АК Барс Банк</c:v>
                  </c:pt>
                  <c:pt idx="8">
                    <c:v>Московская Биржа</c:v>
                  </c:pt>
                  <c:pt idx="9">
                    <c:v>Московский кредитный банк</c:v>
                  </c:pt>
                </c:lvl>
                <c:lvl>
                  <c:pt idx="0">
                    <c:v>156</c:v>
                  </c:pt>
                  <c:pt idx="1">
                    <c:v>115</c:v>
                  </c:pt>
                  <c:pt idx="2">
                    <c:v>92</c:v>
                  </c:pt>
                  <c:pt idx="3">
                    <c:v>82</c:v>
                  </c:pt>
                  <c:pt idx="4">
                    <c:v>74</c:v>
                  </c:pt>
                  <c:pt idx="5">
                    <c:v>68</c:v>
                  </c:pt>
                  <c:pt idx="6">
                    <c:v>65</c:v>
                  </c:pt>
                  <c:pt idx="7">
                    <c:v>57</c:v>
                  </c:pt>
                  <c:pt idx="8">
                    <c:v>16</c:v>
                  </c:pt>
                  <c:pt idx="9">
                    <c:v>7</c:v>
                  </c:pt>
                </c:lvl>
              </c:multiLvlStrCache>
            </c:multiLvlStrRef>
          </c:cat>
          <c:val>
            <c:numRef>
              <c:f>'вклад-приори'!$D$2:$D$11</c:f>
              <c:numCache>
                <c:formatCode>General</c:formatCode>
                <c:ptCount val="10"/>
                <c:pt idx="0">
                  <c:v>0</c:v>
                </c:pt>
                <c:pt idx="1">
                  <c:v>0</c:v>
                </c:pt>
                <c:pt idx="2">
                  <c:v>1</c:v>
                </c:pt>
                <c:pt idx="3">
                  <c:v>1</c:v>
                </c:pt>
                <c:pt idx="4">
                  <c:v>1</c:v>
                </c:pt>
                <c:pt idx="5">
                  <c:v>1</c:v>
                </c:pt>
                <c:pt idx="6">
                  <c:v>0</c:v>
                </c:pt>
                <c:pt idx="7">
                  <c:v>1</c:v>
                </c:pt>
                <c:pt idx="8">
                  <c:v>1</c:v>
                </c:pt>
                <c:pt idx="9">
                  <c:v>1</c:v>
                </c:pt>
              </c:numCache>
            </c:numRef>
          </c:val>
          <c:extLst xmlns:c16r2="http://schemas.microsoft.com/office/drawing/2015/06/chart">
            <c:ext xmlns:c16="http://schemas.microsoft.com/office/drawing/2014/chart" uri="{C3380CC4-5D6E-409C-BE32-E72D297353CC}">
              <c16:uniqueId val="{00000001-F090-418C-B24F-7CBE260B179E}"/>
            </c:ext>
          </c:extLst>
        </c:ser>
        <c:dLbls>
          <c:showLegendKey val="0"/>
          <c:showVal val="0"/>
          <c:showCatName val="0"/>
          <c:showSerName val="0"/>
          <c:showPercent val="0"/>
          <c:showBubbleSize val="0"/>
        </c:dLbls>
        <c:gapWidth val="182"/>
        <c:axId val="712584880"/>
        <c:axId val="712609520"/>
      </c:barChart>
      <c:catAx>
        <c:axId val="7125848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Arial Narrow" panose="020B0606020202030204" pitchFamily="34" charset="0"/>
                <a:ea typeface="+mn-ea"/>
                <a:cs typeface="+mn-cs"/>
              </a:defRPr>
            </a:pPr>
            <a:endParaRPr lang="ru-RU"/>
          </a:p>
        </c:txPr>
        <c:crossAx val="712609520"/>
        <c:crosses val="autoZero"/>
        <c:auto val="1"/>
        <c:lblAlgn val="ctr"/>
        <c:lblOffset val="100"/>
        <c:noMultiLvlLbl val="0"/>
      </c:catAx>
      <c:valAx>
        <c:axId val="712609520"/>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Arial Narrow" panose="020B0606020202030204" pitchFamily="34" charset="0"/>
                <a:ea typeface="+mn-ea"/>
                <a:cs typeface="+mn-cs"/>
              </a:defRPr>
            </a:pPr>
            <a:endParaRPr lang="ru-RU"/>
          </a:p>
        </c:txPr>
        <c:crossAx val="7125848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Narrow" panose="020B0606020202030204" pitchFamily="34" charset="0"/>
              <a:ea typeface="+mn-ea"/>
              <a:cs typeface="+mn-cs"/>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solidFill>
          <a:latin typeface="Arial Narrow" panose="020B0606020202030204" pitchFamily="34" charset="0"/>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8007584279237824"/>
          <c:y val="3.1884057971014491E-2"/>
          <c:w val="0.68722943722943719"/>
          <c:h val="0.5347449503594659"/>
        </c:manualLayout>
      </c:layout>
      <c:barChart>
        <c:barDir val="bar"/>
        <c:grouping val="stacked"/>
        <c:varyColors val="0"/>
        <c:ser>
          <c:idx val="0"/>
          <c:order val="0"/>
          <c:tx>
            <c:strRef>
              <c:f>приори!$C$1</c:f>
              <c:strCache>
                <c:ptCount val="1"/>
                <c:pt idx="0">
                  <c:v>ЦУР 1. Ликвидация нищеты</c:v>
                </c:pt>
              </c:strCache>
            </c:strRef>
          </c:tx>
          <c:spPr>
            <a:solidFill>
              <a:srgbClr val="FF0000"/>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приори!$C$2:$C$8</c:f>
              <c:numCache>
                <c:formatCode>General</c:formatCode>
                <c:ptCount val="7"/>
                <c:pt idx="4">
                  <c:v>1</c:v>
                </c:pt>
                <c:pt idx="5">
                  <c:v>1</c:v>
                </c:pt>
              </c:numCache>
            </c:numRef>
          </c:val>
          <c:extLst xmlns:c16r2="http://schemas.microsoft.com/office/drawing/2015/06/chart">
            <c:ext xmlns:c16="http://schemas.microsoft.com/office/drawing/2014/chart" uri="{C3380CC4-5D6E-409C-BE32-E72D297353CC}">
              <c16:uniqueId val="{00000000-3D34-47B4-86A1-9DA2AAF393CB}"/>
            </c:ext>
          </c:extLst>
        </c:ser>
        <c:ser>
          <c:idx val="1"/>
          <c:order val="1"/>
          <c:tx>
            <c:strRef>
              <c:f>приори!$D$1</c:f>
              <c:strCache>
                <c:ptCount val="1"/>
                <c:pt idx="0">
                  <c:v>ЦУР 2. Ликвидация голода</c:v>
                </c:pt>
              </c:strCache>
            </c:strRef>
          </c:tx>
          <c:spPr>
            <a:solidFill>
              <a:schemeClr val="accent4">
                <a:lumMod val="50000"/>
              </a:schemeClr>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приори!$D$2:$D$8</c:f>
              <c:numCache>
                <c:formatCode>General</c:formatCode>
                <c:ptCount val="7"/>
                <c:pt idx="4">
                  <c:v>1</c:v>
                </c:pt>
              </c:numCache>
            </c:numRef>
          </c:val>
          <c:extLst xmlns:c16r2="http://schemas.microsoft.com/office/drawing/2015/06/chart">
            <c:ext xmlns:c16="http://schemas.microsoft.com/office/drawing/2014/chart" uri="{C3380CC4-5D6E-409C-BE32-E72D297353CC}">
              <c16:uniqueId val="{00000001-3D34-47B4-86A1-9DA2AAF393CB}"/>
            </c:ext>
          </c:extLst>
        </c:ser>
        <c:ser>
          <c:idx val="2"/>
          <c:order val="2"/>
          <c:tx>
            <c:strRef>
              <c:f>приори!$E$1</c:f>
              <c:strCache>
                <c:ptCount val="1"/>
                <c:pt idx="0">
                  <c:v>ЦУР 3. Хорошее здоровье и благополучие</c:v>
                </c:pt>
              </c:strCache>
            </c:strRef>
          </c:tx>
          <c:spPr>
            <a:solidFill>
              <a:srgbClr val="00B050"/>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приори!$E$2:$E$8</c:f>
              <c:numCache>
                <c:formatCode>General</c:formatCode>
                <c:ptCount val="7"/>
                <c:pt idx="2">
                  <c:v>1</c:v>
                </c:pt>
                <c:pt idx="3">
                  <c:v>1</c:v>
                </c:pt>
                <c:pt idx="6">
                  <c:v>1</c:v>
                </c:pt>
              </c:numCache>
            </c:numRef>
          </c:val>
          <c:extLst xmlns:c16r2="http://schemas.microsoft.com/office/drawing/2015/06/chart">
            <c:ext xmlns:c16="http://schemas.microsoft.com/office/drawing/2014/chart" uri="{C3380CC4-5D6E-409C-BE32-E72D297353CC}">
              <c16:uniqueId val="{00000002-3D34-47B4-86A1-9DA2AAF393CB}"/>
            </c:ext>
          </c:extLst>
        </c:ser>
        <c:ser>
          <c:idx val="3"/>
          <c:order val="3"/>
          <c:tx>
            <c:strRef>
              <c:f>приори!$F$1</c:f>
              <c:strCache>
                <c:ptCount val="1"/>
                <c:pt idx="0">
                  <c:v>ЦУР 4. Качественное образование</c:v>
                </c:pt>
              </c:strCache>
            </c:strRef>
          </c:tx>
          <c:spPr>
            <a:solidFill>
              <a:srgbClr val="CC0000"/>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приори!$F$2:$F$8</c:f>
              <c:numCache>
                <c:formatCode>General</c:formatCode>
                <c:ptCount val="7"/>
                <c:pt idx="1">
                  <c:v>1</c:v>
                </c:pt>
                <c:pt idx="3">
                  <c:v>1</c:v>
                </c:pt>
                <c:pt idx="5">
                  <c:v>1</c:v>
                </c:pt>
                <c:pt idx="6">
                  <c:v>1</c:v>
                </c:pt>
              </c:numCache>
            </c:numRef>
          </c:val>
          <c:extLst xmlns:c16r2="http://schemas.microsoft.com/office/drawing/2015/06/chart">
            <c:ext xmlns:c16="http://schemas.microsoft.com/office/drawing/2014/chart" uri="{C3380CC4-5D6E-409C-BE32-E72D297353CC}">
              <c16:uniqueId val="{00000003-3D34-47B4-86A1-9DA2AAF393CB}"/>
            </c:ext>
          </c:extLst>
        </c:ser>
        <c:ser>
          <c:idx val="4"/>
          <c:order val="4"/>
          <c:tx>
            <c:strRef>
              <c:f>приори!$G$1</c:f>
              <c:strCache>
                <c:ptCount val="1"/>
                <c:pt idx="0">
                  <c:v>ЦУР 5. Гендерное равенство</c:v>
                </c:pt>
              </c:strCache>
            </c:strRef>
          </c:tx>
          <c:spPr>
            <a:solidFill>
              <a:srgbClr val="FF7A01"/>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приори!$G$2:$G$8</c:f>
              <c:numCache>
                <c:formatCode>General</c:formatCode>
                <c:ptCount val="7"/>
                <c:pt idx="2">
                  <c:v>1</c:v>
                </c:pt>
                <c:pt idx="4">
                  <c:v>1</c:v>
                </c:pt>
                <c:pt idx="5">
                  <c:v>1</c:v>
                </c:pt>
              </c:numCache>
            </c:numRef>
          </c:val>
          <c:extLst xmlns:c16r2="http://schemas.microsoft.com/office/drawing/2015/06/chart">
            <c:ext xmlns:c16="http://schemas.microsoft.com/office/drawing/2014/chart" uri="{C3380CC4-5D6E-409C-BE32-E72D297353CC}">
              <c16:uniqueId val="{00000004-3D34-47B4-86A1-9DA2AAF393CB}"/>
            </c:ext>
          </c:extLst>
        </c:ser>
        <c:ser>
          <c:idx val="5"/>
          <c:order val="5"/>
          <c:tx>
            <c:strRef>
              <c:f>приори!$H$1</c:f>
              <c:strCache>
                <c:ptCount val="1"/>
                <c:pt idx="0">
                  <c:v>ЦУР 6. Чистая вода и санитария</c:v>
                </c:pt>
              </c:strCache>
            </c:strRef>
          </c:tx>
          <c:spPr>
            <a:solidFill>
              <a:schemeClr val="accent1">
                <a:lumMod val="60000"/>
                <a:lumOff val="40000"/>
              </a:schemeClr>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приори!$H$2:$H$8</c:f>
              <c:numCache>
                <c:formatCode>General</c:formatCode>
                <c:ptCount val="7"/>
              </c:numCache>
            </c:numRef>
          </c:val>
          <c:extLst xmlns:c16r2="http://schemas.microsoft.com/office/drawing/2015/06/chart">
            <c:ext xmlns:c16="http://schemas.microsoft.com/office/drawing/2014/chart" uri="{C3380CC4-5D6E-409C-BE32-E72D297353CC}">
              <c16:uniqueId val="{00000005-3D34-47B4-86A1-9DA2AAF393CB}"/>
            </c:ext>
          </c:extLst>
        </c:ser>
        <c:ser>
          <c:idx val="6"/>
          <c:order val="6"/>
          <c:tx>
            <c:strRef>
              <c:f>приори!$I$1</c:f>
              <c:strCache>
                <c:ptCount val="1"/>
                <c:pt idx="0">
                  <c:v>ЦУР 7. Недорогостоящая и чистая энергия</c:v>
                </c:pt>
              </c:strCache>
            </c:strRef>
          </c:tx>
          <c:spPr>
            <a:solidFill>
              <a:srgbClr val="FFFF00"/>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приори!$I$2:$I$8</c:f>
              <c:numCache>
                <c:formatCode>General</c:formatCode>
                <c:ptCount val="7"/>
                <c:pt idx="2">
                  <c:v>1</c:v>
                </c:pt>
              </c:numCache>
            </c:numRef>
          </c:val>
          <c:extLst xmlns:c16r2="http://schemas.microsoft.com/office/drawing/2015/06/chart">
            <c:ext xmlns:c16="http://schemas.microsoft.com/office/drawing/2014/chart" uri="{C3380CC4-5D6E-409C-BE32-E72D297353CC}">
              <c16:uniqueId val="{00000006-3D34-47B4-86A1-9DA2AAF393CB}"/>
            </c:ext>
          </c:extLst>
        </c:ser>
        <c:ser>
          <c:idx val="7"/>
          <c:order val="7"/>
          <c:tx>
            <c:strRef>
              <c:f>приори!$J$1</c:f>
              <c:strCache>
                <c:ptCount val="1"/>
                <c:pt idx="0">
                  <c:v>ЦУР 8. Достойная работа и экономический рост</c:v>
                </c:pt>
              </c:strCache>
            </c:strRef>
          </c:tx>
          <c:spPr>
            <a:solidFill>
              <a:srgbClr val="990033"/>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приори!$J$2:$J$8</c:f>
              <c:numCache>
                <c:formatCode>General</c:formatCode>
                <c:ptCount val="7"/>
                <c:pt idx="0">
                  <c:v>1</c:v>
                </c:pt>
                <c:pt idx="1">
                  <c:v>1</c:v>
                </c:pt>
                <c:pt idx="2">
                  <c:v>1</c:v>
                </c:pt>
                <c:pt idx="3">
                  <c:v>1</c:v>
                </c:pt>
                <c:pt idx="4">
                  <c:v>1</c:v>
                </c:pt>
                <c:pt idx="5">
                  <c:v>1</c:v>
                </c:pt>
                <c:pt idx="6">
                  <c:v>1</c:v>
                </c:pt>
              </c:numCache>
            </c:numRef>
          </c:val>
          <c:extLst xmlns:c16r2="http://schemas.microsoft.com/office/drawing/2015/06/chart">
            <c:ext xmlns:c16="http://schemas.microsoft.com/office/drawing/2014/chart" uri="{C3380CC4-5D6E-409C-BE32-E72D297353CC}">
              <c16:uniqueId val="{00000007-3D34-47B4-86A1-9DA2AAF393CB}"/>
            </c:ext>
          </c:extLst>
        </c:ser>
        <c:ser>
          <c:idx val="8"/>
          <c:order val="8"/>
          <c:tx>
            <c:strRef>
              <c:f>приори!$K$1</c:f>
              <c:strCache>
                <c:ptCount val="1"/>
                <c:pt idx="0">
                  <c:v>ЦУР 9. Индустриализация, инновации и инфраструктура</c:v>
                </c:pt>
              </c:strCache>
            </c:strRef>
          </c:tx>
          <c:spPr>
            <a:solidFill>
              <a:srgbClr val="FF9900"/>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приори!$K$2:$K$8</c:f>
              <c:numCache>
                <c:formatCode>General</c:formatCode>
                <c:ptCount val="7"/>
                <c:pt idx="1">
                  <c:v>1</c:v>
                </c:pt>
                <c:pt idx="2">
                  <c:v>1</c:v>
                </c:pt>
                <c:pt idx="3">
                  <c:v>1</c:v>
                </c:pt>
                <c:pt idx="4">
                  <c:v>1</c:v>
                </c:pt>
                <c:pt idx="5">
                  <c:v>1</c:v>
                </c:pt>
                <c:pt idx="6">
                  <c:v>1</c:v>
                </c:pt>
              </c:numCache>
            </c:numRef>
          </c:val>
          <c:extLst xmlns:c16r2="http://schemas.microsoft.com/office/drawing/2015/06/chart">
            <c:ext xmlns:c16="http://schemas.microsoft.com/office/drawing/2014/chart" uri="{C3380CC4-5D6E-409C-BE32-E72D297353CC}">
              <c16:uniqueId val="{00000008-3D34-47B4-86A1-9DA2AAF393CB}"/>
            </c:ext>
          </c:extLst>
        </c:ser>
        <c:ser>
          <c:idx val="9"/>
          <c:order val="9"/>
          <c:tx>
            <c:strRef>
              <c:f>приори!$L$1</c:f>
              <c:strCache>
                <c:ptCount val="1"/>
                <c:pt idx="0">
                  <c:v>ЦУР 10. Уменьшение неравенства</c:v>
                </c:pt>
              </c:strCache>
            </c:strRef>
          </c:tx>
          <c:spPr>
            <a:solidFill>
              <a:srgbClr val="FF0066"/>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приори!$L$2:$L$8</c:f>
              <c:numCache>
                <c:formatCode>General</c:formatCode>
                <c:ptCount val="7"/>
                <c:pt idx="3">
                  <c:v>1</c:v>
                </c:pt>
                <c:pt idx="4">
                  <c:v>1</c:v>
                </c:pt>
              </c:numCache>
            </c:numRef>
          </c:val>
          <c:extLst xmlns:c16r2="http://schemas.microsoft.com/office/drawing/2015/06/chart">
            <c:ext xmlns:c16="http://schemas.microsoft.com/office/drawing/2014/chart" uri="{C3380CC4-5D6E-409C-BE32-E72D297353CC}">
              <c16:uniqueId val="{00000009-3D34-47B4-86A1-9DA2AAF393CB}"/>
            </c:ext>
          </c:extLst>
        </c:ser>
        <c:ser>
          <c:idx val="10"/>
          <c:order val="10"/>
          <c:tx>
            <c:strRef>
              <c:f>приори!$M$1</c:f>
              <c:strCache>
                <c:ptCount val="1"/>
                <c:pt idx="0">
                  <c:v>ЦУР 11. Устойчивые города и населенные пункты</c:v>
                </c:pt>
              </c:strCache>
            </c:strRef>
          </c:tx>
          <c:spPr>
            <a:solidFill>
              <a:schemeClr val="accent2">
                <a:lumMod val="40000"/>
                <a:lumOff val="60000"/>
              </a:schemeClr>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приори!$M$2:$M$8</c:f>
              <c:numCache>
                <c:formatCode>General</c:formatCode>
                <c:ptCount val="7"/>
                <c:pt idx="0">
                  <c:v>1</c:v>
                </c:pt>
                <c:pt idx="1">
                  <c:v>1</c:v>
                </c:pt>
                <c:pt idx="2">
                  <c:v>1</c:v>
                </c:pt>
                <c:pt idx="3">
                  <c:v>1</c:v>
                </c:pt>
                <c:pt idx="4">
                  <c:v>1</c:v>
                </c:pt>
                <c:pt idx="6">
                  <c:v>1</c:v>
                </c:pt>
              </c:numCache>
            </c:numRef>
          </c:val>
          <c:extLst xmlns:c16r2="http://schemas.microsoft.com/office/drawing/2015/06/chart">
            <c:ext xmlns:c16="http://schemas.microsoft.com/office/drawing/2014/chart" uri="{C3380CC4-5D6E-409C-BE32-E72D297353CC}">
              <c16:uniqueId val="{0000000A-3D34-47B4-86A1-9DA2AAF393CB}"/>
            </c:ext>
          </c:extLst>
        </c:ser>
        <c:ser>
          <c:idx val="11"/>
          <c:order val="11"/>
          <c:tx>
            <c:strRef>
              <c:f>приори!$N$1</c:f>
              <c:strCache>
                <c:ptCount val="1"/>
                <c:pt idx="0">
                  <c:v>ЦУР 12. Ответственное потребление и производство</c:v>
                </c:pt>
              </c:strCache>
            </c:strRef>
          </c:tx>
          <c:spPr>
            <a:solidFill>
              <a:schemeClr val="accent4">
                <a:lumMod val="75000"/>
              </a:schemeClr>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приори!$N$2:$N$8</c:f>
              <c:numCache>
                <c:formatCode>General</c:formatCode>
                <c:ptCount val="7"/>
                <c:pt idx="1">
                  <c:v>1</c:v>
                </c:pt>
                <c:pt idx="3">
                  <c:v>1</c:v>
                </c:pt>
                <c:pt idx="5">
                  <c:v>1</c:v>
                </c:pt>
                <c:pt idx="6">
                  <c:v>1</c:v>
                </c:pt>
              </c:numCache>
            </c:numRef>
          </c:val>
          <c:extLst xmlns:c16r2="http://schemas.microsoft.com/office/drawing/2015/06/chart">
            <c:ext xmlns:c16="http://schemas.microsoft.com/office/drawing/2014/chart" uri="{C3380CC4-5D6E-409C-BE32-E72D297353CC}">
              <c16:uniqueId val="{0000000B-3D34-47B4-86A1-9DA2AAF393CB}"/>
            </c:ext>
          </c:extLst>
        </c:ser>
        <c:ser>
          <c:idx val="12"/>
          <c:order val="12"/>
          <c:tx>
            <c:strRef>
              <c:f>приори!$O$1</c:f>
              <c:strCache>
                <c:ptCount val="1"/>
                <c:pt idx="0">
                  <c:v>ЦУР 13. Борьба с изменением климата</c:v>
                </c:pt>
              </c:strCache>
            </c:strRef>
          </c:tx>
          <c:spPr>
            <a:solidFill>
              <a:schemeClr val="accent6">
                <a:lumMod val="50000"/>
              </a:schemeClr>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приори!$O$2:$O$8</c:f>
              <c:numCache>
                <c:formatCode>General</c:formatCode>
                <c:ptCount val="7"/>
                <c:pt idx="0">
                  <c:v>1</c:v>
                </c:pt>
                <c:pt idx="2">
                  <c:v>1</c:v>
                </c:pt>
                <c:pt idx="3">
                  <c:v>1</c:v>
                </c:pt>
                <c:pt idx="5">
                  <c:v>1</c:v>
                </c:pt>
                <c:pt idx="6">
                  <c:v>1</c:v>
                </c:pt>
              </c:numCache>
            </c:numRef>
          </c:val>
          <c:extLst xmlns:c16r2="http://schemas.microsoft.com/office/drawing/2015/06/chart">
            <c:ext xmlns:c16="http://schemas.microsoft.com/office/drawing/2014/chart" uri="{C3380CC4-5D6E-409C-BE32-E72D297353CC}">
              <c16:uniqueId val="{0000000C-3D34-47B4-86A1-9DA2AAF393CB}"/>
            </c:ext>
          </c:extLst>
        </c:ser>
        <c:ser>
          <c:idx val="13"/>
          <c:order val="13"/>
          <c:tx>
            <c:strRef>
              <c:f>приори!$P$1</c:f>
              <c:strCache>
                <c:ptCount val="1"/>
                <c:pt idx="0">
                  <c:v>ЦУР 14. Сохранение морских экосистем</c:v>
                </c:pt>
              </c:strCache>
            </c:strRef>
          </c:tx>
          <c:spPr>
            <a:solidFill>
              <a:srgbClr val="00B0F0"/>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приори!$P$2:$P$8</c:f>
              <c:numCache>
                <c:formatCode>General</c:formatCode>
                <c:ptCount val="7"/>
              </c:numCache>
            </c:numRef>
          </c:val>
          <c:extLst xmlns:c16r2="http://schemas.microsoft.com/office/drawing/2015/06/chart">
            <c:ext xmlns:c16="http://schemas.microsoft.com/office/drawing/2014/chart" uri="{C3380CC4-5D6E-409C-BE32-E72D297353CC}">
              <c16:uniqueId val="{0000000D-3D34-47B4-86A1-9DA2AAF393CB}"/>
            </c:ext>
          </c:extLst>
        </c:ser>
        <c:ser>
          <c:idx val="14"/>
          <c:order val="14"/>
          <c:tx>
            <c:strRef>
              <c:f>приори!$Q$1</c:f>
              <c:strCache>
                <c:ptCount val="1"/>
                <c:pt idx="0">
                  <c:v>ЦУР 15. Сохранение экосистем суши</c:v>
                </c:pt>
              </c:strCache>
            </c:strRef>
          </c:tx>
          <c:spPr>
            <a:solidFill>
              <a:schemeClr val="accent6">
                <a:lumMod val="40000"/>
                <a:lumOff val="60000"/>
              </a:schemeClr>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приори!$Q$2:$Q$8</c:f>
              <c:numCache>
                <c:formatCode>General</c:formatCode>
                <c:ptCount val="7"/>
                <c:pt idx="1">
                  <c:v>1</c:v>
                </c:pt>
                <c:pt idx="5">
                  <c:v>1</c:v>
                </c:pt>
              </c:numCache>
            </c:numRef>
          </c:val>
          <c:extLst xmlns:c16r2="http://schemas.microsoft.com/office/drawing/2015/06/chart">
            <c:ext xmlns:c16="http://schemas.microsoft.com/office/drawing/2014/chart" uri="{C3380CC4-5D6E-409C-BE32-E72D297353CC}">
              <c16:uniqueId val="{0000000E-3D34-47B4-86A1-9DA2AAF393CB}"/>
            </c:ext>
          </c:extLst>
        </c:ser>
        <c:ser>
          <c:idx val="15"/>
          <c:order val="15"/>
          <c:tx>
            <c:strRef>
              <c:f>приори!$R$1</c:f>
              <c:strCache>
                <c:ptCount val="1"/>
                <c:pt idx="0">
                  <c:v>ЦУР 16. Мир, правосудие и эффективные институты</c:v>
                </c:pt>
              </c:strCache>
            </c:strRef>
          </c:tx>
          <c:spPr>
            <a:solidFill>
              <a:srgbClr val="0070C0"/>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приори!$R$2:$R$8</c:f>
              <c:numCache>
                <c:formatCode>General</c:formatCode>
                <c:ptCount val="7"/>
                <c:pt idx="0">
                  <c:v>1</c:v>
                </c:pt>
                <c:pt idx="5">
                  <c:v>1</c:v>
                </c:pt>
                <c:pt idx="6">
                  <c:v>1</c:v>
                </c:pt>
              </c:numCache>
            </c:numRef>
          </c:val>
          <c:extLst xmlns:c16r2="http://schemas.microsoft.com/office/drawing/2015/06/chart">
            <c:ext xmlns:c16="http://schemas.microsoft.com/office/drawing/2014/chart" uri="{C3380CC4-5D6E-409C-BE32-E72D297353CC}">
              <c16:uniqueId val="{0000000F-3D34-47B4-86A1-9DA2AAF393CB}"/>
            </c:ext>
          </c:extLst>
        </c:ser>
        <c:ser>
          <c:idx val="16"/>
          <c:order val="16"/>
          <c:tx>
            <c:strRef>
              <c:f>приори!$S$1</c:f>
              <c:strCache>
                <c:ptCount val="1"/>
                <c:pt idx="0">
                  <c:v>ЦУР 17. Партнерство в интересах устойчивого развития</c:v>
                </c:pt>
              </c:strCache>
            </c:strRef>
          </c:tx>
          <c:spPr>
            <a:solidFill>
              <a:schemeClr val="accent1">
                <a:lumMod val="75000"/>
              </a:schemeClr>
            </a:solidFill>
            <a:ln>
              <a:noFill/>
            </a:ln>
            <a:effectLst/>
          </c:spPr>
          <c:invertIfNegative val="0"/>
          <c:cat>
            <c:multiLvlStrRef>
              <c:f>приори!$A$2:$B$8</c:f>
              <c:multiLvlStrCache>
                <c:ptCount val="7"/>
                <c:lvl>
                  <c:pt idx="0">
                    <c:v>Росбанк</c:v>
                  </c:pt>
                  <c:pt idx="1">
                    <c:v>Банк ВТБ</c:v>
                  </c:pt>
                  <c:pt idx="2">
                    <c:v>Совкомбанк</c:v>
                  </c:pt>
                  <c:pt idx="3">
                    <c:v>Алмазэргиэнбанк</c:v>
                  </c:pt>
                  <c:pt idx="4">
                    <c:v>Банк «Центр-инвест»</c:v>
                  </c:pt>
                  <c:pt idx="5">
                    <c:v>Московская Биржа</c:v>
                  </c:pt>
                  <c:pt idx="6">
                    <c:v>Московский кредитный банк</c:v>
                  </c:pt>
                </c:lvl>
                <c:lvl>
                  <c:pt idx="0">
                    <c:v>92</c:v>
                  </c:pt>
                  <c:pt idx="1">
                    <c:v>82</c:v>
                  </c:pt>
                  <c:pt idx="2">
                    <c:v>74</c:v>
                  </c:pt>
                  <c:pt idx="3">
                    <c:v>68</c:v>
                  </c:pt>
                  <c:pt idx="4">
                    <c:v>65</c:v>
                  </c:pt>
                  <c:pt idx="5">
                    <c:v>16</c:v>
                  </c:pt>
                  <c:pt idx="6">
                    <c:v>7</c:v>
                  </c:pt>
                </c:lvl>
              </c:multiLvlStrCache>
            </c:multiLvlStrRef>
          </c:cat>
          <c:val>
            <c:numRef>
              <c:f>приори!$S$2:$S$8</c:f>
              <c:numCache>
                <c:formatCode>General</c:formatCode>
                <c:ptCount val="7"/>
                <c:pt idx="3">
                  <c:v>1</c:v>
                </c:pt>
                <c:pt idx="5">
                  <c:v>1</c:v>
                </c:pt>
                <c:pt idx="6">
                  <c:v>1</c:v>
                </c:pt>
              </c:numCache>
            </c:numRef>
          </c:val>
          <c:extLst xmlns:c16r2="http://schemas.microsoft.com/office/drawing/2015/06/chart">
            <c:ext xmlns:c16="http://schemas.microsoft.com/office/drawing/2014/chart" uri="{C3380CC4-5D6E-409C-BE32-E72D297353CC}">
              <c16:uniqueId val="{00000010-3D34-47B4-86A1-9DA2AAF393CB}"/>
            </c:ext>
          </c:extLst>
        </c:ser>
        <c:dLbls>
          <c:showLegendKey val="0"/>
          <c:showVal val="0"/>
          <c:showCatName val="0"/>
          <c:showSerName val="0"/>
          <c:showPercent val="0"/>
          <c:showBubbleSize val="0"/>
        </c:dLbls>
        <c:gapWidth val="150"/>
        <c:overlap val="100"/>
        <c:axId val="94039200"/>
        <c:axId val="651820080"/>
      </c:barChart>
      <c:catAx>
        <c:axId val="940392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Arial Narrow" panose="020B0606020202030204" pitchFamily="34" charset="0"/>
                <a:ea typeface="+mn-ea"/>
                <a:cs typeface="+mn-cs"/>
              </a:defRPr>
            </a:pPr>
            <a:endParaRPr lang="ru-RU"/>
          </a:p>
        </c:txPr>
        <c:crossAx val="651820080"/>
        <c:crosses val="autoZero"/>
        <c:auto val="1"/>
        <c:lblAlgn val="ctr"/>
        <c:lblOffset val="100"/>
        <c:noMultiLvlLbl val="0"/>
      </c:catAx>
      <c:valAx>
        <c:axId val="6518200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Arial Narrow" panose="020B0606020202030204" pitchFamily="34" charset="0"/>
                <a:ea typeface="+mn-ea"/>
                <a:cs typeface="+mn-cs"/>
              </a:defRPr>
            </a:pPr>
            <a:endParaRPr lang="ru-RU"/>
          </a:p>
        </c:txPr>
        <c:crossAx val="94039200"/>
        <c:crosses val="autoZero"/>
        <c:crossBetween val="between"/>
      </c:valAx>
      <c:spPr>
        <a:noFill/>
        <a:ln>
          <a:noFill/>
        </a:ln>
        <a:effectLst/>
      </c:spPr>
    </c:plotArea>
    <c:legend>
      <c:legendPos val="b"/>
      <c:layout>
        <c:manualLayout>
          <c:xMode val="edge"/>
          <c:yMode val="edge"/>
          <c:x val="0"/>
          <c:y val="0.61128494807714251"/>
          <c:w val="1"/>
          <c:h val="0.3887150755563838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Narrow" panose="020B0606020202030204" pitchFamily="34" charset="0"/>
              <a:ea typeface="+mn-ea"/>
              <a:cs typeface="+mn-cs"/>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solidFill>
          <a:latin typeface="Arial Narrow" panose="020B0606020202030204" pitchFamily="34" charset="0"/>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8007584279237824"/>
          <c:y val="3.1884057971014491E-2"/>
          <c:w val="0.68722943722943719"/>
          <c:h val="0.50286089238845144"/>
        </c:manualLayout>
      </c:layout>
      <c:barChart>
        <c:barDir val="bar"/>
        <c:grouping val="stacked"/>
        <c:varyColors val="0"/>
        <c:ser>
          <c:idx val="0"/>
          <c:order val="0"/>
          <c:tx>
            <c:strRef>
              <c:f>вклад!$C$1</c:f>
              <c:strCache>
                <c:ptCount val="1"/>
                <c:pt idx="0">
                  <c:v>ЦУР 1. Ликвидация нищеты</c:v>
                </c:pt>
              </c:strCache>
            </c:strRef>
          </c:tx>
          <c:spPr>
            <a:solidFill>
              <a:srgbClr val="FF0000"/>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вклад!$C$2:$C$8</c:f>
              <c:numCache>
                <c:formatCode>General</c:formatCode>
                <c:ptCount val="7"/>
                <c:pt idx="5">
                  <c:v>1</c:v>
                </c:pt>
              </c:numCache>
            </c:numRef>
          </c:val>
          <c:extLst xmlns:c16r2="http://schemas.microsoft.com/office/drawing/2015/06/chart">
            <c:ext xmlns:c16="http://schemas.microsoft.com/office/drawing/2014/chart" uri="{C3380CC4-5D6E-409C-BE32-E72D297353CC}">
              <c16:uniqueId val="{00000000-6AFB-4A17-880D-7F633B9E6E20}"/>
            </c:ext>
          </c:extLst>
        </c:ser>
        <c:ser>
          <c:idx val="1"/>
          <c:order val="1"/>
          <c:tx>
            <c:strRef>
              <c:f>вклад!$D$1</c:f>
              <c:strCache>
                <c:ptCount val="1"/>
                <c:pt idx="0">
                  <c:v>ЦУР 2. Ликвидация голода</c:v>
                </c:pt>
              </c:strCache>
            </c:strRef>
          </c:tx>
          <c:spPr>
            <a:solidFill>
              <a:schemeClr val="accent4">
                <a:lumMod val="50000"/>
              </a:schemeClr>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вклад!$D$2:$D$8</c:f>
              <c:numCache>
                <c:formatCode>General</c:formatCode>
                <c:ptCount val="7"/>
                <c:pt idx="6">
                  <c:v>1</c:v>
                </c:pt>
              </c:numCache>
            </c:numRef>
          </c:val>
          <c:extLst xmlns:c16r2="http://schemas.microsoft.com/office/drawing/2015/06/chart">
            <c:ext xmlns:c16="http://schemas.microsoft.com/office/drawing/2014/chart" uri="{C3380CC4-5D6E-409C-BE32-E72D297353CC}">
              <c16:uniqueId val="{00000001-6AFB-4A17-880D-7F633B9E6E20}"/>
            </c:ext>
          </c:extLst>
        </c:ser>
        <c:ser>
          <c:idx val="2"/>
          <c:order val="2"/>
          <c:tx>
            <c:strRef>
              <c:f>вклад!$E$1</c:f>
              <c:strCache>
                <c:ptCount val="1"/>
                <c:pt idx="0">
                  <c:v>ЦУР 3. Хорошее здоровье и благополучие</c:v>
                </c:pt>
              </c:strCache>
            </c:strRef>
          </c:tx>
          <c:spPr>
            <a:solidFill>
              <a:srgbClr val="00B050"/>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вклад!$E$2:$E$8</c:f>
              <c:numCache>
                <c:formatCode>General</c:formatCode>
                <c:ptCount val="7"/>
                <c:pt idx="1">
                  <c:v>1</c:v>
                </c:pt>
                <c:pt idx="2">
                  <c:v>1</c:v>
                </c:pt>
                <c:pt idx="3">
                  <c:v>1</c:v>
                </c:pt>
                <c:pt idx="4">
                  <c:v>1</c:v>
                </c:pt>
              </c:numCache>
            </c:numRef>
          </c:val>
          <c:extLst xmlns:c16r2="http://schemas.microsoft.com/office/drawing/2015/06/chart">
            <c:ext xmlns:c16="http://schemas.microsoft.com/office/drawing/2014/chart" uri="{C3380CC4-5D6E-409C-BE32-E72D297353CC}">
              <c16:uniqueId val="{00000002-6AFB-4A17-880D-7F633B9E6E20}"/>
            </c:ext>
          </c:extLst>
        </c:ser>
        <c:ser>
          <c:idx val="3"/>
          <c:order val="3"/>
          <c:tx>
            <c:strRef>
              <c:f>вклад!$F$1</c:f>
              <c:strCache>
                <c:ptCount val="1"/>
                <c:pt idx="0">
                  <c:v>ЦУР 4. Качественное образование</c:v>
                </c:pt>
              </c:strCache>
            </c:strRef>
          </c:tx>
          <c:spPr>
            <a:solidFill>
              <a:srgbClr val="CC0000"/>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вклад!$F$2:$F$8</c:f>
              <c:numCache>
                <c:formatCode>General</c:formatCode>
                <c:ptCount val="7"/>
                <c:pt idx="0">
                  <c:v>1</c:v>
                </c:pt>
                <c:pt idx="1">
                  <c:v>1</c:v>
                </c:pt>
                <c:pt idx="3">
                  <c:v>1</c:v>
                </c:pt>
                <c:pt idx="4">
                  <c:v>1</c:v>
                </c:pt>
                <c:pt idx="5">
                  <c:v>1</c:v>
                </c:pt>
              </c:numCache>
            </c:numRef>
          </c:val>
          <c:extLst xmlns:c16r2="http://schemas.microsoft.com/office/drawing/2015/06/chart">
            <c:ext xmlns:c16="http://schemas.microsoft.com/office/drawing/2014/chart" uri="{C3380CC4-5D6E-409C-BE32-E72D297353CC}">
              <c16:uniqueId val="{00000003-6AFB-4A17-880D-7F633B9E6E20}"/>
            </c:ext>
          </c:extLst>
        </c:ser>
        <c:ser>
          <c:idx val="4"/>
          <c:order val="4"/>
          <c:tx>
            <c:strRef>
              <c:f>вклад!$G$1</c:f>
              <c:strCache>
                <c:ptCount val="1"/>
                <c:pt idx="0">
                  <c:v>ЦУР 5. Гендерное равенство</c:v>
                </c:pt>
              </c:strCache>
            </c:strRef>
          </c:tx>
          <c:spPr>
            <a:solidFill>
              <a:srgbClr val="FF7A01"/>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вклад!$G$2:$G$8</c:f>
              <c:numCache>
                <c:formatCode>General</c:formatCode>
                <c:ptCount val="7"/>
                <c:pt idx="1">
                  <c:v>1</c:v>
                </c:pt>
                <c:pt idx="2">
                  <c:v>1</c:v>
                </c:pt>
                <c:pt idx="4">
                  <c:v>1</c:v>
                </c:pt>
                <c:pt idx="5">
                  <c:v>1</c:v>
                </c:pt>
              </c:numCache>
            </c:numRef>
          </c:val>
          <c:extLst xmlns:c16r2="http://schemas.microsoft.com/office/drawing/2015/06/chart">
            <c:ext xmlns:c16="http://schemas.microsoft.com/office/drawing/2014/chart" uri="{C3380CC4-5D6E-409C-BE32-E72D297353CC}">
              <c16:uniqueId val="{00000004-6AFB-4A17-880D-7F633B9E6E20}"/>
            </c:ext>
          </c:extLst>
        </c:ser>
        <c:ser>
          <c:idx val="5"/>
          <c:order val="5"/>
          <c:tx>
            <c:strRef>
              <c:f>вклад!$H$1</c:f>
              <c:strCache>
                <c:ptCount val="1"/>
                <c:pt idx="0">
                  <c:v>ЦУР 6. Чистая вода и санитария</c:v>
                </c:pt>
              </c:strCache>
            </c:strRef>
          </c:tx>
          <c:spPr>
            <a:solidFill>
              <a:schemeClr val="accent1">
                <a:lumMod val="60000"/>
                <a:lumOff val="40000"/>
              </a:schemeClr>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вклад!$H$2:$H$8</c:f>
              <c:numCache>
                <c:formatCode>General</c:formatCode>
                <c:ptCount val="7"/>
              </c:numCache>
            </c:numRef>
          </c:val>
          <c:extLst xmlns:c16r2="http://schemas.microsoft.com/office/drawing/2015/06/chart">
            <c:ext xmlns:c16="http://schemas.microsoft.com/office/drawing/2014/chart" uri="{C3380CC4-5D6E-409C-BE32-E72D297353CC}">
              <c16:uniqueId val="{00000005-6AFB-4A17-880D-7F633B9E6E20}"/>
            </c:ext>
          </c:extLst>
        </c:ser>
        <c:ser>
          <c:idx val="6"/>
          <c:order val="6"/>
          <c:tx>
            <c:strRef>
              <c:f>вклад!$I$1</c:f>
              <c:strCache>
                <c:ptCount val="1"/>
                <c:pt idx="0">
                  <c:v>ЦУР 7. Недорогостоящая и чистая энергия</c:v>
                </c:pt>
              </c:strCache>
            </c:strRef>
          </c:tx>
          <c:spPr>
            <a:solidFill>
              <a:srgbClr val="FFFF00"/>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вклад!$I$2:$I$8</c:f>
              <c:numCache>
                <c:formatCode>General</c:formatCode>
                <c:ptCount val="7"/>
                <c:pt idx="1">
                  <c:v>1</c:v>
                </c:pt>
                <c:pt idx="2">
                  <c:v>1</c:v>
                </c:pt>
                <c:pt idx="4">
                  <c:v>1</c:v>
                </c:pt>
              </c:numCache>
            </c:numRef>
          </c:val>
          <c:extLst xmlns:c16r2="http://schemas.microsoft.com/office/drawing/2015/06/chart">
            <c:ext xmlns:c16="http://schemas.microsoft.com/office/drawing/2014/chart" uri="{C3380CC4-5D6E-409C-BE32-E72D297353CC}">
              <c16:uniqueId val="{00000006-6AFB-4A17-880D-7F633B9E6E20}"/>
            </c:ext>
          </c:extLst>
        </c:ser>
        <c:ser>
          <c:idx val="7"/>
          <c:order val="7"/>
          <c:tx>
            <c:strRef>
              <c:f>вклад!$J$1</c:f>
              <c:strCache>
                <c:ptCount val="1"/>
                <c:pt idx="0">
                  <c:v>ЦУР 8. Достойная работа и экономический рост</c:v>
                </c:pt>
              </c:strCache>
            </c:strRef>
          </c:tx>
          <c:spPr>
            <a:solidFill>
              <a:srgbClr val="990033"/>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вклад!$J$2:$J$8</c:f>
              <c:numCache>
                <c:formatCode>General</c:formatCode>
                <c:ptCount val="7"/>
                <c:pt idx="0">
                  <c:v>1</c:v>
                </c:pt>
                <c:pt idx="1">
                  <c:v>1</c:v>
                </c:pt>
                <c:pt idx="2">
                  <c:v>1</c:v>
                </c:pt>
                <c:pt idx="3">
                  <c:v>1</c:v>
                </c:pt>
                <c:pt idx="4">
                  <c:v>1</c:v>
                </c:pt>
                <c:pt idx="5">
                  <c:v>1</c:v>
                </c:pt>
                <c:pt idx="6">
                  <c:v>1</c:v>
                </c:pt>
              </c:numCache>
            </c:numRef>
          </c:val>
          <c:extLst xmlns:c16r2="http://schemas.microsoft.com/office/drawing/2015/06/chart">
            <c:ext xmlns:c16="http://schemas.microsoft.com/office/drawing/2014/chart" uri="{C3380CC4-5D6E-409C-BE32-E72D297353CC}">
              <c16:uniqueId val="{00000007-6AFB-4A17-880D-7F633B9E6E20}"/>
            </c:ext>
          </c:extLst>
        </c:ser>
        <c:ser>
          <c:idx val="8"/>
          <c:order val="8"/>
          <c:tx>
            <c:strRef>
              <c:f>вклад!$K$1</c:f>
              <c:strCache>
                <c:ptCount val="1"/>
                <c:pt idx="0">
                  <c:v>ЦУР 9. Индустриализация, инновации и инфраструктура</c:v>
                </c:pt>
              </c:strCache>
            </c:strRef>
          </c:tx>
          <c:spPr>
            <a:solidFill>
              <a:srgbClr val="FF9900"/>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вклад!$K$2:$K$8</c:f>
              <c:numCache>
                <c:formatCode>General</c:formatCode>
                <c:ptCount val="7"/>
                <c:pt idx="1">
                  <c:v>1</c:v>
                </c:pt>
                <c:pt idx="2">
                  <c:v>1</c:v>
                </c:pt>
                <c:pt idx="3">
                  <c:v>1</c:v>
                </c:pt>
                <c:pt idx="4">
                  <c:v>1</c:v>
                </c:pt>
                <c:pt idx="5">
                  <c:v>1</c:v>
                </c:pt>
                <c:pt idx="6">
                  <c:v>1</c:v>
                </c:pt>
              </c:numCache>
            </c:numRef>
          </c:val>
          <c:extLst xmlns:c16r2="http://schemas.microsoft.com/office/drawing/2015/06/chart">
            <c:ext xmlns:c16="http://schemas.microsoft.com/office/drawing/2014/chart" uri="{C3380CC4-5D6E-409C-BE32-E72D297353CC}">
              <c16:uniqueId val="{00000008-6AFB-4A17-880D-7F633B9E6E20}"/>
            </c:ext>
          </c:extLst>
        </c:ser>
        <c:ser>
          <c:idx val="9"/>
          <c:order val="9"/>
          <c:tx>
            <c:strRef>
              <c:f>вклад!$L$1</c:f>
              <c:strCache>
                <c:ptCount val="1"/>
                <c:pt idx="0">
                  <c:v>ЦУР 10. Уменьшение неравенства</c:v>
                </c:pt>
              </c:strCache>
            </c:strRef>
          </c:tx>
          <c:spPr>
            <a:solidFill>
              <a:srgbClr val="FF0066"/>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вклад!$L$2:$L$8</c:f>
              <c:numCache>
                <c:formatCode>General</c:formatCode>
                <c:ptCount val="7"/>
                <c:pt idx="0">
                  <c:v>1</c:v>
                </c:pt>
                <c:pt idx="1">
                  <c:v>1</c:v>
                </c:pt>
                <c:pt idx="3">
                  <c:v>1</c:v>
                </c:pt>
              </c:numCache>
            </c:numRef>
          </c:val>
          <c:extLst xmlns:c16r2="http://schemas.microsoft.com/office/drawing/2015/06/chart">
            <c:ext xmlns:c16="http://schemas.microsoft.com/office/drawing/2014/chart" uri="{C3380CC4-5D6E-409C-BE32-E72D297353CC}">
              <c16:uniqueId val="{00000009-6AFB-4A17-880D-7F633B9E6E20}"/>
            </c:ext>
          </c:extLst>
        </c:ser>
        <c:ser>
          <c:idx val="10"/>
          <c:order val="10"/>
          <c:tx>
            <c:strRef>
              <c:f>вклад!$M$1</c:f>
              <c:strCache>
                <c:ptCount val="1"/>
                <c:pt idx="0">
                  <c:v>ЦУР 11. Устойчивые города и населенные пункты</c:v>
                </c:pt>
              </c:strCache>
            </c:strRef>
          </c:tx>
          <c:spPr>
            <a:solidFill>
              <a:schemeClr val="accent2">
                <a:lumMod val="40000"/>
                <a:lumOff val="60000"/>
              </a:schemeClr>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вклад!$M$2:$M$8</c:f>
              <c:numCache>
                <c:formatCode>General</c:formatCode>
                <c:ptCount val="7"/>
                <c:pt idx="1">
                  <c:v>1</c:v>
                </c:pt>
                <c:pt idx="2">
                  <c:v>1</c:v>
                </c:pt>
                <c:pt idx="3">
                  <c:v>1</c:v>
                </c:pt>
              </c:numCache>
            </c:numRef>
          </c:val>
          <c:extLst xmlns:c16r2="http://schemas.microsoft.com/office/drawing/2015/06/chart">
            <c:ext xmlns:c16="http://schemas.microsoft.com/office/drawing/2014/chart" uri="{C3380CC4-5D6E-409C-BE32-E72D297353CC}">
              <c16:uniqueId val="{0000000A-6AFB-4A17-880D-7F633B9E6E20}"/>
            </c:ext>
          </c:extLst>
        </c:ser>
        <c:ser>
          <c:idx val="11"/>
          <c:order val="11"/>
          <c:tx>
            <c:strRef>
              <c:f>вклад!$N$1</c:f>
              <c:strCache>
                <c:ptCount val="1"/>
                <c:pt idx="0">
                  <c:v>ЦУР 12. Ответственное потребление и производство</c:v>
                </c:pt>
              </c:strCache>
            </c:strRef>
          </c:tx>
          <c:spPr>
            <a:solidFill>
              <a:schemeClr val="accent4">
                <a:lumMod val="75000"/>
              </a:schemeClr>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вклад!$N$2:$N$8</c:f>
              <c:numCache>
                <c:formatCode>General</c:formatCode>
                <c:ptCount val="7"/>
                <c:pt idx="3">
                  <c:v>1</c:v>
                </c:pt>
                <c:pt idx="5">
                  <c:v>1</c:v>
                </c:pt>
              </c:numCache>
            </c:numRef>
          </c:val>
          <c:extLst xmlns:c16r2="http://schemas.microsoft.com/office/drawing/2015/06/chart">
            <c:ext xmlns:c16="http://schemas.microsoft.com/office/drawing/2014/chart" uri="{C3380CC4-5D6E-409C-BE32-E72D297353CC}">
              <c16:uniqueId val="{0000000B-6AFB-4A17-880D-7F633B9E6E20}"/>
            </c:ext>
          </c:extLst>
        </c:ser>
        <c:ser>
          <c:idx val="12"/>
          <c:order val="12"/>
          <c:tx>
            <c:strRef>
              <c:f>вклад!$O$1</c:f>
              <c:strCache>
                <c:ptCount val="1"/>
                <c:pt idx="0">
                  <c:v>ЦУР 13. Борьба с изменением климата</c:v>
                </c:pt>
              </c:strCache>
            </c:strRef>
          </c:tx>
          <c:spPr>
            <a:solidFill>
              <a:schemeClr val="accent6">
                <a:lumMod val="50000"/>
              </a:schemeClr>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вклад!$O$2:$O$8</c:f>
              <c:numCache>
                <c:formatCode>General</c:formatCode>
                <c:ptCount val="7"/>
                <c:pt idx="0">
                  <c:v>1</c:v>
                </c:pt>
                <c:pt idx="1">
                  <c:v>1</c:v>
                </c:pt>
                <c:pt idx="2">
                  <c:v>1</c:v>
                </c:pt>
                <c:pt idx="3">
                  <c:v>1</c:v>
                </c:pt>
                <c:pt idx="4">
                  <c:v>1</c:v>
                </c:pt>
                <c:pt idx="5">
                  <c:v>1</c:v>
                </c:pt>
              </c:numCache>
            </c:numRef>
          </c:val>
          <c:extLst xmlns:c16r2="http://schemas.microsoft.com/office/drawing/2015/06/chart">
            <c:ext xmlns:c16="http://schemas.microsoft.com/office/drawing/2014/chart" uri="{C3380CC4-5D6E-409C-BE32-E72D297353CC}">
              <c16:uniqueId val="{0000000C-6AFB-4A17-880D-7F633B9E6E20}"/>
            </c:ext>
          </c:extLst>
        </c:ser>
        <c:ser>
          <c:idx val="13"/>
          <c:order val="13"/>
          <c:tx>
            <c:strRef>
              <c:f>вклад!$P$1</c:f>
              <c:strCache>
                <c:ptCount val="1"/>
                <c:pt idx="0">
                  <c:v>ЦУР 14. Сохранение морских экосистем</c:v>
                </c:pt>
              </c:strCache>
            </c:strRef>
          </c:tx>
          <c:spPr>
            <a:solidFill>
              <a:srgbClr val="00B0F0"/>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вклад!$P$2:$P$8</c:f>
              <c:numCache>
                <c:formatCode>General</c:formatCode>
                <c:ptCount val="7"/>
              </c:numCache>
            </c:numRef>
          </c:val>
          <c:extLst xmlns:c16r2="http://schemas.microsoft.com/office/drawing/2015/06/chart">
            <c:ext xmlns:c16="http://schemas.microsoft.com/office/drawing/2014/chart" uri="{C3380CC4-5D6E-409C-BE32-E72D297353CC}">
              <c16:uniqueId val="{0000000D-6AFB-4A17-880D-7F633B9E6E20}"/>
            </c:ext>
          </c:extLst>
        </c:ser>
        <c:ser>
          <c:idx val="14"/>
          <c:order val="14"/>
          <c:tx>
            <c:strRef>
              <c:f>вклад!$Q$1</c:f>
              <c:strCache>
                <c:ptCount val="1"/>
                <c:pt idx="0">
                  <c:v>ЦУР 15. Сохранение экосистем суши</c:v>
                </c:pt>
              </c:strCache>
            </c:strRef>
          </c:tx>
          <c:spPr>
            <a:solidFill>
              <a:schemeClr val="accent6">
                <a:lumMod val="40000"/>
                <a:lumOff val="60000"/>
              </a:schemeClr>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вклад!$Q$2:$Q$8</c:f>
              <c:numCache>
                <c:formatCode>General</c:formatCode>
                <c:ptCount val="7"/>
                <c:pt idx="0">
                  <c:v>1</c:v>
                </c:pt>
                <c:pt idx="1">
                  <c:v>1</c:v>
                </c:pt>
                <c:pt idx="5">
                  <c:v>1</c:v>
                </c:pt>
              </c:numCache>
            </c:numRef>
          </c:val>
          <c:extLst xmlns:c16r2="http://schemas.microsoft.com/office/drawing/2015/06/chart">
            <c:ext xmlns:c16="http://schemas.microsoft.com/office/drawing/2014/chart" uri="{C3380CC4-5D6E-409C-BE32-E72D297353CC}">
              <c16:uniqueId val="{0000000E-6AFB-4A17-880D-7F633B9E6E20}"/>
            </c:ext>
          </c:extLst>
        </c:ser>
        <c:ser>
          <c:idx val="15"/>
          <c:order val="15"/>
          <c:tx>
            <c:strRef>
              <c:f>вклад!$R$1</c:f>
              <c:strCache>
                <c:ptCount val="1"/>
                <c:pt idx="0">
                  <c:v>ЦУР 16. Мир, правосудие и эффективные институты</c:v>
                </c:pt>
              </c:strCache>
            </c:strRef>
          </c:tx>
          <c:spPr>
            <a:solidFill>
              <a:srgbClr val="0070C0"/>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вклад!$R$2:$R$8</c:f>
              <c:numCache>
                <c:formatCode>General</c:formatCode>
                <c:ptCount val="7"/>
                <c:pt idx="1">
                  <c:v>1</c:v>
                </c:pt>
                <c:pt idx="5">
                  <c:v>1</c:v>
                </c:pt>
              </c:numCache>
            </c:numRef>
          </c:val>
          <c:extLst xmlns:c16r2="http://schemas.microsoft.com/office/drawing/2015/06/chart">
            <c:ext xmlns:c16="http://schemas.microsoft.com/office/drawing/2014/chart" uri="{C3380CC4-5D6E-409C-BE32-E72D297353CC}">
              <c16:uniqueId val="{0000000F-6AFB-4A17-880D-7F633B9E6E20}"/>
            </c:ext>
          </c:extLst>
        </c:ser>
        <c:ser>
          <c:idx val="16"/>
          <c:order val="16"/>
          <c:tx>
            <c:strRef>
              <c:f>вклад!$S$1</c:f>
              <c:strCache>
                <c:ptCount val="1"/>
                <c:pt idx="0">
                  <c:v>ЦУР 17. Партнерство в интересах устойчивого развития</c:v>
                </c:pt>
              </c:strCache>
            </c:strRef>
          </c:tx>
          <c:spPr>
            <a:solidFill>
              <a:schemeClr val="accent1">
                <a:lumMod val="75000"/>
              </a:schemeClr>
            </a:solidFill>
            <a:ln>
              <a:noFill/>
            </a:ln>
            <a:effectLst/>
          </c:spPr>
          <c:invertIfNegative val="0"/>
          <c:cat>
            <c:strRef>
              <c:f>вклад!$B$2:$B$8</c:f>
              <c:strCache>
                <c:ptCount val="7"/>
                <c:pt idx="0">
                  <c:v>Росбанк</c:v>
                </c:pt>
                <c:pt idx="1">
                  <c:v>Банк ВТБ</c:v>
                </c:pt>
                <c:pt idx="2">
                  <c:v>Совкомбанк</c:v>
                </c:pt>
                <c:pt idx="3">
                  <c:v>Алмазэргиэнбанк</c:v>
                </c:pt>
                <c:pt idx="4">
                  <c:v>АК Барс Банк</c:v>
                </c:pt>
                <c:pt idx="5">
                  <c:v>Московская Биржа</c:v>
                </c:pt>
                <c:pt idx="6">
                  <c:v>Московский кредитный банк</c:v>
                </c:pt>
              </c:strCache>
            </c:strRef>
          </c:cat>
          <c:val>
            <c:numRef>
              <c:f>вклад!$S$2:$S$8</c:f>
              <c:numCache>
                <c:formatCode>General</c:formatCode>
                <c:ptCount val="7"/>
                <c:pt idx="0">
                  <c:v>1</c:v>
                </c:pt>
                <c:pt idx="1">
                  <c:v>1</c:v>
                </c:pt>
                <c:pt idx="3">
                  <c:v>1</c:v>
                </c:pt>
                <c:pt idx="5">
                  <c:v>1</c:v>
                </c:pt>
              </c:numCache>
            </c:numRef>
          </c:val>
          <c:extLst xmlns:c16r2="http://schemas.microsoft.com/office/drawing/2015/06/chart">
            <c:ext xmlns:c16="http://schemas.microsoft.com/office/drawing/2014/chart" uri="{C3380CC4-5D6E-409C-BE32-E72D297353CC}">
              <c16:uniqueId val="{00000010-6AFB-4A17-880D-7F633B9E6E20}"/>
            </c:ext>
          </c:extLst>
        </c:ser>
        <c:dLbls>
          <c:showLegendKey val="0"/>
          <c:showVal val="0"/>
          <c:showCatName val="0"/>
          <c:showSerName val="0"/>
          <c:showPercent val="0"/>
          <c:showBubbleSize val="0"/>
        </c:dLbls>
        <c:gapWidth val="150"/>
        <c:overlap val="100"/>
        <c:axId val="714768640"/>
        <c:axId val="714769200"/>
      </c:barChart>
      <c:catAx>
        <c:axId val="7147686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Narrow" panose="020B0606020202030204" pitchFamily="34" charset="0"/>
                <a:ea typeface="+mn-ea"/>
                <a:cs typeface="+mn-cs"/>
              </a:defRPr>
            </a:pPr>
            <a:endParaRPr lang="ru-RU"/>
          </a:p>
        </c:txPr>
        <c:crossAx val="714769200"/>
        <c:crosses val="autoZero"/>
        <c:auto val="1"/>
        <c:lblAlgn val="ctr"/>
        <c:lblOffset val="100"/>
        <c:noMultiLvlLbl val="0"/>
      </c:catAx>
      <c:valAx>
        <c:axId val="7147692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Narrow" panose="020B0606020202030204" pitchFamily="34" charset="0"/>
                <a:ea typeface="+mn-ea"/>
                <a:cs typeface="+mn-cs"/>
              </a:defRPr>
            </a:pPr>
            <a:endParaRPr lang="ru-RU"/>
          </a:p>
        </c:txPr>
        <c:crossAx val="714768640"/>
        <c:crosses val="autoZero"/>
        <c:crossBetween val="between"/>
      </c:valAx>
      <c:spPr>
        <a:noFill/>
        <a:ln>
          <a:noFill/>
        </a:ln>
        <a:effectLst/>
      </c:spPr>
    </c:plotArea>
    <c:legend>
      <c:legendPos val="b"/>
      <c:layout>
        <c:manualLayout>
          <c:xMode val="edge"/>
          <c:yMode val="edge"/>
          <c:x val="0"/>
          <c:y val="0.59969074517859178"/>
          <c:w val="1"/>
          <c:h val="0.40030925482140817"/>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Narrow" panose="020B0606020202030204" pitchFamily="34" charset="0"/>
              <a:ea typeface="+mn-ea"/>
              <a:cs typeface="+mn-cs"/>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Arial Narrow" panose="020B0606020202030204" pitchFamily="34" charset="0"/>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5F63F-56F0-4163-8E24-1B66313AB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11</Pages>
  <Words>4553</Words>
  <Characters>25955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Титова Наталья Юрьевна</dc:creator>
  <cp:keywords/>
  <dc:description/>
  <cp:lastModifiedBy>Титова Наталья</cp:lastModifiedBy>
  <cp:revision>14</cp:revision>
  <cp:lastPrinted>2024-10-15T07:14:00Z</cp:lastPrinted>
  <dcterms:created xsi:type="dcterms:W3CDTF">2024-10-15T23:33:00Z</dcterms:created>
  <dcterms:modified xsi:type="dcterms:W3CDTF">2024-12-02T00:24:00Z</dcterms:modified>
</cp:coreProperties>
</file>