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CA7" w:rsidRDefault="005E0CA7" w:rsidP="00CE7586">
      <w:pPr>
        <w:spacing w:after="120" w:line="240" w:lineRule="auto"/>
        <w:ind w:right="-1"/>
        <w:rPr>
          <w:rFonts w:ascii="Times New Roman" w:hAnsi="Times New Roman" w:cs="Times New Roman"/>
          <w:sz w:val="24"/>
          <w:szCs w:val="24"/>
        </w:rPr>
      </w:pPr>
      <w:r w:rsidRPr="005E0CA7">
        <w:rPr>
          <w:rFonts w:ascii="Times New Roman" w:hAnsi="Times New Roman" w:cs="Times New Roman"/>
          <w:sz w:val="24"/>
          <w:szCs w:val="24"/>
        </w:rPr>
        <w:t>Рубрика:</w:t>
      </w:r>
      <w:r w:rsidR="0076596C">
        <w:rPr>
          <w:rFonts w:ascii="Times New Roman" w:hAnsi="Times New Roman" w:cs="Times New Roman"/>
          <w:sz w:val="24"/>
          <w:szCs w:val="24"/>
        </w:rPr>
        <w:t xml:space="preserve"> </w:t>
      </w:r>
      <w:r w:rsidR="000E5E97">
        <w:rPr>
          <w:rFonts w:ascii="Times New Roman" w:hAnsi="Times New Roman" w:cs="Times New Roman"/>
          <w:sz w:val="24"/>
          <w:szCs w:val="24"/>
        </w:rPr>
        <w:t>06.73</w:t>
      </w:r>
      <w:r w:rsidR="0076596C">
        <w:rPr>
          <w:rFonts w:ascii="Times New Roman" w:hAnsi="Times New Roman" w:cs="Times New Roman"/>
          <w:sz w:val="24"/>
          <w:szCs w:val="24"/>
        </w:rPr>
        <w:t xml:space="preserve"> </w:t>
      </w:r>
    </w:p>
    <w:p w:rsidR="005E0CA7" w:rsidRPr="007D4667" w:rsidRDefault="005E0CA7" w:rsidP="00CE7586">
      <w:pPr>
        <w:spacing w:after="120" w:line="240" w:lineRule="auto"/>
        <w:ind w:right="-1"/>
        <w:rPr>
          <w:rFonts w:ascii="Times New Roman" w:hAnsi="Times New Roman" w:cs="Times New Roman"/>
          <w:sz w:val="24"/>
          <w:szCs w:val="24"/>
        </w:rPr>
      </w:pPr>
      <w:r>
        <w:rPr>
          <w:rFonts w:ascii="Times New Roman" w:hAnsi="Times New Roman" w:cs="Times New Roman"/>
          <w:sz w:val="24"/>
          <w:szCs w:val="24"/>
        </w:rPr>
        <w:t>УДК:</w:t>
      </w:r>
      <w:r w:rsidR="00CE7586" w:rsidRPr="00BF08F1">
        <w:rPr>
          <w:rFonts w:ascii="Times New Roman" w:hAnsi="Times New Roman" w:cs="Times New Roman"/>
          <w:sz w:val="24"/>
          <w:szCs w:val="24"/>
        </w:rPr>
        <w:t xml:space="preserve"> 336.</w:t>
      </w:r>
      <w:r w:rsidR="00805C19" w:rsidRPr="00BF08F1">
        <w:rPr>
          <w:rFonts w:ascii="Times New Roman" w:hAnsi="Times New Roman" w:cs="Times New Roman"/>
          <w:sz w:val="24"/>
          <w:szCs w:val="24"/>
        </w:rPr>
        <w:t>76</w:t>
      </w:r>
    </w:p>
    <w:p w:rsidR="00DB2CE6" w:rsidRPr="00DB2CE6" w:rsidRDefault="00DB2CE6" w:rsidP="00805C19">
      <w:pPr>
        <w:spacing w:before="240" w:after="240" w:line="240" w:lineRule="auto"/>
        <w:jc w:val="center"/>
        <w:rPr>
          <w:rFonts w:ascii="Times New Roman" w:hAnsi="Times New Roman" w:cs="Times New Roman"/>
          <w:b/>
          <w:sz w:val="24"/>
          <w:szCs w:val="24"/>
        </w:rPr>
      </w:pPr>
      <w:r w:rsidRPr="00DB2CE6">
        <w:rPr>
          <w:rFonts w:ascii="Times New Roman" w:hAnsi="Times New Roman" w:cs="Times New Roman"/>
          <w:b/>
          <w:sz w:val="24"/>
          <w:szCs w:val="24"/>
        </w:rPr>
        <w:t>Анализ перспективности денежных вложений в долевые и долговые ценные бумаги</w:t>
      </w:r>
    </w:p>
    <w:p w:rsidR="005E0CA7" w:rsidRDefault="005E0CA7" w:rsidP="00CE7586">
      <w:pPr>
        <w:spacing w:after="120" w:line="240" w:lineRule="auto"/>
        <w:ind w:right="-1"/>
        <w:jc w:val="center"/>
        <w:rPr>
          <w:rFonts w:ascii="Times New Roman" w:hAnsi="Times New Roman" w:cs="Times New Roman"/>
          <w:sz w:val="24"/>
          <w:szCs w:val="24"/>
        </w:rPr>
      </w:pPr>
      <w:r>
        <w:rPr>
          <w:rFonts w:ascii="Times New Roman" w:hAnsi="Times New Roman" w:cs="Times New Roman"/>
          <w:sz w:val="24"/>
          <w:szCs w:val="24"/>
        </w:rPr>
        <w:t>Ветлугин Денис Дмитриевич,</w:t>
      </w:r>
    </w:p>
    <w:p w:rsidR="005E0CA7" w:rsidRDefault="005E0CA7" w:rsidP="00CE7586">
      <w:pPr>
        <w:spacing w:after="120" w:line="240" w:lineRule="auto"/>
        <w:ind w:right="-1"/>
        <w:jc w:val="center"/>
        <w:rPr>
          <w:rFonts w:ascii="Times New Roman" w:hAnsi="Times New Roman" w:cs="Times New Roman"/>
          <w:sz w:val="24"/>
          <w:szCs w:val="24"/>
        </w:rPr>
      </w:pPr>
      <w:r>
        <w:rPr>
          <w:rFonts w:ascii="Times New Roman" w:hAnsi="Times New Roman" w:cs="Times New Roman"/>
          <w:sz w:val="24"/>
          <w:szCs w:val="24"/>
        </w:rPr>
        <w:t>Бакалавр (экономика, 2 курс)</w:t>
      </w:r>
    </w:p>
    <w:p w:rsidR="005E0CA7" w:rsidRPr="005E0CA7" w:rsidRDefault="005E0CA7" w:rsidP="00CE7586">
      <w:pPr>
        <w:spacing w:after="120" w:line="240" w:lineRule="auto"/>
        <w:ind w:right="-1"/>
        <w:jc w:val="center"/>
        <w:rPr>
          <w:rFonts w:ascii="Times New Roman" w:hAnsi="Times New Roman" w:cs="Times New Roman"/>
          <w:i/>
          <w:sz w:val="24"/>
          <w:szCs w:val="24"/>
        </w:rPr>
      </w:pPr>
      <w:r w:rsidRPr="005E0CA7">
        <w:rPr>
          <w:rFonts w:ascii="Times New Roman" w:hAnsi="Times New Roman" w:cs="Times New Roman"/>
          <w:i/>
          <w:sz w:val="24"/>
          <w:szCs w:val="24"/>
        </w:rPr>
        <w:t>Владивостокский государственный университет экономики и сервиса</w:t>
      </w:r>
    </w:p>
    <w:p w:rsidR="005E0CA7" w:rsidRDefault="005E0CA7" w:rsidP="00CE7586">
      <w:pPr>
        <w:spacing w:after="120" w:line="240" w:lineRule="auto"/>
        <w:ind w:right="-1"/>
        <w:jc w:val="center"/>
        <w:rPr>
          <w:rFonts w:ascii="Times New Roman" w:hAnsi="Times New Roman" w:cs="Times New Roman"/>
          <w:sz w:val="24"/>
          <w:szCs w:val="24"/>
        </w:rPr>
      </w:pPr>
      <w:r>
        <w:rPr>
          <w:rFonts w:ascii="Times New Roman" w:hAnsi="Times New Roman" w:cs="Times New Roman"/>
          <w:sz w:val="24"/>
          <w:szCs w:val="24"/>
        </w:rPr>
        <w:t>Россия. Владивосток</w:t>
      </w:r>
    </w:p>
    <w:p w:rsidR="00BA6B65" w:rsidRPr="00CC1699" w:rsidRDefault="00BA6B65" w:rsidP="00CE7586">
      <w:pPr>
        <w:spacing w:after="120" w:line="240" w:lineRule="auto"/>
        <w:ind w:right="-1"/>
        <w:jc w:val="center"/>
        <w:rPr>
          <w:rFonts w:ascii="Times New Roman" w:hAnsi="Times New Roman" w:cs="Times New Roman"/>
          <w:sz w:val="24"/>
          <w:szCs w:val="24"/>
          <w:lang w:val="en-US"/>
        </w:rPr>
      </w:pPr>
      <w:r>
        <w:rPr>
          <w:rFonts w:ascii="Times New Roman" w:hAnsi="Times New Roman" w:cs="Times New Roman"/>
          <w:sz w:val="24"/>
          <w:szCs w:val="24"/>
          <w:lang w:val="en-US"/>
        </w:rPr>
        <w:t>E</w:t>
      </w:r>
      <w:r w:rsidRPr="00CC1699">
        <w:rPr>
          <w:rFonts w:ascii="Times New Roman" w:hAnsi="Times New Roman" w:cs="Times New Roman"/>
          <w:sz w:val="24"/>
          <w:szCs w:val="24"/>
          <w:lang w:val="en-US"/>
        </w:rPr>
        <w:t>-</w:t>
      </w:r>
      <w:r>
        <w:rPr>
          <w:rFonts w:ascii="Times New Roman" w:hAnsi="Times New Roman" w:cs="Times New Roman"/>
          <w:sz w:val="24"/>
          <w:szCs w:val="24"/>
          <w:lang w:val="en-US"/>
        </w:rPr>
        <w:t>mail</w:t>
      </w:r>
      <w:r w:rsidRPr="00CC1699">
        <w:rPr>
          <w:rFonts w:ascii="Times New Roman" w:hAnsi="Times New Roman" w:cs="Times New Roman"/>
          <w:sz w:val="24"/>
          <w:szCs w:val="24"/>
          <w:lang w:val="en-US"/>
        </w:rPr>
        <w:t xml:space="preserve">: </w:t>
      </w:r>
      <w:hyperlink r:id="rId8" w:history="1">
        <w:r w:rsidRPr="00BA6B65">
          <w:rPr>
            <w:rStyle w:val="a9"/>
            <w:rFonts w:ascii="Times New Roman" w:hAnsi="Times New Roman" w:cs="Times New Roman"/>
            <w:color w:val="auto"/>
            <w:sz w:val="24"/>
            <w:szCs w:val="24"/>
            <w:u w:val="none"/>
            <w:lang w:val="en-US"/>
          </w:rPr>
          <w:t>vetlugindenis</w:t>
        </w:r>
        <w:r w:rsidRPr="00CC1699">
          <w:rPr>
            <w:rStyle w:val="a9"/>
            <w:rFonts w:ascii="Times New Roman" w:hAnsi="Times New Roman" w:cs="Times New Roman"/>
            <w:color w:val="auto"/>
            <w:sz w:val="24"/>
            <w:szCs w:val="24"/>
            <w:u w:val="none"/>
            <w:lang w:val="en-US"/>
          </w:rPr>
          <w:t>8@</w:t>
        </w:r>
        <w:r w:rsidRPr="00BA6B65">
          <w:rPr>
            <w:rStyle w:val="a9"/>
            <w:rFonts w:ascii="Times New Roman" w:hAnsi="Times New Roman" w:cs="Times New Roman"/>
            <w:color w:val="auto"/>
            <w:sz w:val="24"/>
            <w:szCs w:val="24"/>
            <w:u w:val="none"/>
            <w:lang w:val="en-US"/>
          </w:rPr>
          <w:t>gmail</w:t>
        </w:r>
        <w:r w:rsidRPr="00CC1699">
          <w:rPr>
            <w:rStyle w:val="a9"/>
            <w:rFonts w:ascii="Times New Roman" w:hAnsi="Times New Roman" w:cs="Times New Roman"/>
            <w:color w:val="auto"/>
            <w:sz w:val="24"/>
            <w:szCs w:val="24"/>
            <w:u w:val="none"/>
            <w:lang w:val="en-US"/>
          </w:rPr>
          <w:t>.</w:t>
        </w:r>
        <w:r w:rsidRPr="00BA6B65">
          <w:rPr>
            <w:rStyle w:val="a9"/>
            <w:rFonts w:ascii="Times New Roman" w:hAnsi="Times New Roman" w:cs="Times New Roman"/>
            <w:color w:val="auto"/>
            <w:sz w:val="24"/>
            <w:szCs w:val="24"/>
            <w:u w:val="none"/>
            <w:lang w:val="en-US"/>
          </w:rPr>
          <w:t>com</w:t>
        </w:r>
      </w:hyperlink>
      <w:r w:rsidRPr="00CC1699">
        <w:rPr>
          <w:rFonts w:ascii="Times New Roman" w:hAnsi="Times New Roman" w:cs="Times New Roman"/>
          <w:sz w:val="24"/>
          <w:szCs w:val="24"/>
          <w:lang w:val="en-US"/>
        </w:rPr>
        <w:t xml:space="preserve">; </w:t>
      </w:r>
      <w:r w:rsidRPr="006E445A">
        <w:rPr>
          <w:rFonts w:ascii="Times New Roman" w:hAnsi="Times New Roman" w:cs="Times New Roman"/>
          <w:sz w:val="24"/>
          <w:szCs w:val="24"/>
        </w:rPr>
        <w:t>тел</w:t>
      </w:r>
      <w:r w:rsidRPr="00CC1699">
        <w:rPr>
          <w:rFonts w:ascii="Times New Roman" w:hAnsi="Times New Roman" w:cs="Times New Roman"/>
          <w:sz w:val="24"/>
          <w:szCs w:val="24"/>
          <w:lang w:val="en-US"/>
        </w:rPr>
        <w:t>.: +79502951776</w:t>
      </w:r>
    </w:p>
    <w:p w:rsidR="00BB760C" w:rsidRDefault="00DB2CE6" w:rsidP="00CE7586">
      <w:pPr>
        <w:spacing w:after="120" w:line="240" w:lineRule="auto"/>
        <w:ind w:right="-1"/>
        <w:jc w:val="center"/>
        <w:rPr>
          <w:rFonts w:ascii="Times New Roman" w:hAnsi="Times New Roman" w:cs="Times New Roman"/>
          <w:sz w:val="24"/>
          <w:szCs w:val="24"/>
        </w:rPr>
      </w:pPr>
      <w:r>
        <w:rPr>
          <w:rFonts w:ascii="Times New Roman" w:hAnsi="Times New Roman" w:cs="Times New Roman"/>
          <w:sz w:val="24"/>
          <w:szCs w:val="24"/>
        </w:rPr>
        <w:t>Ул. Карбышева, 20</w:t>
      </w:r>
      <w:r w:rsidR="00BB760C">
        <w:rPr>
          <w:rFonts w:ascii="Times New Roman" w:hAnsi="Times New Roman" w:cs="Times New Roman"/>
          <w:sz w:val="24"/>
          <w:szCs w:val="24"/>
        </w:rPr>
        <w:t>, г. Владивосток,</w:t>
      </w:r>
      <w:r>
        <w:rPr>
          <w:rFonts w:ascii="Times New Roman" w:hAnsi="Times New Roman" w:cs="Times New Roman"/>
          <w:sz w:val="24"/>
          <w:szCs w:val="24"/>
        </w:rPr>
        <w:t xml:space="preserve"> Приморский край, Россия, 690089</w:t>
      </w:r>
    </w:p>
    <w:p w:rsidR="000E5E97" w:rsidRDefault="000E5E97" w:rsidP="00CE7586">
      <w:pPr>
        <w:spacing w:after="120" w:line="240" w:lineRule="auto"/>
        <w:ind w:right="-1"/>
        <w:jc w:val="center"/>
        <w:rPr>
          <w:rFonts w:ascii="Times New Roman" w:hAnsi="Times New Roman" w:cs="Times New Roman"/>
          <w:sz w:val="24"/>
          <w:szCs w:val="24"/>
        </w:rPr>
      </w:pPr>
    </w:p>
    <w:p w:rsidR="000E5E97" w:rsidRDefault="000E5E97" w:rsidP="00CE7586">
      <w:pPr>
        <w:spacing w:after="120" w:line="240" w:lineRule="auto"/>
        <w:ind w:right="-1"/>
        <w:jc w:val="center"/>
        <w:rPr>
          <w:rFonts w:ascii="Times New Roman" w:hAnsi="Times New Roman" w:cs="Times New Roman"/>
          <w:sz w:val="24"/>
          <w:szCs w:val="24"/>
        </w:rPr>
      </w:pPr>
      <w:r>
        <w:rPr>
          <w:rFonts w:ascii="Times New Roman" w:hAnsi="Times New Roman" w:cs="Times New Roman"/>
          <w:sz w:val="24"/>
          <w:szCs w:val="24"/>
        </w:rPr>
        <w:t>Одияко Наталья Николаевна,</w:t>
      </w:r>
    </w:p>
    <w:p w:rsidR="000E5E97" w:rsidRDefault="000E5E97" w:rsidP="00CE7586">
      <w:pPr>
        <w:spacing w:after="120" w:line="240" w:lineRule="auto"/>
        <w:ind w:right="-1"/>
        <w:jc w:val="center"/>
        <w:rPr>
          <w:rFonts w:ascii="Times New Roman" w:hAnsi="Times New Roman" w:cs="Times New Roman"/>
          <w:sz w:val="24"/>
          <w:szCs w:val="24"/>
        </w:rPr>
      </w:pPr>
      <w:r>
        <w:rPr>
          <w:rFonts w:ascii="Times New Roman" w:hAnsi="Times New Roman" w:cs="Times New Roman"/>
          <w:sz w:val="24"/>
          <w:szCs w:val="24"/>
        </w:rPr>
        <w:t>Доцент по кафедре, доцент кафедры математики и моделирования</w:t>
      </w:r>
    </w:p>
    <w:p w:rsidR="000E5E97" w:rsidRPr="005E0CA7" w:rsidRDefault="000E5E97" w:rsidP="000E5E97">
      <w:pPr>
        <w:spacing w:after="120" w:line="240" w:lineRule="auto"/>
        <w:ind w:right="-1"/>
        <w:jc w:val="center"/>
        <w:rPr>
          <w:rFonts w:ascii="Times New Roman" w:hAnsi="Times New Roman" w:cs="Times New Roman"/>
          <w:i/>
          <w:sz w:val="24"/>
          <w:szCs w:val="24"/>
        </w:rPr>
      </w:pPr>
      <w:r w:rsidRPr="005E0CA7">
        <w:rPr>
          <w:rFonts w:ascii="Times New Roman" w:hAnsi="Times New Roman" w:cs="Times New Roman"/>
          <w:i/>
          <w:sz w:val="24"/>
          <w:szCs w:val="24"/>
        </w:rPr>
        <w:t>Владивостокский государственный университет экономики и сервиса</w:t>
      </w:r>
    </w:p>
    <w:p w:rsidR="000E5E97" w:rsidRDefault="000E5E97" w:rsidP="000E5E97">
      <w:pPr>
        <w:spacing w:after="120" w:line="240" w:lineRule="auto"/>
        <w:ind w:right="-1"/>
        <w:jc w:val="center"/>
        <w:rPr>
          <w:rFonts w:ascii="Times New Roman" w:hAnsi="Times New Roman" w:cs="Times New Roman"/>
          <w:sz w:val="24"/>
          <w:szCs w:val="24"/>
        </w:rPr>
      </w:pPr>
      <w:r>
        <w:rPr>
          <w:rFonts w:ascii="Times New Roman" w:hAnsi="Times New Roman" w:cs="Times New Roman"/>
          <w:sz w:val="24"/>
          <w:szCs w:val="24"/>
        </w:rPr>
        <w:t>Россия. Владивосток</w:t>
      </w:r>
    </w:p>
    <w:p w:rsidR="000E5E97" w:rsidRDefault="000E5E97" w:rsidP="000E5E97">
      <w:pPr>
        <w:spacing w:after="120" w:line="240" w:lineRule="auto"/>
        <w:ind w:right="-1"/>
        <w:jc w:val="center"/>
        <w:rPr>
          <w:rFonts w:ascii="Times New Roman" w:hAnsi="Times New Roman" w:cs="Times New Roman"/>
          <w:sz w:val="24"/>
          <w:szCs w:val="24"/>
          <w:lang w:val="en-US"/>
        </w:rPr>
      </w:pPr>
      <w:r>
        <w:rPr>
          <w:rFonts w:ascii="Times New Roman" w:hAnsi="Times New Roman" w:cs="Times New Roman"/>
          <w:sz w:val="24"/>
          <w:szCs w:val="24"/>
          <w:lang w:val="en-US"/>
        </w:rPr>
        <w:t>E</w:t>
      </w:r>
      <w:r w:rsidRPr="000E5E97">
        <w:rPr>
          <w:rFonts w:ascii="Times New Roman" w:hAnsi="Times New Roman" w:cs="Times New Roman"/>
          <w:sz w:val="24"/>
          <w:szCs w:val="24"/>
          <w:lang w:val="en-US"/>
        </w:rPr>
        <w:t>-</w:t>
      </w:r>
      <w:r>
        <w:rPr>
          <w:rFonts w:ascii="Times New Roman" w:hAnsi="Times New Roman" w:cs="Times New Roman"/>
          <w:sz w:val="24"/>
          <w:szCs w:val="24"/>
          <w:lang w:val="en-US"/>
        </w:rPr>
        <w:t>mail</w:t>
      </w:r>
      <w:r w:rsidRPr="000E5E97">
        <w:rPr>
          <w:rFonts w:ascii="Times New Roman" w:hAnsi="Times New Roman" w:cs="Times New Roman"/>
          <w:sz w:val="24"/>
          <w:szCs w:val="24"/>
          <w:lang w:val="en-US"/>
        </w:rPr>
        <w:t xml:space="preserve">: </w:t>
      </w:r>
      <w:hyperlink r:id="rId9" w:history="1"/>
      <w:r w:rsidRPr="000E5E97">
        <w:rPr>
          <w:lang w:val="en-US"/>
        </w:rPr>
        <w:t xml:space="preserve"> </w:t>
      </w:r>
      <w:hyperlink r:id="rId10" w:history="1">
        <w:r w:rsidRPr="000E5E97">
          <w:rPr>
            <w:rStyle w:val="a9"/>
            <w:rFonts w:ascii="Times New Roman" w:hAnsi="Times New Roman" w:cs="Times New Roman"/>
            <w:color w:val="auto"/>
            <w:sz w:val="24"/>
            <w:u w:val="none"/>
            <w:lang w:val="en-US"/>
          </w:rPr>
          <w:t>odiako@yandex.ru</w:t>
        </w:r>
      </w:hyperlink>
      <w:r>
        <w:rPr>
          <w:lang w:val="en-US"/>
        </w:rPr>
        <w:t xml:space="preserve"> </w:t>
      </w:r>
      <w:r w:rsidRPr="000E5E97">
        <w:rPr>
          <w:rFonts w:ascii="Times New Roman" w:hAnsi="Times New Roman" w:cs="Times New Roman"/>
          <w:sz w:val="24"/>
          <w:szCs w:val="24"/>
          <w:lang w:val="en-US"/>
        </w:rPr>
        <w:t xml:space="preserve">; </w:t>
      </w:r>
      <w:r w:rsidRPr="006E445A">
        <w:rPr>
          <w:rFonts w:ascii="Times New Roman" w:hAnsi="Times New Roman" w:cs="Times New Roman"/>
          <w:sz w:val="24"/>
          <w:szCs w:val="24"/>
        </w:rPr>
        <w:t>тел</w:t>
      </w:r>
      <w:r w:rsidRPr="000E5E97">
        <w:rPr>
          <w:rFonts w:ascii="Times New Roman" w:hAnsi="Times New Roman" w:cs="Times New Roman"/>
          <w:sz w:val="24"/>
          <w:szCs w:val="24"/>
          <w:lang w:val="en-US"/>
        </w:rPr>
        <w:t>.: +7950</w:t>
      </w:r>
      <w:r w:rsidR="00C317AB">
        <w:rPr>
          <w:rFonts w:ascii="Times New Roman" w:hAnsi="Times New Roman" w:cs="Times New Roman"/>
          <w:sz w:val="24"/>
          <w:szCs w:val="24"/>
          <w:lang w:val="en-US"/>
        </w:rPr>
        <w:t>2978386</w:t>
      </w:r>
    </w:p>
    <w:p w:rsidR="00C317AB" w:rsidRPr="00C317AB" w:rsidRDefault="00C317AB" w:rsidP="000E5E97">
      <w:pPr>
        <w:spacing w:after="120" w:line="240" w:lineRule="auto"/>
        <w:ind w:right="-1"/>
        <w:jc w:val="center"/>
        <w:rPr>
          <w:rFonts w:ascii="Times New Roman" w:hAnsi="Times New Roman" w:cs="Times New Roman"/>
          <w:sz w:val="24"/>
          <w:szCs w:val="24"/>
        </w:rPr>
      </w:pPr>
      <w:r>
        <w:rPr>
          <w:rFonts w:ascii="Times New Roman" w:hAnsi="Times New Roman" w:cs="Times New Roman"/>
          <w:sz w:val="24"/>
          <w:szCs w:val="24"/>
        </w:rPr>
        <w:t>Ул. Тухачевского, 46, г. Владивосток, Приморский край, Россия, 690089</w:t>
      </w:r>
    </w:p>
    <w:p w:rsidR="000E5E97" w:rsidRPr="00C317AB" w:rsidRDefault="000E5E97" w:rsidP="000E5E97">
      <w:pPr>
        <w:spacing w:after="120" w:line="240" w:lineRule="auto"/>
        <w:ind w:right="-1"/>
        <w:jc w:val="center"/>
        <w:rPr>
          <w:rFonts w:ascii="Times New Roman" w:hAnsi="Times New Roman" w:cs="Times New Roman"/>
          <w:sz w:val="24"/>
          <w:szCs w:val="24"/>
        </w:rPr>
      </w:pPr>
    </w:p>
    <w:p w:rsidR="00DB2CE6" w:rsidRPr="00C317AB" w:rsidRDefault="00DB2CE6" w:rsidP="00C317AB">
      <w:pPr>
        <w:spacing w:after="120" w:line="240" w:lineRule="auto"/>
        <w:ind w:right="-1"/>
        <w:jc w:val="both"/>
        <w:rPr>
          <w:rFonts w:ascii="Times New Roman" w:hAnsi="Times New Roman" w:cs="Times New Roman"/>
          <w:sz w:val="24"/>
          <w:szCs w:val="24"/>
        </w:rPr>
      </w:pPr>
    </w:p>
    <w:p w:rsidR="005E0CA7" w:rsidRPr="00805C19" w:rsidRDefault="00DB2CE6" w:rsidP="00805C19">
      <w:pPr>
        <w:spacing w:after="120" w:line="240" w:lineRule="auto"/>
        <w:ind w:right="-1" w:firstLine="709"/>
        <w:jc w:val="both"/>
        <w:rPr>
          <w:rFonts w:ascii="Times New Roman" w:hAnsi="Times New Roman" w:cs="Times New Roman"/>
          <w:i/>
          <w:sz w:val="24"/>
          <w:szCs w:val="24"/>
        </w:rPr>
      </w:pPr>
      <w:r w:rsidRPr="00805C19">
        <w:rPr>
          <w:rFonts w:ascii="Times New Roman" w:hAnsi="Times New Roman" w:cs="Times New Roman"/>
          <w:i/>
          <w:sz w:val="24"/>
          <w:szCs w:val="24"/>
        </w:rPr>
        <w:t>Актуальность работы заключается в том, что в</w:t>
      </w:r>
      <w:r w:rsidR="005E0CA7" w:rsidRPr="00805C19">
        <w:rPr>
          <w:rFonts w:ascii="Times New Roman" w:hAnsi="Times New Roman" w:cs="Times New Roman"/>
          <w:i/>
          <w:sz w:val="24"/>
          <w:szCs w:val="24"/>
        </w:rPr>
        <w:t xml:space="preserve"> условиях нынешней нестабильной экономической ситуации многие задаются вопросом, как можно сохранить и приумножить денежные средства. </w:t>
      </w:r>
      <w:r w:rsidRPr="00805C19">
        <w:rPr>
          <w:rFonts w:ascii="Times New Roman" w:hAnsi="Times New Roman" w:cs="Times New Roman"/>
          <w:i/>
          <w:sz w:val="24"/>
          <w:szCs w:val="24"/>
        </w:rPr>
        <w:t>Привлекательным сектором вложения денег является рынок ценных бумаг, поскольку здесь существует множество вариантов вложения в различные денежные инструменты с разным уровнем доходности и подходящим для широкого круга инвесторов.</w:t>
      </w:r>
    </w:p>
    <w:p w:rsidR="0018467B" w:rsidRPr="00805C19" w:rsidRDefault="0018467B" w:rsidP="00CE7586">
      <w:pPr>
        <w:spacing w:after="120" w:line="240" w:lineRule="auto"/>
        <w:ind w:right="-1" w:firstLine="709"/>
        <w:jc w:val="both"/>
        <w:rPr>
          <w:rFonts w:ascii="Times New Roman" w:hAnsi="Times New Roman" w:cs="Times New Roman"/>
          <w:i/>
          <w:sz w:val="24"/>
          <w:szCs w:val="24"/>
        </w:rPr>
      </w:pPr>
      <w:r w:rsidRPr="00805C19">
        <w:rPr>
          <w:rFonts w:ascii="Times New Roman" w:hAnsi="Times New Roman" w:cs="Times New Roman"/>
          <w:b/>
          <w:i/>
          <w:sz w:val="24"/>
          <w:szCs w:val="24"/>
        </w:rPr>
        <w:t xml:space="preserve">Ключевые слова и словосочетания: </w:t>
      </w:r>
      <w:r w:rsidRPr="00805C19">
        <w:rPr>
          <w:rFonts w:ascii="Times New Roman" w:hAnsi="Times New Roman" w:cs="Times New Roman"/>
          <w:i/>
          <w:sz w:val="24"/>
          <w:szCs w:val="24"/>
        </w:rPr>
        <w:t>рынок ценных бумаг, денежные вложения, инвестиции, активы, риски, доходность.</w:t>
      </w:r>
    </w:p>
    <w:p w:rsidR="00805C19" w:rsidRPr="00805C19" w:rsidRDefault="00805C19" w:rsidP="00805C19">
      <w:pPr>
        <w:spacing w:after="120" w:line="240" w:lineRule="auto"/>
        <w:ind w:right="-1" w:firstLine="709"/>
        <w:jc w:val="center"/>
        <w:rPr>
          <w:rFonts w:ascii="Times New Roman" w:hAnsi="Times New Roman" w:cs="Times New Roman"/>
          <w:b/>
          <w:sz w:val="24"/>
          <w:szCs w:val="24"/>
          <w:lang w:val="en-US"/>
        </w:rPr>
      </w:pPr>
      <w:r w:rsidRPr="00805C19">
        <w:rPr>
          <w:rFonts w:ascii="Times New Roman" w:hAnsi="Times New Roman" w:cs="Times New Roman"/>
          <w:b/>
          <w:sz w:val="24"/>
          <w:szCs w:val="24"/>
          <w:lang w:val="en-US"/>
        </w:rPr>
        <w:t>Analysis of the prospects of monetary investments in equity and debt securities</w:t>
      </w:r>
    </w:p>
    <w:p w:rsidR="00805C19" w:rsidRPr="00805C19" w:rsidRDefault="00805C19" w:rsidP="00805C19">
      <w:pPr>
        <w:spacing w:after="120" w:line="240" w:lineRule="auto"/>
        <w:ind w:right="-1" w:firstLine="709"/>
        <w:jc w:val="both"/>
        <w:rPr>
          <w:rFonts w:ascii="Times New Roman" w:hAnsi="Times New Roman" w:cs="Times New Roman"/>
          <w:i/>
          <w:sz w:val="24"/>
          <w:szCs w:val="24"/>
          <w:lang w:val="en-US"/>
        </w:rPr>
      </w:pPr>
      <w:r w:rsidRPr="00805C19">
        <w:rPr>
          <w:rFonts w:ascii="Times New Roman" w:hAnsi="Times New Roman" w:cs="Times New Roman"/>
          <w:i/>
          <w:sz w:val="24"/>
          <w:szCs w:val="24"/>
          <w:lang w:val="en-US"/>
        </w:rPr>
        <w:t>The relevance of the work lies in the fact that in the current unstable economic situation, many people are wondering how you can save and accumulate funds. Attractive sector of investment is the stock market BU-mage, because there are a lot of options of investing in different financial instruments with different levels of yield and suitable for a wide range of investors.</w:t>
      </w:r>
    </w:p>
    <w:p w:rsidR="00805C19" w:rsidRPr="00805C19" w:rsidRDefault="00805C19" w:rsidP="00805C19">
      <w:pPr>
        <w:spacing w:after="120" w:line="240" w:lineRule="auto"/>
        <w:ind w:right="-1" w:firstLine="709"/>
        <w:jc w:val="both"/>
        <w:rPr>
          <w:rFonts w:ascii="Times New Roman" w:hAnsi="Times New Roman" w:cs="Times New Roman"/>
          <w:i/>
          <w:sz w:val="24"/>
          <w:szCs w:val="24"/>
          <w:lang w:val="en-US"/>
        </w:rPr>
      </w:pPr>
      <w:r w:rsidRPr="00805C19">
        <w:rPr>
          <w:rFonts w:ascii="Times New Roman" w:hAnsi="Times New Roman" w:cs="Times New Roman"/>
          <w:b/>
          <w:i/>
          <w:sz w:val="24"/>
          <w:szCs w:val="24"/>
          <w:lang w:val="en-US"/>
        </w:rPr>
        <w:t>Key words</w:t>
      </w:r>
      <w:r w:rsidRPr="00805C19">
        <w:rPr>
          <w:rFonts w:ascii="Times New Roman" w:hAnsi="Times New Roman" w:cs="Times New Roman"/>
          <w:i/>
          <w:sz w:val="24"/>
          <w:szCs w:val="24"/>
          <w:lang w:val="en-US"/>
        </w:rPr>
        <w:t>: market of securities, cash investments, investments, assets, risks, profitability.</w:t>
      </w:r>
    </w:p>
    <w:p w:rsidR="005E0CA7" w:rsidRPr="005E0CA7" w:rsidRDefault="00DB2CE6" w:rsidP="00F8122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Целью работы являлось</w:t>
      </w:r>
      <w:r w:rsidR="005E0CA7" w:rsidRPr="005E0CA7">
        <w:rPr>
          <w:rFonts w:ascii="Times New Roman" w:hAnsi="Times New Roman" w:cs="Times New Roman"/>
          <w:sz w:val="24"/>
          <w:szCs w:val="24"/>
        </w:rPr>
        <w:t xml:space="preserve"> провести анализ рынка основных ценных бумаг, и, изучив существующие риски, принять решение, будут ли выгодными (и экономически обоснованными) вложенные средства. </w:t>
      </w:r>
    </w:p>
    <w:p w:rsidR="005E0CA7" w:rsidRPr="005E0CA7" w:rsidRDefault="00DB2CE6" w:rsidP="00F8122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достижения цели были решены следующие з</w:t>
      </w:r>
      <w:r w:rsidR="005E0CA7" w:rsidRPr="005E0CA7">
        <w:rPr>
          <w:rFonts w:ascii="Times New Roman" w:hAnsi="Times New Roman" w:cs="Times New Roman"/>
          <w:sz w:val="24"/>
          <w:szCs w:val="24"/>
        </w:rPr>
        <w:t>адачи:</w:t>
      </w:r>
      <w:r>
        <w:rPr>
          <w:rFonts w:ascii="Times New Roman" w:hAnsi="Times New Roman" w:cs="Times New Roman"/>
          <w:sz w:val="24"/>
          <w:szCs w:val="24"/>
        </w:rPr>
        <w:t xml:space="preserve"> </w:t>
      </w:r>
      <w:r w:rsidR="005E0CA7" w:rsidRPr="005E0CA7">
        <w:rPr>
          <w:rFonts w:ascii="Times New Roman" w:hAnsi="Times New Roman" w:cs="Times New Roman"/>
          <w:sz w:val="24"/>
          <w:szCs w:val="24"/>
        </w:rPr>
        <w:t>рассмотреть отдельные показатели долевых и долговых ценных бумаг;</w:t>
      </w:r>
      <w:r>
        <w:rPr>
          <w:rFonts w:ascii="Times New Roman" w:hAnsi="Times New Roman" w:cs="Times New Roman"/>
          <w:sz w:val="24"/>
          <w:szCs w:val="24"/>
        </w:rPr>
        <w:t xml:space="preserve"> </w:t>
      </w:r>
      <w:r w:rsidR="005E0CA7" w:rsidRPr="005E0CA7">
        <w:rPr>
          <w:rFonts w:ascii="Times New Roman" w:hAnsi="Times New Roman" w:cs="Times New Roman"/>
          <w:sz w:val="24"/>
          <w:szCs w:val="24"/>
        </w:rPr>
        <w:t>рассмотреть ценные бумаги одного эмитента и сразу нескольких под общим началом;</w:t>
      </w:r>
      <w:r>
        <w:rPr>
          <w:rFonts w:ascii="Times New Roman" w:hAnsi="Times New Roman" w:cs="Times New Roman"/>
          <w:sz w:val="24"/>
          <w:szCs w:val="24"/>
        </w:rPr>
        <w:t xml:space="preserve"> </w:t>
      </w:r>
      <w:r w:rsidR="005E0CA7" w:rsidRPr="005E0CA7">
        <w:rPr>
          <w:rFonts w:ascii="Times New Roman" w:hAnsi="Times New Roman" w:cs="Times New Roman"/>
          <w:sz w:val="24"/>
          <w:szCs w:val="24"/>
        </w:rPr>
        <w:t>изучить полученные данные с индексом РТС.</w:t>
      </w:r>
    </w:p>
    <w:p w:rsidR="00DB2CE6" w:rsidRDefault="00DB2CE6" w:rsidP="00F8122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ходе работы было использовано вычисление следующих показателей: годовая доходность, коэффициент Шарпа, меры рыночного риска и чистая приведенная стоимость.</w:t>
      </w:r>
    </w:p>
    <w:p w:rsidR="005E0CA7" w:rsidRPr="005E0CA7" w:rsidRDefault="005E0CA7" w:rsidP="00F81226">
      <w:pPr>
        <w:spacing w:after="0" w:line="240" w:lineRule="auto"/>
        <w:ind w:firstLine="709"/>
        <w:jc w:val="both"/>
        <w:rPr>
          <w:rFonts w:ascii="Times New Roman" w:hAnsi="Times New Roman" w:cs="Times New Roman"/>
          <w:sz w:val="24"/>
          <w:szCs w:val="24"/>
        </w:rPr>
      </w:pPr>
      <w:r w:rsidRPr="005E0CA7">
        <w:rPr>
          <w:rFonts w:ascii="Times New Roman" w:hAnsi="Times New Roman" w:cs="Times New Roman"/>
          <w:sz w:val="24"/>
          <w:szCs w:val="24"/>
        </w:rPr>
        <w:t xml:space="preserve">Заманчивым предложением являются «голубые фишки», о которых знает любой инвестор (ценные бумаги самых надежных и ликвидных компаний), в число которых входит </w:t>
      </w:r>
      <w:r w:rsidRPr="005E0CA7">
        <w:rPr>
          <w:rFonts w:ascii="Times New Roman" w:hAnsi="Times New Roman" w:cs="Times New Roman"/>
          <w:sz w:val="24"/>
          <w:szCs w:val="24"/>
        </w:rPr>
        <w:lastRenderedPageBreak/>
        <w:t>Сбербанк. В основе принятия решения об инвестировании лежит соизмерение риска и доходности. От того, насколько корректно инвестор оценивает это соотношение, во многом зависит эффективность инвестиций.</w:t>
      </w:r>
    </w:p>
    <w:p w:rsidR="005E0CA7" w:rsidRPr="000E5E97" w:rsidRDefault="005E0CA7" w:rsidP="00F81226">
      <w:pPr>
        <w:spacing w:after="0" w:line="240" w:lineRule="auto"/>
        <w:ind w:firstLine="709"/>
        <w:jc w:val="both"/>
        <w:rPr>
          <w:rFonts w:ascii="Times New Roman" w:hAnsi="Times New Roman" w:cs="Times New Roman"/>
          <w:sz w:val="24"/>
          <w:szCs w:val="24"/>
          <w:lang w:val="en-US"/>
        </w:rPr>
      </w:pPr>
      <w:r w:rsidRPr="005E0CA7">
        <w:rPr>
          <w:rFonts w:ascii="Times New Roman" w:hAnsi="Times New Roman" w:cs="Times New Roman"/>
          <w:sz w:val="24"/>
          <w:szCs w:val="24"/>
        </w:rPr>
        <w:t>При выборе тех или иных инструментов критерием выбора должен стать принцип взаимосвязи «риск – доход».</w:t>
      </w:r>
      <w:r w:rsidR="000E5E97" w:rsidRPr="000E5E97">
        <w:rPr>
          <w:rFonts w:ascii="Times New Roman" w:hAnsi="Times New Roman" w:cs="Times New Roman"/>
          <w:sz w:val="24"/>
          <w:szCs w:val="24"/>
        </w:rPr>
        <w:t xml:space="preserve"> [</w:t>
      </w:r>
      <w:r w:rsidR="000E5E97">
        <w:rPr>
          <w:rFonts w:ascii="Times New Roman" w:hAnsi="Times New Roman" w:cs="Times New Roman"/>
          <w:sz w:val="24"/>
          <w:szCs w:val="24"/>
          <w:lang w:val="en-US"/>
        </w:rPr>
        <w:t>6]</w:t>
      </w:r>
    </w:p>
    <w:p w:rsidR="005E0CA7" w:rsidRPr="005E0CA7" w:rsidRDefault="005E0CA7" w:rsidP="00F81226">
      <w:pPr>
        <w:spacing w:after="0" w:line="240" w:lineRule="auto"/>
        <w:ind w:firstLine="709"/>
        <w:jc w:val="both"/>
        <w:rPr>
          <w:rFonts w:ascii="Times New Roman" w:hAnsi="Times New Roman" w:cs="Times New Roman"/>
          <w:sz w:val="24"/>
          <w:szCs w:val="24"/>
        </w:rPr>
      </w:pPr>
      <w:r w:rsidRPr="005E0CA7">
        <w:rPr>
          <w:rFonts w:ascii="Times New Roman" w:hAnsi="Times New Roman" w:cs="Times New Roman"/>
          <w:sz w:val="24"/>
          <w:szCs w:val="24"/>
        </w:rPr>
        <w:t>Для грамотного инвестирования инвестор должен учитывать риски и волатильность, то есть изменчивость цены, для которой используется дисперсия. Для данной работы была определена дисперсия (характеризует степень разброса возможных результатов от средней величины) и среднее квадратичное отклонении доходности акций Сбербанка за период 2008-2016 года – время существования индекса РТС в России.</w:t>
      </w:r>
    </w:p>
    <w:p w:rsidR="005E0CA7" w:rsidRPr="00CC1699" w:rsidRDefault="00BA6B65" w:rsidP="00F81226">
      <w:pPr>
        <w:spacing w:after="0" w:line="240" w:lineRule="auto"/>
        <w:ind w:firstLine="709"/>
        <w:jc w:val="both"/>
        <w:rPr>
          <w:rFonts w:ascii="Times New Roman" w:hAnsi="Times New Roman" w:cs="Times New Roman"/>
          <w:szCs w:val="24"/>
        </w:rPr>
      </w:pPr>
      <w:r>
        <w:rPr>
          <w:rFonts w:ascii="Times New Roman" w:hAnsi="Times New Roman" w:cs="Times New Roman"/>
          <w:sz w:val="24"/>
          <w:szCs w:val="24"/>
        </w:rPr>
        <w:t>Рассчитаем годовую доходность по формуле</w:t>
      </w:r>
      <w:r w:rsidR="00CE7586">
        <w:rPr>
          <w:rFonts w:ascii="Times New Roman" w:hAnsi="Times New Roman" w:cs="Times New Roman"/>
          <w:sz w:val="24"/>
          <w:szCs w:val="24"/>
        </w:rPr>
        <w:t>:</w:t>
      </w:r>
      <w:r>
        <w:rPr>
          <w:rFonts w:ascii="Times New Roman" w:hAnsi="Times New Roman" w:cs="Times New Roman"/>
          <w:sz w:val="24"/>
          <w:szCs w:val="24"/>
        </w:rPr>
        <w:t xml:space="preserve"> </w:t>
      </w:r>
      <m:oMath>
        <m:r>
          <w:rPr>
            <w:rFonts w:ascii="Cambria Math" w:hAnsi="Cambria Math" w:cs="Times New Roman"/>
            <w:sz w:val="20"/>
            <w:szCs w:val="24"/>
          </w:rPr>
          <m:t>r=</m:t>
        </m:r>
        <m:f>
          <m:fPr>
            <m:ctrlPr>
              <w:rPr>
                <w:rFonts w:ascii="Cambria Math" w:hAnsi="Cambria Math" w:cs="Times New Roman"/>
                <w:i/>
                <w:sz w:val="20"/>
                <w:szCs w:val="24"/>
              </w:rPr>
            </m:ctrlPr>
          </m:fPr>
          <m:num>
            <m:r>
              <w:rPr>
                <w:rFonts w:ascii="Cambria Math" w:hAnsi="Cambria Math" w:cs="Times New Roman"/>
                <w:sz w:val="20"/>
                <w:szCs w:val="24"/>
              </w:rPr>
              <m:t>D+(</m:t>
            </m:r>
            <m:sSub>
              <m:sSubPr>
                <m:ctrlPr>
                  <w:rPr>
                    <w:rFonts w:ascii="Cambria Math" w:hAnsi="Cambria Math" w:cs="Times New Roman"/>
                    <w:i/>
                    <w:sz w:val="20"/>
                    <w:szCs w:val="24"/>
                  </w:rPr>
                </m:ctrlPr>
              </m:sSubPr>
              <m:e>
                <m:r>
                  <w:rPr>
                    <w:rFonts w:ascii="Cambria Math" w:hAnsi="Cambria Math" w:cs="Times New Roman"/>
                    <w:sz w:val="20"/>
                    <w:szCs w:val="24"/>
                  </w:rPr>
                  <m:t>P</m:t>
                </m:r>
              </m:e>
              <m:sub>
                <m:r>
                  <w:rPr>
                    <w:rFonts w:ascii="Cambria Math" w:hAnsi="Cambria Math" w:cs="Times New Roman"/>
                    <w:sz w:val="20"/>
                    <w:szCs w:val="24"/>
                  </w:rPr>
                  <m:t>1</m:t>
                </m:r>
              </m:sub>
            </m:sSub>
            <m:r>
              <w:rPr>
                <w:rFonts w:ascii="Cambria Math" w:hAnsi="Cambria Math" w:cs="Times New Roman"/>
                <w:sz w:val="20"/>
                <w:szCs w:val="24"/>
              </w:rPr>
              <m:t>-</m:t>
            </m:r>
            <m:sSub>
              <m:sSubPr>
                <m:ctrlPr>
                  <w:rPr>
                    <w:rFonts w:ascii="Cambria Math" w:hAnsi="Cambria Math" w:cs="Times New Roman"/>
                    <w:i/>
                    <w:sz w:val="20"/>
                    <w:szCs w:val="24"/>
                  </w:rPr>
                </m:ctrlPr>
              </m:sSubPr>
              <m:e>
                <m:r>
                  <w:rPr>
                    <w:rFonts w:ascii="Cambria Math" w:hAnsi="Cambria Math" w:cs="Times New Roman"/>
                    <w:sz w:val="20"/>
                    <w:szCs w:val="24"/>
                  </w:rPr>
                  <m:t>P</m:t>
                </m:r>
              </m:e>
              <m:sub>
                <m:r>
                  <w:rPr>
                    <w:rFonts w:ascii="Cambria Math" w:hAnsi="Cambria Math" w:cs="Times New Roman"/>
                    <w:sz w:val="20"/>
                    <w:szCs w:val="24"/>
                  </w:rPr>
                  <m:t>o</m:t>
                </m:r>
              </m:sub>
            </m:sSub>
            <m:r>
              <w:rPr>
                <w:rFonts w:ascii="Cambria Math" w:hAnsi="Cambria Math" w:cs="Times New Roman"/>
                <w:sz w:val="20"/>
                <w:szCs w:val="24"/>
              </w:rPr>
              <m:t>)</m:t>
            </m:r>
          </m:num>
          <m:den>
            <m:sSub>
              <m:sSubPr>
                <m:ctrlPr>
                  <w:rPr>
                    <w:rFonts w:ascii="Cambria Math" w:hAnsi="Cambria Math" w:cs="Times New Roman"/>
                    <w:i/>
                    <w:sz w:val="20"/>
                    <w:szCs w:val="24"/>
                  </w:rPr>
                </m:ctrlPr>
              </m:sSubPr>
              <m:e>
                <m:r>
                  <w:rPr>
                    <w:rFonts w:ascii="Cambria Math" w:hAnsi="Cambria Math" w:cs="Times New Roman"/>
                    <w:sz w:val="20"/>
                    <w:szCs w:val="24"/>
                  </w:rPr>
                  <m:t>P</m:t>
                </m:r>
              </m:e>
              <m:sub>
                <m:r>
                  <w:rPr>
                    <w:rFonts w:ascii="Cambria Math" w:hAnsi="Cambria Math" w:cs="Times New Roman"/>
                    <w:sz w:val="20"/>
                    <w:szCs w:val="24"/>
                  </w:rPr>
                  <m:t>0</m:t>
                </m:r>
              </m:sub>
            </m:sSub>
          </m:den>
        </m:f>
        <m:r>
          <w:rPr>
            <w:rFonts w:ascii="Cambria Math" w:hAnsi="Cambria Math" w:cs="Times New Roman"/>
            <w:sz w:val="20"/>
            <w:szCs w:val="24"/>
          </w:rPr>
          <m:t>100%</m:t>
        </m:r>
      </m:oMath>
      <w:r>
        <w:rPr>
          <w:rFonts w:ascii="Times New Roman" w:eastAsiaTheme="minorEastAsia" w:hAnsi="Times New Roman" w:cs="Times New Roman"/>
          <w:sz w:val="20"/>
          <w:szCs w:val="24"/>
        </w:rPr>
        <w:t>,</w:t>
      </w:r>
      <w:r w:rsidR="005E0CA7" w:rsidRPr="00BA6B65">
        <w:rPr>
          <w:rFonts w:ascii="Times New Roman" w:hAnsi="Times New Roman" w:cs="Times New Roman"/>
          <w:sz w:val="24"/>
          <w:szCs w:val="24"/>
        </w:rPr>
        <w:t xml:space="preserve"> </w:t>
      </w:r>
      <w:r w:rsidR="005E0CA7" w:rsidRPr="005E0CA7">
        <w:rPr>
          <w:rFonts w:ascii="Times New Roman" w:hAnsi="Times New Roman" w:cs="Times New Roman"/>
          <w:sz w:val="24"/>
          <w:szCs w:val="24"/>
        </w:rPr>
        <w:t xml:space="preserve">по этим показателям рассчитали и дисперсию. Разброс доходностей входящий в пределы </w:t>
      </w:r>
      <m:oMath>
        <m:r>
          <w:rPr>
            <w:rFonts w:ascii="Cambria Math" w:hAnsi="Cambria Math" w:cs="Times New Roman"/>
            <w:sz w:val="20"/>
            <w:szCs w:val="24"/>
          </w:rPr>
          <m:t>a±3σ</m:t>
        </m:r>
      </m:oMath>
      <w:r w:rsidR="005E0CA7" w:rsidRPr="00BA6B65">
        <w:rPr>
          <w:rFonts w:ascii="Times New Roman" w:hAnsi="Times New Roman" w:cs="Times New Roman"/>
          <w:szCs w:val="24"/>
        </w:rPr>
        <w:t xml:space="preserve"> </w:t>
      </w:r>
      <w:r w:rsidR="005E0CA7" w:rsidRPr="005E0CA7">
        <w:rPr>
          <w:rFonts w:ascii="Times New Roman" w:hAnsi="Times New Roman" w:cs="Times New Roman"/>
          <w:sz w:val="24"/>
          <w:szCs w:val="24"/>
        </w:rPr>
        <w:t xml:space="preserve">достаточно велик, что говорит о высокой волатильности приобретаемой ценной бумаги. </w:t>
      </w:r>
      <w:r w:rsidR="00DB2CE6">
        <w:rPr>
          <w:rFonts w:ascii="Times New Roman" w:hAnsi="Times New Roman" w:cs="Times New Roman"/>
          <w:sz w:val="24"/>
          <w:szCs w:val="24"/>
        </w:rPr>
        <w:t>Рассчитанная доходность по акциям Сбербанка структурирована в таблицу 1.</w:t>
      </w:r>
      <w:r w:rsidR="00BF08F1">
        <w:rPr>
          <w:rFonts w:ascii="Times New Roman" w:hAnsi="Times New Roman" w:cs="Times New Roman"/>
          <w:sz w:val="24"/>
          <w:szCs w:val="24"/>
        </w:rPr>
        <w:t xml:space="preserve"> </w:t>
      </w:r>
      <w:r w:rsidR="00BF08F1" w:rsidRPr="00CC1699">
        <w:rPr>
          <w:rFonts w:ascii="Times New Roman" w:hAnsi="Times New Roman" w:cs="Times New Roman"/>
          <w:sz w:val="24"/>
          <w:szCs w:val="24"/>
        </w:rPr>
        <w:t>[1]</w:t>
      </w:r>
    </w:p>
    <w:p w:rsidR="00BA6B65" w:rsidRDefault="009A2E5C" w:rsidP="00CE7586">
      <w:pPr>
        <w:tabs>
          <w:tab w:val="left" w:pos="4065"/>
          <w:tab w:val="right" w:pos="9072"/>
        </w:tabs>
        <w:spacing w:after="120" w:line="240" w:lineRule="auto"/>
        <w:ind w:right="-1" w:firstLine="709"/>
        <w:jc w:val="right"/>
        <w:rPr>
          <w:rFonts w:ascii="Times New Roman" w:hAnsi="Times New Roman" w:cs="Times New Roman"/>
          <w:i/>
          <w:sz w:val="24"/>
          <w:szCs w:val="24"/>
        </w:rPr>
      </w:pPr>
      <w:r>
        <w:rPr>
          <w:rFonts w:ascii="Times New Roman" w:hAnsi="Times New Roman" w:cs="Times New Roman"/>
          <w:i/>
          <w:sz w:val="24"/>
          <w:szCs w:val="24"/>
        </w:rPr>
        <w:tab/>
      </w:r>
      <w:r w:rsidRPr="009A2E5C">
        <w:rPr>
          <w:rFonts w:ascii="Times New Roman" w:hAnsi="Times New Roman" w:cs="Times New Roman"/>
          <w:i/>
          <w:sz w:val="24"/>
          <w:szCs w:val="24"/>
        </w:rPr>
        <w:t>Таблица 1</w:t>
      </w:r>
    </w:p>
    <w:p w:rsidR="009A2E5C" w:rsidRPr="009A2E5C" w:rsidRDefault="009A2E5C" w:rsidP="00CE7586">
      <w:pPr>
        <w:tabs>
          <w:tab w:val="left" w:pos="4065"/>
          <w:tab w:val="right" w:pos="9072"/>
        </w:tabs>
        <w:spacing w:after="120" w:line="240" w:lineRule="auto"/>
        <w:ind w:right="-1" w:firstLine="709"/>
        <w:jc w:val="center"/>
        <w:rPr>
          <w:rFonts w:ascii="Times New Roman" w:hAnsi="Times New Roman" w:cs="Times New Roman"/>
          <w:b/>
          <w:sz w:val="24"/>
          <w:szCs w:val="24"/>
        </w:rPr>
      </w:pPr>
      <w:r w:rsidRPr="009A2E5C">
        <w:rPr>
          <w:rFonts w:ascii="Times New Roman" w:hAnsi="Times New Roman" w:cs="Times New Roman"/>
          <w:b/>
          <w:sz w:val="24"/>
          <w:szCs w:val="24"/>
        </w:rPr>
        <w:t>Доходность акций Сбербанка</w:t>
      </w:r>
    </w:p>
    <w:tbl>
      <w:tblPr>
        <w:tblW w:w="9654" w:type="dxa"/>
        <w:tblCellMar>
          <w:left w:w="0" w:type="dxa"/>
          <w:right w:w="0" w:type="dxa"/>
        </w:tblCellMar>
        <w:tblLook w:val="0600" w:firstRow="0" w:lastRow="0" w:firstColumn="0" w:lastColumn="0" w:noHBand="1" w:noVBand="1"/>
      </w:tblPr>
      <w:tblGrid>
        <w:gridCol w:w="4827"/>
        <w:gridCol w:w="4827"/>
      </w:tblGrid>
      <w:tr w:rsidR="00BA6B65"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5" w:type="dxa"/>
              <w:bottom w:w="0" w:type="dxa"/>
              <w:right w:w="15" w:type="dxa"/>
            </w:tcMar>
            <w:vAlign w:val="center"/>
            <w:hideMark/>
          </w:tcPr>
          <w:p w:rsidR="00BA6B65" w:rsidRPr="00BA6B65" w:rsidRDefault="00BA6B65" w:rsidP="00CE7586">
            <w:pPr>
              <w:spacing w:after="120" w:line="240" w:lineRule="auto"/>
              <w:ind w:right="-1" w:firstLine="709"/>
              <w:jc w:val="center"/>
              <w:rPr>
                <w:rFonts w:ascii="Times New Roman" w:hAnsi="Times New Roman" w:cs="Times New Roman"/>
                <w:sz w:val="24"/>
                <w:szCs w:val="24"/>
              </w:rPr>
            </w:pPr>
            <w:r w:rsidRPr="00BA6B65">
              <w:rPr>
                <w:rFonts w:ascii="Times New Roman" w:hAnsi="Times New Roman" w:cs="Times New Roman"/>
                <w:sz w:val="24"/>
                <w:szCs w:val="24"/>
              </w:rPr>
              <w:t>Период наблюдений</w:t>
            </w:r>
          </w:p>
        </w:tc>
        <w:tc>
          <w:tcPr>
            <w:tcW w:w="482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5" w:type="dxa"/>
              <w:bottom w:w="0" w:type="dxa"/>
              <w:right w:w="15" w:type="dxa"/>
            </w:tcMar>
            <w:vAlign w:val="center"/>
            <w:hideMark/>
          </w:tcPr>
          <w:p w:rsidR="00BA6B65" w:rsidRPr="00BA6B65" w:rsidRDefault="00BA6B65" w:rsidP="00CE7586">
            <w:pPr>
              <w:spacing w:after="120" w:line="240" w:lineRule="auto"/>
              <w:ind w:right="-1"/>
              <w:jc w:val="center"/>
              <w:rPr>
                <w:rFonts w:ascii="Times New Roman" w:hAnsi="Times New Roman" w:cs="Times New Roman"/>
                <w:sz w:val="24"/>
                <w:szCs w:val="24"/>
              </w:rPr>
            </w:pPr>
            <w:r w:rsidRPr="00BA6B65">
              <w:rPr>
                <w:rFonts w:ascii="Times New Roman" w:hAnsi="Times New Roman" w:cs="Times New Roman"/>
                <w:sz w:val="24"/>
                <w:szCs w:val="24"/>
              </w:rPr>
              <w:t>Годовая доходность, %</w:t>
            </w:r>
          </w:p>
        </w:tc>
      </w:tr>
      <w:tr w:rsidR="00BA6B65"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BA6B65" w:rsidRPr="00BA6B65" w:rsidRDefault="00BA6B65" w:rsidP="00CE7586">
            <w:pPr>
              <w:spacing w:after="120" w:line="240" w:lineRule="auto"/>
              <w:ind w:right="-1"/>
              <w:jc w:val="center"/>
              <w:rPr>
                <w:rFonts w:ascii="Times New Roman" w:hAnsi="Times New Roman" w:cs="Times New Roman"/>
                <w:sz w:val="24"/>
                <w:szCs w:val="24"/>
              </w:rPr>
            </w:pPr>
            <w:r w:rsidRPr="00BA6B65">
              <w:rPr>
                <w:rFonts w:ascii="Times New Roman" w:hAnsi="Times New Roman" w:cs="Times New Roman"/>
                <w:sz w:val="24"/>
                <w:szCs w:val="24"/>
              </w:rPr>
              <w:t>2008</w:t>
            </w:r>
          </w:p>
        </w:tc>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BA6B65" w:rsidRPr="00BA6B65" w:rsidRDefault="00BA6B65" w:rsidP="00CE7586">
            <w:pPr>
              <w:spacing w:after="120" w:line="240" w:lineRule="auto"/>
              <w:ind w:right="-1" w:hanging="9"/>
              <w:jc w:val="center"/>
              <w:rPr>
                <w:rFonts w:ascii="Times New Roman" w:hAnsi="Times New Roman" w:cs="Times New Roman"/>
                <w:sz w:val="24"/>
                <w:szCs w:val="24"/>
              </w:rPr>
            </w:pPr>
            <w:r w:rsidRPr="00BA6B65">
              <w:rPr>
                <w:rFonts w:ascii="Times New Roman" w:hAnsi="Times New Roman" w:cs="Times New Roman"/>
                <w:sz w:val="24"/>
                <w:szCs w:val="24"/>
              </w:rPr>
              <w:t>-76,9</w:t>
            </w:r>
          </w:p>
        </w:tc>
      </w:tr>
      <w:tr w:rsidR="0018467B"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jc w:val="center"/>
              <w:rPr>
                <w:rFonts w:ascii="Times New Roman" w:hAnsi="Times New Roman" w:cs="Times New Roman"/>
                <w:sz w:val="24"/>
                <w:szCs w:val="24"/>
              </w:rPr>
            </w:pPr>
            <w:r w:rsidRPr="00BA6B65">
              <w:rPr>
                <w:rFonts w:ascii="Times New Roman" w:hAnsi="Times New Roman" w:cs="Times New Roman"/>
                <w:sz w:val="24"/>
                <w:szCs w:val="24"/>
              </w:rPr>
              <w:t>2009</w:t>
            </w:r>
          </w:p>
        </w:tc>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hanging="9"/>
              <w:jc w:val="center"/>
              <w:rPr>
                <w:rFonts w:ascii="Times New Roman" w:hAnsi="Times New Roman" w:cs="Times New Roman"/>
                <w:sz w:val="24"/>
                <w:szCs w:val="24"/>
              </w:rPr>
            </w:pPr>
            <w:r w:rsidRPr="00BA6B65">
              <w:rPr>
                <w:rFonts w:ascii="Times New Roman" w:hAnsi="Times New Roman" w:cs="Times New Roman"/>
                <w:sz w:val="24"/>
                <w:szCs w:val="24"/>
              </w:rPr>
              <w:t>263,8</w:t>
            </w:r>
          </w:p>
        </w:tc>
      </w:tr>
      <w:tr w:rsidR="0018467B"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jc w:val="center"/>
              <w:rPr>
                <w:rFonts w:ascii="Times New Roman" w:hAnsi="Times New Roman" w:cs="Times New Roman"/>
                <w:sz w:val="24"/>
                <w:szCs w:val="24"/>
              </w:rPr>
            </w:pPr>
            <w:r w:rsidRPr="00BA6B65">
              <w:rPr>
                <w:rFonts w:ascii="Times New Roman" w:hAnsi="Times New Roman" w:cs="Times New Roman"/>
                <w:sz w:val="24"/>
                <w:szCs w:val="24"/>
              </w:rPr>
              <w:t>2010</w:t>
            </w:r>
          </w:p>
        </w:tc>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hanging="9"/>
              <w:jc w:val="center"/>
              <w:rPr>
                <w:rFonts w:ascii="Times New Roman" w:hAnsi="Times New Roman" w:cs="Times New Roman"/>
                <w:sz w:val="24"/>
                <w:szCs w:val="24"/>
              </w:rPr>
            </w:pPr>
            <w:r w:rsidRPr="00BA6B65">
              <w:rPr>
                <w:rFonts w:ascii="Times New Roman" w:hAnsi="Times New Roman" w:cs="Times New Roman"/>
                <w:sz w:val="24"/>
                <w:szCs w:val="24"/>
              </w:rPr>
              <w:t>25,7</w:t>
            </w:r>
          </w:p>
        </w:tc>
      </w:tr>
      <w:tr w:rsidR="0018467B"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jc w:val="center"/>
              <w:rPr>
                <w:rFonts w:ascii="Times New Roman" w:hAnsi="Times New Roman" w:cs="Times New Roman"/>
                <w:sz w:val="24"/>
                <w:szCs w:val="24"/>
              </w:rPr>
            </w:pPr>
            <w:r w:rsidRPr="00BA6B65">
              <w:rPr>
                <w:rFonts w:ascii="Times New Roman" w:hAnsi="Times New Roman" w:cs="Times New Roman"/>
                <w:sz w:val="24"/>
                <w:szCs w:val="24"/>
              </w:rPr>
              <w:t>2011</w:t>
            </w:r>
          </w:p>
        </w:tc>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hanging="9"/>
              <w:jc w:val="center"/>
              <w:rPr>
                <w:rFonts w:ascii="Times New Roman" w:hAnsi="Times New Roman" w:cs="Times New Roman"/>
                <w:sz w:val="24"/>
                <w:szCs w:val="24"/>
              </w:rPr>
            </w:pPr>
            <w:r w:rsidRPr="00BA6B65">
              <w:rPr>
                <w:rFonts w:ascii="Times New Roman" w:hAnsi="Times New Roman" w:cs="Times New Roman"/>
                <w:sz w:val="24"/>
                <w:szCs w:val="24"/>
              </w:rPr>
              <w:t>-21,8</w:t>
            </w:r>
          </w:p>
        </w:tc>
      </w:tr>
      <w:tr w:rsidR="0018467B"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jc w:val="center"/>
              <w:rPr>
                <w:rFonts w:ascii="Times New Roman" w:hAnsi="Times New Roman" w:cs="Times New Roman"/>
                <w:sz w:val="24"/>
                <w:szCs w:val="24"/>
              </w:rPr>
            </w:pPr>
            <w:r w:rsidRPr="00BA6B65">
              <w:rPr>
                <w:rFonts w:ascii="Times New Roman" w:hAnsi="Times New Roman" w:cs="Times New Roman"/>
                <w:sz w:val="24"/>
                <w:szCs w:val="24"/>
              </w:rPr>
              <w:t>2012</w:t>
            </w:r>
          </w:p>
        </w:tc>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hanging="9"/>
              <w:jc w:val="center"/>
              <w:rPr>
                <w:rFonts w:ascii="Times New Roman" w:hAnsi="Times New Roman" w:cs="Times New Roman"/>
                <w:sz w:val="24"/>
                <w:szCs w:val="24"/>
              </w:rPr>
            </w:pPr>
            <w:r w:rsidRPr="00BA6B65">
              <w:rPr>
                <w:rFonts w:ascii="Times New Roman" w:hAnsi="Times New Roman" w:cs="Times New Roman"/>
                <w:sz w:val="24"/>
                <w:szCs w:val="24"/>
              </w:rPr>
              <w:t>20,2</w:t>
            </w:r>
          </w:p>
        </w:tc>
      </w:tr>
      <w:tr w:rsidR="0018467B"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jc w:val="center"/>
              <w:rPr>
                <w:rFonts w:ascii="Times New Roman" w:hAnsi="Times New Roman" w:cs="Times New Roman"/>
                <w:sz w:val="24"/>
                <w:szCs w:val="24"/>
              </w:rPr>
            </w:pPr>
            <w:r w:rsidRPr="00BA6B65">
              <w:rPr>
                <w:rFonts w:ascii="Times New Roman" w:hAnsi="Times New Roman" w:cs="Times New Roman"/>
                <w:sz w:val="24"/>
                <w:szCs w:val="24"/>
              </w:rPr>
              <w:t>2013</w:t>
            </w:r>
          </w:p>
        </w:tc>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hanging="9"/>
              <w:jc w:val="center"/>
              <w:rPr>
                <w:rFonts w:ascii="Times New Roman" w:hAnsi="Times New Roman" w:cs="Times New Roman"/>
                <w:sz w:val="24"/>
                <w:szCs w:val="24"/>
              </w:rPr>
            </w:pPr>
            <w:r w:rsidRPr="00BA6B65">
              <w:rPr>
                <w:rFonts w:ascii="Times New Roman" w:hAnsi="Times New Roman" w:cs="Times New Roman"/>
                <w:sz w:val="24"/>
                <w:szCs w:val="24"/>
              </w:rPr>
              <w:t>12,3</w:t>
            </w:r>
          </w:p>
        </w:tc>
      </w:tr>
      <w:tr w:rsidR="0018467B"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jc w:val="center"/>
              <w:rPr>
                <w:rFonts w:ascii="Times New Roman" w:hAnsi="Times New Roman" w:cs="Times New Roman"/>
                <w:sz w:val="24"/>
                <w:szCs w:val="24"/>
              </w:rPr>
            </w:pPr>
            <w:r w:rsidRPr="00BA6B65">
              <w:rPr>
                <w:rFonts w:ascii="Times New Roman" w:hAnsi="Times New Roman" w:cs="Times New Roman"/>
                <w:sz w:val="24"/>
                <w:szCs w:val="24"/>
              </w:rPr>
              <w:t>2014</w:t>
            </w:r>
          </w:p>
        </w:tc>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hanging="9"/>
              <w:jc w:val="center"/>
              <w:rPr>
                <w:rFonts w:ascii="Times New Roman" w:hAnsi="Times New Roman" w:cs="Times New Roman"/>
                <w:sz w:val="24"/>
                <w:szCs w:val="24"/>
              </w:rPr>
            </w:pPr>
            <w:r w:rsidRPr="00BA6B65">
              <w:rPr>
                <w:rFonts w:ascii="Times New Roman" w:hAnsi="Times New Roman" w:cs="Times New Roman"/>
                <w:sz w:val="24"/>
                <w:szCs w:val="24"/>
              </w:rPr>
              <w:t>-45,3</w:t>
            </w:r>
          </w:p>
        </w:tc>
      </w:tr>
      <w:tr w:rsidR="0018467B"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jc w:val="center"/>
              <w:rPr>
                <w:rFonts w:ascii="Times New Roman" w:hAnsi="Times New Roman" w:cs="Times New Roman"/>
                <w:sz w:val="24"/>
                <w:szCs w:val="24"/>
              </w:rPr>
            </w:pPr>
            <w:r w:rsidRPr="00BA6B65">
              <w:rPr>
                <w:rFonts w:ascii="Times New Roman" w:hAnsi="Times New Roman" w:cs="Times New Roman"/>
                <w:sz w:val="24"/>
                <w:szCs w:val="24"/>
              </w:rPr>
              <w:t>2015</w:t>
            </w:r>
          </w:p>
        </w:tc>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hanging="9"/>
              <w:jc w:val="center"/>
              <w:rPr>
                <w:rFonts w:ascii="Times New Roman" w:hAnsi="Times New Roman" w:cs="Times New Roman"/>
                <w:sz w:val="24"/>
                <w:szCs w:val="24"/>
              </w:rPr>
            </w:pPr>
            <w:r w:rsidRPr="00BA6B65">
              <w:rPr>
                <w:rFonts w:ascii="Times New Roman" w:hAnsi="Times New Roman" w:cs="Times New Roman"/>
                <w:sz w:val="24"/>
                <w:szCs w:val="24"/>
              </w:rPr>
              <w:t>87,9</w:t>
            </w:r>
          </w:p>
        </w:tc>
      </w:tr>
      <w:tr w:rsidR="0018467B"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jc w:val="center"/>
              <w:rPr>
                <w:rFonts w:ascii="Times New Roman" w:hAnsi="Times New Roman" w:cs="Times New Roman"/>
                <w:sz w:val="24"/>
                <w:szCs w:val="24"/>
              </w:rPr>
            </w:pPr>
            <w:r w:rsidRPr="00BA6B65">
              <w:rPr>
                <w:rFonts w:ascii="Times New Roman" w:hAnsi="Times New Roman" w:cs="Times New Roman"/>
                <w:sz w:val="24"/>
                <w:szCs w:val="24"/>
              </w:rPr>
              <w:t>2016</w:t>
            </w:r>
          </w:p>
        </w:tc>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hanging="9"/>
              <w:jc w:val="center"/>
              <w:rPr>
                <w:rFonts w:ascii="Times New Roman" w:hAnsi="Times New Roman" w:cs="Times New Roman"/>
                <w:sz w:val="24"/>
                <w:szCs w:val="24"/>
              </w:rPr>
            </w:pPr>
            <w:r w:rsidRPr="00BA6B65">
              <w:rPr>
                <w:rFonts w:ascii="Times New Roman" w:hAnsi="Times New Roman" w:cs="Times New Roman"/>
                <w:sz w:val="24"/>
                <w:szCs w:val="24"/>
              </w:rPr>
              <w:t>74,3</w:t>
            </w:r>
          </w:p>
        </w:tc>
      </w:tr>
      <w:tr w:rsidR="0018467B"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jc w:val="center"/>
              <w:rPr>
                <w:rFonts w:ascii="Times New Roman" w:hAnsi="Times New Roman" w:cs="Times New Roman"/>
                <w:sz w:val="24"/>
                <w:szCs w:val="24"/>
              </w:rPr>
            </w:pPr>
            <w:r w:rsidRPr="00BA6B65">
              <w:rPr>
                <w:rFonts w:ascii="Times New Roman" w:hAnsi="Times New Roman" w:cs="Times New Roman"/>
                <w:sz w:val="24"/>
                <w:szCs w:val="24"/>
              </w:rPr>
              <w:t>Средняя доходность</w:t>
            </w:r>
          </w:p>
        </w:tc>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hanging="9"/>
              <w:jc w:val="center"/>
              <w:rPr>
                <w:rFonts w:ascii="Times New Roman" w:hAnsi="Times New Roman" w:cs="Times New Roman"/>
                <w:sz w:val="24"/>
                <w:szCs w:val="24"/>
              </w:rPr>
            </w:pPr>
            <w:r w:rsidRPr="00BA6B65">
              <w:rPr>
                <w:rFonts w:ascii="Times New Roman" w:hAnsi="Times New Roman" w:cs="Times New Roman"/>
                <w:sz w:val="24"/>
                <w:szCs w:val="24"/>
              </w:rPr>
              <w:t>37,8</w:t>
            </w:r>
          </w:p>
        </w:tc>
      </w:tr>
      <w:tr w:rsidR="0018467B"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jc w:val="center"/>
              <w:rPr>
                <w:rFonts w:ascii="Times New Roman" w:hAnsi="Times New Roman" w:cs="Times New Roman"/>
                <w:sz w:val="24"/>
                <w:szCs w:val="24"/>
              </w:rPr>
            </w:pPr>
            <w:r>
              <w:rPr>
                <w:rFonts w:ascii="Times New Roman" w:hAnsi="Times New Roman" w:cs="Times New Roman"/>
                <w:sz w:val="24"/>
                <w:szCs w:val="24"/>
              </w:rPr>
              <w:t>Дисперсия</w:t>
            </w:r>
          </w:p>
        </w:tc>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hanging="9"/>
              <w:jc w:val="center"/>
              <w:rPr>
                <w:rFonts w:ascii="Times New Roman" w:hAnsi="Times New Roman" w:cs="Times New Roman"/>
                <w:sz w:val="24"/>
                <w:szCs w:val="24"/>
              </w:rPr>
            </w:pPr>
            <w:r w:rsidRPr="00BA6B65">
              <w:rPr>
                <w:rFonts w:ascii="Times New Roman" w:hAnsi="Times New Roman" w:cs="Times New Roman"/>
                <w:sz w:val="24"/>
                <w:szCs w:val="24"/>
              </w:rPr>
              <w:t>8848,7</w:t>
            </w:r>
          </w:p>
        </w:tc>
      </w:tr>
      <w:tr w:rsidR="0018467B" w:rsidRPr="00BA6B65" w:rsidTr="000E5E97">
        <w:trPr>
          <w:trHeight w:val="283"/>
        </w:trPr>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jc w:val="center"/>
              <w:rPr>
                <w:rFonts w:ascii="Times New Roman" w:hAnsi="Times New Roman" w:cs="Times New Roman"/>
                <w:sz w:val="24"/>
                <w:szCs w:val="24"/>
              </w:rPr>
            </w:pPr>
            <w:r>
              <w:rPr>
                <w:rFonts w:ascii="Times New Roman" w:hAnsi="Times New Roman" w:cs="Times New Roman"/>
                <w:sz w:val="24"/>
                <w:szCs w:val="24"/>
              </w:rPr>
              <w:t>Среднеквадратичное отклонение</w:t>
            </w:r>
          </w:p>
        </w:tc>
        <w:tc>
          <w:tcPr>
            <w:tcW w:w="4827"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18467B" w:rsidRPr="00BA6B65" w:rsidRDefault="0018467B" w:rsidP="00CE7586">
            <w:pPr>
              <w:spacing w:after="120" w:line="240" w:lineRule="auto"/>
              <w:ind w:right="-1" w:hanging="9"/>
              <w:jc w:val="center"/>
              <w:rPr>
                <w:rFonts w:ascii="Times New Roman" w:hAnsi="Times New Roman" w:cs="Times New Roman"/>
                <w:sz w:val="24"/>
                <w:szCs w:val="24"/>
              </w:rPr>
            </w:pPr>
            <w:r w:rsidRPr="00BA6B65">
              <w:rPr>
                <w:rFonts w:ascii="Times New Roman" w:hAnsi="Times New Roman" w:cs="Times New Roman"/>
                <w:sz w:val="24"/>
                <w:szCs w:val="24"/>
              </w:rPr>
              <w:t>94,07</w:t>
            </w:r>
          </w:p>
        </w:tc>
      </w:tr>
    </w:tbl>
    <w:p w:rsidR="00805C19" w:rsidRDefault="00805C19" w:rsidP="00CE7586">
      <w:pPr>
        <w:spacing w:after="120" w:line="240" w:lineRule="auto"/>
        <w:ind w:right="-1" w:firstLine="709"/>
        <w:jc w:val="both"/>
        <w:rPr>
          <w:rFonts w:ascii="Times New Roman" w:hAnsi="Times New Roman" w:cs="Times New Roman"/>
          <w:sz w:val="24"/>
          <w:szCs w:val="24"/>
        </w:rPr>
      </w:pPr>
    </w:p>
    <w:p w:rsidR="005E0CA7" w:rsidRDefault="005E0CA7" w:rsidP="00CE7586">
      <w:pPr>
        <w:spacing w:after="120" w:line="240" w:lineRule="auto"/>
        <w:ind w:right="-1" w:firstLine="709"/>
        <w:jc w:val="both"/>
        <w:rPr>
          <w:rFonts w:ascii="Times New Roman" w:hAnsi="Times New Roman" w:cs="Times New Roman"/>
          <w:sz w:val="24"/>
          <w:szCs w:val="24"/>
        </w:rPr>
      </w:pPr>
      <w:r w:rsidRPr="005E0CA7">
        <w:rPr>
          <w:rFonts w:ascii="Times New Roman" w:hAnsi="Times New Roman" w:cs="Times New Roman"/>
          <w:sz w:val="24"/>
          <w:szCs w:val="24"/>
        </w:rPr>
        <w:t xml:space="preserve">Чтобы узнать, какую доходность может принести актив на единицу риска и рассмотреть величину риска инвестиционного портфеля используют коэффициент Шарпа </w:t>
      </w:r>
      <m:oMath>
        <m:r>
          <w:rPr>
            <w:rFonts w:ascii="Cambria Math" w:hAnsi="Cambria Math" w:cs="Times New Roman"/>
            <w:sz w:val="20"/>
            <w:szCs w:val="24"/>
            <w:lang w:val="en-US"/>
          </w:rPr>
          <m:t>S</m:t>
        </m:r>
        <m:r>
          <w:rPr>
            <w:rFonts w:ascii="Cambria Math" w:hAnsi="Cambria Math" w:cs="Times New Roman"/>
            <w:sz w:val="20"/>
            <w:szCs w:val="24"/>
          </w:rPr>
          <m:t>=</m:t>
        </m:r>
        <m:f>
          <m:fPr>
            <m:ctrlPr>
              <w:rPr>
                <w:rFonts w:ascii="Cambria Math" w:hAnsi="Cambria Math" w:cs="Times New Roman"/>
                <w:i/>
                <w:iCs/>
                <w:sz w:val="20"/>
                <w:szCs w:val="24"/>
                <w:lang w:val="en-US"/>
              </w:rPr>
            </m:ctrlPr>
          </m:fPr>
          <m:num>
            <m:sSub>
              <m:sSubPr>
                <m:ctrlPr>
                  <w:rPr>
                    <w:rFonts w:ascii="Cambria Math" w:hAnsi="Cambria Math" w:cs="Times New Roman"/>
                    <w:i/>
                    <w:iCs/>
                    <w:sz w:val="20"/>
                    <w:szCs w:val="24"/>
                    <w:lang w:val="en-US"/>
                  </w:rPr>
                </m:ctrlPr>
              </m:sSubPr>
              <m:e>
                <m:r>
                  <w:rPr>
                    <w:rFonts w:ascii="Cambria Math" w:hAnsi="Cambria Math" w:cs="Times New Roman"/>
                    <w:sz w:val="20"/>
                    <w:szCs w:val="24"/>
                    <w:lang w:val="en-US"/>
                  </w:rPr>
                  <m:t>R</m:t>
                </m:r>
              </m:e>
              <m:sub>
                <m:r>
                  <w:rPr>
                    <w:rFonts w:ascii="Cambria Math" w:hAnsi="Cambria Math" w:cs="Times New Roman"/>
                    <w:sz w:val="20"/>
                    <w:szCs w:val="24"/>
                    <w:lang w:val="en-US"/>
                  </w:rPr>
                  <m:t>p</m:t>
                </m:r>
              </m:sub>
            </m:sSub>
            <m:r>
              <w:rPr>
                <w:rFonts w:ascii="Cambria Math" w:hAnsi="Cambria Math" w:cs="Times New Roman"/>
                <w:sz w:val="20"/>
                <w:szCs w:val="24"/>
              </w:rPr>
              <m:t>-</m:t>
            </m:r>
            <m:sSub>
              <m:sSubPr>
                <m:ctrlPr>
                  <w:rPr>
                    <w:rFonts w:ascii="Cambria Math" w:hAnsi="Cambria Math" w:cs="Times New Roman"/>
                    <w:i/>
                    <w:iCs/>
                    <w:sz w:val="20"/>
                    <w:szCs w:val="24"/>
                    <w:lang w:val="en-US"/>
                  </w:rPr>
                </m:ctrlPr>
              </m:sSubPr>
              <m:e>
                <m:r>
                  <w:rPr>
                    <w:rFonts w:ascii="Cambria Math" w:hAnsi="Cambria Math" w:cs="Times New Roman"/>
                    <w:sz w:val="20"/>
                    <w:szCs w:val="24"/>
                    <w:lang w:val="en-US"/>
                  </w:rPr>
                  <m:t>R</m:t>
                </m:r>
              </m:e>
              <m:sub>
                <m:r>
                  <w:rPr>
                    <w:rFonts w:ascii="Cambria Math" w:hAnsi="Cambria Math" w:cs="Times New Roman"/>
                    <w:sz w:val="20"/>
                    <w:szCs w:val="24"/>
                    <w:lang w:val="en-US"/>
                  </w:rPr>
                  <m:t>f</m:t>
                </m:r>
              </m:sub>
            </m:sSub>
          </m:num>
          <m:den>
            <m:sSub>
              <m:sSubPr>
                <m:ctrlPr>
                  <w:rPr>
                    <w:rFonts w:ascii="Cambria Math" w:hAnsi="Cambria Math" w:cs="Times New Roman"/>
                    <w:i/>
                    <w:iCs/>
                    <w:sz w:val="20"/>
                    <w:szCs w:val="24"/>
                    <w:lang w:val="en-US"/>
                  </w:rPr>
                </m:ctrlPr>
              </m:sSubPr>
              <m:e>
                <m:r>
                  <w:rPr>
                    <w:rFonts w:ascii="Cambria Math" w:hAnsi="Cambria Math" w:cs="Times New Roman"/>
                    <w:sz w:val="20"/>
                    <w:szCs w:val="24"/>
                    <w:lang w:val="en-US"/>
                  </w:rPr>
                  <m:t>σ</m:t>
                </m:r>
              </m:e>
              <m:sub>
                <m:r>
                  <w:rPr>
                    <w:rFonts w:ascii="Cambria Math" w:hAnsi="Cambria Math" w:cs="Times New Roman"/>
                    <w:sz w:val="20"/>
                    <w:szCs w:val="24"/>
                    <w:lang w:val="en-US"/>
                  </w:rPr>
                  <m:t>p</m:t>
                </m:r>
              </m:sub>
            </m:sSub>
          </m:den>
        </m:f>
      </m:oMath>
      <w:r w:rsidR="009A2E5C" w:rsidRPr="009A2E5C">
        <w:rPr>
          <w:rFonts w:ascii="Times New Roman" w:hAnsi="Times New Roman" w:cs="Times New Roman"/>
          <w:szCs w:val="24"/>
        </w:rPr>
        <w:t xml:space="preserve"> </w:t>
      </w:r>
      <w:r w:rsidRPr="005E0CA7">
        <w:rPr>
          <w:rFonts w:ascii="Times New Roman" w:hAnsi="Times New Roman" w:cs="Times New Roman"/>
          <w:sz w:val="24"/>
          <w:szCs w:val="24"/>
        </w:rPr>
        <w:t>(соотношение премии за риск, коэффициент учитывает в % доходность инвестора).  И чем больше коэффициент, тем больше получит инвестор за принятый на себя риск и тем более качественным является актив по соотношению риска и доходности.</w:t>
      </w:r>
      <w:r w:rsidR="00BF08F1" w:rsidRPr="00BF08F1">
        <w:rPr>
          <w:rFonts w:ascii="Times New Roman" w:hAnsi="Times New Roman" w:cs="Times New Roman"/>
          <w:sz w:val="24"/>
          <w:szCs w:val="24"/>
        </w:rPr>
        <w:t xml:space="preserve"> [2]</w:t>
      </w:r>
      <w:r w:rsidRPr="005E0CA7">
        <w:rPr>
          <w:rFonts w:ascii="Times New Roman" w:hAnsi="Times New Roman" w:cs="Times New Roman"/>
          <w:sz w:val="24"/>
          <w:szCs w:val="24"/>
        </w:rPr>
        <w:t xml:space="preserve"> Полученные данные отражены на графике </w:t>
      </w:r>
      <w:r w:rsidR="00B407BF">
        <w:rPr>
          <w:rFonts w:ascii="Times New Roman" w:hAnsi="Times New Roman" w:cs="Times New Roman"/>
          <w:sz w:val="24"/>
          <w:szCs w:val="24"/>
        </w:rPr>
        <w:t>(р</w:t>
      </w:r>
      <w:r w:rsidR="00DA4515">
        <w:rPr>
          <w:rFonts w:ascii="Times New Roman" w:hAnsi="Times New Roman" w:cs="Times New Roman"/>
          <w:sz w:val="24"/>
          <w:szCs w:val="24"/>
        </w:rPr>
        <w:t>исунок 1), З</w:t>
      </w:r>
      <w:r w:rsidRPr="005E0CA7">
        <w:rPr>
          <w:rFonts w:ascii="Times New Roman" w:hAnsi="Times New Roman" w:cs="Times New Roman"/>
          <w:sz w:val="24"/>
          <w:szCs w:val="24"/>
        </w:rPr>
        <w:t>десь мы видим большой</w:t>
      </w:r>
      <w:r w:rsidR="00DA4515">
        <w:rPr>
          <w:rFonts w:ascii="Times New Roman" w:hAnsi="Times New Roman" w:cs="Times New Roman"/>
          <w:sz w:val="24"/>
          <w:szCs w:val="24"/>
        </w:rPr>
        <w:t xml:space="preserve"> размах значений от -1,5 до +2</w:t>
      </w:r>
      <w:r w:rsidR="00B407BF">
        <w:rPr>
          <w:rFonts w:ascii="Times New Roman" w:hAnsi="Times New Roman" w:cs="Times New Roman"/>
          <w:sz w:val="24"/>
          <w:szCs w:val="24"/>
        </w:rPr>
        <w:t>.</w:t>
      </w:r>
      <w:r w:rsidR="00DA4515">
        <w:rPr>
          <w:rFonts w:ascii="Times New Roman" w:hAnsi="Times New Roman" w:cs="Times New Roman"/>
          <w:sz w:val="24"/>
          <w:szCs w:val="24"/>
        </w:rPr>
        <w:t xml:space="preserve"> О</w:t>
      </w:r>
      <w:r w:rsidRPr="005E0CA7">
        <w:rPr>
          <w:rFonts w:ascii="Times New Roman" w:hAnsi="Times New Roman" w:cs="Times New Roman"/>
          <w:sz w:val="24"/>
          <w:szCs w:val="24"/>
        </w:rPr>
        <w:t xml:space="preserve">трицательная величина говорит о том, что больший доход был бы получен при вложении в безрисковые активы; но даже эти значения говорят о недостаточном уровне доходности на единицу риска – коэффициент коррелируют с экономической обстановкой в стране. Можно заметить, что в США этот показатель в среднем составляет +4. </w:t>
      </w:r>
    </w:p>
    <w:p w:rsidR="009A2E5C" w:rsidRPr="005E0CA7" w:rsidRDefault="009A2E5C" w:rsidP="00CE7586">
      <w:pPr>
        <w:spacing w:after="120" w:line="240" w:lineRule="auto"/>
        <w:ind w:right="-1" w:firstLine="709"/>
        <w:jc w:val="both"/>
        <w:rPr>
          <w:rFonts w:ascii="Times New Roman" w:hAnsi="Times New Roman" w:cs="Times New Roman"/>
          <w:sz w:val="24"/>
          <w:szCs w:val="24"/>
        </w:rPr>
      </w:pPr>
      <w:r w:rsidRPr="009A2E5C">
        <w:rPr>
          <w:rFonts w:ascii="Times New Roman" w:hAnsi="Times New Roman" w:cs="Times New Roman"/>
          <w:noProof/>
          <w:sz w:val="24"/>
          <w:szCs w:val="24"/>
          <w:lang w:eastAsia="ru-RU"/>
        </w:rPr>
        <w:lastRenderedPageBreak/>
        <w:drawing>
          <wp:inline distT="0" distB="0" distL="0" distR="0">
            <wp:extent cx="5638800" cy="2375535"/>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A2E5C" w:rsidRPr="009A2E5C" w:rsidRDefault="009A2E5C" w:rsidP="00CE7586">
      <w:pPr>
        <w:spacing w:after="120" w:line="240" w:lineRule="auto"/>
        <w:ind w:right="-1" w:firstLine="709"/>
        <w:jc w:val="center"/>
        <w:rPr>
          <w:rFonts w:ascii="Times New Roman" w:hAnsi="Times New Roman" w:cs="Times New Roman"/>
          <w:sz w:val="24"/>
          <w:szCs w:val="24"/>
        </w:rPr>
      </w:pPr>
      <w:r>
        <w:rPr>
          <w:rFonts w:ascii="Times New Roman" w:hAnsi="Times New Roman" w:cs="Times New Roman"/>
          <w:sz w:val="24"/>
          <w:szCs w:val="24"/>
        </w:rPr>
        <w:t>Рис. 1. Коэффициент Шарпа по акциям Сбербанка</w:t>
      </w:r>
    </w:p>
    <w:p w:rsidR="00D36D5C" w:rsidRDefault="005E0CA7" w:rsidP="00CE7586">
      <w:pPr>
        <w:spacing w:after="120" w:line="240" w:lineRule="auto"/>
        <w:ind w:right="-1" w:firstLine="709"/>
        <w:jc w:val="both"/>
        <w:rPr>
          <w:rFonts w:ascii="Times New Roman" w:eastAsiaTheme="minorEastAsia" w:hAnsi="Times New Roman" w:cs="Times New Roman"/>
          <w:sz w:val="24"/>
          <w:szCs w:val="24"/>
          <w:shd w:val="clear" w:color="auto" w:fill="FFFFFF"/>
        </w:rPr>
      </w:pPr>
      <w:r w:rsidRPr="005E0CA7">
        <w:rPr>
          <w:rFonts w:ascii="Times New Roman" w:hAnsi="Times New Roman" w:cs="Times New Roman"/>
          <w:sz w:val="24"/>
          <w:szCs w:val="24"/>
        </w:rPr>
        <w:t xml:space="preserve">Чтобы проверить полученные данные рассматривают еще один полезный показатель </w:t>
      </w:r>
      <w:r w:rsidR="009A2E5C">
        <w:rPr>
          <w:rFonts w:ascii="Times New Roman" w:hAnsi="Times New Roman" w:cs="Times New Roman"/>
          <w:sz w:val="24"/>
          <w:szCs w:val="24"/>
        </w:rPr>
        <w:t xml:space="preserve"> коэффицент </w:t>
      </w:r>
      <m:oMath>
        <m:sSub>
          <m:sSubPr>
            <m:ctrlPr>
              <w:rPr>
                <w:rFonts w:ascii="Cambria Math" w:hAnsi="Cambria Math" w:cs="Times New Roman"/>
                <w:i/>
                <w:sz w:val="20"/>
                <w:szCs w:val="20"/>
              </w:rPr>
            </m:ctrlPr>
          </m:sSubPr>
          <m:e>
            <m:r>
              <w:rPr>
                <w:rFonts w:ascii="Cambria Math" w:hAnsi="Cambria Math" w:cs="Times New Roman"/>
                <w:sz w:val="20"/>
                <w:szCs w:val="20"/>
              </w:rPr>
              <m:t>β</m:t>
            </m:r>
          </m:e>
          <m:sub>
            <m:r>
              <w:rPr>
                <w:rFonts w:ascii="Cambria Math" w:hAnsi="Cambria Math" w:cs="Times New Roman"/>
                <w:sz w:val="20"/>
                <w:szCs w:val="20"/>
              </w:rPr>
              <m:t>i</m:t>
            </m:r>
          </m:sub>
        </m:sSub>
        <m:r>
          <w:rPr>
            <w:rFonts w:ascii="Cambria Math" w:hAnsi="Cambria Math" w:cs="Times New Roman"/>
            <w:sz w:val="20"/>
            <w:szCs w:val="20"/>
          </w:rPr>
          <m:t>=</m:t>
        </m:r>
        <m:f>
          <m:fPr>
            <m:ctrlPr>
              <w:rPr>
                <w:rFonts w:ascii="Cambria Math" w:hAnsi="Cambria Math" w:cs="Times New Roman"/>
                <w:i/>
                <w:sz w:val="20"/>
                <w:szCs w:val="20"/>
              </w:rPr>
            </m:ctrlPr>
          </m:fPr>
          <m:num>
            <m:nary>
              <m:naryPr>
                <m:chr m:val="∑"/>
                <m:limLoc m:val="undOvr"/>
                <m:ctrlPr>
                  <w:rPr>
                    <w:rFonts w:ascii="Cambria Math" w:hAnsi="Cambria Math" w:cs="Times New Roman"/>
                    <w:i/>
                    <w:sz w:val="20"/>
                    <w:szCs w:val="20"/>
                  </w:rPr>
                </m:ctrlPr>
              </m:naryPr>
              <m:sub>
                <m:r>
                  <w:rPr>
                    <w:rFonts w:ascii="Cambria Math" w:hAnsi="Cambria Math" w:cs="Times New Roman"/>
                    <w:sz w:val="20"/>
                    <w:szCs w:val="20"/>
                  </w:rPr>
                  <m:t>i=1</m:t>
                </m:r>
              </m:sub>
              <m:sup>
                <m:r>
                  <w:rPr>
                    <w:rFonts w:ascii="Cambria Math" w:hAnsi="Cambria Math" w:cs="Times New Roman"/>
                    <w:sz w:val="20"/>
                    <w:szCs w:val="20"/>
                  </w:rPr>
                  <m:t>n</m:t>
                </m:r>
              </m:sup>
              <m:e>
                <m:r>
                  <w:rPr>
                    <w:rFonts w:ascii="Cambria Math" w:hAnsi="Cambria Math" w:cs="Times New Roman"/>
                    <w:sz w:val="20"/>
                    <w:szCs w:val="20"/>
                  </w:rPr>
                  <m:t>(</m:t>
                </m:r>
                <m:sSub>
                  <m:sSubPr>
                    <m:ctrlPr>
                      <w:rPr>
                        <w:rFonts w:ascii="Cambria Math" w:hAnsi="Cambria Math" w:cs="Times New Roman"/>
                        <w:i/>
                        <w:sz w:val="20"/>
                        <w:szCs w:val="20"/>
                      </w:rPr>
                    </m:ctrlPr>
                  </m:sSubPr>
                  <m:e>
                    <m:r>
                      <w:rPr>
                        <w:rFonts w:ascii="Cambria Math" w:hAnsi="Cambria Math" w:cs="Times New Roman"/>
                        <w:sz w:val="20"/>
                        <w:szCs w:val="20"/>
                      </w:rPr>
                      <m:t>k</m:t>
                    </m:r>
                  </m:e>
                  <m:sub>
                    <m:r>
                      <w:rPr>
                        <w:rFonts w:ascii="Cambria Math" w:hAnsi="Cambria Math" w:cs="Times New Roman"/>
                        <w:sz w:val="20"/>
                        <w:szCs w:val="20"/>
                      </w:rPr>
                      <m:t>i</m:t>
                    </m:r>
                  </m:sub>
                </m:sSub>
                <m:r>
                  <w:rPr>
                    <w:rFonts w:ascii="Cambria Math" w:hAnsi="Cambria Math" w:cs="Times New Roman"/>
                    <w:sz w:val="20"/>
                    <w:szCs w:val="20"/>
                  </w:rPr>
                  <m:t>-</m:t>
                </m:r>
                <m:acc>
                  <m:accPr>
                    <m:ctrlPr>
                      <w:rPr>
                        <w:rFonts w:ascii="Cambria Math" w:hAnsi="Cambria Math" w:cs="Times New Roman"/>
                        <w:i/>
                        <w:sz w:val="20"/>
                        <w:szCs w:val="20"/>
                      </w:rPr>
                    </m:ctrlPr>
                  </m:accPr>
                  <m:e>
                    <m:r>
                      <w:rPr>
                        <w:rFonts w:ascii="Cambria Math" w:hAnsi="Cambria Math" w:cs="Times New Roman"/>
                        <w:sz w:val="20"/>
                        <w:szCs w:val="20"/>
                      </w:rPr>
                      <m:t>k</m:t>
                    </m:r>
                  </m:e>
                </m:acc>
                <m:r>
                  <w:rPr>
                    <w:rFonts w:ascii="Cambria Math" w:hAnsi="Cambria Math" w:cs="Times New Roman"/>
                    <w:sz w:val="20"/>
                    <w:szCs w:val="20"/>
                  </w:rPr>
                  <m:t>)(</m:t>
                </m:r>
                <m:sSub>
                  <m:sSubPr>
                    <m:ctrlPr>
                      <w:rPr>
                        <w:rFonts w:ascii="Cambria Math" w:hAnsi="Cambria Math" w:cs="Times New Roman"/>
                        <w:i/>
                        <w:sz w:val="20"/>
                        <w:szCs w:val="20"/>
                      </w:rPr>
                    </m:ctrlPr>
                  </m:sSubPr>
                  <m:e>
                    <m:r>
                      <w:rPr>
                        <w:rFonts w:ascii="Cambria Math" w:hAnsi="Cambria Math" w:cs="Times New Roman"/>
                        <w:sz w:val="20"/>
                        <w:szCs w:val="20"/>
                      </w:rPr>
                      <m:t>p</m:t>
                    </m:r>
                  </m:e>
                  <m:sub>
                    <m:r>
                      <w:rPr>
                        <w:rFonts w:ascii="Cambria Math" w:hAnsi="Cambria Math" w:cs="Times New Roman"/>
                        <w:sz w:val="20"/>
                        <w:szCs w:val="20"/>
                      </w:rPr>
                      <m:t>i</m:t>
                    </m:r>
                  </m:sub>
                </m:sSub>
                <m:r>
                  <w:rPr>
                    <w:rFonts w:ascii="Cambria Math" w:hAnsi="Cambria Math" w:cs="Times New Roman"/>
                    <w:sz w:val="20"/>
                    <w:szCs w:val="20"/>
                  </w:rPr>
                  <m:t>-</m:t>
                </m:r>
                <m:acc>
                  <m:accPr>
                    <m:ctrlPr>
                      <w:rPr>
                        <w:rFonts w:ascii="Cambria Math" w:hAnsi="Cambria Math" w:cs="Times New Roman"/>
                        <w:i/>
                        <w:sz w:val="20"/>
                        <w:szCs w:val="20"/>
                      </w:rPr>
                    </m:ctrlPr>
                  </m:accPr>
                  <m:e>
                    <m:r>
                      <w:rPr>
                        <w:rFonts w:ascii="Cambria Math" w:hAnsi="Cambria Math" w:cs="Times New Roman"/>
                        <w:sz w:val="20"/>
                        <w:szCs w:val="20"/>
                      </w:rPr>
                      <m:t>p</m:t>
                    </m:r>
                  </m:e>
                </m:acc>
                <m:r>
                  <w:rPr>
                    <w:rFonts w:ascii="Cambria Math" w:hAnsi="Cambria Math" w:cs="Times New Roman"/>
                    <w:sz w:val="20"/>
                    <w:szCs w:val="20"/>
                  </w:rPr>
                  <m:t>)</m:t>
                </m:r>
              </m:e>
            </m:nary>
          </m:num>
          <m:den>
            <m:nary>
              <m:naryPr>
                <m:chr m:val="∑"/>
                <m:limLoc m:val="undOvr"/>
                <m:ctrlPr>
                  <w:rPr>
                    <w:rFonts w:ascii="Cambria Math" w:hAnsi="Cambria Math" w:cs="Times New Roman"/>
                    <w:i/>
                    <w:sz w:val="20"/>
                    <w:szCs w:val="20"/>
                  </w:rPr>
                </m:ctrlPr>
              </m:naryPr>
              <m:sub>
                <m:r>
                  <w:rPr>
                    <w:rFonts w:ascii="Cambria Math" w:hAnsi="Cambria Math" w:cs="Times New Roman"/>
                    <w:sz w:val="20"/>
                    <w:szCs w:val="20"/>
                  </w:rPr>
                  <m:t>i=1</m:t>
                </m:r>
              </m:sub>
              <m:sup>
                <m:r>
                  <w:rPr>
                    <w:rFonts w:ascii="Cambria Math" w:hAnsi="Cambria Math" w:cs="Times New Roman"/>
                    <w:sz w:val="20"/>
                    <w:szCs w:val="20"/>
                  </w:rPr>
                  <m:t>n</m:t>
                </m:r>
              </m:sup>
              <m:e>
                <m:sSup>
                  <m:sSupPr>
                    <m:ctrlPr>
                      <w:rPr>
                        <w:rFonts w:ascii="Cambria Math" w:hAnsi="Cambria Math" w:cs="Times New Roman"/>
                        <w:i/>
                        <w:sz w:val="20"/>
                        <w:szCs w:val="20"/>
                      </w:rPr>
                    </m:ctrlPr>
                  </m:sSupPr>
                  <m:e>
                    <m:d>
                      <m:dPr>
                        <m:ctrlPr>
                          <w:rPr>
                            <w:rFonts w:ascii="Cambria Math" w:hAnsi="Cambria Math" w:cs="Times New Roman"/>
                            <w:i/>
                            <w:sz w:val="20"/>
                            <w:szCs w:val="20"/>
                          </w:rPr>
                        </m:ctrlPr>
                      </m:dPr>
                      <m:e>
                        <m:sSub>
                          <m:sSubPr>
                            <m:ctrlPr>
                              <w:rPr>
                                <w:rFonts w:ascii="Cambria Math" w:hAnsi="Cambria Math" w:cs="Times New Roman"/>
                                <w:i/>
                                <w:sz w:val="20"/>
                                <w:szCs w:val="20"/>
                              </w:rPr>
                            </m:ctrlPr>
                          </m:sSubPr>
                          <m:e>
                            <m:r>
                              <w:rPr>
                                <w:rFonts w:ascii="Cambria Math" w:hAnsi="Cambria Math" w:cs="Times New Roman"/>
                                <w:sz w:val="20"/>
                                <w:szCs w:val="20"/>
                              </w:rPr>
                              <m:t>p</m:t>
                            </m:r>
                          </m:e>
                          <m:sub>
                            <m:r>
                              <w:rPr>
                                <w:rFonts w:ascii="Cambria Math" w:hAnsi="Cambria Math" w:cs="Times New Roman"/>
                                <w:sz w:val="20"/>
                                <w:szCs w:val="20"/>
                              </w:rPr>
                              <m:t>i</m:t>
                            </m:r>
                          </m:sub>
                        </m:sSub>
                        <m:r>
                          <w:rPr>
                            <w:rFonts w:ascii="Cambria Math" w:hAnsi="Cambria Math" w:cs="Times New Roman"/>
                            <w:sz w:val="20"/>
                            <w:szCs w:val="20"/>
                          </w:rPr>
                          <m:t>-</m:t>
                        </m:r>
                        <m:acc>
                          <m:accPr>
                            <m:ctrlPr>
                              <w:rPr>
                                <w:rFonts w:ascii="Cambria Math" w:hAnsi="Cambria Math" w:cs="Times New Roman"/>
                                <w:i/>
                                <w:sz w:val="20"/>
                                <w:szCs w:val="20"/>
                              </w:rPr>
                            </m:ctrlPr>
                          </m:accPr>
                          <m:e>
                            <m:r>
                              <w:rPr>
                                <w:rFonts w:ascii="Cambria Math" w:hAnsi="Cambria Math" w:cs="Times New Roman"/>
                                <w:sz w:val="20"/>
                                <w:szCs w:val="20"/>
                              </w:rPr>
                              <m:t>p</m:t>
                            </m:r>
                          </m:e>
                        </m:acc>
                      </m:e>
                    </m:d>
                  </m:e>
                  <m:sup>
                    <m:r>
                      <w:rPr>
                        <w:rFonts w:ascii="Cambria Math" w:hAnsi="Cambria Math" w:cs="Times New Roman"/>
                        <w:sz w:val="20"/>
                        <w:szCs w:val="20"/>
                      </w:rPr>
                      <m:t>2</m:t>
                    </m:r>
                  </m:sup>
                </m:sSup>
              </m:e>
            </m:nary>
          </m:den>
        </m:f>
      </m:oMath>
      <w:r w:rsidR="00D36D5C">
        <w:rPr>
          <w:rFonts w:ascii="Times New Roman" w:eastAsiaTheme="minorEastAsia" w:hAnsi="Times New Roman" w:cs="Times New Roman"/>
          <w:sz w:val="24"/>
          <w:szCs w:val="24"/>
        </w:rPr>
        <w:t>.</w:t>
      </w:r>
      <m:oMath>
        <m:r>
          <w:rPr>
            <w:rFonts w:ascii="Cambria Math" w:hAnsi="Cambria Math" w:cs="Times New Roman"/>
            <w:sz w:val="20"/>
            <w:szCs w:val="24"/>
          </w:rPr>
          <m:t xml:space="preserve"> </m:t>
        </m:r>
        <m:sSub>
          <m:sSubPr>
            <m:ctrlPr>
              <w:rPr>
                <w:rFonts w:ascii="Cambria Math" w:hAnsi="Cambria Math" w:cs="Times New Roman"/>
                <w:i/>
                <w:sz w:val="20"/>
                <w:szCs w:val="24"/>
              </w:rPr>
            </m:ctrlPr>
          </m:sSubPr>
          <m:e>
            <m:r>
              <w:rPr>
                <w:rFonts w:ascii="Cambria Math" w:hAnsi="Cambria Math" w:cs="Times New Roman"/>
                <w:sz w:val="20"/>
                <w:szCs w:val="24"/>
              </w:rPr>
              <m:t>β</m:t>
            </m:r>
          </m:e>
          <m:sub>
            <m:r>
              <w:rPr>
                <w:rFonts w:ascii="Cambria Math" w:hAnsi="Cambria Math" w:cs="Times New Roman"/>
                <w:sz w:val="20"/>
                <w:szCs w:val="24"/>
              </w:rPr>
              <m:t>i</m:t>
            </m:r>
          </m:sub>
        </m:sSub>
      </m:oMath>
      <w:r w:rsidR="00D36D5C">
        <w:rPr>
          <w:rFonts w:ascii="Times New Roman" w:eastAsiaTheme="minorEastAsia" w:hAnsi="Times New Roman" w:cs="Times New Roman"/>
          <w:sz w:val="24"/>
          <w:szCs w:val="24"/>
        </w:rPr>
        <w:t xml:space="preserve"> это </w:t>
      </w:r>
      <w:r w:rsidRPr="005E0CA7">
        <w:rPr>
          <w:rFonts w:ascii="Times New Roman" w:eastAsiaTheme="minorEastAsia" w:hAnsi="Times New Roman" w:cs="Times New Roman"/>
          <w:sz w:val="24"/>
          <w:szCs w:val="24"/>
        </w:rPr>
        <w:t xml:space="preserve">мера рыночного риска, </w:t>
      </w:r>
      <w:r w:rsidRPr="005E0CA7">
        <w:rPr>
          <w:rFonts w:ascii="Times New Roman" w:hAnsi="Times New Roman" w:cs="Times New Roman"/>
          <w:color w:val="222222"/>
          <w:sz w:val="24"/>
          <w:szCs w:val="24"/>
          <w:shd w:val="clear" w:color="auto" w:fill="FFFFFF"/>
        </w:rPr>
        <w:t>отражающая изменчивость</w:t>
      </w:r>
      <w:r w:rsidRPr="005E0CA7">
        <w:rPr>
          <w:rStyle w:val="apple-converted-space"/>
          <w:rFonts w:ascii="Times New Roman" w:hAnsi="Times New Roman" w:cs="Times New Roman"/>
          <w:color w:val="222222"/>
          <w:sz w:val="24"/>
          <w:szCs w:val="24"/>
          <w:shd w:val="clear" w:color="auto" w:fill="FFFFFF"/>
        </w:rPr>
        <w:t> </w:t>
      </w:r>
      <w:r w:rsidRPr="005E0CA7">
        <w:rPr>
          <w:rFonts w:ascii="Times New Roman" w:hAnsi="Times New Roman" w:cs="Times New Roman"/>
          <w:sz w:val="24"/>
          <w:szCs w:val="24"/>
        </w:rPr>
        <w:t>доходности</w:t>
      </w:r>
      <w:r w:rsidRPr="005E0CA7">
        <w:rPr>
          <w:rStyle w:val="apple-converted-space"/>
          <w:rFonts w:ascii="Times New Roman" w:hAnsi="Times New Roman" w:cs="Times New Roman"/>
          <w:color w:val="222222"/>
          <w:sz w:val="24"/>
          <w:szCs w:val="24"/>
          <w:shd w:val="clear" w:color="auto" w:fill="FFFFFF"/>
        </w:rPr>
        <w:t> </w:t>
      </w:r>
      <w:r w:rsidRPr="005E0CA7">
        <w:rPr>
          <w:rFonts w:ascii="Times New Roman" w:hAnsi="Times New Roman" w:cs="Times New Roman"/>
          <w:color w:val="222222"/>
          <w:sz w:val="24"/>
          <w:szCs w:val="24"/>
          <w:shd w:val="clear" w:color="auto" w:fill="FFFFFF"/>
        </w:rPr>
        <w:t xml:space="preserve">ценной бумаги (портфеля) по отношению к доходности другого портфеля, в роли которого часто выступает среднерыночный </w:t>
      </w:r>
      <w:r w:rsidR="009A2E5C" w:rsidRPr="005E0CA7">
        <w:rPr>
          <w:rFonts w:ascii="Times New Roman" w:hAnsi="Times New Roman" w:cs="Times New Roman"/>
          <w:color w:val="222222"/>
          <w:sz w:val="24"/>
          <w:szCs w:val="24"/>
          <w:shd w:val="clear" w:color="auto" w:fill="FFFFFF"/>
        </w:rPr>
        <w:t>портфель,</w:t>
      </w:r>
      <w:r w:rsidRPr="005E0CA7">
        <w:rPr>
          <w:rFonts w:ascii="Times New Roman" w:hAnsi="Times New Roman" w:cs="Times New Roman"/>
          <w:color w:val="222222"/>
          <w:sz w:val="24"/>
          <w:szCs w:val="24"/>
          <w:shd w:val="clear" w:color="auto" w:fill="FFFFFF"/>
        </w:rPr>
        <w:t xml:space="preserve"> то есть РТС. </w:t>
      </w:r>
      <w:r w:rsidR="00BF08F1" w:rsidRPr="00BF08F1">
        <w:rPr>
          <w:rFonts w:ascii="Times New Roman" w:hAnsi="Times New Roman" w:cs="Times New Roman"/>
          <w:color w:val="222222"/>
          <w:sz w:val="24"/>
          <w:szCs w:val="24"/>
          <w:shd w:val="clear" w:color="auto" w:fill="FFFFFF"/>
        </w:rPr>
        <w:t>[3</w:t>
      </w:r>
      <w:r w:rsidR="000E5E97">
        <w:rPr>
          <w:rFonts w:ascii="Times New Roman" w:hAnsi="Times New Roman" w:cs="Times New Roman"/>
          <w:color w:val="222222"/>
          <w:sz w:val="24"/>
          <w:szCs w:val="24"/>
          <w:shd w:val="clear" w:color="auto" w:fill="FFFFFF"/>
        </w:rPr>
        <w:t>;</w:t>
      </w:r>
      <w:r w:rsidR="000E5E97" w:rsidRPr="000E5E97">
        <w:rPr>
          <w:rFonts w:ascii="Times New Roman" w:hAnsi="Times New Roman" w:cs="Times New Roman"/>
          <w:color w:val="222222"/>
          <w:sz w:val="24"/>
          <w:szCs w:val="24"/>
          <w:shd w:val="clear" w:color="auto" w:fill="FFFFFF"/>
        </w:rPr>
        <w:t>7</w:t>
      </w:r>
      <w:r w:rsidR="00BF08F1" w:rsidRPr="00BF08F1">
        <w:rPr>
          <w:rFonts w:ascii="Times New Roman" w:hAnsi="Times New Roman" w:cs="Times New Roman"/>
          <w:color w:val="222222"/>
          <w:sz w:val="24"/>
          <w:szCs w:val="24"/>
          <w:shd w:val="clear" w:color="auto" w:fill="FFFFFF"/>
        </w:rPr>
        <w:t xml:space="preserve">] </w:t>
      </w:r>
      <w:r w:rsidRPr="005E0CA7">
        <w:rPr>
          <w:rFonts w:ascii="Times New Roman" w:hAnsi="Times New Roman" w:cs="Times New Roman"/>
          <w:color w:val="222222"/>
          <w:sz w:val="24"/>
          <w:szCs w:val="24"/>
          <w:shd w:val="clear" w:color="auto" w:fill="FFFFFF"/>
        </w:rPr>
        <w:t xml:space="preserve">По акциям Сбербанка </w:t>
      </w:r>
      <w:r w:rsidR="009A2E5C">
        <w:rPr>
          <w:rFonts w:ascii="Calibri" w:hAnsi="Calibri" w:cs="Calibri"/>
          <w:color w:val="222222"/>
          <w:sz w:val="24"/>
          <w:szCs w:val="24"/>
          <w:shd w:val="clear" w:color="auto" w:fill="FFFFFF"/>
        </w:rPr>
        <w:t>ẞ</w:t>
      </w:r>
      <w:r w:rsidR="009A2E5C">
        <w:rPr>
          <w:rFonts w:ascii="Times New Roman" w:hAnsi="Times New Roman" w:cs="Times New Roman"/>
          <w:color w:val="222222"/>
          <w:sz w:val="24"/>
          <w:szCs w:val="24"/>
          <w:shd w:val="clear" w:color="auto" w:fill="FFFFFF"/>
        </w:rPr>
        <w:t>=1,112</w:t>
      </w:r>
      <w:r w:rsidR="009A2E5C">
        <w:rPr>
          <w:rFonts w:ascii="Times New Roman" w:eastAsiaTheme="minorEastAsia" w:hAnsi="Times New Roman" w:cs="Times New Roman"/>
          <w:color w:val="222222"/>
          <w:sz w:val="24"/>
          <w:szCs w:val="24"/>
          <w:shd w:val="clear" w:color="auto" w:fill="FFFFFF"/>
        </w:rPr>
        <w:t>,</w:t>
      </w:r>
      <w:r w:rsidRPr="005E0CA7">
        <w:rPr>
          <w:rFonts w:ascii="Times New Roman" w:eastAsiaTheme="minorEastAsia" w:hAnsi="Times New Roman" w:cs="Times New Roman"/>
          <w:color w:val="222222"/>
          <w:sz w:val="24"/>
          <w:szCs w:val="24"/>
          <w:shd w:val="clear" w:color="auto" w:fill="FFFFFF"/>
        </w:rPr>
        <w:t xml:space="preserve"> что означает высокий уровень </w:t>
      </w:r>
      <w:r w:rsidR="00D36D5C">
        <w:rPr>
          <w:rFonts w:ascii="Times New Roman" w:eastAsiaTheme="minorEastAsia" w:hAnsi="Times New Roman" w:cs="Times New Roman"/>
          <w:sz w:val="24"/>
          <w:szCs w:val="24"/>
          <w:shd w:val="clear" w:color="auto" w:fill="FFFFFF"/>
        </w:rPr>
        <w:t>риска, так как значение больше 1</w:t>
      </w:r>
      <w:r w:rsidR="00DA4515">
        <w:rPr>
          <w:rFonts w:ascii="Times New Roman" w:eastAsiaTheme="minorEastAsia" w:hAnsi="Times New Roman" w:cs="Times New Roman"/>
          <w:sz w:val="24"/>
          <w:szCs w:val="24"/>
          <w:shd w:val="clear" w:color="auto" w:fill="FFFFFF"/>
        </w:rPr>
        <w:t>. Данные по расчету меры рыночного риска оформлены в таблицу 2.</w:t>
      </w:r>
    </w:p>
    <w:p w:rsidR="005E0CA7" w:rsidRDefault="00D36D5C" w:rsidP="00CE7586">
      <w:pPr>
        <w:spacing w:after="120" w:line="240" w:lineRule="auto"/>
        <w:ind w:right="-1" w:firstLine="709"/>
        <w:jc w:val="right"/>
        <w:rPr>
          <w:rFonts w:ascii="Times New Roman" w:eastAsiaTheme="minorEastAsia" w:hAnsi="Times New Roman" w:cs="Times New Roman"/>
          <w:i/>
          <w:sz w:val="24"/>
          <w:szCs w:val="24"/>
          <w:shd w:val="clear" w:color="auto" w:fill="FFFFFF"/>
        </w:rPr>
      </w:pPr>
      <w:r w:rsidRPr="00D36D5C">
        <w:rPr>
          <w:rFonts w:ascii="Times New Roman" w:eastAsiaTheme="minorEastAsia" w:hAnsi="Times New Roman" w:cs="Times New Roman"/>
          <w:i/>
          <w:sz w:val="24"/>
          <w:szCs w:val="24"/>
          <w:shd w:val="clear" w:color="auto" w:fill="FFFFFF"/>
        </w:rPr>
        <w:t>Таблица 2</w:t>
      </w:r>
    </w:p>
    <w:p w:rsidR="00D36D5C" w:rsidRPr="00D36D5C" w:rsidRDefault="00D36D5C" w:rsidP="00CE7586">
      <w:pPr>
        <w:spacing w:after="120" w:line="240" w:lineRule="auto"/>
        <w:ind w:right="-1" w:firstLine="709"/>
        <w:jc w:val="center"/>
        <w:rPr>
          <w:rFonts w:ascii="Times New Roman" w:eastAsiaTheme="minorEastAsia" w:hAnsi="Times New Roman" w:cs="Times New Roman"/>
          <w:b/>
          <w:sz w:val="24"/>
          <w:szCs w:val="24"/>
          <w:shd w:val="clear" w:color="auto" w:fill="FFFFFF"/>
        </w:rPr>
      </w:pPr>
      <w:r w:rsidRPr="00D36D5C">
        <w:rPr>
          <w:rFonts w:ascii="Times New Roman" w:eastAsiaTheme="minorEastAsia" w:hAnsi="Times New Roman" w:cs="Times New Roman"/>
          <w:b/>
          <w:sz w:val="24"/>
          <w:szCs w:val="24"/>
          <w:shd w:val="clear" w:color="auto" w:fill="FFFFFF"/>
        </w:rPr>
        <w:t>Данные для расчета меры рыночного риска</w:t>
      </w:r>
    </w:p>
    <w:tbl>
      <w:tblPr>
        <w:tblW w:w="9654" w:type="dxa"/>
        <w:tblCellMar>
          <w:left w:w="0" w:type="dxa"/>
          <w:right w:w="0" w:type="dxa"/>
        </w:tblCellMar>
        <w:tblLook w:val="0600" w:firstRow="0" w:lastRow="0" w:firstColumn="0" w:lastColumn="0" w:noHBand="1" w:noVBand="1"/>
      </w:tblPr>
      <w:tblGrid>
        <w:gridCol w:w="4531"/>
        <w:gridCol w:w="5123"/>
      </w:tblGrid>
      <w:tr w:rsidR="00D36D5C" w:rsidRPr="00D36D5C" w:rsidTr="00805C19">
        <w:trPr>
          <w:trHeight w:val="454"/>
        </w:trPr>
        <w:tc>
          <w:tcPr>
            <w:tcW w:w="453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5" w:type="dxa"/>
              <w:bottom w:w="0" w:type="dxa"/>
              <w:right w:w="15" w:type="dxa"/>
            </w:tcMar>
            <w:vAlign w:val="center"/>
            <w:hideMark/>
          </w:tcPr>
          <w:p w:rsidR="00D36D5C" w:rsidRPr="00D36D5C" w:rsidRDefault="00D36D5C" w:rsidP="00805C19">
            <w:pPr>
              <w:spacing w:after="120" w:line="240" w:lineRule="auto"/>
              <w:ind w:right="-1"/>
              <w:jc w:val="center"/>
              <w:rPr>
                <w:rFonts w:ascii="Times New Roman" w:eastAsiaTheme="minorEastAsia" w:hAnsi="Times New Roman" w:cs="Times New Roman"/>
                <w:sz w:val="24"/>
                <w:szCs w:val="24"/>
                <w:shd w:val="clear" w:color="auto" w:fill="FFFFFF"/>
              </w:rPr>
            </w:pPr>
            <w:r w:rsidRPr="00D36D5C">
              <w:rPr>
                <w:rFonts w:ascii="Times New Roman" w:eastAsiaTheme="minorEastAsia" w:hAnsi="Times New Roman" w:cs="Times New Roman"/>
                <w:b/>
                <w:bCs/>
                <w:sz w:val="24"/>
                <w:szCs w:val="24"/>
                <w:shd w:val="clear" w:color="auto" w:fill="FFFFFF"/>
              </w:rPr>
              <w:t>Сбербанк</w:t>
            </w:r>
          </w:p>
        </w:tc>
        <w:tc>
          <w:tcPr>
            <w:tcW w:w="512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5" w:type="dxa"/>
              <w:bottom w:w="0" w:type="dxa"/>
              <w:right w:w="15" w:type="dxa"/>
            </w:tcMar>
            <w:vAlign w:val="center"/>
            <w:hideMark/>
          </w:tcPr>
          <w:p w:rsidR="00D36D5C" w:rsidRPr="00D36D5C" w:rsidRDefault="00D36D5C" w:rsidP="00805C19">
            <w:pPr>
              <w:spacing w:after="120" w:line="240" w:lineRule="auto"/>
              <w:ind w:right="-1"/>
              <w:jc w:val="center"/>
              <w:rPr>
                <w:rFonts w:ascii="Times New Roman" w:eastAsiaTheme="minorEastAsia" w:hAnsi="Times New Roman" w:cs="Times New Roman"/>
                <w:sz w:val="24"/>
                <w:szCs w:val="24"/>
                <w:shd w:val="clear" w:color="auto" w:fill="FFFFFF"/>
              </w:rPr>
            </w:pPr>
            <w:r w:rsidRPr="00D36D5C">
              <w:rPr>
                <w:rFonts w:ascii="Times New Roman" w:eastAsiaTheme="minorEastAsia" w:hAnsi="Times New Roman" w:cs="Times New Roman"/>
                <w:b/>
                <w:bCs/>
                <w:sz w:val="24"/>
                <w:szCs w:val="24"/>
                <w:shd w:val="clear" w:color="auto" w:fill="FFFFFF"/>
              </w:rPr>
              <w:t>Индекс РТС</w:t>
            </w:r>
          </w:p>
        </w:tc>
      </w:tr>
      <w:tr w:rsidR="00D36D5C" w:rsidRPr="00D36D5C" w:rsidTr="00805C19">
        <w:trPr>
          <w:trHeight w:val="454"/>
        </w:trPr>
        <w:tc>
          <w:tcPr>
            <w:tcW w:w="453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D36D5C" w:rsidRDefault="00D36D5C" w:rsidP="00805C19">
            <w:pPr>
              <w:spacing w:after="120" w:line="240" w:lineRule="auto"/>
              <w:ind w:right="-1"/>
              <w:jc w:val="center"/>
              <w:rPr>
                <w:rFonts w:ascii="Times New Roman" w:eastAsiaTheme="minorEastAsia" w:hAnsi="Times New Roman" w:cs="Times New Roman"/>
                <w:sz w:val="24"/>
                <w:szCs w:val="24"/>
                <w:shd w:val="clear" w:color="auto" w:fill="FFFFFF"/>
              </w:rPr>
            </w:pPr>
            <w:r w:rsidRPr="00D36D5C">
              <w:rPr>
                <w:rFonts w:ascii="Times New Roman" w:eastAsiaTheme="minorEastAsia" w:hAnsi="Times New Roman" w:cs="Times New Roman"/>
                <w:sz w:val="24"/>
                <w:szCs w:val="24"/>
                <w:shd w:val="clear" w:color="auto" w:fill="FFFFFF"/>
              </w:rPr>
              <w:t>20,2%</w:t>
            </w:r>
          </w:p>
        </w:tc>
        <w:tc>
          <w:tcPr>
            <w:tcW w:w="512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D36D5C" w:rsidRDefault="00D36D5C" w:rsidP="00805C19">
            <w:pPr>
              <w:spacing w:after="120" w:line="240" w:lineRule="auto"/>
              <w:ind w:right="-1"/>
              <w:jc w:val="center"/>
              <w:rPr>
                <w:rFonts w:ascii="Times New Roman" w:eastAsiaTheme="minorEastAsia" w:hAnsi="Times New Roman" w:cs="Times New Roman"/>
                <w:sz w:val="24"/>
                <w:szCs w:val="24"/>
                <w:shd w:val="clear" w:color="auto" w:fill="FFFFFF"/>
              </w:rPr>
            </w:pPr>
            <w:r w:rsidRPr="00D36D5C">
              <w:rPr>
                <w:rFonts w:ascii="Times New Roman" w:eastAsiaTheme="minorEastAsia" w:hAnsi="Times New Roman" w:cs="Times New Roman"/>
                <w:sz w:val="24"/>
                <w:szCs w:val="24"/>
                <w:shd w:val="clear" w:color="auto" w:fill="FFFFFF"/>
              </w:rPr>
              <w:t>10,50%</w:t>
            </w:r>
          </w:p>
        </w:tc>
      </w:tr>
      <w:tr w:rsidR="00D36D5C" w:rsidRPr="00D36D5C" w:rsidTr="00805C19">
        <w:trPr>
          <w:trHeight w:val="454"/>
        </w:trPr>
        <w:tc>
          <w:tcPr>
            <w:tcW w:w="453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D36D5C" w:rsidRDefault="00D36D5C" w:rsidP="00805C19">
            <w:pPr>
              <w:spacing w:after="120" w:line="240" w:lineRule="auto"/>
              <w:ind w:right="-1"/>
              <w:jc w:val="center"/>
              <w:rPr>
                <w:rFonts w:ascii="Times New Roman" w:eastAsiaTheme="minorEastAsia" w:hAnsi="Times New Roman" w:cs="Times New Roman"/>
                <w:sz w:val="24"/>
                <w:szCs w:val="24"/>
                <w:shd w:val="clear" w:color="auto" w:fill="FFFFFF"/>
              </w:rPr>
            </w:pPr>
            <w:r w:rsidRPr="00D36D5C">
              <w:rPr>
                <w:rFonts w:ascii="Times New Roman" w:eastAsiaTheme="minorEastAsia" w:hAnsi="Times New Roman" w:cs="Times New Roman"/>
                <w:sz w:val="24"/>
                <w:szCs w:val="24"/>
                <w:shd w:val="clear" w:color="auto" w:fill="FFFFFF"/>
              </w:rPr>
              <w:t>12,3%</w:t>
            </w:r>
          </w:p>
        </w:tc>
        <w:tc>
          <w:tcPr>
            <w:tcW w:w="512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D36D5C" w:rsidRDefault="00D36D5C" w:rsidP="00805C19">
            <w:pPr>
              <w:spacing w:after="120" w:line="240" w:lineRule="auto"/>
              <w:ind w:right="-1"/>
              <w:jc w:val="center"/>
              <w:rPr>
                <w:rFonts w:ascii="Times New Roman" w:eastAsiaTheme="minorEastAsia" w:hAnsi="Times New Roman" w:cs="Times New Roman"/>
                <w:sz w:val="24"/>
                <w:szCs w:val="24"/>
                <w:shd w:val="clear" w:color="auto" w:fill="FFFFFF"/>
              </w:rPr>
            </w:pPr>
            <w:r w:rsidRPr="00D36D5C">
              <w:rPr>
                <w:rFonts w:ascii="Times New Roman" w:eastAsiaTheme="minorEastAsia" w:hAnsi="Times New Roman" w:cs="Times New Roman"/>
                <w:sz w:val="24"/>
                <w:szCs w:val="24"/>
                <w:shd w:val="clear" w:color="auto" w:fill="FFFFFF"/>
              </w:rPr>
              <w:t>-5,65%</w:t>
            </w:r>
          </w:p>
        </w:tc>
      </w:tr>
      <w:tr w:rsidR="00D36D5C" w:rsidRPr="00D36D5C" w:rsidTr="00805C19">
        <w:trPr>
          <w:trHeight w:val="454"/>
        </w:trPr>
        <w:tc>
          <w:tcPr>
            <w:tcW w:w="453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D36D5C" w:rsidRDefault="00D36D5C" w:rsidP="00805C19">
            <w:pPr>
              <w:spacing w:after="120" w:line="240" w:lineRule="auto"/>
              <w:ind w:right="-1"/>
              <w:jc w:val="center"/>
              <w:rPr>
                <w:rFonts w:ascii="Times New Roman" w:eastAsiaTheme="minorEastAsia" w:hAnsi="Times New Roman" w:cs="Times New Roman"/>
                <w:sz w:val="24"/>
                <w:szCs w:val="24"/>
                <w:shd w:val="clear" w:color="auto" w:fill="FFFFFF"/>
              </w:rPr>
            </w:pPr>
            <w:r w:rsidRPr="00D36D5C">
              <w:rPr>
                <w:rFonts w:ascii="Times New Roman" w:eastAsiaTheme="minorEastAsia" w:hAnsi="Times New Roman" w:cs="Times New Roman"/>
                <w:sz w:val="24"/>
                <w:szCs w:val="24"/>
                <w:shd w:val="clear" w:color="auto" w:fill="FFFFFF"/>
              </w:rPr>
              <w:t>-45,3%</w:t>
            </w:r>
          </w:p>
        </w:tc>
        <w:tc>
          <w:tcPr>
            <w:tcW w:w="512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D36D5C" w:rsidRDefault="00D36D5C" w:rsidP="00805C19">
            <w:pPr>
              <w:spacing w:after="120" w:line="240" w:lineRule="auto"/>
              <w:ind w:right="-1"/>
              <w:jc w:val="center"/>
              <w:rPr>
                <w:rFonts w:ascii="Times New Roman" w:eastAsiaTheme="minorEastAsia" w:hAnsi="Times New Roman" w:cs="Times New Roman"/>
                <w:sz w:val="24"/>
                <w:szCs w:val="24"/>
                <w:shd w:val="clear" w:color="auto" w:fill="FFFFFF"/>
              </w:rPr>
            </w:pPr>
            <w:r w:rsidRPr="00D36D5C">
              <w:rPr>
                <w:rFonts w:ascii="Times New Roman" w:eastAsiaTheme="minorEastAsia" w:hAnsi="Times New Roman" w:cs="Times New Roman"/>
                <w:sz w:val="24"/>
                <w:szCs w:val="24"/>
                <w:shd w:val="clear" w:color="auto" w:fill="FFFFFF"/>
              </w:rPr>
              <w:t>-45,12%</w:t>
            </w:r>
          </w:p>
        </w:tc>
      </w:tr>
      <w:tr w:rsidR="00D36D5C" w:rsidRPr="00D36D5C" w:rsidTr="00805C19">
        <w:trPr>
          <w:trHeight w:val="454"/>
        </w:trPr>
        <w:tc>
          <w:tcPr>
            <w:tcW w:w="453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D36D5C" w:rsidRDefault="00D36D5C" w:rsidP="00805C19">
            <w:pPr>
              <w:spacing w:after="120" w:line="240" w:lineRule="auto"/>
              <w:ind w:right="-1"/>
              <w:jc w:val="center"/>
              <w:rPr>
                <w:rFonts w:ascii="Times New Roman" w:eastAsiaTheme="minorEastAsia" w:hAnsi="Times New Roman" w:cs="Times New Roman"/>
                <w:sz w:val="24"/>
                <w:szCs w:val="24"/>
                <w:shd w:val="clear" w:color="auto" w:fill="FFFFFF"/>
              </w:rPr>
            </w:pPr>
            <w:r w:rsidRPr="00D36D5C">
              <w:rPr>
                <w:rFonts w:ascii="Times New Roman" w:eastAsiaTheme="minorEastAsia" w:hAnsi="Times New Roman" w:cs="Times New Roman"/>
                <w:sz w:val="24"/>
                <w:szCs w:val="24"/>
                <w:shd w:val="clear" w:color="auto" w:fill="FFFFFF"/>
              </w:rPr>
              <w:t>87,9%</w:t>
            </w:r>
          </w:p>
        </w:tc>
        <w:tc>
          <w:tcPr>
            <w:tcW w:w="512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D36D5C" w:rsidRDefault="00D36D5C" w:rsidP="00805C19">
            <w:pPr>
              <w:spacing w:after="120" w:line="240" w:lineRule="auto"/>
              <w:ind w:right="-1"/>
              <w:jc w:val="center"/>
              <w:rPr>
                <w:rFonts w:ascii="Times New Roman" w:eastAsiaTheme="minorEastAsia" w:hAnsi="Times New Roman" w:cs="Times New Roman"/>
                <w:sz w:val="24"/>
                <w:szCs w:val="24"/>
                <w:shd w:val="clear" w:color="auto" w:fill="FFFFFF"/>
              </w:rPr>
            </w:pPr>
            <w:r w:rsidRPr="00D36D5C">
              <w:rPr>
                <w:rFonts w:ascii="Times New Roman" w:eastAsiaTheme="minorEastAsia" w:hAnsi="Times New Roman" w:cs="Times New Roman"/>
                <w:sz w:val="24"/>
                <w:szCs w:val="24"/>
                <w:shd w:val="clear" w:color="auto" w:fill="FFFFFF"/>
              </w:rPr>
              <w:t>-4,26%</w:t>
            </w:r>
          </w:p>
        </w:tc>
      </w:tr>
      <w:tr w:rsidR="00D36D5C" w:rsidRPr="00D36D5C" w:rsidTr="00805C19">
        <w:trPr>
          <w:trHeight w:val="454"/>
        </w:trPr>
        <w:tc>
          <w:tcPr>
            <w:tcW w:w="453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D36D5C" w:rsidRDefault="00D36D5C" w:rsidP="00805C19">
            <w:pPr>
              <w:spacing w:after="120" w:line="240" w:lineRule="auto"/>
              <w:ind w:right="-1"/>
              <w:jc w:val="center"/>
              <w:rPr>
                <w:rFonts w:ascii="Times New Roman" w:eastAsiaTheme="minorEastAsia" w:hAnsi="Times New Roman" w:cs="Times New Roman"/>
                <w:sz w:val="24"/>
                <w:szCs w:val="24"/>
                <w:shd w:val="clear" w:color="auto" w:fill="FFFFFF"/>
              </w:rPr>
            </w:pPr>
            <w:r w:rsidRPr="00D36D5C">
              <w:rPr>
                <w:rFonts w:ascii="Times New Roman" w:eastAsiaTheme="minorEastAsia" w:hAnsi="Times New Roman" w:cs="Times New Roman"/>
                <w:sz w:val="24"/>
                <w:szCs w:val="24"/>
                <w:shd w:val="clear" w:color="auto" w:fill="FFFFFF"/>
              </w:rPr>
              <w:t>74,3%</w:t>
            </w:r>
          </w:p>
        </w:tc>
        <w:tc>
          <w:tcPr>
            <w:tcW w:w="512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D36D5C" w:rsidRDefault="00D36D5C" w:rsidP="00805C19">
            <w:pPr>
              <w:spacing w:after="120" w:line="240" w:lineRule="auto"/>
              <w:ind w:right="-1"/>
              <w:jc w:val="center"/>
              <w:rPr>
                <w:rFonts w:ascii="Times New Roman" w:eastAsiaTheme="minorEastAsia" w:hAnsi="Times New Roman" w:cs="Times New Roman"/>
                <w:sz w:val="24"/>
                <w:szCs w:val="24"/>
                <w:shd w:val="clear" w:color="auto" w:fill="FFFFFF"/>
              </w:rPr>
            </w:pPr>
            <w:r w:rsidRPr="00D36D5C">
              <w:rPr>
                <w:rFonts w:ascii="Times New Roman" w:eastAsiaTheme="minorEastAsia" w:hAnsi="Times New Roman" w:cs="Times New Roman"/>
                <w:sz w:val="24"/>
                <w:szCs w:val="24"/>
                <w:shd w:val="clear" w:color="auto" w:fill="FFFFFF"/>
              </w:rPr>
              <w:t>52,22%</w:t>
            </w:r>
          </w:p>
        </w:tc>
      </w:tr>
    </w:tbl>
    <w:p w:rsidR="003E4EBF" w:rsidRDefault="003E4EBF" w:rsidP="00CE7586">
      <w:pPr>
        <w:numPr>
          <w:ilvl w:val="0"/>
          <w:numId w:val="3"/>
        </w:numPr>
        <w:tabs>
          <w:tab w:val="clear" w:pos="720"/>
          <w:tab w:val="num" w:pos="-567"/>
        </w:tabs>
        <w:spacing w:after="120" w:line="240" w:lineRule="auto"/>
        <w:ind w:left="0" w:right="-1" w:firstLine="709"/>
        <w:jc w:val="both"/>
        <w:rPr>
          <w:rFonts w:ascii="Times New Roman" w:eastAsiaTheme="minorEastAsia" w:hAnsi="Times New Roman" w:cs="Times New Roman"/>
          <w:color w:val="222222"/>
          <w:sz w:val="24"/>
          <w:szCs w:val="24"/>
          <w:shd w:val="clear" w:color="auto" w:fill="FFFFFF"/>
        </w:rPr>
      </w:pPr>
    </w:p>
    <w:p w:rsidR="005E0CA7" w:rsidRPr="003E4EBF" w:rsidRDefault="005E0CA7" w:rsidP="00CE7586">
      <w:pPr>
        <w:numPr>
          <w:ilvl w:val="0"/>
          <w:numId w:val="3"/>
        </w:numPr>
        <w:tabs>
          <w:tab w:val="clear" w:pos="720"/>
          <w:tab w:val="num" w:pos="-567"/>
        </w:tabs>
        <w:spacing w:after="120" w:line="240" w:lineRule="auto"/>
        <w:ind w:left="0" w:right="-1" w:firstLine="709"/>
        <w:jc w:val="both"/>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Предположим нас устраивали полученные данные, и мы готовы были взять на себя этот риск, в целях получить высокий уровень дохода, вложив в акции 100000 рублей, например, в 2012 году. В 2016 году, мы получили бы наращенную сумму</w:t>
      </w:r>
      <w:r w:rsidR="003E4EBF" w:rsidRPr="003E4EBF">
        <w:rPr>
          <w:rFonts w:ascii="Times New Roman" w:eastAsiaTheme="minorEastAsia" w:hAnsi="Times New Roman" w:cs="Times New Roman"/>
          <w:color w:val="222222"/>
          <w:sz w:val="24"/>
          <w:szCs w:val="24"/>
          <w:shd w:val="clear" w:color="auto" w:fill="FFFFFF"/>
        </w:rPr>
        <w:t xml:space="preserve"> (</w:t>
      </w:r>
      <w:r w:rsidR="003E4EBF" w:rsidRPr="003E4EBF">
        <w:rPr>
          <w:rFonts w:ascii="Times New Roman" w:eastAsiaTheme="minorEastAsia" w:hAnsi="Times New Roman" w:cs="Times New Roman"/>
          <w:color w:val="222222"/>
          <w:sz w:val="24"/>
          <w:szCs w:val="24"/>
          <w:shd w:val="clear" w:color="auto" w:fill="FFFFFF"/>
          <w:lang w:val="en-US"/>
        </w:rPr>
        <w:t>S</w:t>
      </w:r>
      <w:r w:rsidR="003E4EBF" w:rsidRPr="003E4EBF">
        <w:rPr>
          <w:rFonts w:ascii="Times New Roman" w:eastAsiaTheme="minorEastAsia" w:hAnsi="Times New Roman" w:cs="Times New Roman"/>
          <w:color w:val="222222"/>
          <w:sz w:val="24"/>
          <w:szCs w:val="24"/>
          <w:shd w:val="clear" w:color="auto" w:fill="FFFFFF"/>
        </w:rPr>
        <w:t xml:space="preserve">)  </w:t>
      </w:r>
      <m:oMath>
        <m:r>
          <w:rPr>
            <w:rFonts w:ascii="Cambria Math" w:eastAsiaTheme="minorEastAsia" w:hAnsi="Cambria Math" w:cs="Times New Roman"/>
            <w:color w:val="222222"/>
            <w:sz w:val="20"/>
            <w:szCs w:val="24"/>
            <w:shd w:val="clear" w:color="auto" w:fill="FFFFFF"/>
            <w:lang w:val="en-US"/>
          </w:rPr>
          <m:t>S</m:t>
        </m:r>
        <m:r>
          <w:rPr>
            <w:rFonts w:ascii="Cambria Math" w:eastAsiaTheme="minorEastAsia" w:hAnsi="Cambria Math" w:cs="Times New Roman"/>
            <w:color w:val="222222"/>
            <w:sz w:val="20"/>
            <w:szCs w:val="24"/>
            <w:shd w:val="clear" w:color="auto" w:fill="FFFFFF"/>
          </w:rPr>
          <m:t>=</m:t>
        </m:r>
        <m:r>
          <w:rPr>
            <w:rFonts w:ascii="Cambria Math" w:eastAsiaTheme="minorEastAsia" w:hAnsi="Cambria Math" w:cs="Times New Roman"/>
            <w:color w:val="222222"/>
            <w:sz w:val="20"/>
            <w:szCs w:val="24"/>
            <w:shd w:val="clear" w:color="auto" w:fill="FFFFFF"/>
            <w:lang w:val="en-US"/>
          </w:rPr>
          <m:t>P</m:t>
        </m:r>
        <m:d>
          <m:dPr>
            <m:ctrlPr>
              <w:rPr>
                <w:rFonts w:ascii="Cambria Math" w:eastAsiaTheme="minorEastAsia" w:hAnsi="Cambria Math" w:cs="Times New Roman"/>
                <w:i/>
                <w:iCs/>
                <w:color w:val="222222"/>
                <w:sz w:val="20"/>
                <w:szCs w:val="24"/>
                <w:shd w:val="clear" w:color="auto" w:fill="FFFFFF"/>
                <w:lang w:val="en-US"/>
              </w:rPr>
            </m:ctrlPr>
          </m:dPr>
          <m:e>
            <m:r>
              <w:rPr>
                <w:rFonts w:ascii="Cambria Math" w:eastAsiaTheme="minorEastAsia" w:hAnsi="Cambria Math" w:cs="Times New Roman"/>
                <w:color w:val="222222"/>
                <w:sz w:val="20"/>
                <w:szCs w:val="24"/>
                <w:shd w:val="clear" w:color="auto" w:fill="FFFFFF"/>
              </w:rPr>
              <m:t>1+</m:t>
            </m:r>
            <m:r>
              <w:rPr>
                <w:rFonts w:ascii="Cambria Math" w:eastAsiaTheme="minorEastAsia" w:hAnsi="Cambria Math" w:cs="Times New Roman"/>
                <w:color w:val="222222"/>
                <w:sz w:val="20"/>
                <w:szCs w:val="24"/>
                <w:shd w:val="clear" w:color="auto" w:fill="FFFFFF"/>
                <w:lang w:val="en-US"/>
              </w:rPr>
              <m:t>ni</m:t>
            </m:r>
          </m:e>
        </m:d>
      </m:oMath>
      <w:r w:rsidRPr="003E4EBF">
        <w:rPr>
          <w:rFonts w:ascii="Times New Roman" w:eastAsiaTheme="minorEastAsia" w:hAnsi="Times New Roman" w:cs="Times New Roman"/>
          <w:color w:val="222222"/>
          <w:sz w:val="24"/>
          <w:szCs w:val="24"/>
          <w:shd w:val="clear" w:color="auto" w:fill="FFFFFF"/>
        </w:rPr>
        <w:t xml:space="preserve"> в 241 822 рублей, но реальная доходность</w:t>
      </w:r>
      <w:r w:rsidR="003E4EBF" w:rsidRPr="003E4EBF">
        <w:rPr>
          <w:rFonts w:ascii="Times New Roman" w:eastAsiaTheme="minorEastAsia" w:hAnsi="Times New Roman" w:cs="Times New Roman"/>
          <w:color w:val="222222"/>
          <w:sz w:val="24"/>
          <w:szCs w:val="24"/>
          <w:shd w:val="clear" w:color="auto" w:fill="FFFFFF"/>
        </w:rPr>
        <w:t xml:space="preserve"> (</w:t>
      </w:r>
      <w:r w:rsidR="003E4EBF" w:rsidRPr="003E4EBF">
        <w:rPr>
          <w:rFonts w:ascii="Times New Roman" w:eastAsiaTheme="minorEastAsia" w:hAnsi="Times New Roman" w:cs="Times New Roman"/>
          <w:color w:val="222222"/>
          <w:sz w:val="24"/>
          <w:szCs w:val="24"/>
          <w:shd w:val="clear" w:color="auto" w:fill="FFFFFF"/>
          <w:lang w:val="en-US"/>
        </w:rPr>
        <w:t>Dr</w:t>
      </w:r>
      <w:r w:rsidR="003E4EBF" w:rsidRPr="003E4EBF">
        <w:rPr>
          <w:rFonts w:ascii="Times New Roman" w:eastAsiaTheme="minorEastAsia" w:hAnsi="Times New Roman" w:cs="Times New Roman"/>
          <w:color w:val="222222"/>
          <w:sz w:val="24"/>
          <w:szCs w:val="24"/>
          <w:shd w:val="clear" w:color="auto" w:fill="FFFFFF"/>
        </w:rPr>
        <w:t>)</w:t>
      </w:r>
      <m:oMath>
        <m:r>
          <w:rPr>
            <w:rFonts w:ascii="Cambria Math" w:eastAsiaTheme="minorEastAsia" w:hAnsi="Cambria Math" w:cs="Times New Roman"/>
            <w:color w:val="000000" w:themeColor="text1"/>
            <w:kern w:val="24"/>
            <w:sz w:val="20"/>
            <w:szCs w:val="24"/>
          </w:rPr>
          <m:t xml:space="preserve"> </m:t>
        </m:r>
        <m:r>
          <w:rPr>
            <w:rFonts w:ascii="Cambria Math" w:eastAsiaTheme="minorEastAsia" w:hAnsi="Cambria Math" w:cs="Times New Roman"/>
            <w:color w:val="222222"/>
            <w:sz w:val="20"/>
            <w:szCs w:val="24"/>
            <w:shd w:val="clear" w:color="auto" w:fill="FFFFFF"/>
            <w:lang w:val="en-US"/>
          </w:rPr>
          <m:t>Dr</m:t>
        </m:r>
        <m:r>
          <w:rPr>
            <w:rFonts w:ascii="Cambria Math" w:eastAsiaTheme="minorEastAsia" w:hAnsi="Cambria Math" w:cs="Times New Roman"/>
            <w:color w:val="222222"/>
            <w:sz w:val="20"/>
            <w:szCs w:val="24"/>
            <w:shd w:val="clear" w:color="auto" w:fill="FFFFFF"/>
          </w:rPr>
          <m:t>=</m:t>
        </m:r>
        <m:sSub>
          <m:sSubPr>
            <m:ctrlPr>
              <w:rPr>
                <w:rFonts w:ascii="Cambria Math" w:eastAsiaTheme="minorEastAsia" w:hAnsi="Cambria Math" w:cs="Times New Roman"/>
                <w:i/>
                <w:iCs/>
                <w:color w:val="222222"/>
                <w:sz w:val="20"/>
                <w:szCs w:val="24"/>
                <w:shd w:val="clear" w:color="auto" w:fill="FFFFFF"/>
                <w:lang w:val="en-US"/>
              </w:rPr>
            </m:ctrlPr>
          </m:sSubPr>
          <m:e>
            <m:r>
              <w:rPr>
                <w:rFonts w:ascii="Cambria Math" w:eastAsiaTheme="minorEastAsia" w:hAnsi="Cambria Math" w:cs="Times New Roman"/>
                <w:color w:val="222222"/>
                <w:sz w:val="20"/>
                <w:szCs w:val="24"/>
                <w:shd w:val="clear" w:color="auto" w:fill="FFFFFF"/>
                <w:lang w:val="en-US"/>
              </w:rPr>
              <m:t>S</m:t>
            </m:r>
          </m:e>
          <m:sub>
            <m:r>
              <w:rPr>
                <w:rFonts w:ascii="Cambria Math" w:eastAsiaTheme="minorEastAsia" w:hAnsi="Cambria Math" w:cs="Times New Roman"/>
                <w:color w:val="222222"/>
                <w:sz w:val="20"/>
                <w:szCs w:val="24"/>
                <w:shd w:val="clear" w:color="auto" w:fill="FFFFFF"/>
                <w:lang w:val="en-US"/>
              </w:rPr>
              <m:t>r</m:t>
            </m:r>
          </m:sub>
        </m:sSub>
        <m:r>
          <w:rPr>
            <w:rFonts w:ascii="Cambria Math" w:eastAsiaTheme="minorEastAsia" w:hAnsi="Cambria Math" w:cs="Times New Roman"/>
            <w:color w:val="222222"/>
            <w:sz w:val="20"/>
            <w:szCs w:val="24"/>
            <w:shd w:val="clear" w:color="auto" w:fill="FFFFFF"/>
          </w:rPr>
          <m:t>-</m:t>
        </m:r>
        <m:r>
          <w:rPr>
            <w:rFonts w:ascii="Cambria Math" w:eastAsiaTheme="minorEastAsia" w:hAnsi="Cambria Math" w:cs="Times New Roman"/>
            <w:color w:val="222222"/>
            <w:sz w:val="20"/>
            <w:szCs w:val="24"/>
            <w:shd w:val="clear" w:color="auto" w:fill="FFFFFF"/>
            <w:lang w:val="en-US"/>
          </w:rPr>
          <m:t>P</m:t>
        </m:r>
      </m:oMath>
      <w:r w:rsidR="003E4EBF" w:rsidRPr="002960B0">
        <w:rPr>
          <w:rFonts w:ascii="Times New Roman" w:eastAsiaTheme="minorEastAsia" w:hAnsi="Times New Roman" w:cs="Times New Roman"/>
          <w:iCs/>
          <w:color w:val="222222"/>
          <w:sz w:val="20"/>
          <w:szCs w:val="24"/>
          <w:shd w:val="clear" w:color="auto" w:fill="FFFFFF"/>
        </w:rPr>
        <w:t>,</w:t>
      </w:r>
      <w:r w:rsidR="003E4EBF">
        <w:rPr>
          <w:rFonts w:ascii="Times New Roman" w:eastAsiaTheme="minorEastAsia" w:hAnsi="Times New Roman" w:cs="Times New Roman"/>
          <w:iCs/>
          <w:color w:val="222222"/>
          <w:sz w:val="24"/>
          <w:szCs w:val="24"/>
          <w:shd w:val="clear" w:color="auto" w:fill="FFFFFF"/>
        </w:rPr>
        <w:t xml:space="preserve"> </w:t>
      </w:r>
      <w:r w:rsidRPr="003E4EBF">
        <w:rPr>
          <w:rFonts w:ascii="Times New Roman" w:eastAsiaTheme="minorEastAsia" w:hAnsi="Times New Roman" w:cs="Times New Roman"/>
          <w:color w:val="222222"/>
          <w:sz w:val="24"/>
          <w:szCs w:val="24"/>
          <w:shd w:val="clear" w:color="auto" w:fill="FFFFFF"/>
        </w:rPr>
        <w:t>скорректированная на индекс инфляции</w:t>
      </w:r>
      <w:r w:rsidR="003E4EBF" w:rsidRPr="003E4EBF">
        <w:rPr>
          <w:rFonts w:ascii="Times New Roman" w:eastAsiaTheme="minorEastAsia" w:hAnsi="Times New Roman" w:cs="Times New Roman"/>
          <w:color w:val="222222"/>
          <w:sz w:val="24"/>
          <w:szCs w:val="24"/>
          <w:shd w:val="clear" w:color="auto" w:fill="FFFFFF"/>
        </w:rPr>
        <w:t xml:space="preserve"> (</w:t>
      </w:r>
      <w:r w:rsidR="003E4EBF" w:rsidRPr="003E4EBF">
        <w:rPr>
          <w:rFonts w:ascii="Times New Roman" w:eastAsiaTheme="minorEastAsia" w:hAnsi="Times New Roman" w:cs="Times New Roman"/>
          <w:color w:val="222222"/>
          <w:sz w:val="24"/>
          <w:szCs w:val="24"/>
          <w:shd w:val="clear" w:color="auto" w:fill="FFFFFF"/>
          <w:lang w:val="en-US"/>
        </w:rPr>
        <w:t>Sr</w:t>
      </w:r>
      <w:r w:rsidR="003E4EBF" w:rsidRPr="003E4EBF">
        <w:rPr>
          <w:rFonts w:ascii="Times New Roman" w:eastAsiaTheme="minorEastAsia" w:hAnsi="Times New Roman" w:cs="Times New Roman"/>
          <w:color w:val="222222"/>
          <w:sz w:val="24"/>
          <w:szCs w:val="24"/>
          <w:shd w:val="clear" w:color="auto" w:fill="FFFFFF"/>
        </w:rPr>
        <w:t xml:space="preserve">) </w:t>
      </w:r>
      <m:oMath>
        <m:sSub>
          <m:sSubPr>
            <m:ctrlPr>
              <w:rPr>
                <w:rFonts w:ascii="Cambria Math" w:eastAsiaTheme="minorEastAsia" w:hAnsi="Cambria Math" w:cs="Times New Roman"/>
                <w:i/>
                <w:iCs/>
                <w:color w:val="222222"/>
                <w:sz w:val="20"/>
                <w:szCs w:val="24"/>
                <w:shd w:val="clear" w:color="auto" w:fill="FFFFFF"/>
                <w:lang w:val="en-US"/>
              </w:rPr>
            </m:ctrlPr>
          </m:sSubPr>
          <m:e>
            <m:r>
              <w:rPr>
                <w:rFonts w:ascii="Cambria Math" w:eastAsiaTheme="minorEastAsia" w:hAnsi="Cambria Math" w:cs="Times New Roman"/>
                <w:color w:val="222222"/>
                <w:sz w:val="20"/>
                <w:szCs w:val="24"/>
                <w:shd w:val="clear" w:color="auto" w:fill="FFFFFF"/>
                <w:lang w:val="en-US"/>
              </w:rPr>
              <m:t>S</m:t>
            </m:r>
          </m:e>
          <m:sub>
            <m:r>
              <w:rPr>
                <w:rFonts w:ascii="Cambria Math" w:eastAsiaTheme="minorEastAsia" w:hAnsi="Cambria Math" w:cs="Times New Roman"/>
                <w:color w:val="222222"/>
                <w:sz w:val="20"/>
                <w:szCs w:val="24"/>
                <w:shd w:val="clear" w:color="auto" w:fill="FFFFFF"/>
                <w:lang w:val="en-US"/>
              </w:rPr>
              <m:t>r</m:t>
            </m:r>
          </m:sub>
        </m:sSub>
        <m:r>
          <w:rPr>
            <w:rFonts w:ascii="Cambria Math" w:eastAsiaTheme="minorEastAsia" w:hAnsi="Cambria Math" w:cs="Times New Roman"/>
            <w:color w:val="222222"/>
            <w:sz w:val="20"/>
            <w:szCs w:val="24"/>
            <w:shd w:val="clear" w:color="auto" w:fill="FFFFFF"/>
          </w:rPr>
          <m:t>=</m:t>
        </m:r>
        <m:f>
          <m:fPr>
            <m:type m:val="skw"/>
            <m:ctrlPr>
              <w:rPr>
                <w:rFonts w:ascii="Cambria Math" w:eastAsiaTheme="minorEastAsia" w:hAnsi="Cambria Math" w:cs="Times New Roman"/>
                <w:i/>
                <w:iCs/>
                <w:color w:val="222222"/>
                <w:sz w:val="20"/>
                <w:szCs w:val="24"/>
                <w:shd w:val="clear" w:color="auto" w:fill="FFFFFF"/>
                <w:lang w:val="en-US"/>
              </w:rPr>
            </m:ctrlPr>
          </m:fPr>
          <m:num>
            <m:r>
              <w:rPr>
                <w:rFonts w:ascii="Cambria Math" w:eastAsiaTheme="minorEastAsia" w:hAnsi="Cambria Math" w:cs="Times New Roman"/>
                <w:color w:val="222222"/>
                <w:sz w:val="20"/>
                <w:szCs w:val="24"/>
                <w:shd w:val="clear" w:color="auto" w:fill="FFFFFF"/>
                <w:lang w:val="en-US"/>
              </w:rPr>
              <m:t>S</m:t>
            </m:r>
          </m:num>
          <m:den>
            <m:r>
              <w:rPr>
                <w:rFonts w:ascii="Cambria Math" w:eastAsiaTheme="minorEastAsia" w:hAnsi="Cambria Math" w:cs="Times New Roman"/>
                <w:color w:val="222222"/>
                <w:sz w:val="20"/>
                <w:szCs w:val="24"/>
                <w:shd w:val="clear" w:color="auto" w:fill="FFFFFF"/>
                <w:lang w:val="en-US"/>
              </w:rPr>
              <m:t>I</m:t>
            </m:r>
          </m:den>
        </m:f>
      </m:oMath>
      <w:r w:rsidRPr="003E4EBF">
        <w:rPr>
          <w:rFonts w:ascii="Times New Roman" w:eastAsiaTheme="minorEastAsia" w:hAnsi="Times New Roman" w:cs="Times New Roman"/>
          <w:color w:val="222222"/>
          <w:sz w:val="24"/>
          <w:szCs w:val="24"/>
          <w:shd w:val="clear" w:color="auto" w:fill="FFFFFF"/>
        </w:rPr>
        <w:t xml:space="preserve">, составит уже 60 893 рублей. За вычетом подоходного налога с дивидендов за 5 лет, эта сумма составит 59 273 рублей. </w:t>
      </w:r>
      <w:r w:rsidR="00DA4515">
        <w:rPr>
          <w:rFonts w:ascii="Times New Roman" w:eastAsiaTheme="minorEastAsia" w:hAnsi="Times New Roman" w:cs="Times New Roman"/>
          <w:color w:val="222222"/>
          <w:sz w:val="24"/>
          <w:szCs w:val="24"/>
          <w:shd w:val="clear" w:color="auto" w:fill="FFFFFF"/>
        </w:rPr>
        <w:t xml:space="preserve"> Данные, необходимые для расчета реальной доходности представлены в таблице 3.</w:t>
      </w:r>
    </w:p>
    <w:p w:rsidR="00D36D5C" w:rsidRDefault="00D36D5C" w:rsidP="00CE7586">
      <w:pPr>
        <w:spacing w:after="120" w:line="240" w:lineRule="auto"/>
        <w:ind w:right="-1" w:firstLine="709"/>
        <w:jc w:val="right"/>
        <w:rPr>
          <w:rFonts w:ascii="Times New Roman" w:eastAsiaTheme="minorEastAsia" w:hAnsi="Times New Roman" w:cs="Times New Roman"/>
          <w:i/>
          <w:color w:val="222222"/>
          <w:sz w:val="24"/>
          <w:szCs w:val="24"/>
          <w:shd w:val="clear" w:color="auto" w:fill="FFFFFF"/>
        </w:rPr>
      </w:pPr>
      <w:r w:rsidRPr="00D36D5C">
        <w:rPr>
          <w:rFonts w:ascii="Times New Roman" w:eastAsiaTheme="minorEastAsia" w:hAnsi="Times New Roman" w:cs="Times New Roman"/>
          <w:i/>
          <w:color w:val="222222"/>
          <w:sz w:val="24"/>
          <w:szCs w:val="24"/>
          <w:shd w:val="clear" w:color="auto" w:fill="FFFFFF"/>
        </w:rPr>
        <w:t>Таблица 3</w:t>
      </w:r>
    </w:p>
    <w:p w:rsidR="00D36D5C" w:rsidRPr="00D36D5C" w:rsidRDefault="00D36D5C" w:rsidP="00CE7586">
      <w:pPr>
        <w:spacing w:after="120" w:line="240" w:lineRule="auto"/>
        <w:ind w:right="-1" w:firstLine="709"/>
        <w:jc w:val="center"/>
        <w:rPr>
          <w:rFonts w:ascii="Times New Roman" w:eastAsiaTheme="minorEastAsia" w:hAnsi="Times New Roman" w:cs="Times New Roman"/>
          <w:b/>
          <w:color w:val="222222"/>
          <w:sz w:val="24"/>
          <w:szCs w:val="24"/>
          <w:shd w:val="clear" w:color="auto" w:fill="FFFFFF"/>
        </w:rPr>
      </w:pPr>
      <w:r w:rsidRPr="00D36D5C">
        <w:rPr>
          <w:rFonts w:ascii="Times New Roman" w:eastAsiaTheme="minorEastAsia" w:hAnsi="Times New Roman" w:cs="Times New Roman"/>
          <w:b/>
          <w:color w:val="222222"/>
          <w:sz w:val="24"/>
          <w:szCs w:val="24"/>
          <w:shd w:val="clear" w:color="auto" w:fill="FFFFFF"/>
        </w:rPr>
        <w:t>Данные для расчета реальной доходности</w:t>
      </w:r>
    </w:p>
    <w:tbl>
      <w:tblPr>
        <w:tblW w:w="9654" w:type="dxa"/>
        <w:tblCellMar>
          <w:left w:w="0" w:type="dxa"/>
          <w:right w:w="0" w:type="dxa"/>
        </w:tblCellMar>
        <w:tblLook w:val="0600" w:firstRow="0" w:lastRow="0" w:firstColumn="0" w:lastColumn="0" w:noHBand="1" w:noVBand="1"/>
      </w:tblPr>
      <w:tblGrid>
        <w:gridCol w:w="2413"/>
        <w:gridCol w:w="2414"/>
        <w:gridCol w:w="2413"/>
        <w:gridCol w:w="2414"/>
      </w:tblGrid>
      <w:tr w:rsidR="00D36D5C" w:rsidRPr="00D36D5C" w:rsidTr="00805C19">
        <w:trPr>
          <w:trHeight w:val="567"/>
        </w:trPr>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3E4EBF" w:rsidRDefault="00D36D5C"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Стоимость активов</w:t>
            </w:r>
          </w:p>
        </w:tc>
        <w:tc>
          <w:tcPr>
            <w:tcW w:w="241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3E4EBF" w:rsidRDefault="00D36D5C"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Доходность, %</w:t>
            </w:r>
          </w:p>
        </w:tc>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3E4EBF" w:rsidRDefault="00D36D5C"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Период</w:t>
            </w:r>
          </w:p>
        </w:tc>
        <w:tc>
          <w:tcPr>
            <w:tcW w:w="2414" w:type="dxa"/>
            <w:tcBorders>
              <w:top w:val="single" w:sz="8" w:space="0" w:color="000000"/>
              <w:left w:val="single" w:sz="8" w:space="0" w:color="000000"/>
              <w:bottom w:val="single" w:sz="8" w:space="0" w:color="000000"/>
              <w:right w:val="single" w:sz="8" w:space="0" w:color="000000"/>
            </w:tcBorders>
            <w:vAlign w:val="center"/>
          </w:tcPr>
          <w:p w:rsidR="00D36D5C" w:rsidRPr="003E4EBF" w:rsidRDefault="00D36D5C" w:rsidP="00805C19">
            <w:pPr>
              <w:pStyle w:val="a3"/>
              <w:spacing w:before="0" w:beforeAutospacing="0" w:after="0" w:afterAutospacing="0"/>
              <w:ind w:right="-1"/>
              <w:jc w:val="center"/>
              <w:textAlignment w:val="center"/>
            </w:pPr>
            <w:r w:rsidRPr="003E4EBF">
              <w:rPr>
                <w:color w:val="000000" w:themeColor="text1"/>
                <w:kern w:val="24"/>
              </w:rPr>
              <w:t>Уровень инфляции, %</w:t>
            </w:r>
          </w:p>
        </w:tc>
      </w:tr>
      <w:tr w:rsidR="00D36D5C" w:rsidRPr="00D36D5C" w:rsidTr="00805C19">
        <w:trPr>
          <w:trHeight w:val="567"/>
        </w:trPr>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3E4EBF" w:rsidRDefault="00D36D5C"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100000,0</w:t>
            </w:r>
          </w:p>
        </w:tc>
        <w:tc>
          <w:tcPr>
            <w:tcW w:w="241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3E4EBF" w:rsidRDefault="00D36D5C"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w:t>
            </w:r>
          </w:p>
        </w:tc>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D36D5C" w:rsidRPr="003E4EBF" w:rsidRDefault="003E4EBF"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w:t>
            </w:r>
          </w:p>
        </w:tc>
        <w:tc>
          <w:tcPr>
            <w:tcW w:w="2414" w:type="dxa"/>
            <w:tcBorders>
              <w:top w:val="single" w:sz="8" w:space="0" w:color="000000"/>
              <w:left w:val="single" w:sz="8" w:space="0" w:color="000000"/>
              <w:bottom w:val="single" w:sz="8" w:space="0" w:color="000000"/>
              <w:right w:val="single" w:sz="8" w:space="0" w:color="000000"/>
            </w:tcBorders>
            <w:vAlign w:val="center"/>
          </w:tcPr>
          <w:p w:rsidR="00D36D5C" w:rsidRPr="003E4EBF" w:rsidRDefault="003E4EBF" w:rsidP="00805C19">
            <w:pPr>
              <w:pStyle w:val="a3"/>
              <w:spacing w:before="0" w:beforeAutospacing="0" w:after="0" w:afterAutospacing="0"/>
              <w:ind w:right="-1"/>
              <w:jc w:val="center"/>
              <w:textAlignment w:val="center"/>
            </w:pPr>
            <w:r w:rsidRPr="003E4EBF">
              <w:t>-</w:t>
            </w:r>
          </w:p>
        </w:tc>
      </w:tr>
    </w:tbl>
    <w:p w:rsidR="00805C19" w:rsidRPr="00805C19" w:rsidRDefault="00805C19" w:rsidP="001F1E1A">
      <w:pPr>
        <w:spacing w:after="0" w:line="257" w:lineRule="auto"/>
        <w:rPr>
          <w:rFonts w:ascii="Times New Roman" w:hAnsi="Times New Roman" w:cs="Times New Roman"/>
          <w:sz w:val="24"/>
        </w:rPr>
      </w:pPr>
      <w:r w:rsidRPr="00805C19">
        <w:rPr>
          <w:rFonts w:ascii="Times New Roman" w:hAnsi="Times New Roman" w:cs="Times New Roman"/>
          <w:sz w:val="24"/>
        </w:rPr>
        <w:lastRenderedPageBreak/>
        <w:t>Продолжение таблицы 3</w:t>
      </w:r>
    </w:p>
    <w:tbl>
      <w:tblPr>
        <w:tblW w:w="9654" w:type="dxa"/>
        <w:tblCellMar>
          <w:left w:w="0" w:type="dxa"/>
          <w:right w:w="0" w:type="dxa"/>
        </w:tblCellMar>
        <w:tblLook w:val="0600" w:firstRow="0" w:lastRow="0" w:firstColumn="0" w:lastColumn="0" w:noHBand="1" w:noVBand="1"/>
      </w:tblPr>
      <w:tblGrid>
        <w:gridCol w:w="2413"/>
        <w:gridCol w:w="2414"/>
        <w:gridCol w:w="2413"/>
        <w:gridCol w:w="2414"/>
      </w:tblGrid>
      <w:tr w:rsidR="00805C19" w:rsidRPr="003E4EBF" w:rsidTr="00805C19">
        <w:trPr>
          <w:trHeight w:val="567"/>
        </w:trPr>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373168">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Стоимость активов</w:t>
            </w:r>
          </w:p>
        </w:tc>
        <w:tc>
          <w:tcPr>
            <w:tcW w:w="241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373168">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Доходность, %</w:t>
            </w:r>
          </w:p>
        </w:tc>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373168">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Период</w:t>
            </w:r>
          </w:p>
        </w:tc>
        <w:tc>
          <w:tcPr>
            <w:tcW w:w="2414" w:type="dxa"/>
            <w:tcBorders>
              <w:top w:val="single" w:sz="8" w:space="0" w:color="000000"/>
              <w:left w:val="single" w:sz="8" w:space="0" w:color="000000"/>
              <w:bottom w:val="single" w:sz="8" w:space="0" w:color="000000"/>
              <w:right w:val="single" w:sz="8" w:space="0" w:color="000000"/>
            </w:tcBorders>
            <w:vAlign w:val="center"/>
          </w:tcPr>
          <w:p w:rsidR="00805C19" w:rsidRPr="003E4EBF" w:rsidRDefault="00805C19" w:rsidP="00373168">
            <w:pPr>
              <w:pStyle w:val="a3"/>
              <w:spacing w:before="0" w:beforeAutospacing="0" w:after="0" w:afterAutospacing="0"/>
              <w:ind w:right="-1"/>
              <w:jc w:val="center"/>
              <w:textAlignment w:val="center"/>
            </w:pPr>
            <w:r w:rsidRPr="00805C19">
              <w:t>Уровень инфляции, %</w:t>
            </w:r>
          </w:p>
        </w:tc>
      </w:tr>
      <w:tr w:rsidR="00805C19" w:rsidRPr="00D36D5C" w:rsidTr="00805C19">
        <w:trPr>
          <w:trHeight w:val="567"/>
        </w:trPr>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235E24">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120200,0</w:t>
            </w:r>
          </w:p>
        </w:tc>
        <w:tc>
          <w:tcPr>
            <w:tcW w:w="241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20,2%</w:t>
            </w:r>
          </w:p>
        </w:tc>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Pr>
                <w:rFonts w:ascii="Times New Roman" w:eastAsiaTheme="minorEastAsia" w:hAnsi="Times New Roman" w:cs="Times New Roman"/>
                <w:color w:val="222222"/>
                <w:sz w:val="24"/>
                <w:szCs w:val="24"/>
                <w:shd w:val="clear" w:color="auto" w:fill="FFFFFF"/>
              </w:rPr>
              <w:t>2012</w:t>
            </w:r>
          </w:p>
        </w:tc>
        <w:tc>
          <w:tcPr>
            <w:tcW w:w="2414" w:type="dxa"/>
            <w:tcBorders>
              <w:top w:val="single" w:sz="8" w:space="0" w:color="000000"/>
              <w:left w:val="single" w:sz="8" w:space="0" w:color="000000"/>
              <w:bottom w:val="single" w:sz="8" w:space="0" w:color="000000"/>
              <w:right w:val="single" w:sz="8" w:space="0" w:color="000000"/>
            </w:tcBorders>
            <w:vAlign w:val="center"/>
          </w:tcPr>
          <w:p w:rsidR="00805C19" w:rsidRPr="003E4EBF" w:rsidRDefault="00805C19" w:rsidP="00235E24">
            <w:pPr>
              <w:pStyle w:val="a3"/>
              <w:spacing w:before="0" w:beforeAutospacing="0" w:after="0" w:afterAutospacing="0"/>
              <w:ind w:right="-1"/>
              <w:jc w:val="center"/>
              <w:textAlignment w:val="center"/>
            </w:pPr>
            <w:r w:rsidRPr="00805C19">
              <w:t>6,58%</w:t>
            </w:r>
          </w:p>
        </w:tc>
      </w:tr>
      <w:tr w:rsidR="00805C19" w:rsidRPr="00D36D5C" w:rsidTr="00805C19">
        <w:trPr>
          <w:trHeight w:val="567"/>
        </w:trPr>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235E24">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134984,6</w:t>
            </w:r>
          </w:p>
        </w:tc>
        <w:tc>
          <w:tcPr>
            <w:tcW w:w="241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12,3%</w:t>
            </w:r>
          </w:p>
        </w:tc>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2013</w:t>
            </w:r>
          </w:p>
        </w:tc>
        <w:tc>
          <w:tcPr>
            <w:tcW w:w="2414" w:type="dxa"/>
            <w:tcBorders>
              <w:top w:val="single" w:sz="8" w:space="0" w:color="000000"/>
              <w:left w:val="single" w:sz="8" w:space="0" w:color="000000"/>
              <w:bottom w:val="single" w:sz="8" w:space="0" w:color="000000"/>
              <w:right w:val="single" w:sz="8" w:space="0" w:color="000000"/>
            </w:tcBorders>
            <w:vAlign w:val="center"/>
          </w:tcPr>
          <w:p w:rsidR="00805C19" w:rsidRPr="003E4EBF" w:rsidRDefault="00805C19" w:rsidP="00235E24">
            <w:pPr>
              <w:pStyle w:val="a3"/>
              <w:spacing w:before="0" w:beforeAutospacing="0" w:after="0" w:afterAutospacing="0"/>
              <w:ind w:right="-1"/>
              <w:jc w:val="center"/>
              <w:textAlignment w:val="center"/>
            </w:pPr>
            <w:r w:rsidRPr="00805C19">
              <w:t>6,45%</w:t>
            </w:r>
          </w:p>
        </w:tc>
      </w:tr>
      <w:tr w:rsidR="00805C19" w:rsidRPr="00D36D5C" w:rsidTr="00805C19">
        <w:trPr>
          <w:trHeight w:val="567"/>
        </w:trPr>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235E24">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73836,6</w:t>
            </w:r>
          </w:p>
        </w:tc>
        <w:tc>
          <w:tcPr>
            <w:tcW w:w="241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-45,3%</w:t>
            </w:r>
          </w:p>
        </w:tc>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2014</w:t>
            </w:r>
          </w:p>
        </w:tc>
        <w:tc>
          <w:tcPr>
            <w:tcW w:w="2414" w:type="dxa"/>
            <w:tcBorders>
              <w:top w:val="single" w:sz="8" w:space="0" w:color="000000"/>
              <w:left w:val="single" w:sz="8" w:space="0" w:color="000000"/>
              <w:bottom w:val="single" w:sz="8" w:space="0" w:color="000000"/>
              <w:right w:val="single" w:sz="8" w:space="0" w:color="000000"/>
            </w:tcBorders>
            <w:vAlign w:val="center"/>
          </w:tcPr>
          <w:p w:rsidR="00805C19" w:rsidRPr="003E4EBF" w:rsidRDefault="00805C19" w:rsidP="00235E24">
            <w:pPr>
              <w:pStyle w:val="a3"/>
              <w:spacing w:before="0" w:beforeAutospacing="0" w:after="0" w:afterAutospacing="0"/>
              <w:ind w:right="-1"/>
              <w:jc w:val="center"/>
              <w:textAlignment w:val="center"/>
            </w:pPr>
            <w:r w:rsidRPr="00805C19">
              <w:t>11,36%</w:t>
            </w:r>
          </w:p>
        </w:tc>
      </w:tr>
      <w:tr w:rsidR="00805C19" w:rsidRPr="00D36D5C" w:rsidTr="00805C19">
        <w:trPr>
          <w:trHeight w:val="567"/>
        </w:trPr>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235E24">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138738,9</w:t>
            </w:r>
          </w:p>
        </w:tc>
        <w:tc>
          <w:tcPr>
            <w:tcW w:w="241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87,9%</w:t>
            </w:r>
          </w:p>
        </w:tc>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2015</w:t>
            </w:r>
          </w:p>
        </w:tc>
        <w:tc>
          <w:tcPr>
            <w:tcW w:w="2414" w:type="dxa"/>
            <w:tcBorders>
              <w:top w:val="single" w:sz="8" w:space="0" w:color="000000"/>
              <w:left w:val="single" w:sz="8" w:space="0" w:color="000000"/>
              <w:bottom w:val="single" w:sz="8" w:space="0" w:color="000000"/>
              <w:right w:val="single" w:sz="8" w:space="0" w:color="000000"/>
            </w:tcBorders>
            <w:vAlign w:val="center"/>
          </w:tcPr>
          <w:p w:rsidR="00805C19" w:rsidRPr="003E4EBF" w:rsidRDefault="00805C19" w:rsidP="00235E24">
            <w:pPr>
              <w:pStyle w:val="a3"/>
              <w:spacing w:before="0" w:beforeAutospacing="0" w:after="0" w:afterAutospacing="0"/>
              <w:ind w:right="-1"/>
              <w:jc w:val="center"/>
              <w:textAlignment w:val="center"/>
            </w:pPr>
            <w:r w:rsidRPr="00805C19">
              <w:t>12,91%</w:t>
            </w:r>
          </w:p>
        </w:tc>
      </w:tr>
      <w:tr w:rsidR="00805C19" w:rsidRPr="00D36D5C" w:rsidTr="00805C19">
        <w:trPr>
          <w:trHeight w:val="567"/>
        </w:trPr>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235E24">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241821,9</w:t>
            </w:r>
          </w:p>
        </w:tc>
        <w:tc>
          <w:tcPr>
            <w:tcW w:w="241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74,3%</w:t>
            </w:r>
          </w:p>
        </w:tc>
        <w:tc>
          <w:tcPr>
            <w:tcW w:w="241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05C19" w:rsidRPr="003E4EBF" w:rsidRDefault="00805C19" w:rsidP="00805C19">
            <w:pPr>
              <w:spacing w:after="120" w:line="240" w:lineRule="auto"/>
              <w:ind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2016</w:t>
            </w:r>
          </w:p>
        </w:tc>
        <w:tc>
          <w:tcPr>
            <w:tcW w:w="2414" w:type="dxa"/>
            <w:tcBorders>
              <w:top w:val="single" w:sz="8" w:space="0" w:color="000000"/>
              <w:left w:val="single" w:sz="8" w:space="0" w:color="000000"/>
              <w:bottom w:val="single" w:sz="8" w:space="0" w:color="000000"/>
              <w:right w:val="single" w:sz="8" w:space="0" w:color="000000"/>
            </w:tcBorders>
            <w:vAlign w:val="center"/>
          </w:tcPr>
          <w:p w:rsidR="00805C19" w:rsidRPr="003E4EBF" w:rsidRDefault="00805C19" w:rsidP="00235E24">
            <w:pPr>
              <w:pStyle w:val="a3"/>
              <w:spacing w:before="0" w:beforeAutospacing="0" w:after="0" w:afterAutospacing="0"/>
              <w:ind w:right="-1"/>
              <w:jc w:val="center"/>
              <w:textAlignment w:val="center"/>
            </w:pPr>
            <w:r w:rsidRPr="00805C19">
              <w:t>5,38%</w:t>
            </w:r>
          </w:p>
        </w:tc>
      </w:tr>
    </w:tbl>
    <w:p w:rsidR="003E4EBF" w:rsidRDefault="003E4EBF" w:rsidP="00CE7586">
      <w:pPr>
        <w:spacing w:after="120" w:line="240" w:lineRule="auto"/>
        <w:ind w:right="-1" w:firstLine="709"/>
        <w:jc w:val="both"/>
        <w:rPr>
          <w:rFonts w:ascii="Times New Roman" w:eastAsiaTheme="minorEastAsia" w:hAnsi="Times New Roman" w:cs="Times New Roman"/>
          <w:color w:val="222222"/>
          <w:sz w:val="24"/>
          <w:szCs w:val="24"/>
          <w:shd w:val="clear" w:color="auto" w:fill="FFFFFF"/>
        </w:rPr>
      </w:pPr>
    </w:p>
    <w:p w:rsidR="005E0CA7" w:rsidRPr="005E0CA7" w:rsidRDefault="005E0CA7" w:rsidP="00F81226">
      <w:pPr>
        <w:spacing w:after="0" w:line="240" w:lineRule="auto"/>
        <w:ind w:firstLine="709"/>
        <w:jc w:val="both"/>
        <w:rPr>
          <w:rFonts w:ascii="Times New Roman" w:eastAsiaTheme="minorEastAsia" w:hAnsi="Times New Roman" w:cs="Times New Roman"/>
          <w:color w:val="222222"/>
          <w:sz w:val="24"/>
          <w:szCs w:val="24"/>
          <w:shd w:val="clear" w:color="auto" w:fill="FFFFFF"/>
        </w:rPr>
      </w:pPr>
      <w:r w:rsidRPr="005E0CA7">
        <w:rPr>
          <w:rFonts w:ascii="Times New Roman" w:eastAsiaTheme="minorEastAsia" w:hAnsi="Times New Roman" w:cs="Times New Roman"/>
          <w:color w:val="222222"/>
          <w:sz w:val="24"/>
          <w:szCs w:val="24"/>
          <w:shd w:val="clear" w:color="auto" w:fill="FFFFFF"/>
        </w:rPr>
        <w:t>Таким образом, получили:</w:t>
      </w:r>
    </w:p>
    <w:p w:rsidR="005E0CA7" w:rsidRPr="005E0CA7" w:rsidRDefault="005E0CA7" w:rsidP="00F81226">
      <w:pPr>
        <w:pStyle w:val="a4"/>
        <w:numPr>
          <w:ilvl w:val="0"/>
          <w:numId w:val="1"/>
        </w:numPr>
        <w:spacing w:after="0" w:line="240" w:lineRule="auto"/>
        <w:ind w:left="0" w:firstLine="709"/>
        <w:jc w:val="both"/>
        <w:rPr>
          <w:rFonts w:ascii="Times New Roman" w:eastAsiaTheme="minorEastAsia" w:hAnsi="Times New Roman" w:cs="Times New Roman"/>
          <w:color w:val="222222"/>
          <w:sz w:val="24"/>
          <w:szCs w:val="24"/>
          <w:shd w:val="clear" w:color="auto" w:fill="FFFFFF"/>
        </w:rPr>
      </w:pPr>
      <w:r w:rsidRPr="005E0CA7">
        <w:rPr>
          <w:rFonts w:ascii="Times New Roman" w:eastAsiaTheme="minorEastAsia" w:hAnsi="Times New Roman" w:cs="Times New Roman"/>
          <w:color w:val="222222"/>
          <w:sz w:val="24"/>
          <w:szCs w:val="24"/>
          <w:shd w:val="clear" w:color="auto" w:fill="FFFFFF"/>
        </w:rPr>
        <w:t>Акции Сбербанка достаточно рискованны, а прибыль, полученная за взятый на себя риск, недостаточно оправдывает ожидания. Коэффициент Шарпа показывает, что акции весьма болезненно реагируют на нестабильность российской экономики и в случае кризиса не приносят ожидаемую доходность;</w:t>
      </w:r>
    </w:p>
    <w:p w:rsidR="005E0CA7" w:rsidRPr="00D36D5C" w:rsidRDefault="005E0CA7" w:rsidP="00F81226">
      <w:pPr>
        <w:pStyle w:val="a4"/>
        <w:numPr>
          <w:ilvl w:val="0"/>
          <w:numId w:val="1"/>
        </w:numPr>
        <w:spacing w:after="0" w:line="240" w:lineRule="auto"/>
        <w:ind w:left="0" w:firstLine="709"/>
        <w:contextualSpacing w:val="0"/>
        <w:jc w:val="both"/>
        <w:rPr>
          <w:rFonts w:ascii="Times New Roman" w:eastAsiaTheme="minorEastAsia" w:hAnsi="Times New Roman" w:cs="Times New Roman"/>
          <w:color w:val="222222"/>
          <w:sz w:val="24"/>
          <w:szCs w:val="24"/>
          <w:shd w:val="clear" w:color="auto" w:fill="FFFFFF"/>
        </w:rPr>
      </w:pPr>
      <w:r w:rsidRPr="005E0CA7">
        <w:rPr>
          <w:rFonts w:ascii="Times New Roman" w:eastAsiaTheme="minorEastAsia" w:hAnsi="Times New Roman" w:cs="Times New Roman"/>
          <w:color w:val="222222"/>
          <w:sz w:val="24"/>
          <w:szCs w:val="24"/>
          <w:shd w:val="clear" w:color="auto" w:fill="FFFFFF"/>
        </w:rPr>
        <w:t xml:space="preserve">На длительном горизонте акции могут приносить прибыль в силу сглаживания рисков временным горизонтом, в краткосрочных перспективах необходимо отслеживать тенденции российского рынка (например, сейчас наблюдается пузырь российской экономики, раздутый </w:t>
      </w:r>
      <w:r w:rsidRPr="005E0CA7">
        <w:rPr>
          <w:rFonts w:ascii="Times New Roman" w:eastAsiaTheme="minorEastAsia" w:hAnsi="Times New Roman" w:cs="Times New Roman"/>
          <w:color w:val="222222"/>
          <w:sz w:val="24"/>
          <w:szCs w:val="24"/>
          <w:shd w:val="clear" w:color="auto" w:fill="FFFFFF"/>
          <w:lang w:val="en-US"/>
        </w:rPr>
        <w:t>carry</w:t>
      </w:r>
      <w:r w:rsidR="00DA4515">
        <w:rPr>
          <w:rFonts w:ascii="Times New Roman" w:eastAsiaTheme="minorEastAsia" w:hAnsi="Times New Roman" w:cs="Times New Roman"/>
          <w:color w:val="222222"/>
          <w:sz w:val="24"/>
          <w:szCs w:val="24"/>
          <w:shd w:val="clear" w:color="auto" w:fill="FFFFFF"/>
        </w:rPr>
        <w:t>-</w:t>
      </w:r>
      <w:r w:rsidR="00DA4515">
        <w:rPr>
          <w:rFonts w:ascii="Times New Roman" w:eastAsiaTheme="minorEastAsia" w:hAnsi="Times New Roman" w:cs="Times New Roman"/>
          <w:color w:val="222222"/>
          <w:sz w:val="24"/>
          <w:szCs w:val="24"/>
          <w:shd w:val="clear" w:color="auto" w:fill="FFFFFF"/>
          <w:lang w:val="en-US"/>
        </w:rPr>
        <w:t>trade</w:t>
      </w:r>
      <w:r w:rsidRPr="005E0CA7">
        <w:rPr>
          <w:rFonts w:ascii="Times New Roman" w:eastAsiaTheme="minorEastAsia" w:hAnsi="Times New Roman" w:cs="Times New Roman"/>
          <w:color w:val="222222"/>
          <w:sz w:val="24"/>
          <w:szCs w:val="24"/>
          <w:shd w:val="clear" w:color="auto" w:fill="FFFFFF"/>
        </w:rPr>
        <w:t xml:space="preserve">). </w:t>
      </w:r>
    </w:p>
    <w:p w:rsidR="00D36D5C" w:rsidRDefault="00D36D5C" w:rsidP="00F81226">
      <w:pPr>
        <w:pStyle w:val="a4"/>
        <w:spacing w:after="0" w:line="240" w:lineRule="auto"/>
        <w:ind w:left="0" w:firstLine="709"/>
        <w:contextualSpacing w:val="0"/>
        <w:jc w:val="both"/>
        <w:rPr>
          <w:rFonts w:ascii="Times New Roman" w:eastAsiaTheme="minorEastAsia" w:hAnsi="Times New Roman" w:cs="Times New Roman"/>
          <w:color w:val="222222"/>
          <w:sz w:val="24"/>
          <w:szCs w:val="24"/>
          <w:shd w:val="clear" w:color="auto" w:fill="FFFFFF"/>
        </w:rPr>
      </w:pPr>
      <w:r w:rsidRPr="00D36D5C">
        <w:rPr>
          <w:rFonts w:ascii="Times New Roman" w:eastAsiaTheme="minorEastAsia" w:hAnsi="Times New Roman" w:cs="Times New Roman"/>
          <w:color w:val="222222"/>
          <w:sz w:val="24"/>
          <w:szCs w:val="24"/>
          <w:shd w:val="clear" w:color="auto" w:fill="FFFFFF"/>
        </w:rPr>
        <w:t xml:space="preserve">Попробуем же теперь рассмотреть не один эмитент, а ценные бумаги нескольких эмитентов под одним началом – ПИФы. Рассмотрим три фонда: Ликвидные акции (куда также входит Сбербанк), Облигации (практически безрисковые медленнорастущие ценные бумаги государства) и Индекс ММВБ (где риски страхуются за счет следования трендам и доходным индексам биржи). </w:t>
      </w:r>
      <w:r w:rsidR="00BF08F1" w:rsidRPr="00BF08F1">
        <w:rPr>
          <w:rFonts w:ascii="Times New Roman" w:eastAsiaTheme="minorEastAsia" w:hAnsi="Times New Roman" w:cs="Times New Roman"/>
          <w:color w:val="222222"/>
          <w:sz w:val="24"/>
          <w:szCs w:val="24"/>
          <w:shd w:val="clear" w:color="auto" w:fill="FFFFFF"/>
        </w:rPr>
        <w:t xml:space="preserve">[4] </w:t>
      </w:r>
      <w:r w:rsidRPr="00D36D5C">
        <w:rPr>
          <w:rFonts w:ascii="Times New Roman" w:eastAsiaTheme="minorEastAsia" w:hAnsi="Times New Roman" w:cs="Times New Roman"/>
          <w:color w:val="222222"/>
          <w:sz w:val="24"/>
          <w:szCs w:val="24"/>
          <w:shd w:val="clear" w:color="auto" w:fill="FFFFFF"/>
        </w:rPr>
        <w:t>Рассмотрим годовую доходность каждого фонда</w:t>
      </w:r>
      <w:r w:rsidR="003E4EBF">
        <w:rPr>
          <w:rFonts w:ascii="Times New Roman" w:eastAsiaTheme="minorEastAsia" w:hAnsi="Times New Roman" w:cs="Times New Roman"/>
          <w:color w:val="222222"/>
          <w:sz w:val="24"/>
          <w:szCs w:val="24"/>
          <w:shd w:val="clear" w:color="auto" w:fill="FFFFFF"/>
        </w:rPr>
        <w:t>, представленную в таюлице 4</w:t>
      </w:r>
      <w:r w:rsidRPr="00D36D5C">
        <w:rPr>
          <w:rFonts w:ascii="Times New Roman" w:eastAsiaTheme="minorEastAsia" w:hAnsi="Times New Roman" w:cs="Times New Roman"/>
          <w:color w:val="222222"/>
          <w:sz w:val="24"/>
          <w:szCs w:val="24"/>
          <w:shd w:val="clear" w:color="auto" w:fill="FFFFFF"/>
        </w:rPr>
        <w:t xml:space="preserve"> и рассчитаем по ним коэффициент Шарпа.</w:t>
      </w:r>
      <w:r w:rsidR="00DA4515">
        <w:rPr>
          <w:rFonts w:ascii="Times New Roman" w:eastAsiaTheme="minorEastAsia" w:hAnsi="Times New Roman" w:cs="Times New Roman"/>
          <w:color w:val="222222"/>
          <w:sz w:val="24"/>
          <w:szCs w:val="24"/>
          <w:shd w:val="clear" w:color="auto" w:fill="FFFFFF"/>
        </w:rPr>
        <w:t xml:space="preserve"> </w:t>
      </w:r>
      <w:r w:rsidR="00FE3395" w:rsidRPr="00F96A27">
        <w:rPr>
          <w:rFonts w:ascii="Times New Roman" w:eastAsiaTheme="minorEastAsia" w:hAnsi="Times New Roman" w:cs="Times New Roman"/>
          <w:color w:val="222222"/>
          <w:sz w:val="24"/>
          <w:szCs w:val="24"/>
          <w:shd w:val="clear" w:color="auto" w:fill="FFFFFF"/>
        </w:rPr>
        <w:t xml:space="preserve">[1] </w:t>
      </w:r>
      <w:r w:rsidR="00DA4515">
        <w:rPr>
          <w:rFonts w:ascii="Times New Roman" w:eastAsiaTheme="minorEastAsia" w:hAnsi="Times New Roman" w:cs="Times New Roman"/>
          <w:color w:val="222222"/>
          <w:sz w:val="24"/>
          <w:szCs w:val="24"/>
          <w:shd w:val="clear" w:color="auto" w:fill="FFFFFF"/>
        </w:rPr>
        <w:t>Рассчитанная доходность по каждому инвестиционному фонду оформлена в таблицу 4.</w:t>
      </w:r>
    </w:p>
    <w:p w:rsidR="003E4EBF" w:rsidRDefault="003E4EBF" w:rsidP="00CE7586">
      <w:pPr>
        <w:pStyle w:val="a4"/>
        <w:spacing w:after="120" w:line="240" w:lineRule="auto"/>
        <w:ind w:left="0" w:right="-1" w:firstLine="709"/>
        <w:contextualSpacing w:val="0"/>
        <w:jc w:val="right"/>
        <w:rPr>
          <w:rFonts w:ascii="Times New Roman" w:eastAsiaTheme="minorEastAsia" w:hAnsi="Times New Roman" w:cs="Times New Roman"/>
          <w:i/>
          <w:color w:val="222222"/>
          <w:sz w:val="24"/>
          <w:szCs w:val="24"/>
          <w:shd w:val="clear" w:color="auto" w:fill="FFFFFF"/>
        </w:rPr>
      </w:pPr>
      <w:r w:rsidRPr="003E4EBF">
        <w:rPr>
          <w:rFonts w:ascii="Times New Roman" w:eastAsiaTheme="minorEastAsia" w:hAnsi="Times New Roman" w:cs="Times New Roman"/>
          <w:i/>
          <w:color w:val="222222"/>
          <w:sz w:val="24"/>
          <w:szCs w:val="24"/>
          <w:shd w:val="clear" w:color="auto" w:fill="FFFFFF"/>
        </w:rPr>
        <w:t>Таблица 4</w:t>
      </w:r>
    </w:p>
    <w:p w:rsidR="003E4EBF" w:rsidRPr="003E4EBF" w:rsidRDefault="003E4EBF" w:rsidP="00CE7586">
      <w:pPr>
        <w:pStyle w:val="a4"/>
        <w:spacing w:after="120" w:line="240" w:lineRule="auto"/>
        <w:ind w:left="0" w:right="-1" w:firstLine="709"/>
        <w:contextualSpacing w:val="0"/>
        <w:jc w:val="center"/>
        <w:rPr>
          <w:rFonts w:ascii="Times New Roman" w:eastAsiaTheme="minorEastAsia" w:hAnsi="Times New Roman" w:cs="Times New Roman"/>
          <w:b/>
          <w:color w:val="222222"/>
          <w:sz w:val="24"/>
          <w:szCs w:val="24"/>
          <w:shd w:val="clear" w:color="auto" w:fill="FFFFFF"/>
        </w:rPr>
      </w:pPr>
      <w:r w:rsidRPr="003E4EBF">
        <w:rPr>
          <w:rFonts w:ascii="Times New Roman" w:eastAsiaTheme="minorEastAsia" w:hAnsi="Times New Roman" w:cs="Times New Roman"/>
          <w:b/>
          <w:color w:val="222222"/>
          <w:sz w:val="24"/>
          <w:szCs w:val="24"/>
          <w:shd w:val="clear" w:color="auto" w:fill="FFFFFF"/>
        </w:rPr>
        <w:t>Основные показатели доходности паевых фондов</w:t>
      </w:r>
    </w:p>
    <w:tbl>
      <w:tblPr>
        <w:tblW w:w="9639" w:type="dxa"/>
        <w:tblInd w:w="15" w:type="dxa"/>
        <w:tblCellMar>
          <w:left w:w="0" w:type="dxa"/>
          <w:right w:w="0" w:type="dxa"/>
        </w:tblCellMar>
        <w:tblLook w:val="0600" w:firstRow="0" w:lastRow="0" w:firstColumn="0" w:lastColumn="0" w:noHBand="1" w:noVBand="1"/>
      </w:tblPr>
      <w:tblGrid>
        <w:gridCol w:w="2409"/>
        <w:gridCol w:w="2410"/>
        <w:gridCol w:w="2410"/>
        <w:gridCol w:w="2410"/>
      </w:tblGrid>
      <w:tr w:rsidR="003E4EBF" w:rsidRPr="003E4EBF" w:rsidTr="00805C19">
        <w:trPr>
          <w:trHeight w:val="436"/>
        </w:trPr>
        <w:tc>
          <w:tcPr>
            <w:tcW w:w="240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Период наблюдений</w:t>
            </w:r>
          </w:p>
        </w:tc>
        <w:tc>
          <w:tcPr>
            <w:tcW w:w="7230"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Годовая доходность, %</w:t>
            </w:r>
          </w:p>
        </w:tc>
      </w:tr>
      <w:tr w:rsidR="003E4EBF" w:rsidRPr="003E4EBF" w:rsidTr="00805C19">
        <w:trPr>
          <w:trHeight w:val="436"/>
        </w:trPr>
        <w:tc>
          <w:tcPr>
            <w:tcW w:w="2409" w:type="dxa"/>
            <w:vMerge/>
            <w:tcBorders>
              <w:top w:val="single" w:sz="8" w:space="0" w:color="000000"/>
              <w:left w:val="single" w:sz="8" w:space="0" w:color="000000"/>
              <w:bottom w:val="single" w:sz="8" w:space="0" w:color="000000"/>
              <w:right w:val="single" w:sz="8" w:space="0" w:color="000000"/>
            </w:tcBorders>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Pr>
                <w:rFonts w:ascii="Times New Roman" w:eastAsiaTheme="minorEastAsia" w:hAnsi="Times New Roman" w:cs="Times New Roman"/>
                <w:color w:val="222222"/>
                <w:sz w:val="24"/>
                <w:szCs w:val="24"/>
                <w:shd w:val="clear" w:color="auto" w:fill="FFFFFF"/>
              </w:rPr>
              <w:t>Ликвидные ак</w:t>
            </w:r>
            <w:r w:rsidRPr="003E4EBF">
              <w:rPr>
                <w:rFonts w:ascii="Times New Roman" w:eastAsiaTheme="minorEastAsia" w:hAnsi="Times New Roman" w:cs="Times New Roman"/>
                <w:color w:val="222222"/>
                <w:sz w:val="24"/>
                <w:szCs w:val="24"/>
                <w:shd w:val="clear" w:color="auto" w:fill="FFFFFF"/>
              </w:rPr>
              <w:t>ции</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Облигации</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Индекс ММВБ</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2007</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6,49</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6,28</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13,77</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2008</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-67,28</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-21,34</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-68,79</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2009</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181,03</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32,1</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62,42</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2010</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13,28</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13,3</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21,51</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2011</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-20,91</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4,97</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-17,07</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5"/>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2012</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9,5</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11,67</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6,87</w:t>
            </w:r>
          </w:p>
        </w:tc>
      </w:tr>
    </w:tbl>
    <w:p w:rsidR="00F81226" w:rsidRDefault="00F81226"/>
    <w:p w:rsidR="00F81226" w:rsidRPr="00F81226" w:rsidRDefault="00F81226" w:rsidP="00F81226">
      <w:pPr>
        <w:spacing w:after="0" w:line="257" w:lineRule="auto"/>
        <w:rPr>
          <w:rFonts w:ascii="Times New Roman" w:hAnsi="Times New Roman" w:cs="Times New Roman"/>
          <w:sz w:val="24"/>
        </w:rPr>
      </w:pPr>
      <w:r w:rsidRPr="00F81226">
        <w:rPr>
          <w:rFonts w:ascii="Times New Roman" w:hAnsi="Times New Roman" w:cs="Times New Roman"/>
          <w:sz w:val="24"/>
        </w:rPr>
        <w:lastRenderedPageBreak/>
        <w:t>Продолжение таблицы 4</w:t>
      </w:r>
    </w:p>
    <w:tbl>
      <w:tblPr>
        <w:tblW w:w="9639" w:type="dxa"/>
        <w:tblInd w:w="15" w:type="dxa"/>
        <w:tblCellMar>
          <w:left w:w="0" w:type="dxa"/>
          <w:right w:w="0" w:type="dxa"/>
        </w:tblCellMar>
        <w:tblLook w:val="0600" w:firstRow="0" w:lastRow="0" w:firstColumn="0" w:lastColumn="0" w:noHBand="1" w:noVBand="1"/>
      </w:tblPr>
      <w:tblGrid>
        <w:gridCol w:w="2409"/>
        <w:gridCol w:w="2410"/>
        <w:gridCol w:w="2410"/>
        <w:gridCol w:w="2410"/>
      </w:tblGrid>
      <w:tr w:rsidR="00F81226" w:rsidRPr="003E4EBF" w:rsidTr="001770AD">
        <w:trPr>
          <w:trHeight w:val="436"/>
        </w:trPr>
        <w:tc>
          <w:tcPr>
            <w:tcW w:w="2409"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3E4EBF" w:rsidRDefault="00F81226" w:rsidP="001770AD">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Период наблюдений</w:t>
            </w:r>
          </w:p>
        </w:tc>
        <w:tc>
          <w:tcPr>
            <w:tcW w:w="7230"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3E4EBF" w:rsidRDefault="00F81226" w:rsidP="001770AD">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Годовая доходность, %</w:t>
            </w:r>
          </w:p>
        </w:tc>
      </w:tr>
      <w:tr w:rsidR="00F81226" w:rsidRPr="003E4EBF" w:rsidTr="001770AD">
        <w:trPr>
          <w:trHeight w:val="436"/>
        </w:trPr>
        <w:tc>
          <w:tcPr>
            <w:tcW w:w="2409" w:type="dxa"/>
            <w:vMerge/>
            <w:tcBorders>
              <w:top w:val="single" w:sz="8" w:space="0" w:color="000000"/>
              <w:left w:val="single" w:sz="8" w:space="0" w:color="000000"/>
              <w:bottom w:val="single" w:sz="8" w:space="0" w:color="000000"/>
              <w:right w:val="single" w:sz="8" w:space="0" w:color="000000"/>
            </w:tcBorders>
            <w:vAlign w:val="center"/>
            <w:hideMark/>
          </w:tcPr>
          <w:p w:rsidR="00F81226" w:rsidRPr="003E4EBF" w:rsidRDefault="00F81226" w:rsidP="001770AD">
            <w:pPr>
              <w:pStyle w:val="a4"/>
              <w:spacing w:after="120"/>
              <w:ind w:left="0" w:right="-1"/>
              <w:jc w:val="center"/>
              <w:rPr>
                <w:rFonts w:ascii="Times New Roman" w:eastAsiaTheme="minorEastAsia" w:hAnsi="Times New Roman" w:cs="Times New Roman"/>
                <w:color w:val="222222"/>
                <w:sz w:val="24"/>
                <w:szCs w:val="24"/>
                <w:shd w:val="clear" w:color="auto" w:fill="FFFFFF"/>
              </w:rPr>
            </w:pP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3E4EBF" w:rsidRDefault="00F81226" w:rsidP="001770AD">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Pr>
                <w:rFonts w:ascii="Times New Roman" w:eastAsiaTheme="minorEastAsia" w:hAnsi="Times New Roman" w:cs="Times New Roman"/>
                <w:color w:val="222222"/>
                <w:sz w:val="24"/>
                <w:szCs w:val="24"/>
                <w:shd w:val="clear" w:color="auto" w:fill="FFFFFF"/>
              </w:rPr>
              <w:t>Ликвидные ак</w:t>
            </w:r>
            <w:r w:rsidRPr="003E4EBF">
              <w:rPr>
                <w:rFonts w:ascii="Times New Roman" w:eastAsiaTheme="minorEastAsia" w:hAnsi="Times New Roman" w:cs="Times New Roman"/>
                <w:color w:val="222222"/>
                <w:sz w:val="24"/>
                <w:szCs w:val="24"/>
                <w:shd w:val="clear" w:color="auto" w:fill="FFFFFF"/>
              </w:rPr>
              <w:t>ции</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3E4EBF" w:rsidRDefault="00F81226" w:rsidP="001770AD">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Облигации</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3E4EBF" w:rsidRDefault="00F81226" w:rsidP="001770AD">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Индекс ММВБ</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5"/>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2013</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12,52</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6,29</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3,91</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5"/>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2014</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21,96</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-5,76</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-3,67</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5"/>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2015</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28,27</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21,22</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29,41</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5"/>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2016</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25,12</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14,51</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30,22</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5"/>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Средняя доходность</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20,998</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8,32</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7,858</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5"/>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Дисперсия</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3570,4</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190,4</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1080,9</w:t>
            </w:r>
          </w:p>
        </w:tc>
      </w:tr>
      <w:tr w:rsidR="003E4EBF" w:rsidRPr="003E4EBF" w:rsidTr="00805C19">
        <w:trPr>
          <w:trHeight w:val="589"/>
        </w:trPr>
        <w:tc>
          <w:tcPr>
            <w:tcW w:w="2409"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5"/>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Стандартное отклонение</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1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59,75</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hanging="9"/>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13,80</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3E4EBF" w:rsidRPr="003E4EBF" w:rsidRDefault="003E4EBF" w:rsidP="00805C19">
            <w:pPr>
              <w:pStyle w:val="a4"/>
              <w:spacing w:after="120"/>
              <w:ind w:left="0" w:right="-1"/>
              <w:jc w:val="center"/>
              <w:rPr>
                <w:rFonts w:ascii="Times New Roman" w:eastAsiaTheme="minorEastAsia" w:hAnsi="Times New Roman" w:cs="Times New Roman"/>
                <w:color w:val="222222"/>
                <w:sz w:val="24"/>
                <w:szCs w:val="24"/>
                <w:shd w:val="clear" w:color="auto" w:fill="FFFFFF"/>
              </w:rPr>
            </w:pPr>
            <w:r w:rsidRPr="003E4EBF">
              <w:rPr>
                <w:rFonts w:ascii="Times New Roman" w:eastAsiaTheme="minorEastAsia" w:hAnsi="Times New Roman" w:cs="Times New Roman"/>
                <w:color w:val="222222"/>
                <w:sz w:val="24"/>
                <w:szCs w:val="24"/>
                <w:shd w:val="clear" w:color="auto" w:fill="FFFFFF"/>
              </w:rPr>
              <w:t>32,88</w:t>
            </w:r>
          </w:p>
        </w:tc>
      </w:tr>
    </w:tbl>
    <w:p w:rsidR="003E4EBF" w:rsidRPr="00D36D5C" w:rsidRDefault="003E4EBF" w:rsidP="00CE7586">
      <w:pPr>
        <w:pStyle w:val="a4"/>
        <w:spacing w:after="120" w:line="240" w:lineRule="auto"/>
        <w:ind w:left="0" w:right="-1" w:firstLine="709"/>
        <w:contextualSpacing w:val="0"/>
        <w:jc w:val="both"/>
        <w:rPr>
          <w:rFonts w:ascii="Times New Roman" w:eastAsiaTheme="minorEastAsia" w:hAnsi="Times New Roman" w:cs="Times New Roman"/>
          <w:color w:val="222222"/>
          <w:sz w:val="24"/>
          <w:szCs w:val="24"/>
          <w:shd w:val="clear" w:color="auto" w:fill="FFFFFF"/>
        </w:rPr>
      </w:pPr>
    </w:p>
    <w:p w:rsidR="00D36D5C" w:rsidRPr="00D36D5C" w:rsidRDefault="00D36D5C" w:rsidP="00F81226">
      <w:pPr>
        <w:pStyle w:val="a4"/>
        <w:spacing w:after="0" w:line="240" w:lineRule="auto"/>
        <w:ind w:left="0" w:right="-1" w:firstLine="709"/>
        <w:contextualSpacing w:val="0"/>
        <w:jc w:val="both"/>
        <w:rPr>
          <w:rFonts w:ascii="Times New Roman" w:eastAsiaTheme="minorEastAsia" w:hAnsi="Times New Roman" w:cs="Times New Roman"/>
          <w:color w:val="222222"/>
          <w:sz w:val="24"/>
          <w:szCs w:val="24"/>
          <w:shd w:val="clear" w:color="auto" w:fill="FFFFFF"/>
        </w:rPr>
      </w:pPr>
      <w:r w:rsidRPr="00D36D5C">
        <w:rPr>
          <w:rFonts w:ascii="Times New Roman" w:eastAsiaTheme="minorEastAsia" w:hAnsi="Times New Roman" w:cs="Times New Roman"/>
          <w:color w:val="222222"/>
          <w:sz w:val="24"/>
          <w:szCs w:val="24"/>
          <w:shd w:val="clear" w:color="auto" w:fill="FFFFFF"/>
        </w:rPr>
        <w:t xml:space="preserve"> По полученным данным годовой доходности можно заметить, что наиболее доходным фондом является Ликвидные акции (положительным моментом которого является гибкая реакция на изменения конъюнктуры рынка) это обусловлено диверсификацией деятельностью (не только внутри страны, но и за рубежом), по Облигациям можно заметить среднюю доходность, весьма близкую к банковским депозитам, но и низкую просадку во время кризисов. </w:t>
      </w:r>
    </w:p>
    <w:p w:rsidR="005E0CA7" w:rsidRDefault="00D36D5C" w:rsidP="00F81226">
      <w:pPr>
        <w:pStyle w:val="a4"/>
        <w:spacing w:after="0" w:line="240" w:lineRule="auto"/>
        <w:ind w:left="0" w:firstLine="709"/>
        <w:contextualSpacing w:val="0"/>
        <w:jc w:val="both"/>
        <w:rPr>
          <w:rFonts w:ascii="Times New Roman" w:eastAsiaTheme="minorEastAsia" w:hAnsi="Times New Roman" w:cs="Times New Roman"/>
          <w:color w:val="222222"/>
          <w:sz w:val="24"/>
          <w:szCs w:val="24"/>
          <w:shd w:val="clear" w:color="auto" w:fill="FFFFFF"/>
        </w:rPr>
      </w:pPr>
      <w:r w:rsidRPr="00D36D5C">
        <w:rPr>
          <w:rFonts w:ascii="Times New Roman" w:eastAsiaTheme="minorEastAsia" w:hAnsi="Times New Roman" w:cs="Times New Roman"/>
          <w:color w:val="222222"/>
          <w:sz w:val="24"/>
          <w:szCs w:val="24"/>
          <w:shd w:val="clear" w:color="auto" w:fill="FFFFFF"/>
        </w:rPr>
        <w:t>Теперь рассмотр</w:t>
      </w:r>
      <w:r w:rsidR="00DA4515">
        <w:rPr>
          <w:rFonts w:ascii="Times New Roman" w:eastAsiaTheme="minorEastAsia" w:hAnsi="Times New Roman" w:cs="Times New Roman"/>
          <w:color w:val="222222"/>
          <w:sz w:val="24"/>
          <w:szCs w:val="24"/>
          <w:shd w:val="clear" w:color="auto" w:fill="FFFFFF"/>
        </w:rPr>
        <w:t>им значения коэффициента Шарпа. На рисунке 2</w:t>
      </w:r>
      <w:r w:rsidRPr="00D36D5C">
        <w:rPr>
          <w:rFonts w:ascii="Times New Roman" w:eastAsiaTheme="minorEastAsia" w:hAnsi="Times New Roman" w:cs="Times New Roman"/>
          <w:color w:val="222222"/>
          <w:sz w:val="24"/>
          <w:szCs w:val="24"/>
          <w:shd w:val="clear" w:color="auto" w:fill="FFFFFF"/>
        </w:rPr>
        <w:t xml:space="preserve"> видно, что только долевые бумаги показывают стабильный рост, и не проседают во время экономической неустойчивости, про долговые же бумаги можно сказать, что в условиях кризиса куда выгоднее будет вложиться в иные способы дохода (например, даже банковские вклады).</w:t>
      </w:r>
    </w:p>
    <w:p w:rsidR="002960B0" w:rsidRDefault="002960B0" w:rsidP="00CE7586">
      <w:pPr>
        <w:pStyle w:val="a4"/>
        <w:tabs>
          <w:tab w:val="left" w:pos="9071"/>
        </w:tabs>
        <w:spacing w:after="120" w:line="240" w:lineRule="auto"/>
        <w:ind w:left="0" w:right="-1" w:firstLine="709"/>
        <w:contextualSpacing w:val="0"/>
        <w:jc w:val="both"/>
        <w:rPr>
          <w:rFonts w:ascii="Times New Roman" w:eastAsiaTheme="minorEastAsia" w:hAnsi="Times New Roman" w:cs="Times New Roman"/>
          <w:color w:val="222222"/>
          <w:sz w:val="24"/>
          <w:szCs w:val="24"/>
          <w:shd w:val="clear" w:color="auto" w:fill="FFFFFF"/>
        </w:rPr>
      </w:pPr>
      <w:r w:rsidRPr="002960B0">
        <w:rPr>
          <w:rFonts w:ascii="Times New Roman" w:eastAsiaTheme="minorEastAsia" w:hAnsi="Times New Roman" w:cs="Times New Roman"/>
          <w:noProof/>
          <w:color w:val="222222"/>
          <w:sz w:val="24"/>
          <w:szCs w:val="24"/>
          <w:shd w:val="clear" w:color="auto" w:fill="FFFFFF"/>
          <w:lang w:eastAsia="ru-RU"/>
        </w:rPr>
        <w:drawing>
          <wp:inline distT="0" distB="0" distL="0" distR="0">
            <wp:extent cx="5629275" cy="25146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960B0" w:rsidRPr="00D36D5C" w:rsidRDefault="002960B0" w:rsidP="00CE7586">
      <w:pPr>
        <w:pStyle w:val="a4"/>
        <w:tabs>
          <w:tab w:val="left" w:pos="9071"/>
        </w:tabs>
        <w:spacing w:after="120" w:line="240" w:lineRule="auto"/>
        <w:ind w:left="0" w:right="-1" w:firstLine="709"/>
        <w:contextualSpacing w:val="0"/>
        <w:jc w:val="center"/>
        <w:rPr>
          <w:rFonts w:ascii="Times New Roman" w:eastAsiaTheme="minorEastAsia" w:hAnsi="Times New Roman" w:cs="Times New Roman"/>
          <w:color w:val="222222"/>
          <w:sz w:val="24"/>
          <w:szCs w:val="24"/>
          <w:shd w:val="clear" w:color="auto" w:fill="FFFFFF"/>
        </w:rPr>
      </w:pPr>
      <w:r>
        <w:rPr>
          <w:rFonts w:ascii="Times New Roman" w:eastAsiaTheme="minorEastAsia" w:hAnsi="Times New Roman" w:cs="Times New Roman"/>
          <w:color w:val="222222"/>
          <w:sz w:val="24"/>
          <w:szCs w:val="24"/>
          <w:shd w:val="clear" w:color="auto" w:fill="FFFFFF"/>
        </w:rPr>
        <w:t>Рис.2. Коэффициент Шарпа по паевым фондам</w:t>
      </w:r>
    </w:p>
    <w:p w:rsidR="005E0CA7" w:rsidRDefault="005E0CA7" w:rsidP="003A1DF9">
      <w:pPr>
        <w:pStyle w:val="a4"/>
        <w:spacing w:before="120" w:after="240" w:line="240" w:lineRule="auto"/>
        <w:ind w:left="0" w:firstLine="709"/>
        <w:contextualSpacing w:val="0"/>
        <w:jc w:val="both"/>
        <w:rPr>
          <w:rFonts w:ascii="Times New Roman" w:eastAsiaTheme="minorEastAsia" w:hAnsi="Times New Roman" w:cs="Times New Roman"/>
          <w:color w:val="222222"/>
          <w:sz w:val="24"/>
          <w:szCs w:val="24"/>
          <w:shd w:val="clear" w:color="auto" w:fill="FFFFFF"/>
        </w:rPr>
      </w:pPr>
      <w:r w:rsidRPr="005E0CA7">
        <w:rPr>
          <w:rFonts w:ascii="Times New Roman" w:eastAsiaTheme="minorEastAsia" w:hAnsi="Times New Roman" w:cs="Times New Roman"/>
          <w:color w:val="222222"/>
          <w:sz w:val="24"/>
          <w:szCs w:val="24"/>
          <w:shd w:val="clear" w:color="auto" w:fill="FFFFFF"/>
        </w:rPr>
        <w:t>Убедимся в соотношении риска и дохода по паевым фондам рассчитав меру рыночного риска</w:t>
      </w:r>
      <w:r w:rsidR="00DA4515">
        <w:rPr>
          <w:rFonts w:ascii="Times New Roman" w:eastAsiaTheme="minorEastAsia" w:hAnsi="Times New Roman" w:cs="Times New Roman"/>
          <w:color w:val="222222"/>
          <w:sz w:val="24"/>
          <w:szCs w:val="24"/>
          <w:shd w:val="clear" w:color="auto" w:fill="FFFFFF"/>
        </w:rPr>
        <w:t xml:space="preserve"> (рисунок 3)</w:t>
      </w:r>
      <w:r w:rsidRPr="005E0CA7">
        <w:rPr>
          <w:rFonts w:ascii="Times New Roman" w:eastAsiaTheme="minorEastAsia" w:hAnsi="Times New Roman" w:cs="Times New Roman"/>
          <w:color w:val="222222"/>
          <w:sz w:val="24"/>
          <w:szCs w:val="24"/>
          <w:shd w:val="clear" w:color="auto" w:fill="FFFFFF"/>
        </w:rPr>
        <w:t xml:space="preserve"> и действительно – Ликвидные акции являются самыми доходными, но и влекут за собой максимальный риск, и наименее доходными (как видно из таблицы доходностей и уровня коэффициента) являются долговые ценные бумаги, Индекс Московской биржи </w:t>
      </w:r>
      <w:r w:rsidRPr="005E0CA7">
        <w:rPr>
          <w:rFonts w:ascii="Times New Roman" w:eastAsiaTheme="minorEastAsia" w:hAnsi="Times New Roman" w:cs="Times New Roman"/>
          <w:color w:val="222222"/>
          <w:sz w:val="24"/>
          <w:szCs w:val="24"/>
          <w:shd w:val="clear" w:color="auto" w:fill="FFFFFF"/>
        </w:rPr>
        <w:lastRenderedPageBreak/>
        <w:t>также отражает экономическую ситуацию в стране и влечет за собой средний риск в виду снижения спроса на ценные бумаги.</w:t>
      </w:r>
    </w:p>
    <w:p w:rsidR="002960B0" w:rsidRDefault="002960B0" w:rsidP="00CE7586">
      <w:pPr>
        <w:pStyle w:val="a4"/>
        <w:spacing w:before="120" w:after="120" w:line="240" w:lineRule="auto"/>
        <w:ind w:left="0" w:right="-1" w:firstLine="709"/>
        <w:contextualSpacing w:val="0"/>
        <w:jc w:val="both"/>
        <w:rPr>
          <w:rFonts w:ascii="Times New Roman" w:eastAsiaTheme="minorEastAsia" w:hAnsi="Times New Roman" w:cs="Times New Roman"/>
          <w:color w:val="222222"/>
          <w:sz w:val="24"/>
          <w:szCs w:val="24"/>
          <w:shd w:val="clear" w:color="auto" w:fill="FFFFFF"/>
        </w:rPr>
      </w:pPr>
      <w:r w:rsidRPr="002960B0">
        <w:rPr>
          <w:rFonts w:ascii="Times New Roman" w:eastAsiaTheme="minorEastAsia" w:hAnsi="Times New Roman" w:cs="Times New Roman"/>
          <w:noProof/>
          <w:sz w:val="24"/>
          <w:szCs w:val="24"/>
          <w:shd w:val="clear" w:color="auto" w:fill="FFFFFF"/>
          <w:lang w:eastAsia="ru-RU"/>
        </w:rPr>
        <w:drawing>
          <wp:inline distT="0" distB="0" distL="0" distR="0">
            <wp:extent cx="5629275" cy="2305050"/>
            <wp:effectExtent l="0" t="0" r="9525"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960B0" w:rsidRPr="002960B0" w:rsidRDefault="002960B0" w:rsidP="00CE7586">
      <w:pPr>
        <w:pStyle w:val="a4"/>
        <w:spacing w:before="120" w:after="120" w:line="240" w:lineRule="auto"/>
        <w:ind w:left="0" w:right="-1" w:firstLine="709"/>
        <w:contextualSpacing w:val="0"/>
        <w:jc w:val="center"/>
        <w:rPr>
          <w:rFonts w:ascii="Times New Roman" w:eastAsiaTheme="minorEastAsia" w:hAnsi="Times New Roman" w:cs="Times New Roman"/>
          <w:color w:val="222222"/>
          <w:sz w:val="24"/>
          <w:szCs w:val="24"/>
          <w:shd w:val="clear" w:color="auto" w:fill="FFFFFF"/>
        </w:rPr>
      </w:pPr>
      <w:r w:rsidRPr="002960B0">
        <w:rPr>
          <w:rFonts w:ascii="Times New Roman" w:eastAsiaTheme="minorEastAsia" w:hAnsi="Times New Roman" w:cs="Times New Roman"/>
          <w:color w:val="222222"/>
          <w:sz w:val="24"/>
          <w:szCs w:val="24"/>
          <w:shd w:val="clear" w:color="auto" w:fill="FFFFFF"/>
        </w:rPr>
        <w:t>Рис.3. Мера рыночного риска по паевым фондам</w:t>
      </w:r>
    </w:p>
    <w:p w:rsidR="005E0CA7" w:rsidRPr="003A1DF9" w:rsidRDefault="005E0CA7" w:rsidP="00DC513B">
      <w:pPr>
        <w:pStyle w:val="a4"/>
        <w:spacing w:after="0" w:line="240" w:lineRule="auto"/>
        <w:ind w:left="0" w:firstLine="709"/>
        <w:contextualSpacing w:val="0"/>
        <w:jc w:val="both"/>
        <w:rPr>
          <w:rFonts w:ascii="Times New Roman" w:eastAsiaTheme="minorEastAsia" w:hAnsi="Times New Roman" w:cs="Times New Roman"/>
          <w:color w:val="222222"/>
          <w:sz w:val="24"/>
          <w:szCs w:val="24"/>
          <w:shd w:val="clear" w:color="auto" w:fill="FFFFFF"/>
        </w:rPr>
      </w:pPr>
      <w:r w:rsidRPr="003A1DF9">
        <w:rPr>
          <w:rFonts w:ascii="Times New Roman" w:eastAsiaTheme="minorEastAsia" w:hAnsi="Times New Roman" w:cs="Times New Roman"/>
          <w:color w:val="222222"/>
          <w:sz w:val="24"/>
          <w:szCs w:val="24"/>
          <w:shd w:val="clear" w:color="auto" w:fill="FFFFFF"/>
        </w:rPr>
        <w:t>Теперь же рассчитаем по каждому паевому фонду, такой важный показатель как NPV (чистая приведенная стоимость). Это метод оценки, основанный на методологии дисконтирования денежных потоков.</w:t>
      </w:r>
      <w:r w:rsidR="000E5E97" w:rsidRPr="000E5E97">
        <w:rPr>
          <w:rFonts w:ascii="Times New Roman" w:eastAsiaTheme="minorEastAsia" w:hAnsi="Times New Roman" w:cs="Times New Roman"/>
          <w:color w:val="222222"/>
          <w:sz w:val="24"/>
          <w:szCs w:val="24"/>
          <w:shd w:val="clear" w:color="auto" w:fill="FFFFFF"/>
        </w:rPr>
        <w:t>[8]</w:t>
      </w:r>
      <w:r w:rsidRPr="003A1DF9">
        <w:rPr>
          <w:rFonts w:ascii="Times New Roman" w:eastAsiaTheme="minorEastAsia" w:hAnsi="Times New Roman" w:cs="Times New Roman"/>
          <w:color w:val="222222"/>
          <w:sz w:val="24"/>
          <w:szCs w:val="24"/>
          <w:shd w:val="clear" w:color="auto" w:fill="FFFFFF"/>
        </w:rPr>
        <w:t xml:space="preserve"> Алгоритм расчета показателя:</w:t>
      </w:r>
    </w:p>
    <w:p w:rsidR="005E0CA7" w:rsidRPr="003A1DF9" w:rsidRDefault="005E0CA7" w:rsidP="00DC513B">
      <w:pPr>
        <w:pStyle w:val="a4"/>
        <w:spacing w:after="0" w:line="240" w:lineRule="auto"/>
        <w:ind w:left="0" w:firstLine="709"/>
        <w:contextualSpacing w:val="0"/>
        <w:jc w:val="both"/>
        <w:rPr>
          <w:rFonts w:ascii="Times New Roman" w:eastAsiaTheme="minorEastAsia" w:hAnsi="Times New Roman" w:cs="Times New Roman"/>
          <w:color w:val="222222"/>
          <w:sz w:val="24"/>
          <w:szCs w:val="24"/>
          <w:shd w:val="clear" w:color="auto" w:fill="FFFFFF"/>
        </w:rPr>
      </w:pPr>
      <w:r w:rsidRPr="003A1DF9">
        <w:rPr>
          <w:rFonts w:ascii="Times New Roman" w:eastAsiaTheme="minorEastAsia" w:hAnsi="Times New Roman" w:cs="Times New Roman"/>
          <w:color w:val="222222"/>
          <w:sz w:val="24"/>
          <w:szCs w:val="24"/>
          <w:shd w:val="clear" w:color="auto" w:fill="FFFFFF"/>
        </w:rPr>
        <w:t xml:space="preserve">1) </w:t>
      </w:r>
      <w:r w:rsidR="002960B0" w:rsidRPr="003A1DF9">
        <w:rPr>
          <w:rFonts w:ascii="Times New Roman" w:eastAsiaTheme="minorEastAsia" w:hAnsi="Times New Roman" w:cs="Times New Roman"/>
          <w:color w:val="222222"/>
          <w:sz w:val="24"/>
          <w:szCs w:val="24"/>
          <w:shd w:val="clear" w:color="auto" w:fill="FFFFFF"/>
        </w:rPr>
        <w:t xml:space="preserve">   </w:t>
      </w:r>
      <w:r w:rsidRPr="003A1DF9">
        <w:rPr>
          <w:rFonts w:ascii="Times New Roman" w:eastAsiaTheme="minorEastAsia" w:hAnsi="Times New Roman" w:cs="Times New Roman"/>
          <w:color w:val="222222"/>
          <w:sz w:val="24"/>
          <w:szCs w:val="24"/>
          <w:shd w:val="clear" w:color="auto" w:fill="FFFFFF"/>
        </w:rPr>
        <w:t>Определяем первоначальный денежный поток и ожидаемые поступления денежных средств в будущем</w:t>
      </w:r>
      <w:r w:rsidR="002960B0" w:rsidRPr="003A1DF9">
        <w:rPr>
          <w:rFonts w:ascii="Times New Roman" w:eastAsiaTheme="minorEastAsia" w:hAnsi="Times New Roman" w:cs="Times New Roman"/>
          <w:color w:val="222222"/>
          <w:sz w:val="24"/>
          <w:szCs w:val="24"/>
          <w:shd w:val="clear" w:color="auto" w:fill="FFFFFF"/>
        </w:rPr>
        <w:t>;</w:t>
      </w:r>
    </w:p>
    <w:p w:rsidR="005E0CA7" w:rsidRPr="003A1DF9" w:rsidRDefault="005E0CA7" w:rsidP="00DC513B">
      <w:pPr>
        <w:pStyle w:val="a4"/>
        <w:spacing w:after="0" w:line="240" w:lineRule="auto"/>
        <w:ind w:left="0" w:firstLine="709"/>
        <w:contextualSpacing w:val="0"/>
        <w:jc w:val="both"/>
        <w:rPr>
          <w:rFonts w:ascii="Times New Roman" w:eastAsiaTheme="minorEastAsia" w:hAnsi="Times New Roman" w:cs="Times New Roman"/>
          <w:color w:val="222222"/>
          <w:sz w:val="24"/>
          <w:szCs w:val="24"/>
          <w:shd w:val="clear" w:color="auto" w:fill="FFFFFF"/>
        </w:rPr>
      </w:pPr>
      <w:r w:rsidRPr="003A1DF9">
        <w:rPr>
          <w:rFonts w:ascii="Times New Roman" w:eastAsiaTheme="minorEastAsia" w:hAnsi="Times New Roman" w:cs="Times New Roman"/>
          <w:color w:val="222222"/>
          <w:sz w:val="24"/>
          <w:szCs w:val="24"/>
          <w:shd w:val="clear" w:color="auto" w:fill="FFFFFF"/>
        </w:rPr>
        <w:t>2)</w:t>
      </w:r>
      <w:r w:rsidR="002960B0" w:rsidRPr="003A1DF9">
        <w:rPr>
          <w:rFonts w:ascii="Times New Roman" w:eastAsiaTheme="minorEastAsia" w:hAnsi="Times New Roman" w:cs="Times New Roman"/>
          <w:color w:val="222222"/>
          <w:sz w:val="24"/>
          <w:szCs w:val="24"/>
          <w:shd w:val="clear" w:color="auto" w:fill="FFFFFF"/>
        </w:rPr>
        <w:t xml:space="preserve">   </w:t>
      </w:r>
      <w:r w:rsidRPr="003A1DF9">
        <w:rPr>
          <w:rFonts w:ascii="Times New Roman" w:eastAsiaTheme="minorEastAsia" w:hAnsi="Times New Roman" w:cs="Times New Roman"/>
          <w:color w:val="222222"/>
          <w:sz w:val="24"/>
          <w:szCs w:val="24"/>
          <w:shd w:val="clear" w:color="auto" w:fill="FFFFFF"/>
        </w:rPr>
        <w:t xml:space="preserve"> Определяем стоимость капитала — на это укажет ставка дисконтирования</w:t>
      </w:r>
      <w:r w:rsidR="002960B0" w:rsidRPr="003A1DF9">
        <w:rPr>
          <w:rFonts w:ascii="Times New Roman" w:eastAsiaTheme="minorEastAsia" w:hAnsi="Times New Roman" w:cs="Times New Roman"/>
          <w:color w:val="222222"/>
          <w:sz w:val="24"/>
          <w:szCs w:val="24"/>
          <w:shd w:val="clear" w:color="auto" w:fill="FFFFFF"/>
        </w:rPr>
        <w:t>;</w:t>
      </w:r>
    </w:p>
    <w:p w:rsidR="005E0CA7" w:rsidRPr="003A1DF9" w:rsidRDefault="005E0CA7" w:rsidP="00DC513B">
      <w:pPr>
        <w:pStyle w:val="a4"/>
        <w:spacing w:after="0" w:line="240" w:lineRule="auto"/>
        <w:ind w:left="0" w:firstLine="709"/>
        <w:contextualSpacing w:val="0"/>
        <w:jc w:val="both"/>
        <w:rPr>
          <w:rFonts w:ascii="Times New Roman" w:eastAsiaTheme="minorEastAsia" w:hAnsi="Times New Roman" w:cs="Times New Roman"/>
          <w:color w:val="222222"/>
          <w:sz w:val="24"/>
          <w:szCs w:val="24"/>
          <w:shd w:val="clear" w:color="auto" w:fill="FFFFFF"/>
        </w:rPr>
      </w:pPr>
      <w:r w:rsidRPr="003A1DF9">
        <w:rPr>
          <w:rFonts w:ascii="Times New Roman" w:eastAsiaTheme="minorEastAsia" w:hAnsi="Times New Roman" w:cs="Times New Roman"/>
          <w:color w:val="222222"/>
          <w:sz w:val="24"/>
          <w:szCs w:val="24"/>
          <w:shd w:val="clear" w:color="auto" w:fill="FFFFFF"/>
        </w:rPr>
        <w:t>3)    Дис</w:t>
      </w:r>
      <w:r w:rsidR="002960B0" w:rsidRPr="003A1DF9">
        <w:rPr>
          <w:rFonts w:ascii="Times New Roman" w:eastAsiaTheme="minorEastAsia" w:hAnsi="Times New Roman" w:cs="Times New Roman"/>
          <w:color w:val="222222"/>
          <w:sz w:val="24"/>
          <w:szCs w:val="24"/>
          <w:shd w:val="clear" w:color="auto" w:fill="FFFFFF"/>
        </w:rPr>
        <w:t>контировать все денежные потоки;</w:t>
      </w:r>
    </w:p>
    <w:p w:rsidR="005E0CA7" w:rsidRPr="00F96A27" w:rsidRDefault="005E0CA7" w:rsidP="00DC513B">
      <w:pPr>
        <w:pStyle w:val="a4"/>
        <w:spacing w:after="0" w:line="240" w:lineRule="auto"/>
        <w:ind w:left="0" w:firstLine="709"/>
        <w:contextualSpacing w:val="0"/>
        <w:jc w:val="both"/>
        <w:rPr>
          <w:rFonts w:ascii="Times New Roman" w:eastAsiaTheme="minorEastAsia" w:hAnsi="Times New Roman" w:cs="Times New Roman"/>
          <w:color w:val="222222"/>
          <w:sz w:val="24"/>
          <w:szCs w:val="24"/>
          <w:shd w:val="clear" w:color="auto" w:fill="FFFFFF"/>
        </w:rPr>
      </w:pPr>
      <w:r w:rsidRPr="003A1DF9">
        <w:rPr>
          <w:rFonts w:ascii="Times New Roman" w:eastAsiaTheme="minorEastAsia" w:hAnsi="Times New Roman" w:cs="Times New Roman"/>
          <w:color w:val="222222"/>
          <w:sz w:val="24"/>
          <w:szCs w:val="24"/>
          <w:shd w:val="clear" w:color="auto" w:fill="FFFFFF"/>
        </w:rPr>
        <w:t>4)    Сумма всех дисконтированных потоков и будет равна NPV проекта</w:t>
      </w:r>
      <w:r w:rsidR="002960B0" w:rsidRPr="003A1DF9">
        <w:rPr>
          <w:rFonts w:ascii="Times New Roman" w:eastAsiaTheme="minorEastAsia" w:hAnsi="Times New Roman" w:cs="Times New Roman"/>
          <w:color w:val="222222"/>
          <w:sz w:val="24"/>
          <w:szCs w:val="24"/>
          <w:shd w:val="clear" w:color="auto" w:fill="FFFFFF"/>
        </w:rPr>
        <w:t>.</w:t>
      </w:r>
      <w:r w:rsidR="00FE3395">
        <w:rPr>
          <w:rFonts w:ascii="Times New Roman" w:eastAsiaTheme="minorEastAsia" w:hAnsi="Times New Roman" w:cs="Times New Roman"/>
          <w:color w:val="222222"/>
          <w:sz w:val="24"/>
          <w:szCs w:val="24"/>
          <w:shd w:val="clear" w:color="auto" w:fill="FFFFFF"/>
        </w:rPr>
        <w:t xml:space="preserve"> </w:t>
      </w:r>
      <w:r w:rsidR="00FE3395" w:rsidRPr="00F96A27">
        <w:rPr>
          <w:rFonts w:ascii="Times New Roman" w:eastAsiaTheme="minorEastAsia" w:hAnsi="Times New Roman" w:cs="Times New Roman"/>
          <w:color w:val="222222"/>
          <w:sz w:val="24"/>
          <w:szCs w:val="24"/>
          <w:shd w:val="clear" w:color="auto" w:fill="FFFFFF"/>
        </w:rPr>
        <w:t>[5]</w:t>
      </w:r>
    </w:p>
    <w:p w:rsidR="005E0CA7" w:rsidRDefault="005E0CA7" w:rsidP="00DC513B">
      <w:pPr>
        <w:pStyle w:val="a3"/>
        <w:spacing w:before="0" w:beforeAutospacing="0" w:after="0" w:afterAutospacing="0"/>
        <w:ind w:firstLine="709"/>
        <w:jc w:val="both"/>
        <w:rPr>
          <w:color w:val="000000"/>
        </w:rPr>
      </w:pPr>
      <w:r w:rsidRPr="002960B0">
        <w:rPr>
          <w:bCs/>
          <w:color w:val="000000"/>
        </w:rPr>
        <w:t>Если NPV больше нуля, то проект вложения денег можно принять; если NPV меньше нуля, то этот проект стоит отвергнуть.</w:t>
      </w:r>
      <w:r w:rsidRPr="005E0CA7">
        <w:rPr>
          <w:color w:val="000000"/>
        </w:rPr>
        <w:t xml:space="preserve"> Если NPV равно нулю, это означает, что денежные потоки от проекта достаточны, чтобы, а) возместить инвестированный капитал и б) обеспечить необходимый доход на этот капитал. </w:t>
      </w:r>
      <w:r w:rsidR="00FE3395" w:rsidRPr="00F96A27">
        <w:rPr>
          <w:color w:val="000000"/>
        </w:rPr>
        <w:t xml:space="preserve">[5] </w:t>
      </w:r>
      <w:r w:rsidR="00DA4515">
        <w:rPr>
          <w:color w:val="000000"/>
        </w:rPr>
        <w:t>Дисконтированные доходы будущих периодов представлены в таблице 5.</w:t>
      </w:r>
    </w:p>
    <w:p w:rsidR="002960B0" w:rsidRDefault="002960B0" w:rsidP="00CE7586">
      <w:pPr>
        <w:pStyle w:val="a3"/>
        <w:spacing w:before="0" w:beforeAutospacing="0" w:after="0" w:afterAutospacing="0"/>
        <w:ind w:right="-1" w:firstLine="709"/>
        <w:jc w:val="right"/>
        <w:rPr>
          <w:i/>
          <w:color w:val="000000"/>
        </w:rPr>
      </w:pPr>
      <w:r w:rsidRPr="002960B0">
        <w:rPr>
          <w:i/>
          <w:color w:val="000000"/>
        </w:rPr>
        <w:t>Таблица 5</w:t>
      </w:r>
    </w:p>
    <w:p w:rsidR="002960B0" w:rsidRPr="002960B0" w:rsidRDefault="002960B0" w:rsidP="001F1E1A">
      <w:pPr>
        <w:pStyle w:val="a3"/>
        <w:spacing w:before="0" w:beforeAutospacing="0" w:after="120" w:afterAutospacing="0"/>
        <w:ind w:firstLine="709"/>
        <w:jc w:val="center"/>
        <w:rPr>
          <w:b/>
          <w:color w:val="000000"/>
        </w:rPr>
      </w:pPr>
      <w:r w:rsidRPr="002960B0">
        <w:rPr>
          <w:b/>
          <w:color w:val="000000"/>
        </w:rPr>
        <w:t>Расчет чистой приведенной стоимости</w:t>
      </w:r>
    </w:p>
    <w:tbl>
      <w:tblPr>
        <w:tblW w:w="9654" w:type="dxa"/>
        <w:tblCellMar>
          <w:left w:w="0" w:type="dxa"/>
          <w:right w:w="0" w:type="dxa"/>
        </w:tblCellMar>
        <w:tblLook w:val="0600" w:firstRow="0" w:lastRow="0" w:firstColumn="0" w:lastColumn="0" w:noHBand="1" w:noVBand="1"/>
      </w:tblPr>
      <w:tblGrid>
        <w:gridCol w:w="2265"/>
        <w:gridCol w:w="2266"/>
        <w:gridCol w:w="2265"/>
        <w:gridCol w:w="2858"/>
      </w:tblGrid>
      <w:tr w:rsidR="002960B0" w:rsidRPr="002960B0" w:rsidTr="003A1DF9">
        <w:trPr>
          <w:trHeight w:val="567"/>
        </w:trPr>
        <w:tc>
          <w:tcPr>
            <w:tcW w:w="9654" w:type="dxa"/>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jc w:val="center"/>
              <w:rPr>
                <w:color w:val="000000"/>
              </w:rPr>
            </w:pPr>
            <w:r w:rsidRPr="002960B0">
              <w:rPr>
                <w:color w:val="000000"/>
                <w:lang w:val="en-US"/>
              </w:rPr>
              <w:t>NPV</w:t>
            </w:r>
          </w:p>
        </w:tc>
      </w:tr>
      <w:tr w:rsidR="002960B0" w:rsidRPr="002960B0" w:rsidTr="003A1DF9">
        <w:trPr>
          <w:trHeight w:val="567"/>
        </w:trPr>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jc w:val="center"/>
              <w:rPr>
                <w:color w:val="000000"/>
              </w:rPr>
            </w:pPr>
            <w:r w:rsidRPr="002960B0">
              <w:rPr>
                <w:color w:val="000000"/>
              </w:rPr>
              <w:t>Год</w:t>
            </w:r>
          </w:p>
        </w:tc>
        <w:tc>
          <w:tcPr>
            <w:tcW w:w="22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CE7586">
            <w:pPr>
              <w:pStyle w:val="a3"/>
              <w:ind w:right="-1"/>
              <w:jc w:val="center"/>
              <w:rPr>
                <w:color w:val="000000"/>
              </w:rPr>
            </w:pPr>
            <w:r>
              <w:rPr>
                <w:color w:val="000000"/>
              </w:rPr>
              <w:t>Ликвидные акции</w:t>
            </w:r>
          </w:p>
        </w:tc>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jc w:val="center"/>
              <w:rPr>
                <w:color w:val="000000"/>
              </w:rPr>
            </w:pPr>
            <w:r w:rsidRPr="002960B0">
              <w:rPr>
                <w:color w:val="000000"/>
              </w:rPr>
              <w:t>Облигации</w:t>
            </w:r>
          </w:p>
        </w:tc>
        <w:tc>
          <w:tcPr>
            <w:tcW w:w="28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firstLine="10"/>
              <w:jc w:val="center"/>
              <w:rPr>
                <w:color w:val="000000"/>
              </w:rPr>
            </w:pPr>
            <w:r w:rsidRPr="002960B0">
              <w:rPr>
                <w:color w:val="000000"/>
              </w:rPr>
              <w:t>Индекс</w:t>
            </w:r>
          </w:p>
        </w:tc>
      </w:tr>
      <w:tr w:rsidR="002960B0" w:rsidRPr="002960B0" w:rsidTr="003A1DF9">
        <w:trPr>
          <w:trHeight w:val="567"/>
        </w:trPr>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3A1DF9" w:rsidP="003A1DF9">
            <w:pPr>
              <w:pStyle w:val="a3"/>
              <w:ind w:right="-1"/>
              <w:jc w:val="center"/>
              <w:rPr>
                <w:color w:val="000000"/>
              </w:rPr>
            </w:pPr>
            <w:r>
              <w:rPr>
                <w:color w:val="000000"/>
              </w:rPr>
              <w:t>-</w:t>
            </w:r>
          </w:p>
        </w:tc>
        <w:tc>
          <w:tcPr>
            <w:tcW w:w="22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firstLine="4"/>
              <w:jc w:val="center"/>
              <w:rPr>
                <w:color w:val="000000"/>
              </w:rPr>
            </w:pPr>
            <w:r w:rsidRPr="002960B0">
              <w:rPr>
                <w:color w:val="000000"/>
              </w:rPr>
              <w:t>100000</w:t>
            </w:r>
          </w:p>
        </w:tc>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jc w:val="center"/>
              <w:rPr>
                <w:color w:val="000000"/>
              </w:rPr>
            </w:pPr>
            <w:r w:rsidRPr="002960B0">
              <w:rPr>
                <w:color w:val="000000"/>
              </w:rPr>
              <w:t>100000</w:t>
            </w:r>
          </w:p>
        </w:tc>
        <w:tc>
          <w:tcPr>
            <w:tcW w:w="28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firstLine="10"/>
              <w:jc w:val="center"/>
              <w:rPr>
                <w:color w:val="000000"/>
              </w:rPr>
            </w:pPr>
            <w:r w:rsidRPr="002960B0">
              <w:rPr>
                <w:color w:val="000000"/>
              </w:rPr>
              <w:t>100000</w:t>
            </w:r>
          </w:p>
        </w:tc>
      </w:tr>
      <w:tr w:rsidR="002960B0" w:rsidRPr="002960B0" w:rsidTr="003A1DF9">
        <w:trPr>
          <w:trHeight w:val="567"/>
        </w:trPr>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jc w:val="center"/>
              <w:rPr>
                <w:color w:val="000000"/>
              </w:rPr>
            </w:pPr>
            <w:r w:rsidRPr="002960B0">
              <w:rPr>
                <w:color w:val="000000"/>
              </w:rPr>
              <w:t>2012</w:t>
            </w:r>
          </w:p>
        </w:tc>
        <w:tc>
          <w:tcPr>
            <w:tcW w:w="22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firstLine="4"/>
              <w:jc w:val="center"/>
              <w:rPr>
                <w:color w:val="000000"/>
              </w:rPr>
            </w:pPr>
            <w:r w:rsidRPr="002960B0">
              <w:rPr>
                <w:color w:val="000000"/>
              </w:rPr>
              <w:t>9502,16</w:t>
            </w:r>
          </w:p>
        </w:tc>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jc w:val="center"/>
              <w:rPr>
                <w:color w:val="000000"/>
              </w:rPr>
            </w:pPr>
            <w:r w:rsidRPr="002960B0">
              <w:rPr>
                <w:color w:val="000000"/>
              </w:rPr>
              <w:t>11667,27</w:t>
            </w:r>
          </w:p>
        </w:tc>
        <w:tc>
          <w:tcPr>
            <w:tcW w:w="28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firstLine="10"/>
              <w:jc w:val="center"/>
              <w:rPr>
                <w:color w:val="000000"/>
              </w:rPr>
            </w:pPr>
            <w:r w:rsidRPr="002960B0">
              <w:rPr>
                <w:color w:val="000000"/>
              </w:rPr>
              <w:t>6870</w:t>
            </w:r>
          </w:p>
        </w:tc>
      </w:tr>
      <w:tr w:rsidR="002960B0" w:rsidRPr="002960B0" w:rsidTr="003A1DF9">
        <w:trPr>
          <w:trHeight w:val="567"/>
        </w:trPr>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jc w:val="center"/>
              <w:rPr>
                <w:color w:val="000000"/>
              </w:rPr>
            </w:pPr>
            <w:r w:rsidRPr="002960B0">
              <w:rPr>
                <w:color w:val="000000"/>
              </w:rPr>
              <w:t>2013</w:t>
            </w:r>
          </w:p>
        </w:tc>
        <w:tc>
          <w:tcPr>
            <w:tcW w:w="22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firstLine="4"/>
              <w:jc w:val="center"/>
              <w:rPr>
                <w:color w:val="000000"/>
              </w:rPr>
            </w:pPr>
            <w:r w:rsidRPr="002960B0">
              <w:rPr>
                <w:color w:val="000000"/>
              </w:rPr>
              <w:t>13691,35</w:t>
            </w:r>
          </w:p>
        </w:tc>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jc w:val="center"/>
              <w:rPr>
                <w:color w:val="000000"/>
              </w:rPr>
            </w:pPr>
            <w:r w:rsidRPr="002960B0">
              <w:rPr>
                <w:color w:val="000000"/>
              </w:rPr>
              <w:t>7028,64</w:t>
            </w:r>
          </w:p>
        </w:tc>
        <w:tc>
          <w:tcPr>
            <w:tcW w:w="28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firstLine="10"/>
              <w:jc w:val="center"/>
              <w:rPr>
                <w:color w:val="000000"/>
              </w:rPr>
            </w:pPr>
            <w:r w:rsidRPr="002960B0">
              <w:rPr>
                <w:color w:val="000000"/>
              </w:rPr>
              <w:t>4179,4</w:t>
            </w:r>
          </w:p>
        </w:tc>
      </w:tr>
      <w:tr w:rsidR="002960B0" w:rsidRPr="002960B0" w:rsidTr="003A1DF9">
        <w:trPr>
          <w:trHeight w:val="567"/>
        </w:trPr>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jc w:val="center"/>
              <w:rPr>
                <w:color w:val="000000"/>
              </w:rPr>
            </w:pPr>
            <w:r w:rsidRPr="002960B0">
              <w:rPr>
                <w:color w:val="000000"/>
              </w:rPr>
              <w:t>2014</w:t>
            </w:r>
          </w:p>
        </w:tc>
        <w:tc>
          <w:tcPr>
            <w:tcW w:w="22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firstLine="4"/>
              <w:jc w:val="center"/>
              <w:rPr>
                <w:color w:val="000000"/>
              </w:rPr>
            </w:pPr>
            <w:r w:rsidRPr="002960B0">
              <w:rPr>
                <w:color w:val="000000"/>
              </w:rPr>
              <w:t>27053,00</w:t>
            </w:r>
          </w:p>
        </w:tc>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jc w:val="center"/>
              <w:rPr>
                <w:color w:val="000000"/>
              </w:rPr>
            </w:pPr>
            <w:r w:rsidRPr="002960B0">
              <w:rPr>
                <w:color w:val="000000"/>
              </w:rPr>
              <w:t>-6866,8</w:t>
            </w:r>
          </w:p>
        </w:tc>
        <w:tc>
          <w:tcPr>
            <w:tcW w:w="28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firstLine="10"/>
              <w:jc w:val="center"/>
              <w:rPr>
                <w:color w:val="000000"/>
              </w:rPr>
            </w:pPr>
            <w:r w:rsidRPr="002960B0">
              <w:rPr>
                <w:color w:val="000000"/>
              </w:rPr>
              <w:t>-4075,5</w:t>
            </w:r>
          </w:p>
        </w:tc>
      </w:tr>
      <w:tr w:rsidR="002960B0" w:rsidRPr="002960B0" w:rsidTr="003A1DF9">
        <w:trPr>
          <w:trHeight w:val="567"/>
        </w:trPr>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jc w:val="center"/>
              <w:rPr>
                <w:color w:val="000000"/>
              </w:rPr>
            </w:pPr>
            <w:r w:rsidRPr="002960B0">
              <w:rPr>
                <w:color w:val="000000"/>
              </w:rPr>
              <w:t>2015</w:t>
            </w:r>
          </w:p>
        </w:tc>
        <w:tc>
          <w:tcPr>
            <w:tcW w:w="22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firstLine="4"/>
              <w:jc w:val="center"/>
              <w:rPr>
                <w:color w:val="000000"/>
              </w:rPr>
            </w:pPr>
            <w:r w:rsidRPr="002960B0">
              <w:rPr>
                <w:color w:val="000000"/>
              </w:rPr>
              <w:t>42473,90</w:t>
            </w:r>
          </w:p>
        </w:tc>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firstLine="7"/>
              <w:jc w:val="center"/>
              <w:rPr>
                <w:color w:val="000000"/>
              </w:rPr>
            </w:pPr>
            <w:r w:rsidRPr="002960B0">
              <w:rPr>
                <w:color w:val="000000"/>
              </w:rPr>
              <w:t>23729,7</w:t>
            </w:r>
          </w:p>
        </w:tc>
        <w:tc>
          <w:tcPr>
            <w:tcW w:w="28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2960B0" w:rsidRPr="002960B0" w:rsidRDefault="002960B0" w:rsidP="003A1DF9">
            <w:pPr>
              <w:pStyle w:val="a3"/>
              <w:ind w:right="-1" w:firstLine="10"/>
              <w:jc w:val="center"/>
              <w:rPr>
                <w:color w:val="000000"/>
              </w:rPr>
            </w:pPr>
            <w:r w:rsidRPr="002960B0">
              <w:rPr>
                <w:color w:val="000000"/>
              </w:rPr>
              <w:t>31461</w:t>
            </w:r>
          </w:p>
        </w:tc>
      </w:tr>
      <w:tr w:rsidR="00F81226" w:rsidRPr="002960B0" w:rsidTr="00F81226">
        <w:trPr>
          <w:trHeight w:val="567"/>
        </w:trPr>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99452F">
            <w:pPr>
              <w:pStyle w:val="a3"/>
              <w:ind w:right="-1"/>
              <w:jc w:val="center"/>
              <w:rPr>
                <w:color w:val="000000"/>
              </w:rPr>
            </w:pPr>
            <w:r w:rsidRPr="002960B0">
              <w:rPr>
                <w:color w:val="000000"/>
              </w:rPr>
              <w:t>2016</w:t>
            </w:r>
          </w:p>
        </w:tc>
        <w:tc>
          <w:tcPr>
            <w:tcW w:w="22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F81226">
            <w:pPr>
              <w:pStyle w:val="a3"/>
              <w:ind w:right="-1"/>
              <w:jc w:val="center"/>
              <w:rPr>
                <w:color w:val="000000"/>
              </w:rPr>
            </w:pPr>
            <w:r w:rsidRPr="002960B0">
              <w:rPr>
                <w:color w:val="000000"/>
              </w:rPr>
              <w:t>48412,14</w:t>
            </w:r>
          </w:p>
        </w:tc>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F81226">
            <w:pPr>
              <w:pStyle w:val="a3"/>
              <w:ind w:right="-1"/>
              <w:jc w:val="center"/>
              <w:rPr>
                <w:color w:val="000000"/>
              </w:rPr>
            </w:pPr>
            <w:r w:rsidRPr="002960B0">
              <w:rPr>
                <w:color w:val="000000"/>
              </w:rPr>
              <w:t>19669,3</w:t>
            </w:r>
          </w:p>
        </w:tc>
        <w:tc>
          <w:tcPr>
            <w:tcW w:w="28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99452F">
            <w:pPr>
              <w:pStyle w:val="a3"/>
              <w:ind w:right="-1" w:firstLine="10"/>
              <w:jc w:val="center"/>
              <w:rPr>
                <w:color w:val="000000"/>
              </w:rPr>
            </w:pPr>
            <w:r w:rsidRPr="002960B0">
              <w:rPr>
                <w:color w:val="000000"/>
              </w:rPr>
              <w:t>41835</w:t>
            </w:r>
          </w:p>
        </w:tc>
      </w:tr>
    </w:tbl>
    <w:p w:rsidR="00F81226" w:rsidRDefault="00F81226"/>
    <w:p w:rsidR="00F81226" w:rsidRPr="00F81226" w:rsidRDefault="00F81226" w:rsidP="00F81226">
      <w:pPr>
        <w:spacing w:after="0" w:line="257" w:lineRule="auto"/>
        <w:rPr>
          <w:rFonts w:ascii="Times New Roman" w:hAnsi="Times New Roman" w:cs="Times New Roman"/>
          <w:sz w:val="24"/>
        </w:rPr>
      </w:pPr>
      <w:r w:rsidRPr="00F81226">
        <w:rPr>
          <w:rFonts w:ascii="Times New Roman" w:hAnsi="Times New Roman" w:cs="Times New Roman"/>
          <w:sz w:val="24"/>
        </w:rPr>
        <w:lastRenderedPageBreak/>
        <w:t xml:space="preserve">Продолжение таблицы 5 </w:t>
      </w:r>
    </w:p>
    <w:tbl>
      <w:tblPr>
        <w:tblW w:w="9654" w:type="dxa"/>
        <w:tblCellMar>
          <w:left w:w="0" w:type="dxa"/>
          <w:right w:w="0" w:type="dxa"/>
        </w:tblCellMar>
        <w:tblLook w:val="0600" w:firstRow="0" w:lastRow="0" w:firstColumn="0" w:lastColumn="0" w:noHBand="1" w:noVBand="1"/>
      </w:tblPr>
      <w:tblGrid>
        <w:gridCol w:w="2265"/>
        <w:gridCol w:w="2266"/>
        <w:gridCol w:w="2265"/>
        <w:gridCol w:w="2858"/>
      </w:tblGrid>
      <w:tr w:rsidR="00F81226" w:rsidRPr="002960B0" w:rsidTr="001770AD">
        <w:trPr>
          <w:trHeight w:val="567"/>
        </w:trPr>
        <w:tc>
          <w:tcPr>
            <w:tcW w:w="9654" w:type="dxa"/>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1770AD">
            <w:pPr>
              <w:pStyle w:val="a3"/>
              <w:ind w:right="-1"/>
              <w:jc w:val="center"/>
              <w:rPr>
                <w:color w:val="000000"/>
              </w:rPr>
            </w:pPr>
            <w:r w:rsidRPr="002960B0">
              <w:rPr>
                <w:color w:val="000000"/>
                <w:lang w:val="en-US"/>
              </w:rPr>
              <w:t>NPV</w:t>
            </w:r>
          </w:p>
        </w:tc>
      </w:tr>
      <w:tr w:rsidR="00F81226" w:rsidRPr="002960B0" w:rsidTr="001770AD">
        <w:trPr>
          <w:trHeight w:val="567"/>
        </w:trPr>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1770AD">
            <w:pPr>
              <w:pStyle w:val="a3"/>
              <w:ind w:right="-1"/>
              <w:jc w:val="center"/>
              <w:rPr>
                <w:color w:val="000000"/>
              </w:rPr>
            </w:pPr>
            <w:r w:rsidRPr="002960B0">
              <w:rPr>
                <w:color w:val="000000"/>
              </w:rPr>
              <w:t>Год</w:t>
            </w:r>
          </w:p>
        </w:tc>
        <w:tc>
          <w:tcPr>
            <w:tcW w:w="22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1770AD">
            <w:pPr>
              <w:pStyle w:val="a3"/>
              <w:ind w:right="-1"/>
              <w:jc w:val="center"/>
              <w:rPr>
                <w:color w:val="000000"/>
              </w:rPr>
            </w:pPr>
            <w:r>
              <w:rPr>
                <w:color w:val="000000"/>
              </w:rPr>
              <w:t>Ликвидные акции</w:t>
            </w:r>
          </w:p>
        </w:tc>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1770AD">
            <w:pPr>
              <w:pStyle w:val="a3"/>
              <w:ind w:right="-1"/>
              <w:jc w:val="center"/>
              <w:rPr>
                <w:color w:val="000000"/>
              </w:rPr>
            </w:pPr>
            <w:r w:rsidRPr="002960B0">
              <w:rPr>
                <w:color w:val="000000"/>
              </w:rPr>
              <w:t>Облигации</w:t>
            </w:r>
          </w:p>
        </w:tc>
        <w:tc>
          <w:tcPr>
            <w:tcW w:w="28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1770AD">
            <w:pPr>
              <w:pStyle w:val="a3"/>
              <w:ind w:right="-1" w:firstLine="10"/>
              <w:jc w:val="center"/>
              <w:rPr>
                <w:color w:val="000000"/>
              </w:rPr>
            </w:pPr>
            <w:r w:rsidRPr="002960B0">
              <w:rPr>
                <w:color w:val="000000"/>
              </w:rPr>
              <w:t>Индекс</w:t>
            </w:r>
          </w:p>
        </w:tc>
      </w:tr>
      <w:tr w:rsidR="00F81226" w:rsidRPr="002960B0" w:rsidTr="00F81226">
        <w:trPr>
          <w:trHeight w:val="567"/>
        </w:trPr>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99452F">
            <w:pPr>
              <w:pStyle w:val="a3"/>
              <w:ind w:right="-1"/>
              <w:jc w:val="center"/>
              <w:rPr>
                <w:color w:val="000000"/>
              </w:rPr>
            </w:pPr>
            <w:r w:rsidRPr="00F81226">
              <w:rPr>
                <w:color w:val="000000"/>
              </w:rPr>
              <w:t>NPV</w:t>
            </w:r>
          </w:p>
        </w:tc>
        <w:tc>
          <w:tcPr>
            <w:tcW w:w="2266"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F81226">
            <w:pPr>
              <w:pStyle w:val="a3"/>
              <w:ind w:right="-1"/>
              <w:jc w:val="center"/>
              <w:rPr>
                <w:color w:val="000000"/>
              </w:rPr>
            </w:pPr>
            <w:r w:rsidRPr="002960B0">
              <w:rPr>
                <w:color w:val="000000"/>
              </w:rPr>
              <w:t>-650,81 ₽</w:t>
            </w:r>
          </w:p>
        </w:tc>
        <w:tc>
          <w:tcPr>
            <w:tcW w:w="226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F81226">
            <w:pPr>
              <w:pStyle w:val="a3"/>
              <w:ind w:right="-1"/>
              <w:jc w:val="center"/>
              <w:rPr>
                <w:color w:val="000000"/>
              </w:rPr>
            </w:pPr>
            <w:r w:rsidRPr="002960B0">
              <w:rPr>
                <w:color w:val="000000"/>
              </w:rPr>
              <w:t>-57 793,50 ₽</w:t>
            </w:r>
          </w:p>
        </w:tc>
        <w:tc>
          <w:tcPr>
            <w:tcW w:w="2858"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F81226" w:rsidRPr="002960B0" w:rsidRDefault="00F81226" w:rsidP="0099452F">
            <w:pPr>
              <w:pStyle w:val="a3"/>
              <w:ind w:right="-1" w:firstLine="10"/>
              <w:jc w:val="center"/>
              <w:rPr>
                <w:color w:val="000000"/>
              </w:rPr>
            </w:pPr>
            <w:r w:rsidRPr="002960B0">
              <w:rPr>
                <w:color w:val="000000"/>
              </w:rPr>
              <w:t>-41 694,02 ₽</w:t>
            </w:r>
          </w:p>
        </w:tc>
      </w:tr>
    </w:tbl>
    <w:p w:rsidR="00DC513B" w:rsidRPr="00F81226" w:rsidRDefault="00DC513B" w:rsidP="00F81226">
      <w:pPr>
        <w:spacing w:after="0" w:line="240" w:lineRule="auto"/>
        <w:ind w:right="-1"/>
        <w:jc w:val="both"/>
        <w:rPr>
          <w:rFonts w:ascii="Times New Roman" w:eastAsiaTheme="minorEastAsia" w:hAnsi="Times New Roman" w:cs="Times New Roman"/>
          <w:color w:val="222222"/>
          <w:sz w:val="24"/>
          <w:szCs w:val="24"/>
          <w:shd w:val="clear" w:color="auto" w:fill="FFFFFF"/>
        </w:rPr>
      </w:pPr>
    </w:p>
    <w:p w:rsidR="005E0CA7" w:rsidRPr="003A1DF9" w:rsidRDefault="005E0CA7" w:rsidP="00F81226">
      <w:pPr>
        <w:pStyle w:val="a4"/>
        <w:spacing w:after="0" w:line="240" w:lineRule="auto"/>
        <w:ind w:left="0" w:right="-1" w:firstLine="709"/>
        <w:contextualSpacing w:val="0"/>
        <w:jc w:val="both"/>
        <w:rPr>
          <w:rFonts w:ascii="Times New Roman" w:eastAsiaTheme="minorEastAsia" w:hAnsi="Times New Roman" w:cs="Times New Roman"/>
          <w:color w:val="222222"/>
          <w:sz w:val="24"/>
          <w:szCs w:val="24"/>
          <w:shd w:val="clear" w:color="auto" w:fill="FFFFFF"/>
        </w:rPr>
      </w:pPr>
      <w:r w:rsidRPr="003A1DF9">
        <w:rPr>
          <w:rFonts w:ascii="Times New Roman" w:eastAsiaTheme="minorEastAsia" w:hAnsi="Times New Roman" w:cs="Times New Roman"/>
          <w:color w:val="222222"/>
          <w:sz w:val="24"/>
          <w:szCs w:val="24"/>
          <w:shd w:val="clear" w:color="auto" w:fill="FFFFFF"/>
        </w:rPr>
        <w:t xml:space="preserve">Как видно, только ликвидные акции близки к положительному значению приведенной стоимости, правда при учете только лишь официального уровня инфляции, за вычетом НДФЛ с полученного дохода ситуация выглядит еще менее перспективной. Это говорит о том, что вложения в ПИФы (тем более долговые бумаги) не могут оправдать всех финансовых ожиданий вкладчика, что говорит либо об увеличении временных горизонтов, либо снижения планки получения премии за риск. </w:t>
      </w:r>
      <w:r w:rsidR="000B2E3A">
        <w:rPr>
          <w:rFonts w:ascii="Times New Roman" w:eastAsiaTheme="minorEastAsia" w:hAnsi="Times New Roman" w:cs="Times New Roman"/>
          <w:color w:val="222222"/>
          <w:sz w:val="24"/>
          <w:szCs w:val="24"/>
          <w:shd w:val="clear" w:color="auto" w:fill="FFFFFF"/>
        </w:rPr>
        <w:t>Если говорить о рентабельности о</w:t>
      </w:r>
      <w:r w:rsidRPr="003A1DF9">
        <w:rPr>
          <w:rFonts w:ascii="Times New Roman" w:eastAsiaTheme="minorEastAsia" w:hAnsi="Times New Roman" w:cs="Times New Roman"/>
          <w:color w:val="222222"/>
          <w:sz w:val="24"/>
          <w:szCs w:val="24"/>
          <w:shd w:val="clear" w:color="auto" w:fill="FFFFFF"/>
        </w:rPr>
        <w:t>блигационного пая не имеет смысла, то отрицательное значение по ликвидным акциям не является поводом отказа от проекта, поскольку по большому счету любой бизнес-план уже изначально убыточен</w:t>
      </w:r>
      <w:r w:rsidR="000B2E3A">
        <w:rPr>
          <w:rFonts w:ascii="Times New Roman" w:eastAsiaTheme="minorEastAsia" w:hAnsi="Times New Roman" w:cs="Times New Roman"/>
          <w:color w:val="222222"/>
          <w:sz w:val="24"/>
          <w:szCs w:val="24"/>
          <w:shd w:val="clear" w:color="auto" w:fill="FFFFFF"/>
        </w:rPr>
        <w:t>, поскольку NPV = стоимость денежных потоков будущих периодов</w:t>
      </w:r>
      <w:r w:rsidRPr="003A1DF9">
        <w:rPr>
          <w:rFonts w:ascii="Times New Roman" w:eastAsiaTheme="minorEastAsia" w:hAnsi="Times New Roman" w:cs="Times New Roman"/>
          <w:color w:val="222222"/>
          <w:sz w:val="24"/>
          <w:szCs w:val="24"/>
          <w:shd w:val="clear" w:color="auto" w:fill="FFFFFF"/>
        </w:rPr>
        <w:t xml:space="preserve"> минус </w:t>
      </w:r>
      <w:r w:rsidR="000B2E3A">
        <w:rPr>
          <w:rFonts w:ascii="Times New Roman" w:eastAsiaTheme="minorEastAsia" w:hAnsi="Times New Roman" w:cs="Times New Roman"/>
          <w:color w:val="222222"/>
          <w:sz w:val="24"/>
          <w:szCs w:val="24"/>
          <w:shd w:val="clear" w:color="auto" w:fill="FFFFFF"/>
        </w:rPr>
        <w:t>первоначальные и</w:t>
      </w:r>
      <w:r w:rsidRPr="003A1DF9">
        <w:rPr>
          <w:rFonts w:ascii="Times New Roman" w:eastAsiaTheme="minorEastAsia" w:hAnsi="Times New Roman" w:cs="Times New Roman"/>
          <w:color w:val="222222"/>
          <w:sz w:val="24"/>
          <w:szCs w:val="24"/>
          <w:shd w:val="clear" w:color="auto" w:fill="FFFFFF"/>
        </w:rPr>
        <w:t>нвестиции, а PV будущих прибылей нарастает постепенно и NPV постепенно из отрицательной зоны переходит в положительную.</w:t>
      </w:r>
    </w:p>
    <w:p w:rsidR="006E445A" w:rsidRPr="003A1DF9" w:rsidRDefault="005E0CA7" w:rsidP="00F81226">
      <w:pPr>
        <w:pStyle w:val="a4"/>
        <w:spacing w:after="0" w:line="240" w:lineRule="auto"/>
        <w:ind w:left="0" w:right="-1" w:firstLine="709"/>
        <w:contextualSpacing w:val="0"/>
        <w:jc w:val="both"/>
        <w:rPr>
          <w:rFonts w:ascii="Times New Roman" w:eastAsiaTheme="minorEastAsia" w:hAnsi="Times New Roman" w:cs="Times New Roman"/>
          <w:color w:val="222222"/>
          <w:sz w:val="24"/>
          <w:szCs w:val="24"/>
          <w:shd w:val="clear" w:color="auto" w:fill="FFFFFF"/>
        </w:rPr>
      </w:pPr>
      <w:r w:rsidRPr="003A1DF9">
        <w:rPr>
          <w:rFonts w:ascii="Times New Roman" w:eastAsiaTheme="minorEastAsia" w:hAnsi="Times New Roman" w:cs="Times New Roman"/>
          <w:color w:val="222222"/>
          <w:sz w:val="24"/>
          <w:szCs w:val="24"/>
          <w:shd w:val="clear" w:color="auto" w:fill="FFFFFF"/>
        </w:rPr>
        <w:t xml:space="preserve">В целом можно подтвердить общие теории о том, что долевые ценные бумаги всегда наиболее рисковые, но и наиболее доходные (чему и свидетельствуют полученные данные). Долговые ценные бумаги — это все же оптимальное соотношение долгосрочной потенциальной доходности и инвестиционных рисков. </w:t>
      </w:r>
    </w:p>
    <w:p w:rsidR="006E445A" w:rsidRPr="006E445A" w:rsidRDefault="005E0CA7" w:rsidP="00F81226">
      <w:pPr>
        <w:pStyle w:val="a3"/>
        <w:spacing w:before="0" w:beforeAutospacing="0" w:after="0" w:afterAutospacing="0"/>
        <w:ind w:firstLine="709"/>
        <w:jc w:val="both"/>
        <w:rPr>
          <w:color w:val="1C1C1C"/>
          <w:shd w:val="clear" w:color="auto" w:fill="FFFFFF"/>
        </w:rPr>
      </w:pPr>
      <w:r w:rsidRPr="005E0CA7">
        <w:rPr>
          <w:color w:val="1C1C1C"/>
          <w:shd w:val="clear" w:color="auto" w:fill="FFFFFF"/>
        </w:rPr>
        <w:t>Выводы по всей работе следующие:</w:t>
      </w:r>
    </w:p>
    <w:p w:rsidR="005E0CA7" w:rsidRPr="008F3AE5" w:rsidRDefault="005E0CA7" w:rsidP="00F81226">
      <w:pPr>
        <w:pStyle w:val="a3"/>
        <w:numPr>
          <w:ilvl w:val="0"/>
          <w:numId w:val="2"/>
        </w:numPr>
        <w:spacing w:before="0" w:beforeAutospacing="0" w:after="0" w:afterAutospacing="0"/>
        <w:ind w:left="0" w:right="-1" w:firstLine="709"/>
        <w:jc w:val="both"/>
        <w:rPr>
          <w:color w:val="1C1C1C"/>
          <w:shd w:val="clear" w:color="auto" w:fill="FFFFFF"/>
        </w:rPr>
      </w:pPr>
      <w:r w:rsidRPr="008F3AE5">
        <w:rPr>
          <w:bCs/>
          <w:color w:val="1C1C1C"/>
          <w:shd w:val="clear" w:color="auto" w:fill="FFFFFF"/>
        </w:rPr>
        <w:t xml:space="preserve">1. </w:t>
      </w:r>
      <w:r w:rsidRPr="008F3AE5">
        <w:rPr>
          <w:color w:val="1C1C1C"/>
          <w:shd w:val="clear" w:color="auto" w:fill="FFFFFF"/>
        </w:rPr>
        <w:t>Конъюнктура российского рынка такова, что сложно найти оптимально растущий инвестиционный проект, - добиться положительного результата в доходах можно лишь двумя способами: 1) постоянно менять структуру инвестиционного портфеля, диверсифицируя риски; 2) вкладывать денежные средства в долговые бумаги на условиях длительного временного горизонта (или фьючерсы долевых бумаг).</w:t>
      </w:r>
    </w:p>
    <w:p w:rsidR="005E0CA7" w:rsidRPr="008F3AE5" w:rsidRDefault="005E0CA7" w:rsidP="00F81226">
      <w:pPr>
        <w:pStyle w:val="a3"/>
        <w:numPr>
          <w:ilvl w:val="0"/>
          <w:numId w:val="2"/>
        </w:numPr>
        <w:spacing w:after="0" w:afterAutospacing="0"/>
        <w:ind w:left="0" w:right="-1" w:firstLine="709"/>
        <w:jc w:val="both"/>
        <w:rPr>
          <w:color w:val="1C1C1C"/>
          <w:shd w:val="clear" w:color="auto" w:fill="FFFFFF"/>
        </w:rPr>
      </w:pPr>
      <w:r w:rsidRPr="008F3AE5">
        <w:rPr>
          <w:bCs/>
          <w:color w:val="1C1C1C"/>
          <w:shd w:val="clear" w:color="auto" w:fill="FFFFFF"/>
        </w:rPr>
        <w:t xml:space="preserve">2. </w:t>
      </w:r>
      <w:r w:rsidRPr="008F3AE5">
        <w:rPr>
          <w:color w:val="1C1C1C"/>
          <w:shd w:val="clear" w:color="auto" w:fill="FFFFFF"/>
        </w:rPr>
        <w:t xml:space="preserve">В целом же исходя из выше представленных данных, можно увидеть сходство в существующими теориями инвестирования: долевые бумаги наиболее эффективны (но учитывая наибольший риск) и способны быстрее окупить первоначальный денежный поток, а долговые бумаги приносят доход, который с учетом инфляции соизмерим с банковскими депозитами и годится лишь скорее, как средство сбережения. </w:t>
      </w:r>
    </w:p>
    <w:p w:rsidR="00761F42" w:rsidRDefault="005E0CA7" w:rsidP="00F81226">
      <w:pPr>
        <w:pStyle w:val="a3"/>
        <w:numPr>
          <w:ilvl w:val="0"/>
          <w:numId w:val="2"/>
        </w:numPr>
        <w:spacing w:after="0" w:afterAutospacing="0"/>
        <w:ind w:left="0" w:right="-1" w:firstLine="709"/>
        <w:jc w:val="both"/>
        <w:rPr>
          <w:color w:val="1C1C1C"/>
          <w:shd w:val="clear" w:color="auto" w:fill="FFFFFF"/>
        </w:rPr>
      </w:pPr>
      <w:r w:rsidRPr="008F3AE5">
        <w:rPr>
          <w:bCs/>
          <w:color w:val="1C1C1C"/>
          <w:shd w:val="clear" w:color="auto" w:fill="FFFFFF"/>
        </w:rPr>
        <w:t>3.</w:t>
      </w:r>
      <w:r w:rsidRPr="005E0CA7">
        <w:rPr>
          <w:b/>
          <w:bCs/>
          <w:color w:val="1C1C1C"/>
          <w:shd w:val="clear" w:color="auto" w:fill="FFFFFF"/>
        </w:rPr>
        <w:t xml:space="preserve"> </w:t>
      </w:r>
      <w:r w:rsidRPr="005E0CA7">
        <w:rPr>
          <w:color w:val="1C1C1C"/>
          <w:shd w:val="clear" w:color="auto" w:fill="FFFFFF"/>
        </w:rPr>
        <w:t xml:space="preserve">На основании показателей годовая доходность, коэффициент Шарпа, мера рыночного риска и </w:t>
      </w:r>
      <w:r w:rsidRPr="005E0CA7">
        <w:rPr>
          <w:color w:val="1C1C1C"/>
          <w:shd w:val="clear" w:color="auto" w:fill="FFFFFF"/>
          <w:lang w:val="en-US"/>
        </w:rPr>
        <w:t>NPV</w:t>
      </w:r>
      <w:r w:rsidRPr="005E0CA7">
        <w:rPr>
          <w:color w:val="1C1C1C"/>
          <w:shd w:val="clear" w:color="auto" w:fill="FFFFFF"/>
        </w:rPr>
        <w:t xml:space="preserve"> любой инвестор должен проводить первоначальный анализ (выявить перспективы вложений и приблизительную маржу) на основании которого инвестор принимает решения либо на рассмотрение портфеля, либо на его отклонение.</w:t>
      </w:r>
    </w:p>
    <w:p w:rsidR="00BF08F1" w:rsidRPr="00DC513B" w:rsidRDefault="00DC513B" w:rsidP="0076596C">
      <w:pPr>
        <w:pStyle w:val="a3"/>
        <w:numPr>
          <w:ilvl w:val="0"/>
          <w:numId w:val="2"/>
        </w:numPr>
        <w:tabs>
          <w:tab w:val="clear" w:pos="720"/>
          <w:tab w:val="num" w:pos="0"/>
        </w:tabs>
        <w:spacing w:after="0" w:afterAutospacing="0"/>
        <w:ind w:left="0" w:firstLine="0"/>
        <w:jc w:val="both"/>
        <w:rPr>
          <w:color w:val="1C1C1C"/>
          <w:shd w:val="clear" w:color="auto" w:fill="FFFFFF"/>
        </w:rPr>
      </w:pPr>
      <w:r>
        <w:rPr>
          <w:color w:val="1C1C1C"/>
          <w:shd w:val="clear" w:color="auto" w:fill="FFFFFF"/>
        </w:rPr>
        <w:t>________________________________</w:t>
      </w:r>
    </w:p>
    <w:p w:rsidR="00CC1699" w:rsidRPr="00FE3395" w:rsidRDefault="00CC1699" w:rsidP="00CC1699">
      <w:pPr>
        <w:pStyle w:val="a3"/>
        <w:numPr>
          <w:ilvl w:val="0"/>
          <w:numId w:val="4"/>
        </w:numPr>
        <w:spacing w:before="0" w:beforeAutospacing="0" w:after="0" w:afterAutospacing="0"/>
        <w:ind w:left="709" w:hanging="357"/>
        <w:jc w:val="both"/>
        <w:rPr>
          <w:shd w:val="clear" w:color="auto" w:fill="FFFFFF"/>
        </w:rPr>
      </w:pPr>
      <w:r>
        <w:rPr>
          <w:shd w:val="clear" w:color="auto" w:fill="FFFFFF"/>
        </w:rPr>
        <w:t xml:space="preserve">Дворецкая А.Е. Финансы: учебник для академического бакалавриата / А.Е. Дворецкая. – М.: Издательство Юрайт, 2016, - 503 с. </w:t>
      </w:r>
    </w:p>
    <w:p w:rsidR="00BF08F1" w:rsidRPr="00FE3395" w:rsidRDefault="007D4667" w:rsidP="007D4667">
      <w:pPr>
        <w:pStyle w:val="a3"/>
        <w:numPr>
          <w:ilvl w:val="0"/>
          <w:numId w:val="4"/>
        </w:numPr>
        <w:spacing w:before="0" w:beforeAutospacing="0" w:after="0" w:afterAutospacing="0"/>
        <w:jc w:val="both"/>
        <w:rPr>
          <w:shd w:val="clear" w:color="auto" w:fill="FFFFFF"/>
        </w:rPr>
      </w:pPr>
      <w:r>
        <w:rPr>
          <w:shd w:val="clear" w:color="auto" w:fill="FFFFFF"/>
        </w:rPr>
        <w:t>Рынок акций. Акции и эмитенты</w:t>
      </w:r>
      <w:r w:rsidR="0076596C">
        <w:rPr>
          <w:shd w:val="clear" w:color="auto" w:fill="FFFFFF"/>
        </w:rPr>
        <w:t xml:space="preserve"> </w:t>
      </w:r>
      <w:r w:rsidR="00BF08F1" w:rsidRPr="00FE3395">
        <w:rPr>
          <w:shd w:val="clear" w:color="auto" w:fill="FFFFFF"/>
        </w:rPr>
        <w:t>[Электронный ресурс</w:t>
      </w:r>
      <w:r w:rsidR="00DC513B" w:rsidRPr="00DC513B">
        <w:rPr>
          <w:shd w:val="clear" w:color="auto" w:fill="FFFFFF"/>
        </w:rPr>
        <w:t>]</w:t>
      </w:r>
      <w:r>
        <w:rPr>
          <w:shd w:val="clear" w:color="auto" w:fill="FFFFFF"/>
        </w:rPr>
        <w:t xml:space="preserve"> // </w:t>
      </w:r>
      <w:r>
        <w:rPr>
          <w:shd w:val="clear" w:color="auto" w:fill="FFFFFF"/>
          <w:lang w:val="en-US"/>
        </w:rPr>
        <w:t>Investfunds</w:t>
      </w:r>
      <w:r>
        <w:rPr>
          <w:shd w:val="clear" w:color="auto" w:fill="FFFFFF"/>
        </w:rPr>
        <w:t xml:space="preserve"> группа </w:t>
      </w:r>
      <w:r>
        <w:rPr>
          <w:shd w:val="clear" w:color="auto" w:fill="FFFFFF"/>
          <w:lang w:val="en-US"/>
        </w:rPr>
        <w:t>Cbonds</w:t>
      </w:r>
      <w:r>
        <w:rPr>
          <w:shd w:val="clear" w:color="auto" w:fill="FFFFFF"/>
        </w:rPr>
        <w:t>.</w:t>
      </w:r>
      <w:r w:rsidR="00BF08F1" w:rsidRPr="00FE3395">
        <w:rPr>
          <w:shd w:val="clear" w:color="auto" w:fill="FFFFFF"/>
        </w:rPr>
        <w:t xml:space="preserve"> – Режим доступа</w:t>
      </w:r>
      <w:r>
        <w:rPr>
          <w:shd w:val="clear" w:color="auto" w:fill="FFFFFF"/>
        </w:rPr>
        <w:t xml:space="preserve">: </w:t>
      </w:r>
      <w:r w:rsidRPr="007D4667">
        <w:rPr>
          <w:shd w:val="clear" w:color="auto" w:fill="FFFFFF"/>
        </w:rPr>
        <w:t>http://stocks.investfunds.ru/stocks/</w:t>
      </w:r>
    </w:p>
    <w:p w:rsidR="00BF08F1" w:rsidRPr="00FE3395" w:rsidRDefault="00C1312D" w:rsidP="00CC1699">
      <w:pPr>
        <w:pStyle w:val="a3"/>
        <w:numPr>
          <w:ilvl w:val="0"/>
          <w:numId w:val="4"/>
        </w:numPr>
        <w:spacing w:before="0" w:beforeAutospacing="0" w:after="0" w:afterAutospacing="0"/>
        <w:ind w:left="709" w:hanging="357"/>
        <w:jc w:val="both"/>
        <w:rPr>
          <w:shd w:val="clear" w:color="auto" w:fill="FFFFFF"/>
        </w:rPr>
      </w:pPr>
      <w:r>
        <w:rPr>
          <w:shd w:val="clear" w:color="auto" w:fill="FFFFFF"/>
        </w:rPr>
        <w:t>Берзон Н.И., Дорошин Д.И. Особенности применения показателей эффективности финансовых инвестиций [</w:t>
      </w:r>
      <w:r w:rsidR="00DC513B">
        <w:rPr>
          <w:shd w:val="clear" w:color="auto" w:fill="FFFFFF"/>
        </w:rPr>
        <w:t>Электронный ресурс</w:t>
      </w:r>
      <w:r w:rsidR="00DC513B" w:rsidRPr="00DC513B">
        <w:rPr>
          <w:shd w:val="clear" w:color="auto" w:fill="FFFFFF"/>
        </w:rPr>
        <w:t>]</w:t>
      </w:r>
      <w:r>
        <w:rPr>
          <w:shd w:val="clear" w:color="auto" w:fill="FFFFFF"/>
        </w:rPr>
        <w:t xml:space="preserve"> / Н.И. Берзон, Д.И. Дорошин // Публикации Высшей Школы Экономики. Финансы и кредит. – 2012. –  №14. </w:t>
      </w:r>
      <w:r w:rsidR="00BF08F1" w:rsidRPr="00FE3395">
        <w:rPr>
          <w:shd w:val="clear" w:color="auto" w:fill="FFFFFF"/>
        </w:rPr>
        <w:t xml:space="preserve"> – Режим доступа:</w:t>
      </w:r>
      <w:r w:rsidR="00DC513B">
        <w:rPr>
          <w:shd w:val="clear" w:color="auto" w:fill="FFFFFF"/>
        </w:rPr>
        <w:t xml:space="preserve"> </w:t>
      </w:r>
      <w:hyperlink r:id="rId14" w:history="1">
        <w:r w:rsidR="00BF08F1" w:rsidRPr="00FE3395">
          <w:rPr>
            <w:rStyle w:val="a9"/>
            <w:color w:val="auto"/>
            <w:u w:val="none"/>
            <w:shd w:val="clear" w:color="auto" w:fill="FFFFFF"/>
          </w:rPr>
          <w:t>https://www.hse.ru/pubs/share/direct/document/66996816</w:t>
        </w:r>
      </w:hyperlink>
    </w:p>
    <w:p w:rsidR="00BF08F1" w:rsidRPr="00FE3395" w:rsidRDefault="00AD43C7" w:rsidP="00CC1699">
      <w:pPr>
        <w:pStyle w:val="a3"/>
        <w:numPr>
          <w:ilvl w:val="0"/>
          <w:numId w:val="4"/>
        </w:numPr>
        <w:spacing w:before="0" w:beforeAutospacing="0" w:after="0" w:afterAutospacing="0"/>
        <w:ind w:left="709" w:hanging="357"/>
        <w:jc w:val="both"/>
        <w:rPr>
          <w:shd w:val="clear" w:color="auto" w:fill="FFFFFF"/>
        </w:rPr>
      </w:pPr>
      <w:r>
        <w:rPr>
          <w:shd w:val="clear" w:color="auto" w:fill="FFFFFF"/>
        </w:rPr>
        <w:t>Паевые Инвестиционные Фонды</w:t>
      </w:r>
      <w:r w:rsidR="0076596C">
        <w:rPr>
          <w:shd w:val="clear" w:color="auto" w:fill="FFFFFF"/>
        </w:rPr>
        <w:t xml:space="preserve"> </w:t>
      </w:r>
      <w:r w:rsidR="00DC513B">
        <w:rPr>
          <w:shd w:val="clear" w:color="auto" w:fill="FFFFFF"/>
        </w:rPr>
        <w:t>[Электронный ресурс]</w:t>
      </w:r>
      <w:r>
        <w:rPr>
          <w:shd w:val="clear" w:color="auto" w:fill="FFFFFF"/>
        </w:rPr>
        <w:t xml:space="preserve"> // УК «Альфа Капитал».</w:t>
      </w:r>
      <w:r w:rsidR="00FE3395" w:rsidRPr="00FE3395">
        <w:rPr>
          <w:shd w:val="clear" w:color="auto" w:fill="FFFFFF"/>
        </w:rPr>
        <w:t xml:space="preserve"> – Режим доступа: </w:t>
      </w:r>
      <w:hyperlink r:id="rId15" w:history="1">
        <w:r w:rsidR="00FE3395" w:rsidRPr="00FE3395">
          <w:rPr>
            <w:rStyle w:val="a9"/>
            <w:color w:val="auto"/>
            <w:u w:val="none"/>
            <w:shd w:val="clear" w:color="auto" w:fill="FFFFFF"/>
          </w:rPr>
          <w:t>https://www.alfacapital.ru/individual/pifs/</w:t>
        </w:r>
      </w:hyperlink>
    </w:p>
    <w:p w:rsidR="00FE3395" w:rsidRPr="00FE3395" w:rsidRDefault="00AD43C7" w:rsidP="00CC1699">
      <w:pPr>
        <w:pStyle w:val="a3"/>
        <w:numPr>
          <w:ilvl w:val="0"/>
          <w:numId w:val="4"/>
        </w:numPr>
        <w:spacing w:before="0" w:beforeAutospacing="0" w:after="0" w:afterAutospacing="0"/>
        <w:ind w:left="709" w:hanging="357"/>
        <w:jc w:val="both"/>
        <w:rPr>
          <w:shd w:val="clear" w:color="auto" w:fill="FFFFFF"/>
        </w:rPr>
      </w:pPr>
      <w:r>
        <w:rPr>
          <w:shd w:val="clear" w:color="auto" w:fill="FFFFFF"/>
        </w:rPr>
        <w:t>Понятие, формула дисконтирования</w:t>
      </w:r>
      <w:r w:rsidR="0076596C">
        <w:rPr>
          <w:shd w:val="clear" w:color="auto" w:fill="FFFFFF"/>
        </w:rPr>
        <w:t xml:space="preserve"> </w:t>
      </w:r>
      <w:r w:rsidR="00DC513B">
        <w:rPr>
          <w:shd w:val="clear" w:color="auto" w:fill="FFFFFF"/>
        </w:rPr>
        <w:t>[Электронный ресурс]</w:t>
      </w:r>
      <w:r>
        <w:rPr>
          <w:shd w:val="clear" w:color="auto" w:fill="FFFFFF"/>
        </w:rPr>
        <w:t xml:space="preserve"> // </w:t>
      </w:r>
      <w:r>
        <w:rPr>
          <w:shd w:val="clear" w:color="auto" w:fill="FFFFFF"/>
        </w:rPr>
        <w:t>Финансы и МСФО</w:t>
      </w:r>
      <w:r w:rsidR="00C1312D">
        <w:rPr>
          <w:shd w:val="clear" w:color="auto" w:fill="FFFFFF"/>
        </w:rPr>
        <w:t xml:space="preserve">. </w:t>
      </w:r>
      <w:r w:rsidR="00FE3395" w:rsidRPr="00FE3395">
        <w:rPr>
          <w:shd w:val="clear" w:color="auto" w:fill="FFFFFF"/>
        </w:rPr>
        <w:t xml:space="preserve"> – Режим</w:t>
      </w:r>
      <w:r w:rsidR="00C1312D">
        <w:rPr>
          <w:shd w:val="clear" w:color="auto" w:fill="FFFFFF"/>
        </w:rPr>
        <w:t xml:space="preserve"> </w:t>
      </w:r>
      <w:r w:rsidR="00FE3395" w:rsidRPr="00FE3395">
        <w:rPr>
          <w:shd w:val="clear" w:color="auto" w:fill="FFFFFF"/>
        </w:rPr>
        <w:t xml:space="preserve">доступа: </w:t>
      </w:r>
      <w:hyperlink r:id="rId16" w:history="1">
        <w:r w:rsidR="00FE3395" w:rsidRPr="00FE3395">
          <w:rPr>
            <w:rStyle w:val="a9"/>
            <w:color w:val="auto"/>
            <w:u w:val="none"/>
            <w:shd w:val="clear" w:color="auto" w:fill="FFFFFF"/>
          </w:rPr>
          <w:t>http://msfo-dipifr.ru/ponjatie-formula-tablitca-diskontirovanija/</w:t>
        </w:r>
      </w:hyperlink>
    </w:p>
    <w:p w:rsidR="00FE3395" w:rsidRPr="00DA4515" w:rsidRDefault="00EB56CD" w:rsidP="00CC1699">
      <w:pPr>
        <w:pStyle w:val="a3"/>
        <w:numPr>
          <w:ilvl w:val="0"/>
          <w:numId w:val="4"/>
        </w:numPr>
        <w:spacing w:before="0" w:beforeAutospacing="0" w:after="0" w:afterAutospacing="0"/>
        <w:ind w:left="709" w:hanging="357"/>
        <w:jc w:val="both"/>
        <w:rPr>
          <w:color w:val="1C1C1C"/>
          <w:shd w:val="clear" w:color="auto" w:fill="FFFFFF"/>
        </w:rPr>
      </w:pPr>
      <w:r>
        <w:rPr>
          <w:color w:val="1C1C1C"/>
          <w:shd w:val="clear" w:color="auto" w:fill="FFFFFF"/>
        </w:rPr>
        <w:lastRenderedPageBreak/>
        <w:t xml:space="preserve">Одияко Н.Н., Голодная Н.Ю., Гузенко А.Г., Гусев Е.Г. Оптимизация деятельности малого бизнеса как основа повышения качества обслуживания населения </w:t>
      </w:r>
      <w:r w:rsidR="00DC513B" w:rsidRPr="00DC513B">
        <w:rPr>
          <w:color w:val="1C1C1C"/>
          <w:shd w:val="clear" w:color="auto" w:fill="FFFFFF"/>
        </w:rPr>
        <w:t>[</w:t>
      </w:r>
      <w:r w:rsidR="00DC513B">
        <w:rPr>
          <w:color w:val="1C1C1C"/>
          <w:shd w:val="clear" w:color="auto" w:fill="FFFFFF"/>
        </w:rPr>
        <w:t>Электронный ресурс</w:t>
      </w:r>
      <w:r w:rsidR="00DC513B" w:rsidRPr="00DC513B">
        <w:rPr>
          <w:color w:val="1C1C1C"/>
          <w:shd w:val="clear" w:color="auto" w:fill="FFFFFF"/>
        </w:rPr>
        <w:t>]</w:t>
      </w:r>
      <w:r>
        <w:rPr>
          <w:color w:val="1C1C1C"/>
          <w:shd w:val="clear" w:color="auto" w:fill="FFFFFF"/>
        </w:rPr>
        <w:t xml:space="preserve"> / Н.Н. Одияко, Н.Ю. Голодная, А.Г. Гузенко, Гусев Е.Г. // Журнал «Экономика и предпринимательство». – 2016. – №6.</w:t>
      </w:r>
      <w:r w:rsidR="00DC513B">
        <w:rPr>
          <w:color w:val="1C1C1C"/>
          <w:shd w:val="clear" w:color="auto" w:fill="FFFFFF"/>
        </w:rPr>
        <w:t xml:space="preserve"> – Режим доступа: </w:t>
      </w:r>
      <w:r w:rsidR="00DC513B" w:rsidRPr="00DC513B">
        <w:rPr>
          <w:color w:val="1C1C1C"/>
          <w:shd w:val="clear" w:color="auto" w:fill="FFFFFF"/>
        </w:rPr>
        <w:t>http://elibrary.ru/item.asp?id=26251159</w:t>
      </w:r>
    </w:p>
    <w:p w:rsidR="00DC513B" w:rsidRPr="00F81226" w:rsidRDefault="00EB56CD" w:rsidP="00EB56CD">
      <w:pPr>
        <w:pStyle w:val="a3"/>
        <w:numPr>
          <w:ilvl w:val="0"/>
          <w:numId w:val="4"/>
        </w:numPr>
        <w:spacing w:before="0" w:beforeAutospacing="0" w:after="0" w:afterAutospacing="0"/>
        <w:jc w:val="both"/>
        <w:rPr>
          <w:color w:val="1C1C1C"/>
          <w:shd w:val="clear" w:color="auto" w:fill="FFFFFF"/>
        </w:rPr>
      </w:pPr>
      <w:r>
        <w:rPr>
          <w:color w:val="1C1C1C"/>
          <w:shd w:val="clear" w:color="auto" w:fill="FFFFFF"/>
        </w:rPr>
        <w:t xml:space="preserve">Одияко Н.Н., Ермак И.В. Создание интерфейса взаимодействия пользователя с базой данных предприятия </w:t>
      </w:r>
      <w:r w:rsidR="00DC513B" w:rsidRPr="00DC513B">
        <w:rPr>
          <w:color w:val="1C1C1C"/>
          <w:shd w:val="clear" w:color="auto" w:fill="FFFFFF"/>
        </w:rPr>
        <w:t>[</w:t>
      </w:r>
      <w:r w:rsidR="00DC513B">
        <w:rPr>
          <w:color w:val="1C1C1C"/>
          <w:shd w:val="clear" w:color="auto" w:fill="FFFFFF"/>
        </w:rPr>
        <w:t>Электронный ресурс</w:t>
      </w:r>
      <w:r w:rsidR="00DC513B" w:rsidRPr="00DC513B">
        <w:rPr>
          <w:color w:val="1C1C1C"/>
          <w:shd w:val="clear" w:color="auto" w:fill="FFFFFF"/>
        </w:rPr>
        <w:t>]</w:t>
      </w:r>
      <w:r>
        <w:rPr>
          <w:color w:val="1C1C1C"/>
          <w:shd w:val="clear" w:color="auto" w:fill="FFFFFF"/>
        </w:rPr>
        <w:t xml:space="preserve"> / Н.Н. Одияко, И.В. Ермак // </w:t>
      </w:r>
      <w:r w:rsidRPr="00EB56CD">
        <w:rPr>
          <w:color w:val="1C1C1C"/>
          <w:shd w:val="clear" w:color="auto" w:fill="FFFFFF"/>
        </w:rPr>
        <w:t>Материалы ХVIII Международной конференции студентов, аспирантов и молодых ученых</w:t>
      </w:r>
      <w:r>
        <w:rPr>
          <w:color w:val="1C1C1C"/>
          <w:shd w:val="clear" w:color="auto" w:fill="FFFFFF"/>
        </w:rPr>
        <w:t>. – 2016</w:t>
      </w:r>
      <w:r w:rsidR="00DC513B">
        <w:rPr>
          <w:color w:val="1C1C1C"/>
          <w:shd w:val="clear" w:color="auto" w:fill="FFFFFF"/>
        </w:rPr>
        <w:t xml:space="preserve">. – Режим доступа: </w:t>
      </w:r>
      <w:hyperlink r:id="rId17" w:history="1">
        <w:r w:rsidR="00F81226" w:rsidRPr="00F81226">
          <w:rPr>
            <w:rStyle w:val="a9"/>
            <w:color w:val="auto"/>
            <w:u w:val="none"/>
            <w:shd w:val="clear" w:color="auto" w:fill="FFFFFF"/>
          </w:rPr>
          <w:t>http://elibrary.ru/item.asp?id=26814234</w:t>
        </w:r>
      </w:hyperlink>
    </w:p>
    <w:p w:rsidR="000779A7" w:rsidRPr="000779A7" w:rsidRDefault="00EB56CD" w:rsidP="000779A7">
      <w:pPr>
        <w:pStyle w:val="a3"/>
        <w:numPr>
          <w:ilvl w:val="0"/>
          <w:numId w:val="4"/>
        </w:numPr>
        <w:spacing w:before="0" w:beforeAutospacing="0" w:after="0" w:afterAutospacing="0"/>
        <w:ind w:left="709" w:hanging="357"/>
        <w:jc w:val="both"/>
        <w:rPr>
          <w:color w:val="1C1C1C"/>
          <w:shd w:val="clear" w:color="auto" w:fill="FFFFFF"/>
        </w:rPr>
      </w:pPr>
      <w:r>
        <w:rPr>
          <w:color w:val="1C1C1C"/>
          <w:shd w:val="clear" w:color="auto" w:fill="FFFFFF"/>
        </w:rPr>
        <w:t xml:space="preserve">Одияко Н.Н., Гриванова С.М., Гузенко А.Г. Имитационное моделирование в анализе инвестиционного проекта </w:t>
      </w:r>
      <w:r w:rsidR="00F81226" w:rsidRPr="00F81226">
        <w:rPr>
          <w:color w:val="1C1C1C"/>
          <w:shd w:val="clear" w:color="auto" w:fill="FFFFFF"/>
        </w:rPr>
        <w:t>[</w:t>
      </w:r>
      <w:r w:rsidR="00F81226">
        <w:rPr>
          <w:color w:val="1C1C1C"/>
          <w:shd w:val="clear" w:color="auto" w:fill="FFFFFF"/>
        </w:rPr>
        <w:t>Электронный ресурс</w:t>
      </w:r>
      <w:r w:rsidR="00F81226" w:rsidRPr="00F81226">
        <w:rPr>
          <w:color w:val="1C1C1C"/>
          <w:shd w:val="clear" w:color="auto" w:fill="FFFFFF"/>
        </w:rPr>
        <w:t>]</w:t>
      </w:r>
      <w:r w:rsidR="00E77C88">
        <w:rPr>
          <w:color w:val="1C1C1C"/>
          <w:shd w:val="clear" w:color="auto" w:fill="FFFFFF"/>
        </w:rPr>
        <w:t xml:space="preserve"> / Н.Н. Одияко, С.М. Гриванова, А.Г. Гузенко // Журнал «Экономика и предпринимательство». – 2014. – №12-3</w:t>
      </w:r>
      <w:r w:rsidR="00F81226">
        <w:rPr>
          <w:color w:val="1C1C1C"/>
          <w:shd w:val="clear" w:color="auto" w:fill="FFFFFF"/>
        </w:rPr>
        <w:t>. – Режим доступа:</w:t>
      </w:r>
      <w:r w:rsidR="00F81226" w:rsidRPr="00CC1699">
        <w:rPr>
          <w:shd w:val="clear" w:color="auto" w:fill="FFFFFF"/>
        </w:rPr>
        <w:t xml:space="preserve"> </w:t>
      </w:r>
      <w:hyperlink r:id="rId18" w:history="1">
        <w:r w:rsidR="00CC1699" w:rsidRPr="00CC1699">
          <w:rPr>
            <w:rStyle w:val="a9"/>
            <w:color w:val="auto"/>
            <w:u w:val="none"/>
            <w:shd w:val="clear" w:color="auto" w:fill="FFFFFF"/>
          </w:rPr>
          <w:t>http://elibrary.ru/item.asp?id=2</w:t>
        </w:r>
        <w:bookmarkStart w:id="0" w:name="_GoBack"/>
        <w:bookmarkEnd w:id="0"/>
        <w:r w:rsidR="00CC1699" w:rsidRPr="00CC1699">
          <w:rPr>
            <w:rStyle w:val="a9"/>
            <w:color w:val="auto"/>
            <w:u w:val="none"/>
            <w:shd w:val="clear" w:color="auto" w:fill="FFFFFF"/>
          </w:rPr>
          <w:t>2998429</w:t>
        </w:r>
      </w:hyperlink>
    </w:p>
    <w:sectPr w:rsidR="000779A7" w:rsidRPr="000779A7" w:rsidSect="00CE7586">
      <w:pgSz w:w="11906" w:h="16838"/>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BD4" w:rsidRDefault="008E6BD4" w:rsidP="005E0CA7">
      <w:pPr>
        <w:spacing w:after="0" w:line="240" w:lineRule="auto"/>
      </w:pPr>
      <w:r>
        <w:separator/>
      </w:r>
    </w:p>
  </w:endnote>
  <w:endnote w:type="continuationSeparator" w:id="0">
    <w:p w:rsidR="008E6BD4" w:rsidRDefault="008E6BD4" w:rsidP="005E0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BD4" w:rsidRDefault="008E6BD4" w:rsidP="005E0CA7">
      <w:pPr>
        <w:spacing w:after="0" w:line="240" w:lineRule="auto"/>
      </w:pPr>
      <w:r>
        <w:separator/>
      </w:r>
    </w:p>
  </w:footnote>
  <w:footnote w:type="continuationSeparator" w:id="0">
    <w:p w:rsidR="008E6BD4" w:rsidRDefault="008E6BD4" w:rsidP="005E0C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3185D"/>
    <w:multiLevelType w:val="hybridMultilevel"/>
    <w:tmpl w:val="D65C01A8"/>
    <w:lvl w:ilvl="0" w:tplc="0CE4C51A">
      <w:start w:val="1"/>
      <w:numFmt w:val="bullet"/>
      <w:lvlText w:val=" "/>
      <w:lvlJc w:val="left"/>
      <w:pPr>
        <w:tabs>
          <w:tab w:val="num" w:pos="720"/>
        </w:tabs>
        <w:ind w:left="720" w:hanging="360"/>
      </w:pPr>
      <w:rPr>
        <w:rFonts w:ascii="Calibri" w:hAnsi="Calibri" w:hint="default"/>
      </w:rPr>
    </w:lvl>
    <w:lvl w:ilvl="1" w:tplc="FB2C7996" w:tentative="1">
      <w:start w:val="1"/>
      <w:numFmt w:val="bullet"/>
      <w:lvlText w:val=" "/>
      <w:lvlJc w:val="left"/>
      <w:pPr>
        <w:tabs>
          <w:tab w:val="num" w:pos="1440"/>
        </w:tabs>
        <w:ind w:left="1440" w:hanging="360"/>
      </w:pPr>
      <w:rPr>
        <w:rFonts w:ascii="Calibri" w:hAnsi="Calibri" w:hint="default"/>
      </w:rPr>
    </w:lvl>
    <w:lvl w:ilvl="2" w:tplc="E14A51A6" w:tentative="1">
      <w:start w:val="1"/>
      <w:numFmt w:val="bullet"/>
      <w:lvlText w:val=" "/>
      <w:lvlJc w:val="left"/>
      <w:pPr>
        <w:tabs>
          <w:tab w:val="num" w:pos="2160"/>
        </w:tabs>
        <w:ind w:left="2160" w:hanging="360"/>
      </w:pPr>
      <w:rPr>
        <w:rFonts w:ascii="Calibri" w:hAnsi="Calibri" w:hint="default"/>
      </w:rPr>
    </w:lvl>
    <w:lvl w:ilvl="3" w:tplc="B6D6DAF0" w:tentative="1">
      <w:start w:val="1"/>
      <w:numFmt w:val="bullet"/>
      <w:lvlText w:val=" "/>
      <w:lvlJc w:val="left"/>
      <w:pPr>
        <w:tabs>
          <w:tab w:val="num" w:pos="2880"/>
        </w:tabs>
        <w:ind w:left="2880" w:hanging="360"/>
      </w:pPr>
      <w:rPr>
        <w:rFonts w:ascii="Calibri" w:hAnsi="Calibri" w:hint="default"/>
      </w:rPr>
    </w:lvl>
    <w:lvl w:ilvl="4" w:tplc="BF4C6510" w:tentative="1">
      <w:start w:val="1"/>
      <w:numFmt w:val="bullet"/>
      <w:lvlText w:val=" "/>
      <w:lvlJc w:val="left"/>
      <w:pPr>
        <w:tabs>
          <w:tab w:val="num" w:pos="3600"/>
        </w:tabs>
        <w:ind w:left="3600" w:hanging="360"/>
      </w:pPr>
      <w:rPr>
        <w:rFonts w:ascii="Calibri" w:hAnsi="Calibri" w:hint="default"/>
      </w:rPr>
    </w:lvl>
    <w:lvl w:ilvl="5" w:tplc="87288738" w:tentative="1">
      <w:start w:val="1"/>
      <w:numFmt w:val="bullet"/>
      <w:lvlText w:val=" "/>
      <w:lvlJc w:val="left"/>
      <w:pPr>
        <w:tabs>
          <w:tab w:val="num" w:pos="4320"/>
        </w:tabs>
        <w:ind w:left="4320" w:hanging="360"/>
      </w:pPr>
      <w:rPr>
        <w:rFonts w:ascii="Calibri" w:hAnsi="Calibri" w:hint="default"/>
      </w:rPr>
    </w:lvl>
    <w:lvl w:ilvl="6" w:tplc="F878DF4A" w:tentative="1">
      <w:start w:val="1"/>
      <w:numFmt w:val="bullet"/>
      <w:lvlText w:val=" "/>
      <w:lvlJc w:val="left"/>
      <w:pPr>
        <w:tabs>
          <w:tab w:val="num" w:pos="5040"/>
        </w:tabs>
        <w:ind w:left="5040" w:hanging="360"/>
      </w:pPr>
      <w:rPr>
        <w:rFonts w:ascii="Calibri" w:hAnsi="Calibri" w:hint="default"/>
      </w:rPr>
    </w:lvl>
    <w:lvl w:ilvl="7" w:tplc="AD9A8E5A" w:tentative="1">
      <w:start w:val="1"/>
      <w:numFmt w:val="bullet"/>
      <w:lvlText w:val=" "/>
      <w:lvlJc w:val="left"/>
      <w:pPr>
        <w:tabs>
          <w:tab w:val="num" w:pos="5760"/>
        </w:tabs>
        <w:ind w:left="5760" w:hanging="360"/>
      </w:pPr>
      <w:rPr>
        <w:rFonts w:ascii="Calibri" w:hAnsi="Calibri" w:hint="default"/>
      </w:rPr>
    </w:lvl>
    <w:lvl w:ilvl="8" w:tplc="B02870BC"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544C1DD2"/>
    <w:multiLevelType w:val="hybridMultilevel"/>
    <w:tmpl w:val="555C0EE8"/>
    <w:lvl w:ilvl="0" w:tplc="45B49B82">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 w15:restartNumberingAfterBreak="0">
    <w:nsid w:val="6F334117"/>
    <w:multiLevelType w:val="hybridMultilevel"/>
    <w:tmpl w:val="AC0E32B8"/>
    <w:lvl w:ilvl="0" w:tplc="46E2A576">
      <w:start w:val="1"/>
      <w:numFmt w:val="bullet"/>
      <w:lvlText w:val=" "/>
      <w:lvlJc w:val="left"/>
      <w:pPr>
        <w:tabs>
          <w:tab w:val="num" w:pos="720"/>
        </w:tabs>
        <w:ind w:left="720" w:hanging="360"/>
      </w:pPr>
      <w:rPr>
        <w:rFonts w:ascii="Calibri" w:hAnsi="Calibri" w:hint="default"/>
      </w:rPr>
    </w:lvl>
    <w:lvl w:ilvl="1" w:tplc="4732CDCE" w:tentative="1">
      <w:start w:val="1"/>
      <w:numFmt w:val="bullet"/>
      <w:lvlText w:val=" "/>
      <w:lvlJc w:val="left"/>
      <w:pPr>
        <w:tabs>
          <w:tab w:val="num" w:pos="1440"/>
        </w:tabs>
        <w:ind w:left="1440" w:hanging="360"/>
      </w:pPr>
      <w:rPr>
        <w:rFonts w:ascii="Calibri" w:hAnsi="Calibri" w:hint="default"/>
      </w:rPr>
    </w:lvl>
    <w:lvl w:ilvl="2" w:tplc="00B21A6A" w:tentative="1">
      <w:start w:val="1"/>
      <w:numFmt w:val="bullet"/>
      <w:lvlText w:val=" "/>
      <w:lvlJc w:val="left"/>
      <w:pPr>
        <w:tabs>
          <w:tab w:val="num" w:pos="2160"/>
        </w:tabs>
        <w:ind w:left="2160" w:hanging="360"/>
      </w:pPr>
      <w:rPr>
        <w:rFonts w:ascii="Calibri" w:hAnsi="Calibri" w:hint="default"/>
      </w:rPr>
    </w:lvl>
    <w:lvl w:ilvl="3" w:tplc="AE56BC3C" w:tentative="1">
      <w:start w:val="1"/>
      <w:numFmt w:val="bullet"/>
      <w:lvlText w:val=" "/>
      <w:lvlJc w:val="left"/>
      <w:pPr>
        <w:tabs>
          <w:tab w:val="num" w:pos="2880"/>
        </w:tabs>
        <w:ind w:left="2880" w:hanging="360"/>
      </w:pPr>
      <w:rPr>
        <w:rFonts w:ascii="Calibri" w:hAnsi="Calibri" w:hint="default"/>
      </w:rPr>
    </w:lvl>
    <w:lvl w:ilvl="4" w:tplc="DF3CC1D2" w:tentative="1">
      <w:start w:val="1"/>
      <w:numFmt w:val="bullet"/>
      <w:lvlText w:val=" "/>
      <w:lvlJc w:val="left"/>
      <w:pPr>
        <w:tabs>
          <w:tab w:val="num" w:pos="3600"/>
        </w:tabs>
        <w:ind w:left="3600" w:hanging="360"/>
      </w:pPr>
      <w:rPr>
        <w:rFonts w:ascii="Calibri" w:hAnsi="Calibri" w:hint="default"/>
      </w:rPr>
    </w:lvl>
    <w:lvl w:ilvl="5" w:tplc="3816F850" w:tentative="1">
      <w:start w:val="1"/>
      <w:numFmt w:val="bullet"/>
      <w:lvlText w:val=" "/>
      <w:lvlJc w:val="left"/>
      <w:pPr>
        <w:tabs>
          <w:tab w:val="num" w:pos="4320"/>
        </w:tabs>
        <w:ind w:left="4320" w:hanging="360"/>
      </w:pPr>
      <w:rPr>
        <w:rFonts w:ascii="Calibri" w:hAnsi="Calibri" w:hint="default"/>
      </w:rPr>
    </w:lvl>
    <w:lvl w:ilvl="6" w:tplc="A42A68A8" w:tentative="1">
      <w:start w:val="1"/>
      <w:numFmt w:val="bullet"/>
      <w:lvlText w:val=" "/>
      <w:lvlJc w:val="left"/>
      <w:pPr>
        <w:tabs>
          <w:tab w:val="num" w:pos="5040"/>
        </w:tabs>
        <w:ind w:left="5040" w:hanging="360"/>
      </w:pPr>
      <w:rPr>
        <w:rFonts w:ascii="Calibri" w:hAnsi="Calibri" w:hint="default"/>
      </w:rPr>
    </w:lvl>
    <w:lvl w:ilvl="7" w:tplc="7410F28E" w:tentative="1">
      <w:start w:val="1"/>
      <w:numFmt w:val="bullet"/>
      <w:lvlText w:val=" "/>
      <w:lvlJc w:val="left"/>
      <w:pPr>
        <w:tabs>
          <w:tab w:val="num" w:pos="5760"/>
        </w:tabs>
        <w:ind w:left="5760" w:hanging="360"/>
      </w:pPr>
      <w:rPr>
        <w:rFonts w:ascii="Calibri" w:hAnsi="Calibri" w:hint="default"/>
      </w:rPr>
    </w:lvl>
    <w:lvl w:ilvl="8" w:tplc="C262DFE2"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70E96D54"/>
    <w:multiLevelType w:val="hybridMultilevel"/>
    <w:tmpl w:val="C6B82144"/>
    <w:lvl w:ilvl="0" w:tplc="B27A6D4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702A6E"/>
    <w:rsid w:val="000779A7"/>
    <w:rsid w:val="000B2E3A"/>
    <w:rsid w:val="000E5E97"/>
    <w:rsid w:val="0018467B"/>
    <w:rsid w:val="001F1E1A"/>
    <w:rsid w:val="002960B0"/>
    <w:rsid w:val="003700F8"/>
    <w:rsid w:val="003A1DF9"/>
    <w:rsid w:val="003A661D"/>
    <w:rsid w:val="003E4EBF"/>
    <w:rsid w:val="003F29E0"/>
    <w:rsid w:val="005E0CA7"/>
    <w:rsid w:val="00693523"/>
    <w:rsid w:val="006E445A"/>
    <w:rsid w:val="00702A6E"/>
    <w:rsid w:val="007258AF"/>
    <w:rsid w:val="0073259A"/>
    <w:rsid w:val="0076596C"/>
    <w:rsid w:val="007B6674"/>
    <w:rsid w:val="007D4667"/>
    <w:rsid w:val="00805C19"/>
    <w:rsid w:val="00834E05"/>
    <w:rsid w:val="00887767"/>
    <w:rsid w:val="008E6BD4"/>
    <w:rsid w:val="008F3AE5"/>
    <w:rsid w:val="009262F1"/>
    <w:rsid w:val="009A2E5C"/>
    <w:rsid w:val="009C2689"/>
    <w:rsid w:val="00AD43C7"/>
    <w:rsid w:val="00B031F1"/>
    <w:rsid w:val="00B25C2A"/>
    <w:rsid w:val="00B407BF"/>
    <w:rsid w:val="00BA6B65"/>
    <w:rsid w:val="00BB760C"/>
    <w:rsid w:val="00BE3256"/>
    <w:rsid w:val="00BF08F1"/>
    <w:rsid w:val="00C1312D"/>
    <w:rsid w:val="00C317AB"/>
    <w:rsid w:val="00C87B7C"/>
    <w:rsid w:val="00CB557B"/>
    <w:rsid w:val="00CC1699"/>
    <w:rsid w:val="00CE7586"/>
    <w:rsid w:val="00CF6B3D"/>
    <w:rsid w:val="00D103ED"/>
    <w:rsid w:val="00D36D5C"/>
    <w:rsid w:val="00DA4515"/>
    <w:rsid w:val="00DB2CE6"/>
    <w:rsid w:val="00DC513B"/>
    <w:rsid w:val="00E6137F"/>
    <w:rsid w:val="00E77C88"/>
    <w:rsid w:val="00EB56CD"/>
    <w:rsid w:val="00F81226"/>
    <w:rsid w:val="00F96A27"/>
    <w:rsid w:val="00FE33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24677"/>
  <w15:docId w15:val="{EF0AE11A-7733-46C8-8EEB-4877D76A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0CA7"/>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E0C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E0CA7"/>
    <w:pPr>
      <w:ind w:left="720"/>
      <w:contextualSpacing/>
    </w:pPr>
  </w:style>
  <w:style w:type="character" w:customStyle="1" w:styleId="apple-converted-space">
    <w:name w:val="apple-converted-space"/>
    <w:basedOn w:val="a0"/>
    <w:rsid w:val="005E0CA7"/>
  </w:style>
  <w:style w:type="paragraph" w:styleId="a5">
    <w:name w:val="header"/>
    <w:basedOn w:val="a"/>
    <w:link w:val="a6"/>
    <w:uiPriority w:val="99"/>
    <w:unhideWhenUsed/>
    <w:rsid w:val="005E0CA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E0CA7"/>
  </w:style>
  <w:style w:type="paragraph" w:styleId="a7">
    <w:name w:val="footer"/>
    <w:basedOn w:val="a"/>
    <w:link w:val="a8"/>
    <w:uiPriority w:val="99"/>
    <w:unhideWhenUsed/>
    <w:rsid w:val="005E0C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E0CA7"/>
  </w:style>
  <w:style w:type="character" w:styleId="a9">
    <w:name w:val="Hyperlink"/>
    <w:basedOn w:val="a0"/>
    <w:uiPriority w:val="99"/>
    <w:unhideWhenUsed/>
    <w:rsid w:val="00BA6B65"/>
    <w:rPr>
      <w:color w:val="0563C1" w:themeColor="hyperlink"/>
      <w:u w:val="single"/>
    </w:rPr>
  </w:style>
  <w:style w:type="character" w:styleId="aa">
    <w:name w:val="Placeholder Text"/>
    <w:basedOn w:val="a0"/>
    <w:uiPriority w:val="99"/>
    <w:semiHidden/>
    <w:rsid w:val="00BA6B65"/>
    <w:rPr>
      <w:color w:val="808080"/>
    </w:rPr>
  </w:style>
  <w:style w:type="paragraph" w:styleId="ab">
    <w:name w:val="Balloon Text"/>
    <w:basedOn w:val="a"/>
    <w:link w:val="ac"/>
    <w:uiPriority w:val="99"/>
    <w:semiHidden/>
    <w:unhideWhenUsed/>
    <w:rsid w:val="00DB2CE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B2C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0895">
      <w:bodyDiv w:val="1"/>
      <w:marLeft w:val="0"/>
      <w:marRight w:val="0"/>
      <w:marTop w:val="0"/>
      <w:marBottom w:val="0"/>
      <w:divBdr>
        <w:top w:val="none" w:sz="0" w:space="0" w:color="auto"/>
        <w:left w:val="none" w:sz="0" w:space="0" w:color="auto"/>
        <w:bottom w:val="none" w:sz="0" w:space="0" w:color="auto"/>
        <w:right w:val="none" w:sz="0" w:space="0" w:color="auto"/>
      </w:divBdr>
      <w:divsChild>
        <w:div w:id="1089352941">
          <w:marLeft w:val="144"/>
          <w:marRight w:val="0"/>
          <w:marTop w:val="240"/>
          <w:marBottom w:val="40"/>
          <w:divBdr>
            <w:top w:val="none" w:sz="0" w:space="0" w:color="auto"/>
            <w:left w:val="none" w:sz="0" w:space="0" w:color="auto"/>
            <w:bottom w:val="none" w:sz="0" w:space="0" w:color="auto"/>
            <w:right w:val="none" w:sz="0" w:space="0" w:color="auto"/>
          </w:divBdr>
        </w:div>
      </w:divsChild>
    </w:div>
    <w:div w:id="275912069">
      <w:bodyDiv w:val="1"/>
      <w:marLeft w:val="0"/>
      <w:marRight w:val="0"/>
      <w:marTop w:val="0"/>
      <w:marBottom w:val="0"/>
      <w:divBdr>
        <w:top w:val="none" w:sz="0" w:space="0" w:color="auto"/>
        <w:left w:val="none" w:sz="0" w:space="0" w:color="auto"/>
        <w:bottom w:val="none" w:sz="0" w:space="0" w:color="auto"/>
        <w:right w:val="none" w:sz="0" w:space="0" w:color="auto"/>
      </w:divBdr>
    </w:div>
    <w:div w:id="1412047624">
      <w:bodyDiv w:val="1"/>
      <w:marLeft w:val="0"/>
      <w:marRight w:val="0"/>
      <w:marTop w:val="0"/>
      <w:marBottom w:val="0"/>
      <w:divBdr>
        <w:top w:val="none" w:sz="0" w:space="0" w:color="auto"/>
        <w:left w:val="none" w:sz="0" w:space="0" w:color="auto"/>
        <w:bottom w:val="none" w:sz="0" w:space="0" w:color="auto"/>
        <w:right w:val="none" w:sz="0" w:space="0" w:color="auto"/>
      </w:divBdr>
    </w:div>
    <w:div w:id="1443718891">
      <w:bodyDiv w:val="1"/>
      <w:marLeft w:val="0"/>
      <w:marRight w:val="0"/>
      <w:marTop w:val="0"/>
      <w:marBottom w:val="0"/>
      <w:divBdr>
        <w:top w:val="none" w:sz="0" w:space="0" w:color="auto"/>
        <w:left w:val="none" w:sz="0" w:space="0" w:color="auto"/>
        <w:bottom w:val="none" w:sz="0" w:space="0" w:color="auto"/>
        <w:right w:val="none" w:sz="0" w:space="0" w:color="auto"/>
      </w:divBdr>
    </w:div>
    <w:div w:id="1565142570">
      <w:bodyDiv w:val="1"/>
      <w:marLeft w:val="0"/>
      <w:marRight w:val="0"/>
      <w:marTop w:val="0"/>
      <w:marBottom w:val="0"/>
      <w:divBdr>
        <w:top w:val="none" w:sz="0" w:space="0" w:color="auto"/>
        <w:left w:val="none" w:sz="0" w:space="0" w:color="auto"/>
        <w:bottom w:val="none" w:sz="0" w:space="0" w:color="auto"/>
        <w:right w:val="none" w:sz="0" w:space="0" w:color="auto"/>
      </w:divBdr>
    </w:div>
    <w:div w:id="1707676601">
      <w:bodyDiv w:val="1"/>
      <w:marLeft w:val="0"/>
      <w:marRight w:val="0"/>
      <w:marTop w:val="0"/>
      <w:marBottom w:val="0"/>
      <w:divBdr>
        <w:top w:val="none" w:sz="0" w:space="0" w:color="auto"/>
        <w:left w:val="none" w:sz="0" w:space="0" w:color="auto"/>
        <w:bottom w:val="none" w:sz="0" w:space="0" w:color="auto"/>
        <w:right w:val="none" w:sz="0" w:space="0" w:color="auto"/>
      </w:divBdr>
    </w:div>
    <w:div w:id="1792748903">
      <w:bodyDiv w:val="1"/>
      <w:marLeft w:val="0"/>
      <w:marRight w:val="0"/>
      <w:marTop w:val="0"/>
      <w:marBottom w:val="0"/>
      <w:divBdr>
        <w:top w:val="none" w:sz="0" w:space="0" w:color="auto"/>
        <w:left w:val="none" w:sz="0" w:space="0" w:color="auto"/>
        <w:bottom w:val="none" w:sz="0" w:space="0" w:color="auto"/>
        <w:right w:val="none" w:sz="0" w:space="0" w:color="auto"/>
      </w:divBdr>
    </w:div>
    <w:div w:id="1810249396">
      <w:bodyDiv w:val="1"/>
      <w:marLeft w:val="0"/>
      <w:marRight w:val="0"/>
      <w:marTop w:val="0"/>
      <w:marBottom w:val="0"/>
      <w:divBdr>
        <w:top w:val="none" w:sz="0" w:space="0" w:color="auto"/>
        <w:left w:val="none" w:sz="0" w:space="0" w:color="auto"/>
        <w:bottom w:val="none" w:sz="0" w:space="0" w:color="auto"/>
        <w:right w:val="none" w:sz="0" w:space="0" w:color="auto"/>
      </w:divBdr>
    </w:div>
    <w:div w:id="1815176625">
      <w:bodyDiv w:val="1"/>
      <w:marLeft w:val="0"/>
      <w:marRight w:val="0"/>
      <w:marTop w:val="0"/>
      <w:marBottom w:val="0"/>
      <w:divBdr>
        <w:top w:val="none" w:sz="0" w:space="0" w:color="auto"/>
        <w:left w:val="none" w:sz="0" w:space="0" w:color="auto"/>
        <w:bottom w:val="none" w:sz="0" w:space="0" w:color="auto"/>
        <w:right w:val="none" w:sz="0" w:space="0" w:color="auto"/>
      </w:divBdr>
    </w:div>
    <w:div w:id="1834953599">
      <w:bodyDiv w:val="1"/>
      <w:marLeft w:val="0"/>
      <w:marRight w:val="0"/>
      <w:marTop w:val="0"/>
      <w:marBottom w:val="0"/>
      <w:divBdr>
        <w:top w:val="none" w:sz="0" w:space="0" w:color="auto"/>
        <w:left w:val="none" w:sz="0" w:space="0" w:color="auto"/>
        <w:bottom w:val="none" w:sz="0" w:space="0" w:color="auto"/>
        <w:right w:val="none" w:sz="0" w:space="0" w:color="auto"/>
      </w:divBdr>
      <w:divsChild>
        <w:div w:id="44839969">
          <w:marLeft w:val="144"/>
          <w:marRight w:val="0"/>
          <w:marTop w:val="240"/>
          <w:marBottom w:val="40"/>
          <w:divBdr>
            <w:top w:val="none" w:sz="0" w:space="0" w:color="auto"/>
            <w:left w:val="none" w:sz="0" w:space="0" w:color="auto"/>
            <w:bottom w:val="none" w:sz="0" w:space="0" w:color="auto"/>
            <w:right w:val="none" w:sz="0" w:space="0" w:color="auto"/>
          </w:divBdr>
        </w:div>
      </w:divsChild>
    </w:div>
    <w:div w:id="202219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tlugindenis8@gmail.com" TargetMode="External"/><Relationship Id="rId13" Type="http://schemas.openxmlformats.org/officeDocument/2006/relationships/chart" Target="charts/chart3.xml"/><Relationship Id="rId18" Type="http://schemas.openxmlformats.org/officeDocument/2006/relationships/hyperlink" Target="http://elibrary.ru/item.asp?id=2299842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elibrary.ru/item.asp?id=26814234" TargetMode="External"/><Relationship Id="rId2" Type="http://schemas.openxmlformats.org/officeDocument/2006/relationships/numbering" Target="numbering.xml"/><Relationship Id="rId16" Type="http://schemas.openxmlformats.org/officeDocument/2006/relationships/hyperlink" Target="http://msfo-dipifr.ru/ponjatie-formula-tablitca-diskontirovanij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www.alfacapital.ru/individual/pifs/" TargetMode="External"/><Relationship Id="rId10" Type="http://schemas.openxmlformats.org/officeDocument/2006/relationships/hyperlink" Target="mailto:odiako@yandex.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etlugindenis8@gmail.com" TargetMode="External"/><Relationship Id="rId14" Type="http://schemas.openxmlformats.org/officeDocument/2006/relationships/hyperlink" Target="https://www.hse.ru/pubs/share/direct/document/66996816"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Users\Logic\Desktop\&#1050;&#1085;&#1080;&#1075;&#1072;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Users\Logic\Desktop\&#1050;&#1085;&#1080;&#1075;&#1072;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Users\Logic\Desktop\&#1050;&#1085;&#1080;&#1075;&#10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4803368328959169E-2"/>
          <c:y val="0.16245370370370371"/>
          <c:w val="0.85097440944882075"/>
          <c:h val="0.77736111111111139"/>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dPt>
            <c:idx val="0"/>
            <c:marker>
              <c:spPr>
                <a:solidFill>
                  <a:schemeClr val="lt1"/>
                </a:solidFill>
                <a:ln w="12700" cap="flat" cmpd="sng" algn="ctr">
                  <a:solidFill>
                    <a:schemeClr val="dk1"/>
                  </a:solidFill>
                  <a:prstDash val="solid"/>
                  <a:miter lim="800000"/>
                </a:ln>
                <a:effectLst/>
              </c:spPr>
            </c:marker>
            <c:bubble3D val="0"/>
            <c:spPr>
              <a:ln w="12700" cap="flat" cmpd="sng" algn="ctr">
                <a:solidFill>
                  <a:schemeClr val="dk1"/>
                </a:solidFill>
                <a:prstDash val="solid"/>
                <a:miter lim="800000"/>
              </a:ln>
              <a:effectLst/>
            </c:spPr>
            <c:extLst>
              <c:ext xmlns:c16="http://schemas.microsoft.com/office/drawing/2014/chart" uri="{C3380CC4-5D6E-409C-BE32-E72D297353CC}">
                <c16:uniqueId val="{00000006-2314-4D61-9418-D93F82A6821A}"/>
              </c:ext>
            </c:extLst>
          </c:dPt>
          <c:dPt>
            <c:idx val="1"/>
            <c:marker>
              <c:spPr>
                <a:solidFill>
                  <a:schemeClr val="lt1"/>
                </a:solidFill>
                <a:ln w="12700" cap="flat" cmpd="sng" algn="ctr">
                  <a:solidFill>
                    <a:schemeClr val="dk1"/>
                  </a:solidFill>
                  <a:prstDash val="solid"/>
                  <a:miter lim="800000"/>
                </a:ln>
                <a:effectLst/>
              </c:spPr>
            </c:marker>
            <c:bubble3D val="0"/>
            <c:spPr>
              <a:ln w="12700" cap="flat" cmpd="sng" algn="ctr">
                <a:solidFill>
                  <a:schemeClr val="dk1"/>
                </a:solidFill>
                <a:prstDash val="solid"/>
                <a:miter lim="800000"/>
              </a:ln>
              <a:effectLst/>
            </c:spPr>
            <c:extLst>
              <c:ext xmlns:c16="http://schemas.microsoft.com/office/drawing/2014/chart" uri="{C3380CC4-5D6E-409C-BE32-E72D297353CC}">
                <c16:uniqueId val="{00000005-2314-4D61-9418-D93F82A6821A}"/>
              </c:ext>
            </c:extLst>
          </c:dPt>
          <c:dPt>
            <c:idx val="2"/>
            <c:marker>
              <c:spPr>
                <a:solidFill>
                  <a:schemeClr val="lt1"/>
                </a:solidFill>
                <a:ln w="12700" cap="flat" cmpd="sng" algn="ctr">
                  <a:solidFill>
                    <a:schemeClr val="dk1"/>
                  </a:solidFill>
                  <a:prstDash val="solid"/>
                  <a:miter lim="800000"/>
                </a:ln>
                <a:effectLst/>
              </c:spPr>
            </c:marker>
            <c:bubble3D val="0"/>
            <c:spPr>
              <a:ln w="12700" cap="flat" cmpd="sng" algn="ctr">
                <a:solidFill>
                  <a:schemeClr val="dk1"/>
                </a:solidFill>
                <a:prstDash val="solid"/>
                <a:miter lim="800000"/>
              </a:ln>
              <a:effectLst/>
            </c:spPr>
            <c:extLst>
              <c:ext xmlns:c16="http://schemas.microsoft.com/office/drawing/2014/chart" uri="{C3380CC4-5D6E-409C-BE32-E72D297353CC}">
                <c16:uniqueId val="{00000001-2314-4D61-9418-D93F82A6821A}"/>
              </c:ext>
            </c:extLst>
          </c:dPt>
          <c:dPt>
            <c:idx val="3"/>
            <c:marker>
              <c:spPr>
                <a:solidFill>
                  <a:schemeClr val="lt1"/>
                </a:solidFill>
                <a:ln w="12700" cap="flat" cmpd="sng" algn="ctr">
                  <a:solidFill>
                    <a:schemeClr val="dk1"/>
                  </a:solidFill>
                  <a:prstDash val="solid"/>
                  <a:miter lim="800000"/>
                </a:ln>
                <a:effectLst/>
              </c:spPr>
            </c:marker>
            <c:bubble3D val="0"/>
            <c:spPr>
              <a:ln w="12700" cap="flat" cmpd="sng" algn="ctr">
                <a:solidFill>
                  <a:schemeClr val="dk1"/>
                </a:solidFill>
                <a:prstDash val="solid"/>
                <a:miter lim="800000"/>
              </a:ln>
              <a:effectLst/>
            </c:spPr>
            <c:extLst>
              <c:ext xmlns:c16="http://schemas.microsoft.com/office/drawing/2014/chart" uri="{C3380CC4-5D6E-409C-BE32-E72D297353CC}">
                <c16:uniqueId val="{00000002-2314-4D61-9418-D93F82A6821A}"/>
              </c:ext>
            </c:extLst>
          </c:dPt>
          <c:dPt>
            <c:idx val="4"/>
            <c:marker>
              <c:spPr>
                <a:solidFill>
                  <a:schemeClr val="lt1"/>
                </a:solidFill>
                <a:ln w="12700" cap="flat" cmpd="sng" algn="ctr">
                  <a:solidFill>
                    <a:schemeClr val="dk1"/>
                  </a:solidFill>
                  <a:prstDash val="solid"/>
                  <a:miter lim="800000"/>
                </a:ln>
                <a:effectLst/>
              </c:spPr>
            </c:marker>
            <c:bubble3D val="0"/>
            <c:spPr>
              <a:ln w="12700" cap="flat" cmpd="sng" algn="ctr">
                <a:solidFill>
                  <a:schemeClr val="dk1"/>
                </a:solidFill>
                <a:prstDash val="solid"/>
                <a:miter lim="800000"/>
              </a:ln>
              <a:effectLst/>
            </c:spPr>
            <c:extLst>
              <c:ext xmlns:c16="http://schemas.microsoft.com/office/drawing/2014/chart" uri="{C3380CC4-5D6E-409C-BE32-E72D297353CC}">
                <c16:uniqueId val="{00000003-2314-4D61-9418-D93F82A6821A}"/>
              </c:ext>
            </c:extLst>
          </c:dPt>
          <c:dPt>
            <c:idx val="5"/>
            <c:marker>
              <c:spPr>
                <a:solidFill>
                  <a:schemeClr val="lt1"/>
                </a:solidFill>
                <a:ln w="12700" cap="flat" cmpd="sng" algn="ctr">
                  <a:solidFill>
                    <a:schemeClr val="dk1"/>
                  </a:solidFill>
                  <a:prstDash val="solid"/>
                  <a:miter lim="800000"/>
                </a:ln>
                <a:effectLst/>
              </c:spPr>
            </c:marker>
            <c:bubble3D val="0"/>
            <c:spPr>
              <a:ln w="12700" cap="flat" cmpd="sng" algn="ctr">
                <a:solidFill>
                  <a:schemeClr val="dk1"/>
                </a:solidFill>
                <a:prstDash val="solid"/>
                <a:miter lim="800000"/>
              </a:ln>
              <a:effectLst/>
            </c:spPr>
            <c:extLst>
              <c:ext xmlns:c16="http://schemas.microsoft.com/office/drawing/2014/chart" uri="{C3380CC4-5D6E-409C-BE32-E72D297353CC}">
                <c16:uniqueId val="{00000004-2314-4D61-9418-D93F82A6821A}"/>
              </c:ext>
            </c:extLst>
          </c:dPt>
          <c:xVal>
            <c:numRef>
              <c:f>Лист1!$N$22:$N$27</c:f>
              <c:numCache>
                <c:formatCode>General</c:formatCode>
                <c:ptCount val="6"/>
                <c:pt idx="0">
                  <c:v>2011</c:v>
                </c:pt>
                <c:pt idx="1">
                  <c:v>2012</c:v>
                </c:pt>
                <c:pt idx="2">
                  <c:v>2013</c:v>
                </c:pt>
                <c:pt idx="3">
                  <c:v>2014</c:v>
                </c:pt>
                <c:pt idx="4">
                  <c:v>2015</c:v>
                </c:pt>
                <c:pt idx="5">
                  <c:v>2016</c:v>
                </c:pt>
              </c:numCache>
            </c:numRef>
          </c:xVal>
          <c:yVal>
            <c:numRef>
              <c:f>Лист1!$Q$22:$Q$27</c:f>
              <c:numCache>
                <c:formatCode>0.00</c:formatCode>
                <c:ptCount val="6"/>
                <c:pt idx="0">
                  <c:v>-0.85624804264139498</c:v>
                </c:pt>
                <c:pt idx="1">
                  <c:v>0.28586762183122488</c:v>
                </c:pt>
                <c:pt idx="2">
                  <c:v>0.10621811161880575</c:v>
                </c:pt>
                <c:pt idx="3">
                  <c:v>-1.4396347628334536</c:v>
                </c:pt>
                <c:pt idx="4">
                  <c:v>2.0994334918941471</c:v>
                </c:pt>
                <c:pt idx="5">
                  <c:v>1.8095014015060837</c:v>
                </c:pt>
              </c:numCache>
            </c:numRef>
          </c:yVal>
          <c:smooth val="1"/>
          <c:extLst>
            <c:ext xmlns:c16="http://schemas.microsoft.com/office/drawing/2014/chart" uri="{C3380CC4-5D6E-409C-BE32-E72D297353CC}">
              <c16:uniqueId val="{00000000-2314-4D61-9418-D93F82A6821A}"/>
            </c:ext>
          </c:extLst>
        </c:ser>
        <c:dLbls>
          <c:showLegendKey val="0"/>
          <c:showVal val="0"/>
          <c:showCatName val="0"/>
          <c:showSerName val="0"/>
          <c:showPercent val="0"/>
          <c:showBubbleSize val="0"/>
        </c:dLbls>
        <c:axId val="53318784"/>
        <c:axId val="53320320"/>
      </c:scatterChart>
      <c:valAx>
        <c:axId val="533187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vert="horz"/>
          <a:lstStyle/>
          <a:p>
            <a:pPr>
              <a:defRPr/>
            </a:pPr>
            <a:endParaRPr lang="ru-RU"/>
          </a:p>
        </c:txPr>
        <c:crossAx val="53320320"/>
        <c:crosses val="autoZero"/>
        <c:crossBetween val="midCat"/>
      </c:valAx>
      <c:valAx>
        <c:axId val="533203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vert="horz"/>
          <a:lstStyle/>
          <a:p>
            <a:pPr>
              <a:defRPr/>
            </a:pPr>
            <a:endParaRPr lang="ru-RU"/>
          </a:p>
        </c:txPr>
        <c:crossAx val="53318784"/>
        <c:crosses val="autoZero"/>
        <c:crossBetween val="midCat"/>
      </c:valAx>
      <c:spPr>
        <a:noFill/>
        <a:ln>
          <a:noFill/>
        </a:ln>
        <a:effectLst/>
      </c:spPr>
    </c:plotArea>
    <c:plotVisOnly val="1"/>
    <c:dispBlanksAs val="gap"/>
    <c:showDLblsOverMax val="0"/>
  </c:chart>
  <c:spPr>
    <a:noFill/>
    <a:ln>
      <a:noFill/>
    </a:ln>
    <a:effectLst/>
  </c:spPr>
  <c:txPr>
    <a:bodyPr/>
    <a:lstStyle/>
    <a:p>
      <a:pPr>
        <a:defRPr>
          <a:solidFill>
            <a:sysClr val="windowText" lastClr="000000"/>
          </a:solidFill>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0.18510003508444717"/>
          <c:y val="0.24557222799980188"/>
          <c:w val="0.76029257764099401"/>
          <c:h val="0.49310117367404627"/>
        </c:manualLayout>
      </c:layout>
      <c:scatterChart>
        <c:scatterStyle val="smoothMarker"/>
        <c:varyColors val="0"/>
        <c:ser>
          <c:idx val="0"/>
          <c:order val="0"/>
          <c:tx>
            <c:v>Ликвидные акции</c:v>
          </c:tx>
          <c:spPr>
            <a:ln w="19050" cap="rnd">
              <a:solidFill>
                <a:schemeClr val="dk1">
                  <a:tint val="88500"/>
                </a:schemeClr>
              </a:solidFill>
              <a:round/>
            </a:ln>
            <a:effectLst/>
          </c:spPr>
          <c:marker>
            <c:symbol val="circle"/>
            <c:size val="5"/>
            <c:spPr>
              <a:solidFill>
                <a:schemeClr val="dk1">
                  <a:tint val="88500"/>
                </a:schemeClr>
              </a:solidFill>
              <a:ln w="9525">
                <a:solidFill>
                  <a:schemeClr val="dk1">
                    <a:tint val="88500"/>
                  </a:schemeClr>
                </a:solidFill>
              </a:ln>
              <a:effectLst/>
            </c:spPr>
          </c:marker>
          <c:xVal>
            <c:numRef>
              <c:f>Лист1!$F$47:$F$51</c:f>
              <c:numCache>
                <c:formatCode>General</c:formatCode>
                <c:ptCount val="5"/>
                <c:pt idx="0">
                  <c:v>2012</c:v>
                </c:pt>
                <c:pt idx="1">
                  <c:v>2013</c:v>
                </c:pt>
                <c:pt idx="2">
                  <c:v>2014</c:v>
                </c:pt>
                <c:pt idx="3">
                  <c:v>2015</c:v>
                </c:pt>
                <c:pt idx="4">
                  <c:v>2016</c:v>
                </c:pt>
              </c:numCache>
            </c:numRef>
          </c:xVal>
          <c:yVal>
            <c:numRef>
              <c:f>Лист1!$G$47:$G$51</c:f>
              <c:numCache>
                <c:formatCode>0.00000</c:formatCode>
                <c:ptCount val="5"/>
                <c:pt idx="0">
                  <c:v>-2.0660906152060506E-2</c:v>
                </c:pt>
                <c:pt idx="1">
                  <c:v>0.56748622230992696</c:v>
                </c:pt>
                <c:pt idx="2">
                  <c:v>1.9462573595240964</c:v>
                </c:pt>
                <c:pt idx="3">
                  <c:v>2.4586478320951937</c:v>
                </c:pt>
                <c:pt idx="4">
                  <c:v>2.4242129885084265</c:v>
                </c:pt>
              </c:numCache>
            </c:numRef>
          </c:yVal>
          <c:smooth val="1"/>
          <c:extLst>
            <c:ext xmlns:c16="http://schemas.microsoft.com/office/drawing/2014/chart" uri="{C3380CC4-5D6E-409C-BE32-E72D297353CC}">
              <c16:uniqueId val="{00000000-B658-4E7F-BDDF-1967D89F0EEA}"/>
            </c:ext>
          </c:extLst>
        </c:ser>
        <c:ser>
          <c:idx val="1"/>
          <c:order val="1"/>
          <c:tx>
            <c:v>Облигации Плюс</c:v>
          </c:tx>
          <c:spPr>
            <a:ln w="19050" cap="rnd">
              <a:solidFill>
                <a:schemeClr val="dk1">
                  <a:tint val="55000"/>
                </a:schemeClr>
              </a:solidFill>
              <a:round/>
            </a:ln>
            <a:effectLst/>
          </c:spPr>
          <c:marker>
            <c:symbol val="circle"/>
            <c:size val="5"/>
            <c:spPr>
              <a:solidFill>
                <a:schemeClr val="dk1">
                  <a:tint val="55000"/>
                </a:schemeClr>
              </a:solidFill>
              <a:ln w="9525">
                <a:solidFill>
                  <a:schemeClr val="dk1">
                    <a:tint val="55000"/>
                  </a:schemeClr>
                </a:solidFill>
              </a:ln>
              <a:effectLst/>
            </c:spPr>
          </c:marker>
          <c:xVal>
            <c:numRef>
              <c:f>Лист1!$F$47:$F$51</c:f>
              <c:numCache>
                <c:formatCode>General</c:formatCode>
                <c:ptCount val="5"/>
                <c:pt idx="0">
                  <c:v>2012</c:v>
                </c:pt>
                <c:pt idx="1">
                  <c:v>2013</c:v>
                </c:pt>
                <c:pt idx="2">
                  <c:v>2014</c:v>
                </c:pt>
                <c:pt idx="3">
                  <c:v>2015</c:v>
                </c:pt>
                <c:pt idx="4">
                  <c:v>2016</c:v>
                </c:pt>
              </c:numCache>
            </c:numRef>
          </c:xVal>
          <c:yVal>
            <c:numRef>
              <c:f>Лист1!$H$47:$H$51</c:f>
              <c:numCache>
                <c:formatCode>General</c:formatCode>
                <c:ptCount val="5"/>
                <c:pt idx="0">
                  <c:v>0.22295363550186403</c:v>
                </c:pt>
                <c:pt idx="1">
                  <c:v>-0.23288721332125395</c:v>
                </c:pt>
                <c:pt idx="2">
                  <c:v>-1.4999702507278834</c:v>
                </c:pt>
                <c:pt idx="3">
                  <c:v>1.1920293383267981</c:v>
                </c:pt>
                <c:pt idx="4">
                  <c:v>0.7715078773059546</c:v>
                </c:pt>
              </c:numCache>
            </c:numRef>
          </c:yVal>
          <c:smooth val="1"/>
          <c:extLst>
            <c:ext xmlns:c16="http://schemas.microsoft.com/office/drawing/2014/chart" uri="{C3380CC4-5D6E-409C-BE32-E72D297353CC}">
              <c16:uniqueId val="{00000001-B658-4E7F-BDDF-1967D89F0EEA}"/>
            </c:ext>
          </c:extLst>
        </c:ser>
        <c:ser>
          <c:idx val="2"/>
          <c:order val="2"/>
          <c:tx>
            <c:v>Индекс ММВБ</c:v>
          </c:tx>
          <c:spPr>
            <a:ln w="19050" cap="rnd">
              <a:solidFill>
                <a:schemeClr val="dk1">
                  <a:tint val="75000"/>
                </a:schemeClr>
              </a:solidFill>
              <a:round/>
            </a:ln>
            <a:effectLst/>
          </c:spPr>
          <c:marker>
            <c:symbol val="circle"/>
            <c:size val="5"/>
            <c:spPr>
              <a:solidFill>
                <a:schemeClr val="dk1">
                  <a:tint val="75000"/>
                </a:schemeClr>
              </a:solidFill>
              <a:ln w="9525">
                <a:solidFill>
                  <a:schemeClr val="dk1">
                    <a:tint val="75000"/>
                  </a:schemeClr>
                </a:solidFill>
              </a:ln>
              <a:effectLst/>
            </c:spPr>
          </c:marker>
          <c:xVal>
            <c:numRef>
              <c:f>Лист1!$F$47:$F$51</c:f>
              <c:numCache>
                <c:formatCode>General</c:formatCode>
                <c:ptCount val="5"/>
                <c:pt idx="0">
                  <c:v>2012</c:v>
                </c:pt>
                <c:pt idx="1">
                  <c:v>2013</c:v>
                </c:pt>
                <c:pt idx="2">
                  <c:v>2014</c:v>
                </c:pt>
                <c:pt idx="3">
                  <c:v>2015</c:v>
                </c:pt>
                <c:pt idx="4">
                  <c:v>2016</c:v>
                </c:pt>
              </c:numCache>
            </c:numRef>
          </c:xVal>
          <c:yVal>
            <c:numRef>
              <c:f>Лист1!$I$47:$I$51</c:f>
              <c:numCache>
                <c:formatCode>General</c:formatCode>
                <c:ptCount val="5"/>
                <c:pt idx="0">
                  <c:v>-0.20028476624104133</c:v>
                </c:pt>
                <c:pt idx="1">
                  <c:v>-0.32204061334440937</c:v>
                </c:pt>
                <c:pt idx="2">
                  <c:v>-0.82851611934243596</c:v>
                </c:pt>
                <c:pt idx="3">
                  <c:v>1.3681322701141636</c:v>
                </c:pt>
                <c:pt idx="4">
                  <c:v>1.6354187747020281</c:v>
                </c:pt>
              </c:numCache>
            </c:numRef>
          </c:yVal>
          <c:smooth val="1"/>
          <c:extLst>
            <c:ext xmlns:c16="http://schemas.microsoft.com/office/drawing/2014/chart" uri="{C3380CC4-5D6E-409C-BE32-E72D297353CC}">
              <c16:uniqueId val="{00000002-B658-4E7F-BDDF-1967D89F0EEA}"/>
            </c:ext>
          </c:extLst>
        </c:ser>
        <c:dLbls>
          <c:showLegendKey val="0"/>
          <c:showVal val="0"/>
          <c:showCatName val="0"/>
          <c:showSerName val="0"/>
          <c:showPercent val="0"/>
          <c:showBubbleSize val="0"/>
        </c:dLbls>
        <c:axId val="27283840"/>
        <c:axId val="27285760"/>
      </c:scatterChart>
      <c:valAx>
        <c:axId val="272838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27285760"/>
        <c:crosses val="autoZero"/>
        <c:crossBetween val="midCat"/>
      </c:valAx>
      <c:valAx>
        <c:axId val="27285760"/>
        <c:scaling>
          <c:orientation val="minMax"/>
        </c:scaling>
        <c:delete val="0"/>
        <c:axPos val="l"/>
        <c:majorGridlines>
          <c:spPr>
            <a:ln w="9525" cap="flat" cmpd="sng" algn="ctr">
              <a:solidFill>
                <a:schemeClr val="tx1">
                  <a:lumMod val="15000"/>
                  <a:lumOff val="85000"/>
                </a:schemeClr>
              </a:solidFill>
              <a:round/>
            </a:ln>
            <a:effectLst/>
          </c:spPr>
        </c:majorGridlines>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272838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dk1">
                <a:tint val="88500"/>
              </a:schemeClr>
            </a:solidFill>
            <a:ln>
              <a:noFill/>
            </a:ln>
            <a:effectLst/>
            <a:sp3d/>
          </c:spPr>
          <c:invertIfNegative val="0"/>
          <c:cat>
            <c:strRef>
              <c:f>Лист1!$B$34:$D$34</c:f>
              <c:strCache>
                <c:ptCount val="3"/>
                <c:pt idx="0">
                  <c:v>Ликвидные акции</c:v>
                </c:pt>
                <c:pt idx="1">
                  <c:v>Облигации Плюс</c:v>
                </c:pt>
                <c:pt idx="2">
                  <c:v>Индекс ММВБ</c:v>
                </c:pt>
              </c:strCache>
            </c:strRef>
          </c:cat>
          <c:val>
            <c:numRef>
              <c:f>Лист1!$B$46:$B$48</c:f>
              <c:numCache>
                <c:formatCode>0.00</c:formatCode>
                <c:ptCount val="3"/>
                <c:pt idx="0">
                  <c:v>1.0164746605697146</c:v>
                </c:pt>
                <c:pt idx="1">
                  <c:v>0.23226884884680513</c:v>
                </c:pt>
                <c:pt idx="2">
                  <c:v>0.55341134170039541</c:v>
                </c:pt>
              </c:numCache>
            </c:numRef>
          </c:val>
          <c:extLst>
            <c:ext xmlns:c16="http://schemas.microsoft.com/office/drawing/2014/chart" uri="{C3380CC4-5D6E-409C-BE32-E72D297353CC}">
              <c16:uniqueId val="{00000006-7D69-4D97-97B4-CEB5535CEA6C}"/>
            </c:ext>
          </c:extLst>
        </c:ser>
        <c:dLbls>
          <c:showLegendKey val="0"/>
          <c:showVal val="0"/>
          <c:showCatName val="0"/>
          <c:showSerName val="0"/>
          <c:showPercent val="0"/>
          <c:showBubbleSize val="0"/>
        </c:dLbls>
        <c:gapWidth val="150"/>
        <c:shape val="box"/>
        <c:axId val="53266688"/>
        <c:axId val="53477376"/>
        <c:axId val="0"/>
      </c:bar3DChart>
      <c:catAx>
        <c:axId val="532666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3477376"/>
        <c:crosses val="autoZero"/>
        <c:auto val="1"/>
        <c:lblAlgn val="ctr"/>
        <c:lblOffset val="100"/>
        <c:noMultiLvlLbl val="0"/>
      </c:catAx>
      <c:valAx>
        <c:axId val="534773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3266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003CD-2107-493A-B11C-B79FECCAC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8</Pages>
  <Words>2237</Words>
  <Characters>12751</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23</cp:revision>
  <cp:lastPrinted>2017-04-24T05:51:00Z</cp:lastPrinted>
  <dcterms:created xsi:type="dcterms:W3CDTF">2017-04-21T08:30:00Z</dcterms:created>
  <dcterms:modified xsi:type="dcterms:W3CDTF">2017-11-02T09:27:00Z</dcterms:modified>
</cp:coreProperties>
</file>