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drawings/drawing5.xml" ContentType="application/vnd.openxmlformats-officedocument.drawingml.chartshapes+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7EC" w:rsidRPr="00C9011B" w:rsidRDefault="00C9011B" w:rsidP="00CE693D">
      <w:pPr>
        <w:spacing w:before="1588" w:after="567"/>
        <w:rPr>
          <w:rFonts w:ascii="Times New Roman" w:hAnsi="Times New Roman" w:cs="Times New Roman"/>
          <w:b/>
          <w:bCs/>
          <w:sz w:val="34"/>
          <w:szCs w:val="34"/>
        </w:rPr>
      </w:pPr>
      <w:r w:rsidRPr="00C9011B">
        <w:rPr>
          <w:rFonts w:ascii="Times New Roman" w:hAnsi="Times New Roman" w:cs="Times New Roman"/>
          <w:b/>
          <w:bCs/>
          <w:sz w:val="34"/>
          <w:szCs w:val="34"/>
        </w:rPr>
        <w:t xml:space="preserve">The effect of dietary </w:t>
      </w:r>
      <w:proofErr w:type="spellStart"/>
      <w:r w:rsidRPr="00C9011B">
        <w:rPr>
          <w:rFonts w:ascii="Times New Roman" w:hAnsi="Times New Roman" w:cs="Times New Roman"/>
          <w:b/>
          <w:bCs/>
          <w:sz w:val="34"/>
          <w:szCs w:val="34"/>
        </w:rPr>
        <w:t>fiber</w:t>
      </w:r>
      <w:proofErr w:type="spellEnd"/>
      <w:r w:rsidRPr="00C9011B">
        <w:rPr>
          <w:rFonts w:ascii="Times New Roman" w:hAnsi="Times New Roman" w:cs="Times New Roman"/>
          <w:b/>
          <w:bCs/>
          <w:sz w:val="34"/>
          <w:szCs w:val="34"/>
        </w:rPr>
        <w:t xml:space="preserve"> on the technological properties and safety of protein systems</w:t>
      </w:r>
    </w:p>
    <w:p w:rsidR="00C9011B" w:rsidRPr="008109EB" w:rsidRDefault="00C9011B" w:rsidP="00C9011B">
      <w:pPr>
        <w:ind w:left="1418"/>
        <w:rPr>
          <w:rFonts w:ascii="Times New Roman" w:hAnsi="Times New Roman" w:cs="Times New Roman"/>
          <w:b/>
          <w:bCs/>
          <w:vertAlign w:val="superscript"/>
          <w:lang w:val="en-US"/>
        </w:rPr>
      </w:pPr>
      <w:r>
        <w:rPr>
          <w:rFonts w:ascii="Times New Roman" w:hAnsi="Times New Roman" w:cs="Times New Roman"/>
          <w:b/>
          <w:bCs/>
          <w:lang w:val="en-US"/>
        </w:rPr>
        <w:t>T M Boitsova</w:t>
      </w:r>
      <w:r w:rsidR="007777EC" w:rsidRPr="008109EB">
        <w:rPr>
          <w:rFonts w:ascii="Times New Roman" w:hAnsi="Times New Roman" w:cs="Times New Roman"/>
          <w:vertAlign w:val="superscript"/>
          <w:lang w:val="en-US"/>
        </w:rPr>
        <w:t>1</w:t>
      </w:r>
      <w:r>
        <w:rPr>
          <w:rFonts w:ascii="Times New Roman" w:hAnsi="Times New Roman" w:cs="Times New Roman"/>
          <w:vertAlign w:val="superscript"/>
          <w:lang w:val="en-US"/>
        </w:rPr>
        <w:t>.2</w:t>
      </w:r>
      <w:r w:rsidR="007777EC">
        <w:rPr>
          <w:rFonts w:ascii="Times New Roman" w:hAnsi="Times New Roman" w:cs="Times New Roman"/>
          <w:b/>
          <w:bCs/>
          <w:lang w:val="en-US"/>
        </w:rPr>
        <w:t>,</w:t>
      </w:r>
      <w:r w:rsidR="007777EC" w:rsidRPr="00F84D74">
        <w:rPr>
          <w:rFonts w:ascii="Times New Roman" w:hAnsi="Times New Roman" w:cs="Times New Roman"/>
          <w:b/>
          <w:bCs/>
          <w:lang w:val="en-US"/>
        </w:rPr>
        <w:t xml:space="preserve"> </w:t>
      </w:r>
      <w:r w:rsidR="007777EC">
        <w:rPr>
          <w:rFonts w:ascii="Times New Roman" w:hAnsi="Times New Roman" w:cs="Times New Roman"/>
          <w:b/>
          <w:bCs/>
          <w:lang w:val="en-US"/>
        </w:rPr>
        <w:t>S</w:t>
      </w:r>
      <w:r>
        <w:rPr>
          <w:rFonts w:ascii="Times New Roman" w:hAnsi="Times New Roman" w:cs="Times New Roman"/>
          <w:b/>
          <w:bCs/>
          <w:lang w:val="en-US"/>
        </w:rPr>
        <w:t xml:space="preserve"> V</w:t>
      </w:r>
      <w:r w:rsidR="007777EC" w:rsidRPr="00F84D74">
        <w:rPr>
          <w:rFonts w:ascii="Times New Roman" w:hAnsi="Times New Roman" w:cs="Times New Roman"/>
          <w:b/>
          <w:bCs/>
          <w:lang w:val="en-US"/>
        </w:rPr>
        <w:t xml:space="preserve"> </w:t>
      </w:r>
      <w:r>
        <w:rPr>
          <w:rFonts w:ascii="Times New Roman" w:hAnsi="Times New Roman" w:cs="Times New Roman"/>
          <w:b/>
          <w:bCs/>
          <w:lang w:val="en-US"/>
        </w:rPr>
        <w:t>Zhuravleva</w:t>
      </w:r>
      <w:r w:rsidR="007777EC" w:rsidRPr="008109EB">
        <w:rPr>
          <w:rFonts w:ascii="Times New Roman" w:hAnsi="Times New Roman" w:cs="Times New Roman"/>
          <w:vertAlign w:val="superscript"/>
          <w:lang w:val="en-US"/>
        </w:rPr>
        <w:t>1</w:t>
      </w:r>
      <w:r w:rsidR="007777EC" w:rsidRPr="00F84D74">
        <w:rPr>
          <w:rFonts w:ascii="Times New Roman" w:hAnsi="Times New Roman" w:cs="Times New Roman"/>
          <w:b/>
          <w:bCs/>
          <w:lang w:val="en-US"/>
        </w:rPr>
        <w:t xml:space="preserve">, </w:t>
      </w:r>
      <w:proofErr w:type="spellStart"/>
      <w:r>
        <w:rPr>
          <w:rFonts w:ascii="Times New Roman" w:hAnsi="Times New Roman" w:cs="Times New Roman"/>
          <w:b/>
          <w:bCs/>
          <w:lang w:val="en-US"/>
        </w:rPr>
        <w:t>Zh</w:t>
      </w:r>
      <w:proofErr w:type="spellEnd"/>
      <w:r>
        <w:rPr>
          <w:rFonts w:ascii="Times New Roman" w:hAnsi="Times New Roman" w:cs="Times New Roman"/>
          <w:b/>
          <w:bCs/>
          <w:lang w:val="en-US"/>
        </w:rPr>
        <w:t xml:space="preserve"> G Prokopets</w:t>
      </w:r>
      <w:r>
        <w:rPr>
          <w:rFonts w:ascii="Times New Roman" w:hAnsi="Times New Roman" w:cs="Times New Roman"/>
          <w:vertAlign w:val="superscript"/>
          <w:lang w:val="en-US"/>
        </w:rPr>
        <w:t>1</w:t>
      </w:r>
      <w:r w:rsidRPr="00F84D74">
        <w:rPr>
          <w:rFonts w:ascii="Times New Roman" w:hAnsi="Times New Roman" w:cs="Times New Roman"/>
          <w:b/>
          <w:bCs/>
          <w:lang w:val="en-US"/>
        </w:rPr>
        <w:t xml:space="preserve">, </w:t>
      </w:r>
      <w:r>
        <w:rPr>
          <w:rFonts w:ascii="Times New Roman" w:hAnsi="Times New Roman" w:cs="Times New Roman"/>
          <w:b/>
          <w:bCs/>
          <w:lang w:val="en-US"/>
        </w:rPr>
        <w:t>P N Krugovaya</w:t>
      </w:r>
      <w:r>
        <w:rPr>
          <w:rFonts w:ascii="Times New Roman" w:hAnsi="Times New Roman" w:cs="Times New Roman"/>
          <w:vertAlign w:val="superscript"/>
          <w:lang w:val="en-US"/>
        </w:rPr>
        <w:t>1</w:t>
      </w:r>
      <w:r w:rsidRPr="00F84D74">
        <w:rPr>
          <w:rFonts w:ascii="Times New Roman" w:hAnsi="Times New Roman" w:cs="Times New Roman"/>
          <w:b/>
          <w:bCs/>
          <w:lang w:val="en-US"/>
        </w:rPr>
        <w:t xml:space="preserve">, </w:t>
      </w:r>
      <w:r>
        <w:rPr>
          <w:rFonts w:ascii="Times New Roman" w:hAnsi="Times New Roman" w:cs="Times New Roman"/>
          <w:b/>
          <w:bCs/>
          <w:lang w:val="en-US"/>
        </w:rPr>
        <w:t>V A Lyakh</w:t>
      </w:r>
      <w:r>
        <w:rPr>
          <w:rFonts w:ascii="Times New Roman" w:hAnsi="Times New Roman" w:cs="Times New Roman"/>
          <w:vertAlign w:val="superscript"/>
          <w:lang w:val="en-US"/>
        </w:rPr>
        <w:t>2</w:t>
      </w:r>
    </w:p>
    <w:p w:rsidR="007777EC" w:rsidRDefault="007777EC" w:rsidP="0083520C">
      <w:pPr>
        <w:ind w:left="1418"/>
        <w:jc w:val="both"/>
        <w:rPr>
          <w:rFonts w:ascii="Times New Roman" w:hAnsi="Times New Roman" w:cs="Times New Roman"/>
          <w:vertAlign w:val="superscript"/>
          <w:lang w:val="en-US"/>
        </w:rPr>
      </w:pPr>
    </w:p>
    <w:p w:rsidR="009A6F72" w:rsidRDefault="009A6F72" w:rsidP="0083520C">
      <w:pPr>
        <w:ind w:left="1418"/>
        <w:jc w:val="both"/>
        <w:rPr>
          <w:rFonts w:ascii="Times New Roman" w:hAnsi="Times New Roman" w:cs="Times New Roman"/>
          <w:vertAlign w:val="superscript"/>
          <w:lang w:val="en-US"/>
        </w:rPr>
      </w:pPr>
      <w:bookmarkStart w:id="0" w:name="_GoBack"/>
      <w:bookmarkEnd w:id="0"/>
    </w:p>
    <w:p w:rsidR="009A6F72" w:rsidRPr="00263D98" w:rsidRDefault="009A6F72" w:rsidP="0083520C">
      <w:pPr>
        <w:ind w:left="1418"/>
        <w:jc w:val="both"/>
        <w:rPr>
          <w:rFonts w:ascii="Times New Roman" w:hAnsi="Times New Roman" w:cs="Times New Roman"/>
          <w:vertAlign w:val="superscript"/>
          <w:lang w:val="en-US"/>
        </w:rPr>
      </w:pPr>
    </w:p>
    <w:p w:rsidR="007777EC" w:rsidRPr="00B972B8" w:rsidRDefault="007777EC" w:rsidP="0083520C">
      <w:pPr>
        <w:ind w:left="1418"/>
        <w:jc w:val="both"/>
        <w:rPr>
          <w:rFonts w:ascii="Times New Roman" w:hAnsi="Times New Roman" w:cs="Times New Roman"/>
          <w:lang w:val="en-US"/>
        </w:rPr>
      </w:pPr>
      <w:r w:rsidRPr="00B972B8">
        <w:rPr>
          <w:rFonts w:ascii="Times New Roman" w:hAnsi="Times New Roman" w:cs="Times New Roman"/>
          <w:vertAlign w:val="superscript"/>
          <w:lang w:val="en-US"/>
        </w:rPr>
        <w:t>1</w:t>
      </w:r>
      <w:r w:rsidRPr="00B972B8">
        <w:rPr>
          <w:rFonts w:ascii="Times New Roman" w:hAnsi="Times New Roman" w:cs="Times New Roman"/>
        </w:rPr>
        <w:t xml:space="preserve"> </w:t>
      </w:r>
      <w:r w:rsidR="00C9011B" w:rsidRPr="00C9011B">
        <w:rPr>
          <w:rFonts w:ascii="Times New Roman" w:hAnsi="Times New Roman" w:cs="Times New Roman"/>
        </w:rPr>
        <w:t>Far Eastern State Technical Fisheries University</w:t>
      </w:r>
      <w:r w:rsidRPr="00B972B8">
        <w:rPr>
          <w:rFonts w:ascii="Times New Roman" w:hAnsi="Times New Roman" w:cs="Times New Roman"/>
          <w:lang w:val="en-US"/>
        </w:rPr>
        <w:t xml:space="preserve">, </w:t>
      </w:r>
      <w:r w:rsidR="00C9011B">
        <w:rPr>
          <w:rFonts w:ascii="Times New Roman" w:hAnsi="Times New Roman" w:cs="Times New Roman"/>
          <w:lang w:val="en-US"/>
        </w:rPr>
        <w:t>52 B</w:t>
      </w:r>
      <w:r>
        <w:rPr>
          <w:rFonts w:ascii="Times New Roman" w:hAnsi="Times New Roman" w:cs="Times New Roman"/>
          <w:lang w:val="en-US"/>
        </w:rPr>
        <w:t xml:space="preserve">, </w:t>
      </w:r>
      <w:proofErr w:type="spellStart"/>
      <w:r w:rsidR="00C9011B">
        <w:rPr>
          <w:rFonts w:ascii="Times New Roman" w:hAnsi="Times New Roman" w:cs="Times New Roman"/>
          <w:lang w:val="en-US"/>
        </w:rPr>
        <w:t>Lugovaya</w:t>
      </w:r>
      <w:proofErr w:type="spellEnd"/>
      <w:r w:rsidR="00C9011B">
        <w:rPr>
          <w:rFonts w:ascii="Times New Roman" w:hAnsi="Times New Roman" w:cs="Times New Roman"/>
          <w:lang w:val="en-US"/>
        </w:rPr>
        <w:t xml:space="preserve"> </w:t>
      </w:r>
      <w:proofErr w:type="spellStart"/>
      <w:r w:rsidR="00C9011B">
        <w:rPr>
          <w:rFonts w:ascii="Times New Roman" w:hAnsi="Times New Roman" w:cs="Times New Roman"/>
          <w:lang w:val="en-US"/>
        </w:rPr>
        <w:t>st.</w:t>
      </w:r>
      <w:proofErr w:type="spellEnd"/>
      <w:r w:rsidRPr="00B972B8">
        <w:rPr>
          <w:rFonts w:ascii="Times New Roman" w:hAnsi="Times New Roman" w:cs="Times New Roman"/>
          <w:lang w:val="en-US"/>
        </w:rPr>
        <w:t xml:space="preserve">, </w:t>
      </w:r>
      <w:r w:rsidR="00C9011B">
        <w:rPr>
          <w:rFonts w:ascii="Times New Roman" w:hAnsi="Times New Roman" w:cs="Times New Roman"/>
          <w:lang w:val="en-US"/>
        </w:rPr>
        <w:t>Vladivostok</w:t>
      </w:r>
      <w:r w:rsidRPr="00B972B8">
        <w:rPr>
          <w:rFonts w:ascii="Times New Roman" w:hAnsi="Times New Roman" w:cs="Times New Roman"/>
          <w:lang w:val="en-US"/>
        </w:rPr>
        <w:t xml:space="preserve">, </w:t>
      </w:r>
      <w:r w:rsidR="00C9011B">
        <w:rPr>
          <w:rFonts w:ascii="Times New Roman" w:hAnsi="Times New Roman" w:cs="Times New Roman"/>
          <w:lang w:val="en-US"/>
        </w:rPr>
        <w:t>690087</w:t>
      </w:r>
      <w:r w:rsidRPr="00B972B8">
        <w:rPr>
          <w:rFonts w:ascii="Times New Roman" w:hAnsi="Times New Roman" w:cs="Times New Roman"/>
          <w:lang w:val="en-US"/>
        </w:rPr>
        <w:t xml:space="preserve">, Russia </w:t>
      </w:r>
    </w:p>
    <w:p w:rsidR="007777EC" w:rsidRPr="00B972B8" w:rsidRDefault="007777EC" w:rsidP="0083520C">
      <w:pPr>
        <w:ind w:left="1418"/>
        <w:jc w:val="both"/>
        <w:rPr>
          <w:rFonts w:ascii="Times New Roman" w:hAnsi="Times New Roman" w:cs="Times New Roman"/>
          <w:lang w:val="en-US"/>
        </w:rPr>
      </w:pPr>
      <w:r w:rsidRPr="00B972B8">
        <w:rPr>
          <w:rFonts w:ascii="Times New Roman" w:hAnsi="Times New Roman" w:cs="Times New Roman"/>
          <w:vertAlign w:val="superscript"/>
          <w:lang w:val="en-US"/>
        </w:rPr>
        <w:t>2</w:t>
      </w:r>
      <w:r w:rsidRPr="00B972B8">
        <w:rPr>
          <w:rFonts w:ascii="Times New Roman" w:hAnsi="Times New Roman" w:cs="Times New Roman"/>
          <w:lang w:val="en-US"/>
        </w:rPr>
        <w:t xml:space="preserve"> </w:t>
      </w:r>
      <w:r w:rsidR="00C9011B" w:rsidRPr="00C9011B">
        <w:rPr>
          <w:rFonts w:ascii="Times New Roman" w:hAnsi="Times New Roman" w:cs="Times New Roman"/>
        </w:rPr>
        <w:t>Far Eastern Federal University</w:t>
      </w:r>
      <w:r w:rsidRPr="00C21468">
        <w:rPr>
          <w:rFonts w:ascii="Times New Roman" w:hAnsi="Times New Roman" w:cs="Times New Roman"/>
        </w:rPr>
        <w:t xml:space="preserve">, </w:t>
      </w:r>
      <w:r w:rsidR="00C9011B" w:rsidRPr="00C9011B">
        <w:rPr>
          <w:rFonts w:ascii="Times New Roman" w:hAnsi="Times New Roman" w:cs="Times New Roman"/>
        </w:rPr>
        <w:t>8</w:t>
      </w:r>
      <w:r w:rsidR="004F7A28">
        <w:rPr>
          <w:rFonts w:ascii="Times New Roman" w:hAnsi="Times New Roman" w:cs="Times New Roman"/>
        </w:rPr>
        <w:t>,</w:t>
      </w:r>
      <w:r w:rsidR="00C9011B" w:rsidRPr="00C9011B">
        <w:rPr>
          <w:rFonts w:ascii="Times New Roman" w:hAnsi="Times New Roman" w:cs="Times New Roman"/>
        </w:rPr>
        <w:t xml:space="preserve"> </w:t>
      </w:r>
      <w:proofErr w:type="spellStart"/>
      <w:r w:rsidR="00C9011B" w:rsidRPr="00C9011B">
        <w:rPr>
          <w:rFonts w:ascii="Times New Roman" w:hAnsi="Times New Roman" w:cs="Times New Roman"/>
        </w:rPr>
        <w:t>Sukhanova</w:t>
      </w:r>
      <w:proofErr w:type="spellEnd"/>
      <w:r w:rsidR="00C9011B" w:rsidRPr="00C9011B">
        <w:rPr>
          <w:rFonts w:ascii="Times New Roman" w:hAnsi="Times New Roman" w:cs="Times New Roman"/>
        </w:rPr>
        <w:t xml:space="preserve"> </w:t>
      </w:r>
      <w:proofErr w:type="spellStart"/>
      <w:r w:rsidR="00C9011B">
        <w:rPr>
          <w:rFonts w:ascii="Times New Roman" w:hAnsi="Times New Roman" w:cs="Times New Roman"/>
        </w:rPr>
        <w:t>st</w:t>
      </w:r>
      <w:r w:rsidR="00C9011B" w:rsidRPr="00C9011B">
        <w:rPr>
          <w:rFonts w:ascii="Times New Roman" w:hAnsi="Times New Roman" w:cs="Times New Roman"/>
        </w:rPr>
        <w:t>.</w:t>
      </w:r>
      <w:proofErr w:type="spellEnd"/>
      <w:r w:rsidR="00C9011B" w:rsidRPr="00C9011B">
        <w:rPr>
          <w:rFonts w:ascii="Times New Roman" w:hAnsi="Times New Roman" w:cs="Times New Roman"/>
        </w:rPr>
        <w:t>, Vladivostok 690091</w:t>
      </w:r>
      <w:r w:rsidRPr="00C9011B">
        <w:rPr>
          <w:rFonts w:ascii="Times New Roman" w:hAnsi="Times New Roman" w:cs="Times New Roman"/>
        </w:rPr>
        <w:t>,</w:t>
      </w:r>
      <w:r w:rsidRPr="00B972B8">
        <w:rPr>
          <w:rFonts w:ascii="Times New Roman" w:hAnsi="Times New Roman" w:cs="Times New Roman"/>
          <w:lang w:val="en-US"/>
        </w:rPr>
        <w:t xml:space="preserve"> Russia</w:t>
      </w:r>
    </w:p>
    <w:p w:rsidR="007777EC" w:rsidRPr="00F84D74" w:rsidRDefault="007777EC" w:rsidP="00F84D74">
      <w:pPr>
        <w:ind w:left="1418"/>
        <w:rPr>
          <w:rFonts w:ascii="Times New Roman" w:hAnsi="Times New Roman" w:cs="Times New Roman"/>
          <w:shd w:val="clear" w:color="auto" w:fill="FFFFFF"/>
          <w:lang w:val="en-US"/>
        </w:rPr>
      </w:pPr>
    </w:p>
    <w:p w:rsidR="007777EC" w:rsidRPr="000A7699" w:rsidRDefault="007777EC" w:rsidP="00F84D74">
      <w:pPr>
        <w:ind w:left="1418"/>
        <w:rPr>
          <w:rFonts w:ascii="Times New Roman" w:hAnsi="Times New Roman" w:cs="Times New Roman"/>
          <w:lang w:val="fr-FR"/>
        </w:rPr>
      </w:pPr>
      <w:r w:rsidRPr="000A7699">
        <w:rPr>
          <w:rFonts w:ascii="Times New Roman" w:hAnsi="Times New Roman" w:cs="Times New Roman"/>
          <w:lang w:val="fr-FR"/>
        </w:rPr>
        <w:t xml:space="preserve">E-mail: </w:t>
      </w:r>
      <w:r w:rsidR="006A0193">
        <w:fldChar w:fldCharType="begin"/>
      </w:r>
      <w:r w:rsidR="006A0193">
        <w:instrText xml:space="preserve"> HYPERLINK "mailto:lyah.va@dvfu.ru" </w:instrText>
      </w:r>
      <w:r w:rsidR="006A0193">
        <w:fldChar w:fldCharType="separate"/>
      </w:r>
      <w:r w:rsidR="00C9011B" w:rsidRPr="00D00782">
        <w:rPr>
          <w:rStyle w:val="ac"/>
          <w:rFonts w:ascii="Times New Roman" w:hAnsi="Times New Roman" w:cs="Times New Roman"/>
          <w:lang w:val="fr-FR"/>
        </w:rPr>
        <w:t>lyah.va@dvfu.ru</w:t>
      </w:r>
      <w:r w:rsidR="006A0193">
        <w:rPr>
          <w:rStyle w:val="ac"/>
          <w:rFonts w:ascii="Times New Roman" w:hAnsi="Times New Roman" w:cs="Times New Roman"/>
          <w:lang w:val="fr-FR"/>
        </w:rPr>
        <w:fldChar w:fldCharType="end"/>
      </w:r>
      <w:r w:rsidRPr="000A7699">
        <w:rPr>
          <w:rFonts w:ascii="Times New Roman" w:hAnsi="Times New Roman" w:cs="Times New Roman"/>
          <w:lang w:val="fr-FR"/>
        </w:rPr>
        <w:t xml:space="preserve"> </w:t>
      </w:r>
    </w:p>
    <w:p w:rsidR="007777EC" w:rsidRDefault="007777EC" w:rsidP="00F84D74">
      <w:pPr>
        <w:ind w:left="1418"/>
        <w:jc w:val="both"/>
        <w:rPr>
          <w:rFonts w:ascii="Times New Roman" w:hAnsi="Times New Roman" w:cs="Times New Roman"/>
          <w:b/>
          <w:bCs/>
          <w:sz w:val="20"/>
          <w:szCs w:val="20"/>
          <w:lang w:val="fr-FR"/>
        </w:rPr>
      </w:pPr>
    </w:p>
    <w:p w:rsidR="007777EC" w:rsidRPr="00DF75CB" w:rsidRDefault="007777EC" w:rsidP="00FD2E3C">
      <w:pPr>
        <w:spacing w:after="568"/>
        <w:ind w:left="1418"/>
        <w:jc w:val="both"/>
        <w:rPr>
          <w:rFonts w:ascii="Times New Roman" w:hAnsi="Times New Roman" w:cs="Times New Roman"/>
          <w:sz w:val="20"/>
          <w:szCs w:val="20"/>
          <w:lang w:val="en-US"/>
        </w:rPr>
      </w:pPr>
      <w:r w:rsidRPr="00DF75CB">
        <w:rPr>
          <w:rFonts w:ascii="Times New Roman" w:hAnsi="Times New Roman" w:cs="Times New Roman"/>
          <w:b/>
          <w:bCs/>
          <w:sz w:val="20"/>
          <w:szCs w:val="20"/>
          <w:lang w:val="en-US"/>
        </w:rPr>
        <w:t>Abstract</w:t>
      </w:r>
      <w:r w:rsidRPr="00DF75CB">
        <w:rPr>
          <w:rFonts w:ascii="Times New Roman" w:hAnsi="Times New Roman" w:cs="Times New Roman"/>
          <w:sz w:val="20"/>
          <w:szCs w:val="20"/>
          <w:lang w:val="en-US"/>
        </w:rPr>
        <w:t xml:space="preserve">. </w:t>
      </w:r>
      <w:r w:rsidR="00C9011B" w:rsidRPr="00C9011B">
        <w:rPr>
          <w:rFonts w:ascii="Times New Roman" w:hAnsi="Times New Roman" w:cs="Times New Roman"/>
          <w:sz w:val="20"/>
          <w:szCs w:val="20"/>
          <w:lang w:val="en-US"/>
        </w:rPr>
        <w:t>Dietary fibers are components of vegetable and animal raw materials, from which until recently were released in the process of obtaining purified, refined food. The most accessible and frequently used dietary fibers are formed in the process of processing wheat into flour of higher grades. In the production process have a different degree of grinding, which according to some authors can have a significant impact on their biological value. The purpose of the research is to determine these effects on the model protein systems and to justify the possibility of regulating the technological properties and safety of protein systems by dietary fibers. The quality of the materials used wheat bran, obtained during the processing of wheat. Model protein systems were prepared from crushed muscle tissue of freshly caught Pacific herring (</w:t>
      </w:r>
      <w:proofErr w:type="spellStart"/>
      <w:r w:rsidR="00C9011B" w:rsidRPr="00C9011B">
        <w:rPr>
          <w:rFonts w:ascii="Times New Roman" w:hAnsi="Times New Roman" w:cs="Times New Roman"/>
          <w:i/>
          <w:sz w:val="20"/>
          <w:szCs w:val="20"/>
          <w:lang w:val="en-US"/>
        </w:rPr>
        <w:t>Clupea</w:t>
      </w:r>
      <w:proofErr w:type="spellEnd"/>
      <w:r w:rsidR="00C9011B" w:rsidRPr="00C9011B">
        <w:rPr>
          <w:rFonts w:ascii="Times New Roman" w:hAnsi="Times New Roman" w:cs="Times New Roman"/>
          <w:i/>
          <w:sz w:val="20"/>
          <w:szCs w:val="20"/>
          <w:lang w:val="en-US"/>
        </w:rPr>
        <w:t xml:space="preserve"> </w:t>
      </w:r>
      <w:proofErr w:type="spellStart"/>
      <w:r w:rsidR="00C9011B" w:rsidRPr="00C9011B">
        <w:rPr>
          <w:rFonts w:ascii="Times New Roman" w:hAnsi="Times New Roman" w:cs="Times New Roman"/>
          <w:i/>
          <w:sz w:val="20"/>
          <w:szCs w:val="20"/>
          <w:lang w:val="en-US"/>
        </w:rPr>
        <w:t>pallasii</w:t>
      </w:r>
      <w:proofErr w:type="spellEnd"/>
      <w:r w:rsidR="00C9011B" w:rsidRPr="00C9011B">
        <w:rPr>
          <w:rFonts w:ascii="Times New Roman" w:hAnsi="Times New Roman" w:cs="Times New Roman"/>
          <w:sz w:val="20"/>
          <w:szCs w:val="20"/>
          <w:lang w:val="en-US"/>
        </w:rPr>
        <w:t>) and Pollock (</w:t>
      </w:r>
      <w:proofErr w:type="spellStart"/>
      <w:r w:rsidR="00C9011B" w:rsidRPr="00C9011B">
        <w:rPr>
          <w:rFonts w:ascii="Times New Roman" w:hAnsi="Times New Roman" w:cs="Times New Roman"/>
          <w:i/>
          <w:sz w:val="20"/>
          <w:szCs w:val="20"/>
          <w:lang w:val="en-US"/>
        </w:rPr>
        <w:t>Theragra</w:t>
      </w:r>
      <w:proofErr w:type="spellEnd"/>
      <w:r w:rsidR="00C9011B" w:rsidRPr="00C9011B">
        <w:rPr>
          <w:rFonts w:ascii="Times New Roman" w:hAnsi="Times New Roman" w:cs="Times New Roman"/>
          <w:i/>
          <w:sz w:val="20"/>
          <w:szCs w:val="20"/>
          <w:lang w:val="en-US"/>
        </w:rPr>
        <w:t xml:space="preserve"> </w:t>
      </w:r>
      <w:proofErr w:type="spellStart"/>
      <w:r w:rsidR="00C9011B" w:rsidRPr="00C9011B">
        <w:rPr>
          <w:rFonts w:ascii="Times New Roman" w:hAnsi="Times New Roman" w:cs="Times New Roman"/>
          <w:i/>
          <w:sz w:val="20"/>
          <w:szCs w:val="20"/>
          <w:lang w:val="en-US"/>
        </w:rPr>
        <w:t>alcoggramma</w:t>
      </w:r>
      <w:proofErr w:type="spellEnd"/>
      <w:r w:rsidR="00C9011B" w:rsidRPr="00C9011B">
        <w:rPr>
          <w:rFonts w:ascii="Times New Roman" w:hAnsi="Times New Roman" w:cs="Times New Roman"/>
          <w:sz w:val="20"/>
          <w:szCs w:val="20"/>
          <w:lang w:val="en-US"/>
        </w:rPr>
        <w:t>). Embraced are characterized by different technical characteristics.</w:t>
      </w:r>
      <w:r w:rsidR="004F7A28">
        <w:rPr>
          <w:rFonts w:ascii="Times New Roman" w:hAnsi="Times New Roman" w:cs="Times New Roman"/>
          <w:sz w:val="20"/>
          <w:szCs w:val="20"/>
          <w:lang w:val="en-US"/>
        </w:rPr>
        <w:t xml:space="preserve"> </w:t>
      </w:r>
      <w:r w:rsidR="00C9011B" w:rsidRPr="00C9011B">
        <w:rPr>
          <w:rFonts w:ascii="Times New Roman" w:hAnsi="Times New Roman" w:cs="Times New Roman"/>
          <w:sz w:val="20"/>
          <w:szCs w:val="20"/>
          <w:lang w:val="en-US"/>
        </w:rPr>
        <w:t>As a result, it was found that wheat</w:t>
      </w:r>
      <w:r w:rsidR="00C9011B" w:rsidRPr="00F923D2">
        <w:rPr>
          <w:rFonts w:ascii="Arial" w:hAnsi="Arial" w:cs="Arial"/>
          <w:bCs/>
          <w:sz w:val="24"/>
          <w:szCs w:val="24"/>
          <w:shd w:val="clear" w:color="auto" w:fill="FFFFFF"/>
        </w:rPr>
        <w:t xml:space="preserve"> </w:t>
      </w:r>
      <w:r w:rsidR="00C9011B" w:rsidRPr="009C5378">
        <w:rPr>
          <w:rFonts w:ascii="Times New Roman" w:hAnsi="Times New Roman" w:cs="Times New Roman"/>
          <w:sz w:val="20"/>
          <w:szCs w:val="20"/>
          <w:lang w:val="en-US"/>
        </w:rPr>
        <w:t>bran makes it.</w:t>
      </w:r>
    </w:p>
    <w:p w:rsidR="007777EC" w:rsidRPr="00DF75CB" w:rsidRDefault="007777EC" w:rsidP="002E5FE9">
      <w:pPr>
        <w:pStyle w:val="Section"/>
        <w:spacing w:before="0"/>
        <w:ind w:left="0"/>
        <w:rPr>
          <w:rFonts w:ascii="Times New Roman" w:hAnsi="Times New Roman" w:cs="Times New Roman"/>
          <w:color w:val="auto"/>
        </w:rPr>
      </w:pPr>
      <w:r w:rsidRPr="00DF75CB">
        <w:rPr>
          <w:rFonts w:ascii="Times New Roman" w:hAnsi="Times New Roman" w:cs="Times New Roman"/>
          <w:color w:val="auto"/>
        </w:rPr>
        <w:t>Introduction</w:t>
      </w:r>
    </w:p>
    <w:p w:rsidR="00C9011B" w:rsidRPr="00C9011B" w:rsidRDefault="007777EC" w:rsidP="004F7A28">
      <w:pPr>
        <w:pStyle w:val="Reference"/>
        <w:numPr>
          <w:ilvl w:val="0"/>
          <w:numId w:val="0"/>
        </w:numPr>
        <w:tabs>
          <w:tab w:val="clear" w:pos="567"/>
        </w:tabs>
        <w:ind w:firstLine="284"/>
        <w:rPr>
          <w:rFonts w:ascii="Times New Roman" w:hAnsi="Times New Roman" w:cs="Times New Roman"/>
          <w:color w:val="auto"/>
          <w:lang w:val="en-US"/>
        </w:rPr>
      </w:pPr>
      <w:r w:rsidRPr="00C9011B">
        <w:rPr>
          <w:rFonts w:ascii="Times New Roman" w:hAnsi="Times New Roman" w:cs="Times New Roman"/>
          <w:color w:val="auto"/>
          <w:lang w:val="en-US"/>
        </w:rPr>
        <w:t xml:space="preserve">In the modern mechanical engineering a significant number of parts are fabricated from lead-tin-base bronzes. </w:t>
      </w:r>
      <w:r w:rsidR="00C9011B" w:rsidRPr="00C9011B">
        <w:rPr>
          <w:rFonts w:ascii="Times New Roman" w:hAnsi="Times New Roman" w:cs="Times New Roman"/>
          <w:color w:val="auto"/>
          <w:lang w:val="en-US"/>
        </w:rPr>
        <w:t xml:space="preserve">Dietary fiber is a component of plant and animal raw materials, which until recently were released to produce the purified, refined food. They consist mainly of polysaccharides and may </w:t>
      </w:r>
      <w:r w:rsidR="00C9011B">
        <w:rPr>
          <w:rFonts w:ascii="Times New Roman" w:hAnsi="Times New Roman" w:cs="Times New Roman"/>
          <w:color w:val="auto"/>
          <w:lang w:val="en-US"/>
        </w:rPr>
        <w:t xml:space="preserve">be </w:t>
      </w:r>
      <w:r w:rsidR="00C9011B" w:rsidRPr="00C9011B">
        <w:rPr>
          <w:rFonts w:ascii="Times New Roman" w:hAnsi="Times New Roman" w:cs="Times New Roman"/>
          <w:color w:val="auto"/>
          <w:lang w:val="en-US"/>
        </w:rPr>
        <w:t>soluble (pectic substances, alginic acids, gums, mucus, arabinoxylans, etc.) as well as insoluble (cellulose, lignin, cellulose lignin complexes, some types of hemicelluloses) in water. All these substances can be components of food, but</w:t>
      </w:r>
      <w:r w:rsidR="004F7A28">
        <w:rPr>
          <w:rFonts w:ascii="Times New Roman" w:hAnsi="Times New Roman" w:cs="Times New Roman"/>
          <w:color w:val="auto"/>
          <w:lang w:val="en-US"/>
        </w:rPr>
        <w:t xml:space="preserve"> </w:t>
      </w:r>
      <w:r w:rsidR="00C9011B" w:rsidRPr="00C9011B">
        <w:rPr>
          <w:rFonts w:ascii="Times New Roman" w:hAnsi="Times New Roman" w:cs="Times New Roman"/>
          <w:color w:val="auto"/>
          <w:lang w:val="en-US"/>
        </w:rPr>
        <w:t>they resist to the action of digestive enzymes and are not susceptible to absorption. However, their functional properties are associated with the proper organization of the gastrointestinal tract in the human body</w:t>
      </w:r>
      <w:r w:rsidR="00092530">
        <w:rPr>
          <w:rFonts w:ascii="Times New Roman" w:hAnsi="Times New Roman" w:cs="Times New Roman"/>
          <w:color w:val="auto"/>
          <w:lang w:val="en-US"/>
        </w:rPr>
        <w:t>[</w:t>
      </w:r>
      <w:r w:rsidR="00092530" w:rsidRPr="00092530">
        <w:rPr>
          <w:rFonts w:ascii="Times New Roman" w:hAnsi="Times New Roman" w:cs="Times New Roman"/>
          <w:color w:val="auto"/>
          <w:lang w:val="en-US"/>
        </w:rPr>
        <w:t>1, 2</w:t>
      </w:r>
      <w:r w:rsidR="00092530">
        <w:rPr>
          <w:rFonts w:ascii="Times New Roman" w:hAnsi="Times New Roman" w:cs="Times New Roman"/>
          <w:color w:val="auto"/>
          <w:lang w:val="en-US"/>
        </w:rPr>
        <w:t>]</w:t>
      </w:r>
      <w:r w:rsidR="00C9011B" w:rsidRPr="00C9011B">
        <w:rPr>
          <w:rFonts w:ascii="Times New Roman" w:hAnsi="Times New Roman" w:cs="Times New Roman"/>
          <w:color w:val="auto"/>
          <w:lang w:val="en-US"/>
        </w:rPr>
        <w:t>.</w:t>
      </w:r>
    </w:p>
    <w:p w:rsidR="00C9011B" w:rsidRPr="00C9011B" w:rsidRDefault="00C9011B" w:rsidP="004F7A28">
      <w:pPr>
        <w:pStyle w:val="Reference"/>
        <w:numPr>
          <w:ilvl w:val="0"/>
          <w:numId w:val="0"/>
        </w:numPr>
        <w:tabs>
          <w:tab w:val="clear" w:pos="567"/>
        </w:tabs>
        <w:ind w:firstLine="284"/>
        <w:rPr>
          <w:rFonts w:ascii="Times New Roman" w:hAnsi="Times New Roman" w:cs="Times New Roman"/>
          <w:color w:val="auto"/>
          <w:lang w:val="en-US"/>
        </w:rPr>
      </w:pPr>
      <w:r w:rsidRPr="00C9011B">
        <w:rPr>
          <w:rFonts w:ascii="Times New Roman" w:hAnsi="Times New Roman" w:cs="Times New Roman"/>
          <w:color w:val="auto"/>
          <w:lang w:val="en-US"/>
        </w:rPr>
        <w:t>The most accessible and frequently used dietary fibers are formed under the processing of wheat into higher-grade flour. Formed so-called wheat bran</w:t>
      </w:r>
      <w:r w:rsidR="004F7A28">
        <w:rPr>
          <w:rFonts w:ascii="Times New Roman" w:hAnsi="Times New Roman" w:cs="Times New Roman"/>
          <w:color w:val="auto"/>
          <w:lang w:val="en-US"/>
        </w:rPr>
        <w:t xml:space="preserve"> </w:t>
      </w:r>
      <w:r w:rsidRPr="00C9011B">
        <w:rPr>
          <w:rFonts w:ascii="Times New Roman" w:hAnsi="Times New Roman" w:cs="Times New Roman"/>
          <w:color w:val="auto"/>
          <w:lang w:val="en-US"/>
        </w:rPr>
        <w:t>are quite well studied. They are used as food fillers for diet and medical nutrition and have an established maximum</w:t>
      </w:r>
      <w:r w:rsidR="004F7A28">
        <w:rPr>
          <w:rFonts w:ascii="Times New Roman" w:hAnsi="Times New Roman" w:cs="Times New Roman"/>
          <w:color w:val="auto"/>
          <w:lang w:val="en-US"/>
        </w:rPr>
        <w:t xml:space="preserve"> allowable intake rate of 25 mg </w:t>
      </w:r>
      <w:r w:rsidRPr="00C9011B">
        <w:rPr>
          <w:rFonts w:ascii="Times New Roman" w:hAnsi="Times New Roman" w:cs="Times New Roman"/>
          <w:color w:val="auto"/>
          <w:lang w:val="en-US"/>
        </w:rPr>
        <w:t>/</w:t>
      </w:r>
      <w:r w:rsidR="004F7A28">
        <w:rPr>
          <w:rFonts w:ascii="Times New Roman" w:hAnsi="Times New Roman" w:cs="Times New Roman"/>
          <w:color w:val="auto"/>
          <w:lang w:val="en-US"/>
        </w:rPr>
        <w:t> </w:t>
      </w:r>
      <w:r w:rsidRPr="00C9011B">
        <w:rPr>
          <w:rFonts w:ascii="Times New Roman" w:hAnsi="Times New Roman" w:cs="Times New Roman"/>
          <w:color w:val="auto"/>
          <w:lang w:val="en-US"/>
        </w:rPr>
        <w:t>day</w:t>
      </w:r>
      <w:r w:rsidR="00092530" w:rsidRPr="00092530">
        <w:rPr>
          <w:rFonts w:ascii="Times New Roman" w:hAnsi="Times New Roman" w:cs="Times New Roman"/>
          <w:color w:val="auto"/>
          <w:lang w:val="en-US"/>
        </w:rPr>
        <w:t xml:space="preserve"> </w:t>
      </w:r>
      <w:r w:rsidR="00092530">
        <w:rPr>
          <w:rFonts w:ascii="Times New Roman" w:hAnsi="Times New Roman" w:cs="Times New Roman"/>
          <w:color w:val="auto"/>
          <w:lang w:val="en-US"/>
        </w:rPr>
        <w:t>[3, 4]</w:t>
      </w:r>
      <w:r w:rsidRPr="00C9011B">
        <w:rPr>
          <w:rFonts w:ascii="Times New Roman" w:hAnsi="Times New Roman" w:cs="Times New Roman"/>
          <w:color w:val="auto"/>
          <w:lang w:val="en-US"/>
        </w:rPr>
        <w:t>.</w:t>
      </w:r>
    </w:p>
    <w:p w:rsidR="00C9011B" w:rsidRPr="00C9011B" w:rsidRDefault="00C9011B" w:rsidP="004F7A28">
      <w:pPr>
        <w:pStyle w:val="Reference"/>
        <w:numPr>
          <w:ilvl w:val="0"/>
          <w:numId w:val="0"/>
        </w:numPr>
        <w:tabs>
          <w:tab w:val="clear" w:pos="567"/>
        </w:tabs>
        <w:ind w:firstLine="284"/>
        <w:rPr>
          <w:rFonts w:ascii="Times New Roman" w:hAnsi="Times New Roman" w:cs="Times New Roman"/>
          <w:color w:val="auto"/>
          <w:lang w:val="en-US"/>
        </w:rPr>
      </w:pPr>
      <w:r w:rsidRPr="00C9011B">
        <w:rPr>
          <w:rFonts w:ascii="Times New Roman" w:hAnsi="Times New Roman" w:cs="Times New Roman"/>
          <w:color w:val="auto"/>
          <w:lang w:val="en-US"/>
        </w:rPr>
        <w:t>Wheat bran in the production process have varying degrees of grinding, which, according to some authors, impact significantly on their biological value. In addition, the degree of grinding, and the total amount of wheat bran can affect the sensory properties (taste, smell, appearance) and the activity of digestive enzymes.</w:t>
      </w:r>
    </w:p>
    <w:p w:rsidR="007777EC" w:rsidRPr="00C9011B" w:rsidRDefault="00C9011B" w:rsidP="004F7A28">
      <w:pPr>
        <w:pStyle w:val="Reference"/>
        <w:numPr>
          <w:ilvl w:val="0"/>
          <w:numId w:val="0"/>
        </w:numPr>
        <w:tabs>
          <w:tab w:val="clear" w:pos="567"/>
        </w:tabs>
        <w:ind w:firstLine="284"/>
        <w:rPr>
          <w:rFonts w:ascii="Times New Roman" w:hAnsi="Times New Roman" w:cs="Times New Roman"/>
          <w:color w:val="auto"/>
          <w:lang w:val="en-US"/>
        </w:rPr>
      </w:pPr>
      <w:r w:rsidRPr="00C9011B">
        <w:rPr>
          <w:rFonts w:ascii="Times New Roman" w:hAnsi="Times New Roman" w:cs="Times New Roman"/>
          <w:color w:val="auto"/>
          <w:lang w:val="en-US"/>
        </w:rPr>
        <w:t xml:space="preserve">The purpose of the research is to determine these effects on model protein systems and to substantiate </w:t>
      </w:r>
      <w:r w:rsidRPr="00C9011B">
        <w:rPr>
          <w:rFonts w:ascii="Times New Roman" w:hAnsi="Times New Roman" w:cs="Times New Roman"/>
          <w:color w:val="auto"/>
          <w:lang w:val="en-US"/>
        </w:rPr>
        <w:lastRenderedPageBreak/>
        <w:t>the possibility of regulating the technological properties and safety of protein systems in dietary fibers.</w:t>
      </w:r>
    </w:p>
    <w:p w:rsidR="007777EC" w:rsidRPr="00DF75CB" w:rsidRDefault="007777EC" w:rsidP="00692F12">
      <w:pPr>
        <w:pStyle w:val="Section"/>
        <w:ind w:left="0"/>
        <w:rPr>
          <w:rFonts w:ascii="Times New Roman" w:hAnsi="Times New Roman" w:cs="Times New Roman"/>
          <w:color w:val="auto"/>
          <w:lang w:val="en-US"/>
        </w:rPr>
      </w:pPr>
      <w:r w:rsidRPr="00DF75CB">
        <w:rPr>
          <w:rFonts w:ascii="Times New Roman" w:hAnsi="Times New Roman" w:cs="Times New Roman"/>
          <w:color w:val="auto"/>
        </w:rPr>
        <w:t>Materials and methods</w:t>
      </w:r>
    </w:p>
    <w:p w:rsidR="004F7A28" w:rsidRPr="004F7A28" w:rsidRDefault="004F7A28" w:rsidP="004F7A28">
      <w:pPr>
        <w:pStyle w:val="Reference"/>
        <w:numPr>
          <w:ilvl w:val="0"/>
          <w:numId w:val="0"/>
        </w:numPr>
        <w:tabs>
          <w:tab w:val="clear" w:pos="567"/>
        </w:tabs>
        <w:ind w:firstLine="284"/>
        <w:rPr>
          <w:rFonts w:ascii="Times New Roman" w:hAnsi="Times New Roman" w:cs="Times New Roman"/>
          <w:color w:val="auto"/>
          <w:lang w:val="en-US"/>
        </w:rPr>
      </w:pPr>
      <w:r w:rsidRPr="004F7A28">
        <w:rPr>
          <w:rFonts w:ascii="Times New Roman" w:hAnsi="Times New Roman" w:cs="Times New Roman"/>
          <w:color w:val="auto"/>
          <w:lang w:val="en-US"/>
        </w:rPr>
        <w:t>2.1. Wheat bran</w:t>
      </w:r>
      <w:r w:rsidR="00973928">
        <w:rPr>
          <w:rFonts w:ascii="Times New Roman" w:hAnsi="Times New Roman" w:cs="Times New Roman"/>
          <w:color w:val="auto"/>
          <w:lang w:val="en-US"/>
        </w:rPr>
        <w:t xml:space="preserve"> </w:t>
      </w:r>
      <w:r w:rsidRPr="004F7A28">
        <w:rPr>
          <w:rFonts w:ascii="Times New Roman" w:hAnsi="Times New Roman" w:cs="Times New Roman"/>
          <w:color w:val="auto"/>
          <w:lang w:val="en-US"/>
        </w:rPr>
        <w:t>produced</w:t>
      </w:r>
      <w:r w:rsidR="00973928">
        <w:rPr>
          <w:rFonts w:ascii="Times New Roman" w:hAnsi="Times New Roman" w:cs="Times New Roman"/>
          <w:color w:val="auto"/>
          <w:lang w:val="en-US"/>
        </w:rPr>
        <w:t xml:space="preserve"> </w:t>
      </w:r>
      <w:r w:rsidRPr="004F7A28">
        <w:rPr>
          <w:rFonts w:ascii="Times New Roman" w:hAnsi="Times New Roman" w:cs="Times New Roman"/>
          <w:color w:val="auto"/>
          <w:lang w:val="en-US"/>
        </w:rPr>
        <w:t>under the processing of wheat were the initial materials. Model protein systems w</w:t>
      </w:r>
      <w:r w:rsidRPr="004F7A28">
        <w:rPr>
          <w:rFonts w:ascii="Times New Roman" w:hAnsi="Times New Roman" w:cs="Times New Roman"/>
          <w:lang w:val="en-US"/>
        </w:rPr>
        <w:t>e</w:t>
      </w:r>
      <w:r w:rsidRPr="004F7A28">
        <w:rPr>
          <w:rFonts w:ascii="Times New Roman" w:hAnsi="Times New Roman" w:cs="Times New Roman"/>
          <w:color w:val="auto"/>
          <w:lang w:val="en-US"/>
        </w:rPr>
        <w:t>re prepared from crushed muscle tissue of freshly caught Pacific herring (</w:t>
      </w:r>
      <w:r w:rsidRPr="004F7A28">
        <w:rPr>
          <w:rFonts w:ascii="Times New Roman" w:hAnsi="Times New Roman" w:cs="Times New Roman"/>
          <w:i/>
          <w:color w:val="auto"/>
          <w:lang w:val="en-US"/>
        </w:rPr>
        <w:t>Clupea pallasii</w:t>
      </w:r>
      <w:r w:rsidRPr="004F7A28">
        <w:rPr>
          <w:rFonts w:ascii="Times New Roman" w:hAnsi="Times New Roman" w:cs="Times New Roman"/>
          <w:color w:val="auto"/>
          <w:lang w:val="en-US"/>
        </w:rPr>
        <w:t>) and pollock (</w:t>
      </w:r>
      <w:r w:rsidRPr="004F7A28">
        <w:rPr>
          <w:rFonts w:ascii="Times New Roman" w:hAnsi="Times New Roman" w:cs="Times New Roman"/>
          <w:i/>
          <w:color w:val="auto"/>
          <w:lang w:val="en-US"/>
        </w:rPr>
        <w:t>Theragra chalcoggramma</w:t>
      </w:r>
      <w:r w:rsidRPr="004F7A28">
        <w:rPr>
          <w:rFonts w:ascii="Times New Roman" w:hAnsi="Times New Roman" w:cs="Times New Roman"/>
          <w:color w:val="auto"/>
          <w:lang w:val="en-US"/>
        </w:rPr>
        <w:t>). The models differ not only in different chemical composition, but also in the activity of their own enzymatic systems.</w:t>
      </w:r>
    </w:p>
    <w:p w:rsidR="004F7A28" w:rsidRPr="004F7A28" w:rsidRDefault="004F7A28" w:rsidP="004F7A28">
      <w:pPr>
        <w:pStyle w:val="Reference"/>
        <w:numPr>
          <w:ilvl w:val="0"/>
          <w:numId w:val="0"/>
        </w:numPr>
        <w:tabs>
          <w:tab w:val="clear" w:pos="567"/>
        </w:tabs>
        <w:ind w:firstLine="284"/>
        <w:rPr>
          <w:rFonts w:ascii="Times New Roman" w:hAnsi="Times New Roman" w:cs="Times New Roman"/>
          <w:color w:val="auto"/>
          <w:lang w:val="en-US"/>
        </w:rPr>
      </w:pPr>
      <w:r w:rsidRPr="004F7A28">
        <w:rPr>
          <w:rFonts w:ascii="Times New Roman" w:hAnsi="Times New Roman" w:cs="Times New Roman"/>
          <w:color w:val="auto"/>
          <w:lang w:val="en-US"/>
        </w:rPr>
        <w:t xml:space="preserve">2.2. The mass fractions of water, lipids, and nitrogenous substances were determined according to the methods according to the methods adopted for the study </w:t>
      </w:r>
      <w:r w:rsidR="0054552B">
        <w:rPr>
          <w:rFonts w:ascii="Times New Roman" w:hAnsi="Times New Roman" w:cs="Times New Roman"/>
          <w:color w:val="auto"/>
          <w:lang w:val="en-US"/>
        </w:rPr>
        <w:t>[5, 6]</w:t>
      </w:r>
      <w:r w:rsidRPr="004F7A28">
        <w:rPr>
          <w:rFonts w:ascii="Times New Roman" w:hAnsi="Times New Roman" w:cs="Times New Roman"/>
          <w:color w:val="auto"/>
          <w:lang w:val="en-US"/>
        </w:rPr>
        <w:t xml:space="preserve">. The activity of proteolytic enzymes by the methods of Kaverzneva </w:t>
      </w:r>
      <w:r w:rsidR="007A3146">
        <w:rPr>
          <w:rFonts w:ascii="Times New Roman" w:hAnsi="Times New Roman" w:cs="Times New Roman"/>
          <w:color w:val="auto"/>
          <w:lang w:val="en-US"/>
        </w:rPr>
        <w:t>[7</w:t>
      </w:r>
      <w:r w:rsidR="002E6478" w:rsidRPr="002E6478">
        <w:rPr>
          <w:rFonts w:ascii="Times New Roman" w:hAnsi="Times New Roman" w:cs="Times New Roman"/>
          <w:color w:val="auto"/>
          <w:lang w:val="en-US"/>
        </w:rPr>
        <w:t>, 8</w:t>
      </w:r>
      <w:r w:rsidR="007A3146">
        <w:rPr>
          <w:rFonts w:ascii="Times New Roman" w:hAnsi="Times New Roman" w:cs="Times New Roman"/>
          <w:color w:val="auto"/>
          <w:lang w:val="en-US"/>
        </w:rPr>
        <w:t>]</w:t>
      </w:r>
      <w:r w:rsidRPr="004F7A28">
        <w:rPr>
          <w:rFonts w:ascii="Times New Roman" w:hAnsi="Times New Roman" w:cs="Times New Roman"/>
          <w:color w:val="auto"/>
          <w:lang w:val="en-US"/>
        </w:rPr>
        <w:t>. Pepsin - trypsin primacy of proteins "in vitro" by the method of A. A. Pokrovsky and E. D. Ertanov (</w:t>
      </w:r>
      <w:r w:rsidRPr="00132B25">
        <w:rPr>
          <w:rFonts w:ascii="Times New Roman" w:hAnsi="Times New Roman" w:cs="Times New Roman"/>
          <w:color w:val="auto"/>
          <w:lang w:val="en-US"/>
        </w:rPr>
        <w:t>1965</w:t>
      </w:r>
      <w:r w:rsidRPr="004F7A28">
        <w:rPr>
          <w:rFonts w:ascii="Times New Roman" w:hAnsi="Times New Roman" w:cs="Times New Roman"/>
          <w:color w:val="auto"/>
          <w:lang w:val="en-US"/>
        </w:rPr>
        <w:t>)</w:t>
      </w:r>
      <w:r w:rsidR="0080290B" w:rsidRPr="0080290B">
        <w:rPr>
          <w:rFonts w:ascii="Times New Roman" w:hAnsi="Times New Roman" w:cs="Times New Roman"/>
          <w:color w:val="auto"/>
          <w:lang w:val="en-US"/>
        </w:rPr>
        <w:t xml:space="preserve"> </w:t>
      </w:r>
      <w:r w:rsidR="0080290B">
        <w:rPr>
          <w:rFonts w:ascii="Times New Roman" w:hAnsi="Times New Roman" w:cs="Times New Roman"/>
          <w:color w:val="auto"/>
          <w:lang w:val="en-US"/>
        </w:rPr>
        <w:t>[</w:t>
      </w:r>
      <w:r w:rsidR="002E6478" w:rsidRPr="002E6478">
        <w:rPr>
          <w:rFonts w:ascii="Times New Roman" w:hAnsi="Times New Roman" w:cs="Times New Roman"/>
          <w:color w:val="auto"/>
          <w:lang w:val="en-US"/>
        </w:rPr>
        <w:t>9</w:t>
      </w:r>
      <w:r w:rsidR="0080290B">
        <w:rPr>
          <w:rFonts w:ascii="Times New Roman" w:hAnsi="Times New Roman" w:cs="Times New Roman"/>
          <w:color w:val="auto"/>
          <w:lang w:val="en-US"/>
        </w:rPr>
        <w:t>]</w:t>
      </w:r>
      <w:r w:rsidRPr="004F7A28">
        <w:rPr>
          <w:rFonts w:ascii="Times New Roman" w:hAnsi="Times New Roman" w:cs="Times New Roman"/>
          <w:color w:val="auto"/>
          <w:lang w:val="en-US"/>
        </w:rPr>
        <w:t>.</w:t>
      </w:r>
    </w:p>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r w:rsidRPr="004F7A28">
        <w:rPr>
          <w:rFonts w:ascii="Times New Roman" w:hAnsi="Times New Roman" w:cs="Times New Roman"/>
          <w:color w:val="auto"/>
          <w:lang w:val="en-US"/>
        </w:rPr>
        <w:t xml:space="preserve">2.3. The sorption capacity of wheat bran was determined using a Hitachi atomic absorption spectrophotometer. Wheat bran was added to a solution containing a certain amount of metals (lead, </w:t>
      </w:r>
      <w:r w:rsidRPr="004F7A28">
        <w:rPr>
          <w:rFonts w:ascii="Times New Roman" w:hAnsi="Times New Roman" w:cs="Times New Roman"/>
          <w:lang w:val="en-US"/>
        </w:rPr>
        <w:t>cadmium, and zinc ions) in the water under the temperature of 18-20 °C with a ratio of 4 and the filtrate was collected after 0.5 and 3 hours. The experiments were carried out at the same time with the different values of pH (2.0;7.0;8.0). The metal</w:t>
      </w:r>
      <w:r w:rsidR="00973928">
        <w:rPr>
          <w:rFonts w:ascii="Times New Roman" w:hAnsi="Times New Roman" w:cs="Times New Roman"/>
          <w:lang w:val="en-US"/>
        </w:rPr>
        <w:t xml:space="preserve"> </w:t>
      </w:r>
      <w:r w:rsidRPr="004F7A28">
        <w:rPr>
          <w:rFonts w:ascii="Times New Roman" w:hAnsi="Times New Roman" w:cs="Times New Roman"/>
          <w:lang w:val="en-US"/>
        </w:rPr>
        <w:t>amount in the filtrate was measured by atomic absorption spectrometry.</w:t>
      </w:r>
    </w:p>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r w:rsidRPr="004F7A28">
        <w:rPr>
          <w:rFonts w:ascii="Times New Roman" w:hAnsi="Times New Roman" w:cs="Times New Roman"/>
          <w:lang w:val="en-US"/>
        </w:rPr>
        <w:t>For comparison, the measurements were carried out in “blank samples” in which distilled water was used instead of a solution containing the metal ions. From the difference in the values of the amount of metals in the standard solution and in the filtrate, the sorption capacity of bran was defined separately for each pH value.</w:t>
      </w:r>
    </w:p>
    <w:p w:rsidR="004F7A28" w:rsidRPr="004F7A28" w:rsidRDefault="004F7A28" w:rsidP="004F7A28">
      <w:pPr>
        <w:pStyle w:val="Reference"/>
        <w:numPr>
          <w:ilvl w:val="0"/>
          <w:numId w:val="0"/>
        </w:numPr>
        <w:tabs>
          <w:tab w:val="clear" w:pos="567"/>
        </w:tabs>
        <w:ind w:firstLine="284"/>
        <w:rPr>
          <w:rFonts w:ascii="Times New Roman" w:hAnsi="Times New Roman" w:cs="Times New Roman"/>
          <w:color w:val="auto"/>
          <w:lang w:val="en-US"/>
        </w:rPr>
      </w:pPr>
      <w:r w:rsidRPr="004F7A28">
        <w:rPr>
          <w:rFonts w:ascii="Times New Roman" w:hAnsi="Times New Roman" w:cs="Times New Roman"/>
          <w:lang w:val="en-US"/>
        </w:rPr>
        <w:t>2.4. Structural and mechanical characteristics were evaluated by water-holding capacity (WHC%), determined by the method of G. Grau and R. Hamm, by pushing strength (F g / cm2) of heat-treated samples on a Food Checken instrument (Japan) and a FUDON rheometer (Japan) - according to the instructions</w:t>
      </w:r>
      <w:r w:rsidRPr="004F7A28">
        <w:rPr>
          <w:rFonts w:ascii="Times New Roman" w:hAnsi="Times New Roman" w:cs="Times New Roman"/>
          <w:color w:val="auto"/>
          <w:lang w:val="en-US"/>
        </w:rPr>
        <w:t xml:space="preserve"> to the instruments.</w:t>
      </w:r>
    </w:p>
    <w:p w:rsidR="004F7A28" w:rsidRPr="004F7A28" w:rsidRDefault="004F7A28" w:rsidP="004F7A28">
      <w:pPr>
        <w:pStyle w:val="Reference"/>
        <w:numPr>
          <w:ilvl w:val="0"/>
          <w:numId w:val="0"/>
        </w:numPr>
        <w:rPr>
          <w:rFonts w:ascii="Times New Roman" w:hAnsi="Times New Roman" w:cs="Times New Roman"/>
          <w:color w:val="auto"/>
          <w:lang w:val="en-US"/>
        </w:rPr>
      </w:pPr>
      <w:r w:rsidRPr="004F7A28">
        <w:rPr>
          <w:rFonts w:ascii="Times New Roman" w:hAnsi="Times New Roman" w:cs="Times New Roman"/>
          <w:color w:val="auto"/>
          <w:lang w:val="en-US"/>
        </w:rPr>
        <w:t>Studies were performed with 3-5 replications. The</w:t>
      </w:r>
      <w:r w:rsidR="00973928">
        <w:rPr>
          <w:rFonts w:ascii="Times New Roman" w:hAnsi="Times New Roman" w:cs="Times New Roman"/>
          <w:color w:val="auto"/>
          <w:lang w:val="en-US"/>
        </w:rPr>
        <w:t xml:space="preserve"> </w:t>
      </w:r>
      <w:r w:rsidRPr="004F7A28">
        <w:rPr>
          <w:rFonts w:ascii="Times New Roman" w:hAnsi="Times New Roman" w:cs="Times New Roman"/>
          <w:color w:val="auto"/>
          <w:lang w:val="en-US"/>
        </w:rPr>
        <w:t>measured data</w:t>
      </w:r>
      <w:r w:rsidR="00973928">
        <w:rPr>
          <w:rFonts w:ascii="Times New Roman" w:hAnsi="Times New Roman" w:cs="Times New Roman"/>
          <w:color w:val="auto"/>
          <w:lang w:val="en-US"/>
        </w:rPr>
        <w:t xml:space="preserve"> </w:t>
      </w:r>
      <w:r w:rsidRPr="004F7A28">
        <w:rPr>
          <w:rFonts w:ascii="Times New Roman" w:hAnsi="Times New Roman" w:cs="Times New Roman"/>
          <w:color w:val="auto"/>
          <w:lang w:val="en-US"/>
        </w:rPr>
        <w:t>were processed by the methods of mathematical statistics using the Microsoft Excel application programs and the SPSS program.</w:t>
      </w:r>
    </w:p>
    <w:p w:rsidR="007777EC" w:rsidRDefault="004F7A28" w:rsidP="005046F2">
      <w:pPr>
        <w:pStyle w:val="Section"/>
        <w:ind w:left="0"/>
        <w:rPr>
          <w:rFonts w:ascii="Times New Roman" w:hAnsi="Times New Roman" w:cs="Times New Roman"/>
          <w:color w:val="auto"/>
        </w:rPr>
      </w:pPr>
      <w:r w:rsidRPr="004F7A28">
        <w:rPr>
          <w:rFonts w:ascii="Times New Roman" w:hAnsi="Times New Roman" w:cs="Times New Roman"/>
          <w:color w:val="auto"/>
        </w:rPr>
        <w:t>Results and discussion</w:t>
      </w:r>
    </w:p>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r w:rsidRPr="004F7A28">
        <w:rPr>
          <w:rFonts w:ascii="Times New Roman" w:hAnsi="Times New Roman" w:cs="Times New Roman"/>
          <w:lang w:val="en-US"/>
        </w:rPr>
        <w:t>According to some authors, all components of wheat bran when grinding to particle sizes less than 250 microns become more accessible to the human body and even able to increase the</w:t>
      </w:r>
      <w:r w:rsidR="00132B25">
        <w:rPr>
          <w:rFonts w:ascii="Times New Roman" w:hAnsi="Times New Roman" w:cs="Times New Roman"/>
          <w:lang w:val="en-US"/>
        </w:rPr>
        <w:t xml:space="preserve"> nutritional value of products</w:t>
      </w:r>
      <w:r w:rsidRPr="004F7A28">
        <w:rPr>
          <w:rFonts w:ascii="Times New Roman" w:hAnsi="Times New Roman" w:cs="Times New Roman"/>
          <w:lang w:val="en-US"/>
        </w:rPr>
        <w:t>. As a result of our research, it was defined that the main size fraction (85% of the mass fraction of the sample) has the particle sizes of 200 to 600 μm (Table 1). Particles with sizes less than 200 and more than 600 μm add up to only 15%.</w:t>
      </w:r>
    </w:p>
    <w:p w:rsidR="004F7A28" w:rsidRPr="004F7A28" w:rsidRDefault="004F7A28" w:rsidP="004F7A28">
      <w:pPr>
        <w:pStyle w:val="BodytextIndented"/>
        <w:rPr>
          <w:lang w:val="en-GB"/>
        </w:rPr>
      </w:pPr>
    </w:p>
    <w:p w:rsidR="004F7A28" w:rsidRPr="004F7A28" w:rsidRDefault="004F7A28" w:rsidP="004F7A28">
      <w:pPr>
        <w:pStyle w:val="af9"/>
        <w:spacing w:before="0" w:after="120"/>
        <w:ind w:left="0" w:firstLine="567"/>
        <w:jc w:val="center"/>
        <w:rPr>
          <w:sz w:val="22"/>
          <w:szCs w:val="22"/>
        </w:rPr>
      </w:pPr>
      <w:r w:rsidRPr="004F7A28">
        <w:rPr>
          <w:b/>
          <w:sz w:val="22"/>
          <w:szCs w:val="22"/>
        </w:rPr>
        <w:t>Table 1</w:t>
      </w:r>
      <w:r w:rsidRPr="004F7A28">
        <w:rPr>
          <w:sz w:val="22"/>
          <w:szCs w:val="22"/>
        </w:rPr>
        <w:t>. Wheat bran fractional composition</w:t>
      </w:r>
    </w:p>
    <w:tbl>
      <w:tblPr>
        <w:tblStyle w:val="afc"/>
        <w:tblW w:w="9776" w:type="dxa"/>
        <w:tblLook w:val="04A0" w:firstRow="1" w:lastRow="0" w:firstColumn="1" w:lastColumn="0" w:noHBand="0" w:noVBand="1"/>
      </w:tblPr>
      <w:tblGrid>
        <w:gridCol w:w="5103"/>
        <w:gridCol w:w="4673"/>
      </w:tblGrid>
      <w:tr w:rsidR="004F7A28" w:rsidRPr="004F7A28" w:rsidTr="009A6F72">
        <w:trPr>
          <w:trHeight w:val="444"/>
        </w:trPr>
        <w:tc>
          <w:tcPr>
            <w:tcW w:w="5103" w:type="dxa"/>
            <w:tcBorders>
              <w:left w:val="nil"/>
              <w:bottom w:val="single" w:sz="4" w:space="0" w:color="auto"/>
            </w:tcBorders>
          </w:tcPr>
          <w:p w:rsidR="004F7A28" w:rsidRPr="004F7A28" w:rsidRDefault="004F7A28" w:rsidP="004F7A28">
            <w:pPr>
              <w:pStyle w:val="afb"/>
              <w:jc w:val="center"/>
              <w:rPr>
                <w:rFonts w:ascii="Times New Roman" w:hAnsi="Times New Roman" w:cs="Times New Roman"/>
                <w:sz w:val="22"/>
                <w:szCs w:val="24"/>
              </w:rPr>
            </w:pPr>
            <w:r w:rsidRPr="004F7A28">
              <w:rPr>
                <w:rFonts w:ascii="Times New Roman" w:hAnsi="Times New Roman" w:cs="Times New Roman"/>
                <w:b/>
                <w:bCs/>
                <w:color w:val="212121"/>
                <w:sz w:val="22"/>
                <w:szCs w:val="24"/>
                <w:shd w:val="clear" w:color="auto" w:fill="FFFFFF"/>
              </w:rPr>
              <w:t>Particle size, microns</w:t>
            </w:r>
          </w:p>
        </w:tc>
        <w:tc>
          <w:tcPr>
            <w:tcW w:w="4673" w:type="dxa"/>
            <w:tcBorders>
              <w:bottom w:val="single" w:sz="4" w:space="0" w:color="auto"/>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4F7A28">
              <w:rPr>
                <w:rFonts w:ascii="Times New Roman" w:hAnsi="Times New Roman" w:cs="Times New Roman"/>
                <w:b/>
                <w:bCs/>
                <w:color w:val="212121"/>
                <w:sz w:val="22"/>
                <w:szCs w:val="24"/>
                <w:shd w:val="clear" w:color="auto" w:fill="FFFFFF"/>
              </w:rPr>
              <w:t>The number of particles of this size,%</w:t>
            </w:r>
          </w:p>
        </w:tc>
      </w:tr>
      <w:tr w:rsidR="004F7A28" w:rsidRPr="004F7A28" w:rsidTr="009A6F72">
        <w:tc>
          <w:tcPr>
            <w:tcW w:w="5103" w:type="dxa"/>
            <w:tcBorders>
              <w:left w:val="nil"/>
              <w:bottom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&lt;150</w:t>
            </w:r>
          </w:p>
        </w:tc>
        <w:tc>
          <w:tcPr>
            <w:tcW w:w="4673" w:type="dxa"/>
            <w:tcBorders>
              <w:bottom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3</w:t>
            </w:r>
          </w:p>
        </w:tc>
      </w:tr>
      <w:tr w:rsidR="004F7A28" w:rsidRPr="004F7A28" w:rsidTr="009A6F72">
        <w:tc>
          <w:tcPr>
            <w:tcW w:w="5103" w:type="dxa"/>
            <w:tcBorders>
              <w:top w:val="nil"/>
              <w:left w:val="nil"/>
              <w:bottom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150 – 200</w:t>
            </w:r>
          </w:p>
        </w:tc>
        <w:tc>
          <w:tcPr>
            <w:tcW w:w="4673" w:type="dxa"/>
            <w:tcBorders>
              <w:top w:val="nil"/>
              <w:bottom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7</w:t>
            </w:r>
          </w:p>
        </w:tc>
      </w:tr>
      <w:tr w:rsidR="004F7A28" w:rsidRPr="004F7A28" w:rsidTr="009A6F72">
        <w:tc>
          <w:tcPr>
            <w:tcW w:w="5103" w:type="dxa"/>
            <w:tcBorders>
              <w:top w:val="nil"/>
              <w:left w:val="nil"/>
              <w:bottom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200 – 315</w:t>
            </w:r>
          </w:p>
        </w:tc>
        <w:tc>
          <w:tcPr>
            <w:tcW w:w="4673" w:type="dxa"/>
            <w:tcBorders>
              <w:top w:val="nil"/>
              <w:bottom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15</w:t>
            </w:r>
          </w:p>
        </w:tc>
      </w:tr>
      <w:tr w:rsidR="004F7A28" w:rsidRPr="004F7A28" w:rsidTr="009A6F72">
        <w:tc>
          <w:tcPr>
            <w:tcW w:w="5103" w:type="dxa"/>
            <w:tcBorders>
              <w:top w:val="nil"/>
              <w:left w:val="nil"/>
              <w:bottom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315 – 420</w:t>
            </w:r>
          </w:p>
        </w:tc>
        <w:tc>
          <w:tcPr>
            <w:tcW w:w="4673" w:type="dxa"/>
            <w:tcBorders>
              <w:top w:val="nil"/>
              <w:bottom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50</w:t>
            </w:r>
          </w:p>
        </w:tc>
      </w:tr>
      <w:tr w:rsidR="004F7A28" w:rsidRPr="004F7A28" w:rsidTr="009A6F72">
        <w:tc>
          <w:tcPr>
            <w:tcW w:w="5103" w:type="dxa"/>
            <w:tcBorders>
              <w:top w:val="nil"/>
              <w:left w:val="nil"/>
              <w:bottom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420 – 600</w:t>
            </w:r>
          </w:p>
        </w:tc>
        <w:tc>
          <w:tcPr>
            <w:tcW w:w="4673" w:type="dxa"/>
            <w:tcBorders>
              <w:top w:val="nil"/>
              <w:bottom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20</w:t>
            </w:r>
          </w:p>
        </w:tc>
      </w:tr>
      <w:tr w:rsidR="004F7A28" w:rsidRPr="004F7A28" w:rsidTr="009A6F72">
        <w:tc>
          <w:tcPr>
            <w:tcW w:w="5103" w:type="dxa"/>
            <w:tcBorders>
              <w:top w:val="nil"/>
              <w:left w:val="nil"/>
              <w:bottom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600 – 850</w:t>
            </w:r>
          </w:p>
        </w:tc>
        <w:tc>
          <w:tcPr>
            <w:tcW w:w="4673" w:type="dxa"/>
            <w:tcBorders>
              <w:top w:val="nil"/>
              <w:bottom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4</w:t>
            </w:r>
          </w:p>
        </w:tc>
      </w:tr>
      <w:tr w:rsidR="004F7A28" w:rsidRPr="004F7A28" w:rsidTr="009A6F72">
        <w:tc>
          <w:tcPr>
            <w:tcW w:w="5103" w:type="dxa"/>
            <w:tcBorders>
              <w:top w:val="nil"/>
              <w:left w:val="nil"/>
              <w:bottom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&gt;850</w:t>
            </w:r>
          </w:p>
        </w:tc>
        <w:tc>
          <w:tcPr>
            <w:tcW w:w="4673" w:type="dxa"/>
            <w:tcBorders>
              <w:top w:val="nil"/>
              <w:bottom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1</w:t>
            </w:r>
          </w:p>
        </w:tc>
      </w:tr>
      <w:tr w:rsidR="004F7A28" w:rsidRPr="004F7A28" w:rsidTr="009A6F72">
        <w:tc>
          <w:tcPr>
            <w:tcW w:w="5103" w:type="dxa"/>
            <w:tcBorders>
              <w:top w:val="nil"/>
              <w:lef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sz w:val="22"/>
                <w:szCs w:val="24"/>
              </w:rPr>
              <w:t>Total</w:t>
            </w:r>
          </w:p>
        </w:tc>
        <w:tc>
          <w:tcPr>
            <w:tcW w:w="4673" w:type="dxa"/>
            <w:tcBorders>
              <w:top w:val="nil"/>
              <w:right w:val="nil"/>
            </w:tcBorders>
          </w:tcPr>
          <w:p w:rsidR="004F7A28" w:rsidRPr="004F7A28" w:rsidRDefault="004F7A28" w:rsidP="004F7A28">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Cs/>
                <w:color w:val="212121"/>
                <w:sz w:val="22"/>
                <w:szCs w:val="24"/>
                <w:shd w:val="clear" w:color="auto" w:fill="FFFFFF"/>
              </w:rPr>
            </w:pPr>
            <w:r w:rsidRPr="004F7A28">
              <w:rPr>
                <w:rFonts w:ascii="Times New Roman" w:hAnsi="Times New Roman" w:cs="Times New Roman"/>
                <w:bCs/>
                <w:color w:val="212121"/>
                <w:sz w:val="22"/>
                <w:szCs w:val="24"/>
                <w:shd w:val="clear" w:color="auto" w:fill="FFFFFF"/>
              </w:rPr>
              <w:t>100</w:t>
            </w:r>
          </w:p>
        </w:tc>
      </w:tr>
    </w:tbl>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p>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r w:rsidRPr="004F7A28">
        <w:rPr>
          <w:rFonts w:ascii="Times New Roman" w:hAnsi="Times New Roman" w:cs="Times New Roman"/>
          <w:lang w:val="en-US"/>
        </w:rPr>
        <w:t>Taking into account the significance of the WHC, the change of which entails a change in other structural and mechanical characteristics of protein systems, we studied the effect of different sizes of wheat bran particles on this indicator.</w:t>
      </w:r>
    </w:p>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r w:rsidRPr="004F7A28">
        <w:rPr>
          <w:rFonts w:ascii="Times New Roman" w:hAnsi="Times New Roman" w:cs="Times New Roman"/>
          <w:lang w:val="en-US"/>
        </w:rPr>
        <w:t xml:space="preserve">For the study, model protein systems were prepared, each of which contained protein mass from </w:t>
      </w:r>
      <w:r w:rsidRPr="004F7A28">
        <w:rPr>
          <w:rFonts w:ascii="Times New Roman" w:hAnsi="Times New Roman" w:cs="Times New Roman"/>
          <w:lang w:val="en-US"/>
        </w:rPr>
        <w:lastRenderedPageBreak/>
        <w:t>crushed muscle tissue of fish and wheat bran of one fraction. Bran was added in the amount of 4% to the protein mass. This amount is below the norm of maximum permissible concentrations. It is limited by the effect of bran on the sensory properties. The results showed that there was no clear dependence of the WHC of the protein system on the size of the bran particles (Table 2).</w:t>
      </w:r>
    </w:p>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r w:rsidRPr="004F7A28">
        <w:rPr>
          <w:rFonts w:ascii="Times New Roman" w:hAnsi="Times New Roman" w:cs="Times New Roman"/>
          <w:lang w:val="en-US"/>
        </w:rPr>
        <w:t xml:space="preserve">The main size fraction (from 200 to 600 μm) has stable, slightly varying values </w:t>
      </w:r>
      <w:r>
        <w:rPr>
          <w:rFonts w:ascii="Times New Roman" w:hAnsi="Times New Roman" w:cs="Times New Roman"/>
          <w:lang w:val="en-US"/>
        </w:rPr>
        <w:t>o</w:t>
      </w:r>
      <w:r w:rsidRPr="004F7A28">
        <w:rPr>
          <w:rFonts w:ascii="Times New Roman" w:hAnsi="Times New Roman" w:cs="Times New Roman"/>
          <w:lang w:val="en-US"/>
        </w:rPr>
        <w:t>f the WHC, equal to, on average, the value of the WHC of the bran itself.</w:t>
      </w:r>
    </w:p>
    <w:p w:rsidR="004F7A28" w:rsidRPr="004F7A28" w:rsidRDefault="004F7A28" w:rsidP="004F7A28">
      <w:pPr>
        <w:pStyle w:val="Reference"/>
        <w:numPr>
          <w:ilvl w:val="0"/>
          <w:numId w:val="0"/>
        </w:numPr>
        <w:tabs>
          <w:tab w:val="clear" w:pos="567"/>
        </w:tabs>
        <w:ind w:firstLine="284"/>
        <w:rPr>
          <w:rFonts w:ascii="Times New Roman" w:hAnsi="Times New Roman" w:cs="Times New Roman"/>
          <w:lang w:val="en-US"/>
        </w:rPr>
      </w:pPr>
      <w:r w:rsidRPr="004F7A28">
        <w:rPr>
          <w:rFonts w:ascii="Times New Roman" w:hAnsi="Times New Roman" w:cs="Times New Roman"/>
          <w:lang w:val="en-US"/>
        </w:rPr>
        <w:t>So, for the pollock protein system with the inclusion of the main bran fraction, the average value of the WHC is 71.87%, and the WHC of the protein mass with bran not divided into fractions corresponds to 71.85%.</w:t>
      </w:r>
    </w:p>
    <w:p w:rsidR="004F7A28" w:rsidRDefault="004F7A28" w:rsidP="00FD2E3C">
      <w:pPr>
        <w:pStyle w:val="Reference"/>
        <w:numPr>
          <w:ilvl w:val="0"/>
          <w:numId w:val="0"/>
        </w:numPr>
        <w:rPr>
          <w:rFonts w:ascii="Times New Roman" w:hAnsi="Times New Roman" w:cs="Times New Roman"/>
          <w:noProof w:val="0"/>
          <w:color w:val="auto"/>
          <w:lang w:val="en-US"/>
        </w:rPr>
      </w:pPr>
    </w:p>
    <w:p w:rsidR="00C42610" w:rsidRPr="00C42610" w:rsidRDefault="00C42610" w:rsidP="00C42610">
      <w:pPr>
        <w:pStyle w:val="af9"/>
        <w:spacing w:before="0" w:after="120"/>
        <w:ind w:left="0" w:firstLine="567"/>
        <w:jc w:val="center"/>
        <w:rPr>
          <w:sz w:val="22"/>
          <w:szCs w:val="22"/>
        </w:rPr>
      </w:pPr>
      <w:r w:rsidRPr="00C42610">
        <w:rPr>
          <w:b/>
          <w:sz w:val="22"/>
          <w:szCs w:val="22"/>
        </w:rPr>
        <w:t>Table 2.</w:t>
      </w:r>
      <w:r w:rsidRPr="00C42610">
        <w:rPr>
          <w:sz w:val="22"/>
          <w:szCs w:val="22"/>
        </w:rPr>
        <w:t xml:space="preserve"> The influence of the size of the particles of wheat bran on the WHC protein masses</w:t>
      </w:r>
    </w:p>
    <w:tbl>
      <w:tblPr>
        <w:tblW w:w="9134" w:type="dxa"/>
        <w:tblInd w:w="46"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650"/>
        <w:gridCol w:w="1843"/>
        <w:gridCol w:w="1814"/>
        <w:gridCol w:w="1985"/>
        <w:gridCol w:w="1842"/>
      </w:tblGrid>
      <w:tr w:rsidR="00C42610" w:rsidRPr="00C42610" w:rsidTr="009A6F72">
        <w:trPr>
          <w:trHeight w:val="308"/>
        </w:trPr>
        <w:tc>
          <w:tcPr>
            <w:tcW w:w="1650" w:type="dxa"/>
            <w:vMerge w:val="restart"/>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proofErr w:type="spellStart"/>
            <w:r w:rsidRPr="00C42610">
              <w:rPr>
                <w:rFonts w:ascii="Times New Roman" w:hAnsi="Times New Roman" w:cs="Times New Roman"/>
                <w:b/>
                <w:color w:val="212121"/>
                <w:shd w:val="clear" w:color="auto" w:fill="FFFFFF"/>
                <w:lang w:val="ru-RU"/>
              </w:rPr>
              <w:t>Particle</w:t>
            </w:r>
            <w:proofErr w:type="spellEnd"/>
            <w:r w:rsidRPr="00C42610">
              <w:rPr>
                <w:rFonts w:ascii="Times New Roman" w:hAnsi="Times New Roman" w:cs="Times New Roman"/>
                <w:b/>
                <w:color w:val="212121"/>
                <w:shd w:val="clear" w:color="auto" w:fill="FFFFFF"/>
                <w:lang w:val="ru-RU"/>
              </w:rPr>
              <w:t xml:space="preserve"> </w:t>
            </w:r>
            <w:proofErr w:type="spellStart"/>
            <w:r w:rsidRPr="00C42610">
              <w:rPr>
                <w:rFonts w:ascii="Times New Roman" w:hAnsi="Times New Roman" w:cs="Times New Roman"/>
                <w:b/>
                <w:color w:val="212121"/>
                <w:shd w:val="clear" w:color="auto" w:fill="FFFFFF"/>
                <w:lang w:val="ru-RU"/>
              </w:rPr>
              <w:t>size</w:t>
            </w:r>
            <w:proofErr w:type="spellEnd"/>
            <w:r w:rsidRPr="00C42610">
              <w:rPr>
                <w:rFonts w:ascii="Times New Roman" w:hAnsi="Times New Roman" w:cs="Times New Roman"/>
                <w:b/>
                <w:color w:val="212121"/>
                <w:shd w:val="clear" w:color="auto" w:fill="FFFFFF"/>
                <w:lang w:val="ru-RU"/>
              </w:rPr>
              <w:t xml:space="preserve">, </w:t>
            </w:r>
            <w:r w:rsidRPr="00C42610">
              <w:rPr>
                <w:rFonts w:ascii="Times New Roman" w:hAnsi="Times New Roman" w:cs="Times New Roman"/>
                <w:b/>
                <w:color w:val="212121"/>
                <w:shd w:val="clear" w:color="auto" w:fill="FFFFFF"/>
              </w:rPr>
              <w:t>microns</w:t>
            </w:r>
          </w:p>
        </w:tc>
        <w:tc>
          <w:tcPr>
            <w:tcW w:w="3657" w:type="dxa"/>
            <w:gridSpan w:val="2"/>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r w:rsidRPr="00C42610">
              <w:rPr>
                <w:rFonts w:ascii="Times New Roman" w:hAnsi="Times New Roman" w:cs="Times New Roman"/>
                <w:b/>
                <w:color w:val="212121"/>
                <w:shd w:val="clear" w:color="auto" w:fill="FFFFFF"/>
              </w:rPr>
              <w:t>Pollock muscle tissue</w:t>
            </w:r>
          </w:p>
        </w:tc>
        <w:tc>
          <w:tcPr>
            <w:tcW w:w="3827" w:type="dxa"/>
            <w:gridSpan w:val="2"/>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r w:rsidRPr="00C42610">
              <w:rPr>
                <w:rFonts w:ascii="Times New Roman" w:hAnsi="Times New Roman" w:cs="Times New Roman"/>
                <w:b/>
                <w:color w:val="212121"/>
                <w:shd w:val="clear" w:color="auto" w:fill="FFFFFF"/>
              </w:rPr>
              <w:t>Herring muscle tissue</w:t>
            </w:r>
          </w:p>
        </w:tc>
      </w:tr>
      <w:tr w:rsidR="00C42610" w:rsidRPr="00C42610" w:rsidTr="00973928">
        <w:trPr>
          <w:trHeight w:val="352"/>
        </w:trPr>
        <w:tc>
          <w:tcPr>
            <w:tcW w:w="1650" w:type="dxa"/>
            <w:vMerge/>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p>
        </w:tc>
        <w:tc>
          <w:tcPr>
            <w:tcW w:w="1843" w:type="dxa"/>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r w:rsidRPr="00C42610">
              <w:rPr>
                <w:rFonts w:ascii="Times New Roman" w:hAnsi="Times New Roman" w:cs="Times New Roman"/>
                <w:b/>
                <w:color w:val="212121"/>
                <w:shd w:val="clear" w:color="auto" w:fill="FFFFFF"/>
              </w:rPr>
              <w:t>WHC,%</w:t>
            </w:r>
          </w:p>
        </w:tc>
        <w:tc>
          <w:tcPr>
            <w:tcW w:w="1814" w:type="dxa"/>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r w:rsidRPr="00C42610">
              <w:rPr>
                <w:rFonts w:ascii="Times New Roman" w:hAnsi="Times New Roman" w:cs="Times New Roman"/>
                <w:b/>
                <w:color w:val="212121"/>
                <w:shd w:val="clear" w:color="auto" w:fill="FFFFFF"/>
              </w:rPr>
              <w:t>F, g/ cm</w:t>
            </w:r>
            <w:r w:rsidRPr="00C42610">
              <w:rPr>
                <w:rFonts w:ascii="Times New Roman" w:hAnsi="Times New Roman" w:cs="Times New Roman"/>
                <w:b/>
                <w:color w:val="212121"/>
                <w:shd w:val="clear" w:color="auto" w:fill="FFFFFF"/>
                <w:vertAlign w:val="superscript"/>
              </w:rPr>
              <w:t>2</w:t>
            </w:r>
          </w:p>
        </w:tc>
        <w:tc>
          <w:tcPr>
            <w:tcW w:w="1985" w:type="dxa"/>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r w:rsidRPr="00C42610">
              <w:rPr>
                <w:rFonts w:ascii="Times New Roman" w:hAnsi="Times New Roman" w:cs="Times New Roman"/>
                <w:b/>
                <w:color w:val="212121"/>
                <w:shd w:val="clear" w:color="auto" w:fill="FFFFFF"/>
              </w:rPr>
              <w:t>WHC,%</w:t>
            </w:r>
          </w:p>
        </w:tc>
        <w:tc>
          <w:tcPr>
            <w:tcW w:w="1842" w:type="dxa"/>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b/>
                <w:color w:val="212121"/>
                <w:shd w:val="clear" w:color="auto" w:fill="FFFFFF"/>
              </w:rPr>
            </w:pPr>
            <w:r w:rsidRPr="00C42610">
              <w:rPr>
                <w:rFonts w:ascii="Times New Roman" w:hAnsi="Times New Roman" w:cs="Times New Roman"/>
                <w:b/>
                <w:color w:val="212121"/>
                <w:shd w:val="clear" w:color="auto" w:fill="FFFFFF"/>
              </w:rPr>
              <w:t>F, g/ cm</w:t>
            </w:r>
            <w:r w:rsidRPr="00C42610">
              <w:rPr>
                <w:rFonts w:ascii="Times New Roman" w:hAnsi="Times New Roman" w:cs="Times New Roman"/>
                <w:b/>
                <w:color w:val="212121"/>
                <w:shd w:val="clear" w:color="auto" w:fill="FFFFFF"/>
                <w:vertAlign w:val="superscript"/>
              </w:rPr>
              <w:t>2</w:t>
            </w:r>
          </w:p>
        </w:tc>
      </w:tr>
      <w:tr w:rsidR="00C42610" w:rsidRPr="00C42610" w:rsidTr="00973928">
        <w:trPr>
          <w:trHeight w:val="240"/>
        </w:trPr>
        <w:tc>
          <w:tcPr>
            <w:tcW w:w="1650"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&lt;150</w:t>
            </w:r>
          </w:p>
        </w:tc>
        <w:tc>
          <w:tcPr>
            <w:tcW w:w="1843"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70,19</w:t>
            </w:r>
          </w:p>
        </w:tc>
        <w:tc>
          <w:tcPr>
            <w:tcW w:w="1814"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430</w:t>
            </w:r>
          </w:p>
        </w:tc>
        <w:tc>
          <w:tcPr>
            <w:tcW w:w="1985"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73,9</w:t>
            </w:r>
          </w:p>
        </w:tc>
        <w:tc>
          <w:tcPr>
            <w:tcW w:w="1842"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540</w:t>
            </w:r>
          </w:p>
        </w:tc>
      </w:tr>
      <w:tr w:rsidR="00C42610" w:rsidRPr="00C42610" w:rsidTr="00973928">
        <w:trPr>
          <w:trHeight w:val="270"/>
        </w:trPr>
        <w:tc>
          <w:tcPr>
            <w:tcW w:w="1650" w:type="dxa"/>
            <w:tcBorders>
              <w:top w:val="nil"/>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150 - 200</w:t>
            </w:r>
          </w:p>
        </w:tc>
        <w:tc>
          <w:tcPr>
            <w:tcW w:w="1843"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69,73</w:t>
            </w:r>
          </w:p>
        </w:tc>
        <w:tc>
          <w:tcPr>
            <w:tcW w:w="1814"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460</w:t>
            </w:r>
          </w:p>
        </w:tc>
        <w:tc>
          <w:tcPr>
            <w:tcW w:w="1985"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73,5</w:t>
            </w:r>
          </w:p>
        </w:tc>
        <w:tc>
          <w:tcPr>
            <w:tcW w:w="1842"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480</w:t>
            </w:r>
          </w:p>
        </w:tc>
      </w:tr>
      <w:tr w:rsidR="00C42610" w:rsidRPr="00C42610" w:rsidTr="00973928">
        <w:trPr>
          <w:trHeight w:val="285"/>
        </w:trPr>
        <w:tc>
          <w:tcPr>
            <w:tcW w:w="1650" w:type="dxa"/>
            <w:tcBorders>
              <w:top w:val="nil"/>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200 - 315</w:t>
            </w:r>
          </w:p>
        </w:tc>
        <w:tc>
          <w:tcPr>
            <w:tcW w:w="1843"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72,45</w:t>
            </w:r>
          </w:p>
        </w:tc>
        <w:tc>
          <w:tcPr>
            <w:tcW w:w="1814"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440</w:t>
            </w:r>
          </w:p>
        </w:tc>
        <w:tc>
          <w:tcPr>
            <w:tcW w:w="1985"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73,3</w:t>
            </w:r>
          </w:p>
        </w:tc>
        <w:tc>
          <w:tcPr>
            <w:tcW w:w="1842"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510</w:t>
            </w:r>
          </w:p>
        </w:tc>
      </w:tr>
      <w:tr w:rsidR="00C42610" w:rsidRPr="00C42610" w:rsidTr="00973928">
        <w:trPr>
          <w:trHeight w:val="345"/>
        </w:trPr>
        <w:tc>
          <w:tcPr>
            <w:tcW w:w="1650" w:type="dxa"/>
            <w:tcBorders>
              <w:top w:val="nil"/>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315 - 420</w:t>
            </w:r>
          </w:p>
        </w:tc>
        <w:tc>
          <w:tcPr>
            <w:tcW w:w="1843"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71,38</w:t>
            </w:r>
          </w:p>
        </w:tc>
        <w:tc>
          <w:tcPr>
            <w:tcW w:w="1814"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430</w:t>
            </w:r>
          </w:p>
        </w:tc>
        <w:tc>
          <w:tcPr>
            <w:tcW w:w="1985"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73,5</w:t>
            </w:r>
          </w:p>
        </w:tc>
        <w:tc>
          <w:tcPr>
            <w:tcW w:w="1842"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540</w:t>
            </w:r>
          </w:p>
        </w:tc>
      </w:tr>
      <w:tr w:rsidR="00C42610" w:rsidRPr="00C42610" w:rsidTr="00973928">
        <w:trPr>
          <w:trHeight w:val="375"/>
        </w:trPr>
        <w:tc>
          <w:tcPr>
            <w:tcW w:w="1650" w:type="dxa"/>
            <w:tcBorders>
              <w:top w:val="nil"/>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420 - 600</w:t>
            </w:r>
          </w:p>
        </w:tc>
        <w:tc>
          <w:tcPr>
            <w:tcW w:w="1843"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71,80</w:t>
            </w:r>
          </w:p>
        </w:tc>
        <w:tc>
          <w:tcPr>
            <w:tcW w:w="1814"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480</w:t>
            </w:r>
          </w:p>
        </w:tc>
        <w:tc>
          <w:tcPr>
            <w:tcW w:w="1985"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73,0</w:t>
            </w:r>
          </w:p>
        </w:tc>
        <w:tc>
          <w:tcPr>
            <w:tcW w:w="1842"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520</w:t>
            </w:r>
          </w:p>
        </w:tc>
      </w:tr>
      <w:tr w:rsidR="00C42610" w:rsidRPr="00C42610" w:rsidTr="00973928">
        <w:trPr>
          <w:trHeight w:val="237"/>
        </w:trPr>
        <w:tc>
          <w:tcPr>
            <w:tcW w:w="1650" w:type="dxa"/>
            <w:tcBorders>
              <w:top w:val="nil"/>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600 - 850</w:t>
            </w:r>
          </w:p>
        </w:tc>
        <w:tc>
          <w:tcPr>
            <w:tcW w:w="1843"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70,07</w:t>
            </w:r>
          </w:p>
        </w:tc>
        <w:tc>
          <w:tcPr>
            <w:tcW w:w="1814"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490</w:t>
            </w:r>
          </w:p>
        </w:tc>
        <w:tc>
          <w:tcPr>
            <w:tcW w:w="1985"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73,2</w:t>
            </w:r>
          </w:p>
        </w:tc>
        <w:tc>
          <w:tcPr>
            <w:tcW w:w="1842"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530</w:t>
            </w:r>
          </w:p>
        </w:tc>
      </w:tr>
      <w:tr w:rsidR="00C42610" w:rsidRPr="00C42610" w:rsidTr="00973928">
        <w:trPr>
          <w:trHeight w:val="270"/>
        </w:trPr>
        <w:tc>
          <w:tcPr>
            <w:tcW w:w="1650" w:type="dxa"/>
            <w:tcBorders>
              <w:top w:val="nil"/>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&gt;850</w:t>
            </w:r>
          </w:p>
        </w:tc>
        <w:tc>
          <w:tcPr>
            <w:tcW w:w="1843"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w:t>
            </w:r>
          </w:p>
        </w:tc>
        <w:tc>
          <w:tcPr>
            <w:tcW w:w="1814"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w:t>
            </w:r>
          </w:p>
        </w:tc>
        <w:tc>
          <w:tcPr>
            <w:tcW w:w="1985"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w:t>
            </w:r>
          </w:p>
        </w:tc>
        <w:tc>
          <w:tcPr>
            <w:tcW w:w="1842" w:type="dxa"/>
            <w:tcBorders>
              <w:top w:val="nil"/>
              <w:bottom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w:t>
            </w:r>
          </w:p>
        </w:tc>
      </w:tr>
      <w:tr w:rsidR="00C42610" w:rsidRPr="00C42610" w:rsidTr="00973928">
        <w:trPr>
          <w:trHeight w:val="267"/>
        </w:trPr>
        <w:tc>
          <w:tcPr>
            <w:tcW w:w="1650" w:type="dxa"/>
            <w:tcBorders>
              <w:top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pBdr>
              <w:ind w:left="-51"/>
              <w:jc w:val="center"/>
              <w:rPr>
                <w:rFonts w:ascii="Times New Roman" w:hAnsi="Times New Roman" w:cs="Times New Roman"/>
                <w:color w:val="212121"/>
                <w:shd w:val="clear" w:color="auto" w:fill="FFFFFF"/>
              </w:rPr>
            </w:pPr>
            <w:r w:rsidRPr="00C42610">
              <w:rPr>
                <w:rFonts w:ascii="Times New Roman" w:hAnsi="Times New Roman" w:cs="Times New Roman"/>
                <w:color w:val="212121"/>
                <w:shd w:val="clear" w:color="auto" w:fill="FFFFFF"/>
              </w:rPr>
              <w:t>Not sifted</w:t>
            </w:r>
          </w:p>
        </w:tc>
        <w:tc>
          <w:tcPr>
            <w:tcW w:w="1843" w:type="dxa"/>
            <w:tcBorders>
              <w:top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71,85</w:t>
            </w:r>
          </w:p>
        </w:tc>
        <w:tc>
          <w:tcPr>
            <w:tcW w:w="1814" w:type="dxa"/>
            <w:tcBorders>
              <w:top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480</w:t>
            </w:r>
          </w:p>
        </w:tc>
        <w:tc>
          <w:tcPr>
            <w:tcW w:w="1985" w:type="dxa"/>
            <w:tcBorders>
              <w:top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73,3</w:t>
            </w:r>
          </w:p>
        </w:tc>
        <w:tc>
          <w:tcPr>
            <w:tcW w:w="1842" w:type="dxa"/>
            <w:tcBorders>
              <w:top w:val="nil"/>
            </w:tcBorders>
          </w:tcPr>
          <w:p w:rsidR="00C42610" w:rsidRPr="00C42610" w:rsidRDefault="00C42610" w:rsidP="00C42610">
            <w:pPr>
              <w:jc w:val="center"/>
              <w:rPr>
                <w:rFonts w:ascii="Times New Roman" w:hAnsi="Times New Roman" w:cs="Times New Roman"/>
                <w:color w:val="212121"/>
                <w:shd w:val="clear" w:color="auto" w:fill="FFFFFF"/>
                <w:lang w:eastAsia="ru-RU"/>
              </w:rPr>
            </w:pPr>
            <w:r w:rsidRPr="00C42610">
              <w:rPr>
                <w:rFonts w:ascii="Times New Roman" w:hAnsi="Times New Roman" w:cs="Times New Roman"/>
                <w:color w:val="212121"/>
                <w:shd w:val="clear" w:color="auto" w:fill="FFFFFF"/>
                <w:lang w:eastAsia="ru-RU"/>
              </w:rPr>
              <w:t>540</w:t>
            </w:r>
          </w:p>
        </w:tc>
      </w:tr>
    </w:tbl>
    <w:p w:rsidR="00C42610" w:rsidRPr="00C42610" w:rsidRDefault="00C42610" w:rsidP="00C42610">
      <w:pPr>
        <w:pStyle w:val="BodytextIndented"/>
        <w:rPr>
          <w:rFonts w:ascii="Times New Roman" w:hAnsi="Times New Roman" w:cs="Times New Roman"/>
        </w:rPr>
      </w:pP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For the model system of the herring's muscle tissue, these values are 73.26</w:t>
      </w:r>
      <w:r w:rsidR="009A6F72">
        <w:rPr>
          <w:rFonts w:ascii="Times New Roman" w:hAnsi="Times New Roman" w:cs="Times New Roman"/>
        </w:rPr>
        <w:t xml:space="preserve"> </w:t>
      </w:r>
      <w:r w:rsidRPr="00C42610">
        <w:rPr>
          <w:rFonts w:ascii="Times New Roman" w:hAnsi="Times New Roman" w:cs="Times New Roman"/>
        </w:rPr>
        <w:t>% and 73.30</w:t>
      </w:r>
      <w:r w:rsidR="009A6F72">
        <w:rPr>
          <w:rFonts w:ascii="Times New Roman" w:hAnsi="Times New Roman" w:cs="Times New Roman"/>
        </w:rPr>
        <w:t xml:space="preserve"> </w:t>
      </w:r>
      <w:r w:rsidRPr="00C42610">
        <w:rPr>
          <w:rFonts w:ascii="Times New Roman" w:hAnsi="Times New Roman" w:cs="Times New Roman"/>
        </w:rPr>
        <w:t>%, respectively. The results indicate statistically significant values, since their discrepancy does not exceed 1</w:t>
      </w:r>
      <w:r w:rsidR="009A6F72">
        <w:rPr>
          <w:rFonts w:ascii="Times New Roman" w:hAnsi="Times New Roman" w:cs="Times New Roman"/>
        </w:rPr>
        <w:t xml:space="preserve"> </w:t>
      </w:r>
      <w:r w:rsidRPr="00C42610">
        <w:rPr>
          <w:rFonts w:ascii="Times New Roman" w:hAnsi="Times New Roman" w:cs="Times New Roman"/>
        </w:rPr>
        <w:t>%.</w:t>
      </w: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 xml:space="preserve">The strength of thermally treated samples varies slightly. For the </w:t>
      </w:r>
      <w:proofErr w:type="spellStart"/>
      <w:r w:rsidRPr="00C42610">
        <w:rPr>
          <w:rFonts w:ascii="Times New Roman" w:hAnsi="Times New Roman" w:cs="Times New Roman"/>
        </w:rPr>
        <w:t>pollock</w:t>
      </w:r>
      <w:proofErr w:type="spellEnd"/>
      <w:r w:rsidRPr="00C42610">
        <w:rPr>
          <w:rFonts w:ascii="Times New Roman" w:hAnsi="Times New Roman" w:cs="Times New Roman"/>
        </w:rPr>
        <w:t xml:space="preserve"> model, the F v</w:t>
      </w:r>
      <w:r w:rsidR="009A6F72">
        <w:rPr>
          <w:rFonts w:ascii="Times New Roman" w:hAnsi="Times New Roman" w:cs="Times New Roman"/>
        </w:rPr>
        <w:t>alue ranges from 430 to 490 g/</w:t>
      </w:r>
      <w:r w:rsidRPr="00C42610">
        <w:rPr>
          <w:rFonts w:ascii="Times New Roman" w:hAnsi="Times New Roman" w:cs="Times New Roman"/>
        </w:rPr>
        <w:t>cm</w:t>
      </w:r>
      <w:r w:rsidRPr="00973928">
        <w:rPr>
          <w:rFonts w:ascii="Times New Roman" w:hAnsi="Times New Roman" w:cs="Times New Roman"/>
          <w:vertAlign w:val="superscript"/>
        </w:rPr>
        <w:t>2</w:t>
      </w:r>
      <w:r w:rsidRPr="00C42610">
        <w:rPr>
          <w:rFonts w:ascii="Times New Roman" w:hAnsi="Times New Roman" w:cs="Times New Roman"/>
        </w:rPr>
        <w:t>; for herri</w:t>
      </w:r>
      <w:r w:rsidR="009A6F72">
        <w:rPr>
          <w:rFonts w:ascii="Times New Roman" w:hAnsi="Times New Roman" w:cs="Times New Roman"/>
        </w:rPr>
        <w:t>ng models - from 480 to 540 g/</w:t>
      </w:r>
      <w:r w:rsidRPr="00C42610">
        <w:rPr>
          <w:rFonts w:ascii="Times New Roman" w:hAnsi="Times New Roman" w:cs="Times New Roman"/>
        </w:rPr>
        <w:t>cm</w:t>
      </w:r>
      <w:r w:rsidRPr="00973928">
        <w:rPr>
          <w:rFonts w:ascii="Times New Roman" w:hAnsi="Times New Roman" w:cs="Times New Roman"/>
          <w:vertAlign w:val="superscript"/>
        </w:rPr>
        <w:t>2</w:t>
      </w:r>
      <w:r w:rsidRPr="00C42610">
        <w:rPr>
          <w:rFonts w:ascii="Times New Roman" w:hAnsi="Times New Roman" w:cs="Times New Roman"/>
        </w:rPr>
        <w:t xml:space="preserve">. At the same time, differences in the chemical composition of the model masses affect only the values of the MAS and F, and does not depend on the presence of bran (Table 3). From the above, it follows that the degree of grinding of bran does not affect their MAS and insignificantly affects the strength characteristic. </w:t>
      </w:r>
    </w:p>
    <w:p w:rsidR="00C42610" w:rsidRPr="00C42610" w:rsidRDefault="00C42610" w:rsidP="00C42610">
      <w:pPr>
        <w:pStyle w:val="BodytextIndented"/>
        <w:rPr>
          <w:rFonts w:ascii="Times New Roman" w:hAnsi="Times New Roman" w:cs="Times New Roman"/>
        </w:rPr>
      </w:pPr>
    </w:p>
    <w:p w:rsidR="00C42610" w:rsidRPr="00C42610" w:rsidRDefault="00C42610" w:rsidP="00C42610">
      <w:pPr>
        <w:pStyle w:val="af9"/>
        <w:spacing w:before="0" w:after="120"/>
        <w:ind w:left="0" w:firstLine="567"/>
        <w:jc w:val="center"/>
        <w:rPr>
          <w:sz w:val="22"/>
          <w:szCs w:val="22"/>
        </w:rPr>
      </w:pPr>
      <w:r w:rsidRPr="00C42610">
        <w:rPr>
          <w:b/>
          <w:sz w:val="22"/>
          <w:szCs w:val="22"/>
        </w:rPr>
        <w:t>Table 3.</w:t>
      </w:r>
      <w:r w:rsidRPr="00C42610">
        <w:rPr>
          <w:sz w:val="22"/>
          <w:szCs w:val="22"/>
        </w:rPr>
        <w:t xml:space="preserve"> The chemical composition of the muscle tissue of fish for the preparation of model mass% </w:t>
      </w:r>
    </w:p>
    <w:tbl>
      <w:tblPr>
        <w:tblStyle w:val="afc"/>
        <w:tblW w:w="0" w:type="auto"/>
        <w:tblLook w:val="04A0" w:firstRow="1" w:lastRow="0" w:firstColumn="1" w:lastColumn="0" w:noHBand="0" w:noVBand="1"/>
      </w:tblPr>
      <w:tblGrid>
        <w:gridCol w:w="1733"/>
        <w:gridCol w:w="3159"/>
        <w:gridCol w:w="1216"/>
        <w:gridCol w:w="1216"/>
        <w:gridCol w:w="1747"/>
      </w:tblGrid>
      <w:tr w:rsidR="00C42610" w:rsidRPr="00C42610" w:rsidTr="00C42610">
        <w:tc>
          <w:tcPr>
            <w:tcW w:w="1838" w:type="dxa"/>
            <w:tcBorders>
              <w:left w:val="nil"/>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color w:val="212121"/>
                <w:sz w:val="22"/>
                <w:szCs w:val="24"/>
                <w:shd w:val="clear" w:color="auto" w:fill="FFFFFF"/>
              </w:rPr>
            </w:pPr>
            <w:r w:rsidRPr="00C42610">
              <w:rPr>
                <w:rFonts w:ascii="Times New Roman" w:hAnsi="Times New Roman" w:cs="Times New Roman"/>
                <w:b/>
                <w:bCs/>
                <w:sz w:val="22"/>
                <w:szCs w:val="24"/>
              </w:rPr>
              <w:t>Kind of fish</w:t>
            </w:r>
          </w:p>
        </w:tc>
        <w:tc>
          <w:tcPr>
            <w:tcW w:w="3402" w:type="dxa"/>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color w:val="212121"/>
                <w:sz w:val="22"/>
                <w:szCs w:val="24"/>
                <w:shd w:val="clear" w:color="auto" w:fill="FFFFFF"/>
              </w:rPr>
            </w:pPr>
            <w:r w:rsidRPr="00C42610">
              <w:rPr>
                <w:rFonts w:ascii="Times New Roman" w:hAnsi="Times New Roman" w:cs="Times New Roman"/>
                <w:b/>
                <w:bCs/>
                <w:sz w:val="22"/>
                <w:szCs w:val="24"/>
              </w:rPr>
              <w:t>Protein (N total</w:t>
            </w:r>
            <w:r w:rsidR="00973928">
              <w:rPr>
                <w:rFonts w:ascii="Times New Roman" w:hAnsi="Times New Roman" w:cs="Times New Roman"/>
                <w:b/>
                <w:bCs/>
                <w:sz w:val="22"/>
                <w:szCs w:val="24"/>
              </w:rPr>
              <w:t xml:space="preserve"> </w:t>
            </w:r>
            <w:r w:rsidRPr="00C42610">
              <w:rPr>
                <w:rFonts w:ascii="Times New Roman" w:hAnsi="Times New Roman" w:cs="Times New Roman"/>
                <w:b/>
                <w:bCs/>
                <w:sz w:val="22"/>
                <w:szCs w:val="24"/>
              </w:rPr>
              <w:t>-</w:t>
            </w:r>
            <w:r w:rsidR="00973928">
              <w:rPr>
                <w:rFonts w:ascii="Times New Roman" w:hAnsi="Times New Roman" w:cs="Times New Roman"/>
                <w:b/>
                <w:bCs/>
                <w:sz w:val="22"/>
                <w:szCs w:val="24"/>
              </w:rPr>
              <w:t xml:space="preserve"> </w:t>
            </w:r>
            <w:proofErr w:type="spellStart"/>
            <w:r w:rsidRPr="00C42610">
              <w:rPr>
                <w:rFonts w:ascii="Times New Roman" w:hAnsi="Times New Roman" w:cs="Times New Roman"/>
                <w:b/>
                <w:bCs/>
                <w:sz w:val="22"/>
                <w:szCs w:val="24"/>
              </w:rPr>
              <w:t>Nb</w:t>
            </w:r>
            <w:proofErr w:type="spellEnd"/>
            <w:r w:rsidRPr="00C42610">
              <w:rPr>
                <w:rFonts w:ascii="Times New Roman" w:hAnsi="Times New Roman" w:cs="Times New Roman"/>
                <w:b/>
                <w:bCs/>
                <w:sz w:val="22"/>
                <w:szCs w:val="24"/>
              </w:rPr>
              <w:t xml:space="preserve"> ) х 6,25</w:t>
            </w:r>
          </w:p>
        </w:tc>
        <w:tc>
          <w:tcPr>
            <w:tcW w:w="1276" w:type="dxa"/>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color w:val="212121"/>
                <w:sz w:val="22"/>
                <w:szCs w:val="24"/>
                <w:shd w:val="clear" w:color="auto" w:fill="FFFFFF"/>
              </w:rPr>
            </w:pPr>
            <w:r w:rsidRPr="00C42610">
              <w:rPr>
                <w:rFonts w:ascii="Times New Roman" w:hAnsi="Times New Roman" w:cs="Times New Roman"/>
                <w:b/>
                <w:bCs/>
                <w:sz w:val="22"/>
                <w:szCs w:val="24"/>
              </w:rPr>
              <w:t>Lipids</w:t>
            </w:r>
          </w:p>
        </w:tc>
        <w:tc>
          <w:tcPr>
            <w:tcW w:w="1276" w:type="dxa"/>
            <w:tcBorders>
              <w:bottom w:val="single" w:sz="4" w:space="0" w:color="auto"/>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b/>
                <w:bCs/>
                <w:color w:val="212121"/>
                <w:sz w:val="22"/>
                <w:szCs w:val="24"/>
                <w:shd w:val="clear" w:color="auto" w:fill="FFFFFF"/>
              </w:rPr>
            </w:pPr>
            <w:r w:rsidRPr="00C42610">
              <w:rPr>
                <w:rFonts w:ascii="Times New Roman" w:hAnsi="Times New Roman" w:cs="Times New Roman"/>
                <w:b/>
                <w:bCs/>
                <w:sz w:val="22"/>
                <w:szCs w:val="24"/>
              </w:rPr>
              <w:t>Water</w:t>
            </w:r>
          </w:p>
        </w:tc>
        <w:tc>
          <w:tcPr>
            <w:tcW w:w="1836" w:type="dxa"/>
            <w:tcBorders>
              <w:bottom w:val="single" w:sz="4" w:space="0" w:color="auto"/>
              <w:right w:val="nil"/>
            </w:tcBorders>
          </w:tcPr>
          <w:p w:rsidR="00C42610" w:rsidRPr="00C42610" w:rsidRDefault="00C42610" w:rsidP="00C42610">
            <w:pPr>
              <w:pStyle w:val="21"/>
              <w:jc w:val="center"/>
              <w:rPr>
                <w:rFonts w:ascii="Times New Roman" w:hAnsi="Times New Roman" w:cs="Times New Roman"/>
                <w:sz w:val="22"/>
                <w:szCs w:val="24"/>
              </w:rPr>
            </w:pPr>
            <w:r w:rsidRPr="00C42610">
              <w:rPr>
                <w:rFonts w:ascii="Times New Roman" w:hAnsi="Times New Roman" w:cs="Times New Roman"/>
                <w:b/>
                <w:bCs/>
                <w:sz w:val="22"/>
                <w:szCs w:val="24"/>
              </w:rPr>
              <w:t>Minerals</w:t>
            </w:r>
          </w:p>
        </w:tc>
      </w:tr>
      <w:tr w:rsidR="00C42610" w:rsidRPr="00C42610" w:rsidTr="00C42610">
        <w:tc>
          <w:tcPr>
            <w:tcW w:w="1838" w:type="dxa"/>
            <w:tcBorders>
              <w:left w:val="nil"/>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Pollock</w:t>
            </w:r>
          </w:p>
        </w:tc>
        <w:tc>
          <w:tcPr>
            <w:tcW w:w="3402"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17,1</w:t>
            </w:r>
          </w:p>
        </w:tc>
        <w:tc>
          <w:tcPr>
            <w:tcW w:w="1276"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0,3</w:t>
            </w:r>
          </w:p>
        </w:tc>
        <w:tc>
          <w:tcPr>
            <w:tcW w:w="1276" w:type="dxa"/>
            <w:tcBorders>
              <w:bottom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81,4</w:t>
            </w:r>
          </w:p>
        </w:tc>
        <w:tc>
          <w:tcPr>
            <w:tcW w:w="1836" w:type="dxa"/>
            <w:tcBorders>
              <w:bottom w:val="nil"/>
              <w:right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1,2</w:t>
            </w:r>
          </w:p>
        </w:tc>
      </w:tr>
      <w:tr w:rsidR="00C42610" w:rsidRPr="00C42610" w:rsidTr="00C42610">
        <w:tc>
          <w:tcPr>
            <w:tcW w:w="1838" w:type="dxa"/>
            <w:tcBorders>
              <w:top w:val="nil"/>
              <w:left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Pacific herring</w:t>
            </w:r>
          </w:p>
        </w:tc>
        <w:tc>
          <w:tcPr>
            <w:tcW w:w="3402" w:type="dxa"/>
            <w:tcBorders>
              <w:top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13,6</w:t>
            </w:r>
          </w:p>
        </w:tc>
        <w:tc>
          <w:tcPr>
            <w:tcW w:w="1276" w:type="dxa"/>
            <w:tcBorders>
              <w:top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7,9</w:t>
            </w:r>
          </w:p>
        </w:tc>
        <w:tc>
          <w:tcPr>
            <w:tcW w:w="1276" w:type="dxa"/>
            <w:tcBorders>
              <w:top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76,3</w:t>
            </w:r>
          </w:p>
        </w:tc>
        <w:tc>
          <w:tcPr>
            <w:tcW w:w="1836" w:type="dxa"/>
            <w:tcBorders>
              <w:top w:val="nil"/>
              <w:right w:val="nil"/>
            </w:tcBorders>
          </w:tcPr>
          <w:p w:rsidR="00C42610" w:rsidRPr="00C42610" w:rsidRDefault="00C42610" w:rsidP="00C42610">
            <w:pPr>
              <w:pStyle w:val="afb"/>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hAnsi="Times New Roman" w:cs="Times New Roman"/>
                <w:b/>
                <w:bCs/>
                <w:color w:val="212121"/>
                <w:sz w:val="22"/>
                <w:szCs w:val="24"/>
                <w:shd w:val="clear" w:color="auto" w:fill="FFFFFF"/>
              </w:rPr>
            </w:pPr>
            <w:r w:rsidRPr="00C42610">
              <w:rPr>
                <w:rFonts w:ascii="Times New Roman" w:hAnsi="Times New Roman" w:cs="Times New Roman"/>
                <w:sz w:val="22"/>
                <w:szCs w:val="24"/>
              </w:rPr>
              <w:t>2,2</w:t>
            </w:r>
          </w:p>
        </w:tc>
      </w:tr>
    </w:tbl>
    <w:p w:rsidR="00C42610" w:rsidRPr="00C42610" w:rsidRDefault="00C42610" w:rsidP="00C42610">
      <w:pPr>
        <w:pStyle w:val="BodytextIndented"/>
        <w:rPr>
          <w:rFonts w:ascii="Times New Roman" w:hAnsi="Times New Roman" w:cs="Times New Roman"/>
        </w:rPr>
      </w:pP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Therefore, it is advisable to use the pre-grinding operation if the inclusion of bran affect the sensory characteristics of the finished product (appearance, patches on the surface, etc.).It should be noted that the addition of wheat bran and the chemical composition of model systems have some influence on the strength characteristics after heat treatment.</w:t>
      </w:r>
    </w:p>
    <w:p w:rsidR="00C42610" w:rsidRDefault="00C42610" w:rsidP="00C42610">
      <w:pPr>
        <w:pStyle w:val="BodytextIndented"/>
        <w:rPr>
          <w:rFonts w:ascii="Times New Roman" w:hAnsi="Times New Roman" w:cs="Times New Roman"/>
        </w:rPr>
      </w:pPr>
      <w:r w:rsidRPr="00C42610">
        <w:rPr>
          <w:rFonts w:ascii="Times New Roman" w:hAnsi="Times New Roman" w:cs="Times New Roman"/>
        </w:rPr>
        <w:t xml:space="preserve">To identify the degree of inhibition by wheat bran of its own enzymatic activity of protein masses, the magnitude of the hydrolysis depth after exposure to pepsin and in parallel after exposure to trypsin was determined. Under the study of in vitro pepsin-trypsin activity, the model system from crushed muscle tissue of Pacific herring served as a source of proteins, since this fish has a higher activity of proteolytic enzymes of muscle tissue compared to </w:t>
      </w:r>
      <w:proofErr w:type="spellStart"/>
      <w:r w:rsidRPr="00C42610">
        <w:rPr>
          <w:rFonts w:ascii="Times New Roman" w:hAnsi="Times New Roman" w:cs="Times New Roman"/>
        </w:rPr>
        <w:t>pollock</w:t>
      </w:r>
      <w:proofErr w:type="spellEnd"/>
      <w:r w:rsidRPr="00C42610">
        <w:rPr>
          <w:rFonts w:ascii="Times New Roman" w:hAnsi="Times New Roman" w:cs="Times New Roman"/>
        </w:rPr>
        <w:t xml:space="preserve"> muscle tissue. To compare the effect on the enzymatic activity of wheat bran, we studied the effect of the addition of microcrystalline cellulose in doses recommended for food use.</w:t>
      </w:r>
      <w:r w:rsidR="00973928">
        <w:rPr>
          <w:rFonts w:ascii="Times New Roman" w:hAnsi="Times New Roman" w:cs="Times New Roman"/>
        </w:rPr>
        <w:t xml:space="preserve"> </w:t>
      </w:r>
      <w:r w:rsidRPr="00C42610">
        <w:rPr>
          <w:rFonts w:ascii="Times New Roman" w:hAnsi="Times New Roman" w:cs="Times New Roman"/>
        </w:rPr>
        <w:t xml:space="preserve">It turned out that the value of the hydrolysis depth of samples with </w:t>
      </w:r>
      <w:r w:rsidRPr="00C42610">
        <w:rPr>
          <w:rFonts w:ascii="Times New Roman" w:hAnsi="Times New Roman" w:cs="Times New Roman"/>
        </w:rPr>
        <w:lastRenderedPageBreak/>
        <w:t>additives during pepsin fermentation is close to the hydrolysis depth of the control sample (without both wheat bran and microcrystalline cellulose) (Fig. 1).</w:t>
      </w:r>
    </w:p>
    <w:p w:rsidR="00C42610" w:rsidRPr="00C42610" w:rsidRDefault="00C42610" w:rsidP="00C42610">
      <w:pPr>
        <w:pStyle w:val="BodytextIndented"/>
        <w:rPr>
          <w:rFonts w:ascii="Times New Roman" w:hAnsi="Times New Roman" w:cs="Times New Roman"/>
        </w:rPr>
      </w:pPr>
    </w:p>
    <w:p w:rsidR="00C42610" w:rsidRPr="00973928" w:rsidRDefault="00C42610" w:rsidP="00973928">
      <w:pPr>
        <w:pStyle w:val="Reference"/>
        <w:numPr>
          <w:ilvl w:val="0"/>
          <w:numId w:val="0"/>
        </w:numPr>
        <w:rPr>
          <w:rFonts w:ascii="Times New Roman" w:hAnsi="Times New Roman" w:cs="Times New Roman"/>
          <w:b/>
          <w:lang w:val="en-US"/>
        </w:rPr>
      </w:pPr>
      <w:r>
        <w:rPr>
          <w:rFonts w:ascii="Arial" w:hAnsi="Arial" w:cs="Arial"/>
          <w:sz w:val="24"/>
          <w:szCs w:val="24"/>
          <w:lang w:val="ru-RU" w:eastAsia="ru-RU"/>
        </w:rPr>
        <w:drawing>
          <wp:inline distT="0" distB="0" distL="0" distR="0" wp14:anchorId="3AB3189E" wp14:editId="03C42B03">
            <wp:extent cx="5857875" cy="2133600"/>
            <wp:effectExtent l="0" t="0" r="0" b="0"/>
            <wp:docPr id="12"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42610" w:rsidRPr="00973928" w:rsidRDefault="00C42610" w:rsidP="00973928">
      <w:pPr>
        <w:pStyle w:val="Reference"/>
        <w:numPr>
          <w:ilvl w:val="0"/>
          <w:numId w:val="0"/>
        </w:numPr>
        <w:rPr>
          <w:rFonts w:ascii="Times New Roman" w:hAnsi="Times New Roman" w:cs="Times New Roman"/>
          <w:b/>
          <w:lang w:val="en-US"/>
        </w:rPr>
      </w:pPr>
      <w:r w:rsidRPr="00973928">
        <w:rPr>
          <w:rFonts w:ascii="Times New Roman" w:hAnsi="Times New Roman" w:cs="Times New Roman"/>
          <w:b/>
          <w:lang w:val="en-US"/>
        </w:rPr>
        <w:t xml:space="preserve">Figure 1. </w:t>
      </w:r>
      <w:r w:rsidRPr="00973928">
        <w:rPr>
          <w:rFonts w:ascii="Times New Roman" w:hAnsi="Times New Roman" w:cs="Times New Roman"/>
          <w:lang w:val="en-US"/>
        </w:rPr>
        <w:t>The value of the hydrolysis depth during pepsin fermentation</w:t>
      </w:r>
    </w:p>
    <w:p w:rsidR="00C42610" w:rsidRPr="00973928" w:rsidRDefault="00C42610" w:rsidP="00973928">
      <w:pPr>
        <w:pStyle w:val="Reference"/>
        <w:numPr>
          <w:ilvl w:val="0"/>
          <w:numId w:val="0"/>
        </w:numPr>
        <w:rPr>
          <w:rFonts w:ascii="Times New Roman" w:hAnsi="Times New Roman" w:cs="Times New Roman"/>
          <w:b/>
          <w:lang w:val="en-US"/>
        </w:rPr>
      </w:pPr>
    </w:p>
    <w:p w:rsidR="00C42610" w:rsidRPr="00973928" w:rsidRDefault="00C42610" w:rsidP="00973928">
      <w:pPr>
        <w:pStyle w:val="Reference"/>
        <w:numPr>
          <w:ilvl w:val="0"/>
          <w:numId w:val="0"/>
        </w:numPr>
        <w:rPr>
          <w:rFonts w:ascii="Times New Roman" w:hAnsi="Times New Roman" w:cs="Times New Roman"/>
          <w:b/>
          <w:lang w:val="en-US"/>
        </w:rPr>
      </w:pPr>
      <w:r w:rsidRPr="00973928">
        <w:rPr>
          <w:rFonts w:ascii="Arial" w:hAnsi="Arial" w:cs="Arial"/>
          <w:b/>
          <w:sz w:val="24"/>
          <w:szCs w:val="24"/>
          <w:lang w:val="ru-RU" w:eastAsia="ru-RU"/>
        </w:rPr>
        <w:drawing>
          <wp:inline distT="0" distB="0" distL="0" distR="0" wp14:anchorId="17B2BBC1" wp14:editId="3ED98E4A">
            <wp:extent cx="5857875" cy="2266950"/>
            <wp:effectExtent l="0" t="0" r="0" b="0"/>
            <wp:docPr id="11"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42610" w:rsidRPr="00973928" w:rsidRDefault="00C42610" w:rsidP="00973928">
      <w:pPr>
        <w:pStyle w:val="Reference"/>
        <w:numPr>
          <w:ilvl w:val="0"/>
          <w:numId w:val="0"/>
        </w:numPr>
        <w:rPr>
          <w:rFonts w:ascii="Times New Roman" w:hAnsi="Times New Roman" w:cs="Times New Roman"/>
          <w:lang w:val="en-US"/>
        </w:rPr>
      </w:pPr>
      <w:r w:rsidRPr="00973928">
        <w:rPr>
          <w:rFonts w:ascii="Times New Roman" w:hAnsi="Times New Roman" w:cs="Times New Roman"/>
          <w:b/>
          <w:lang w:val="en-US"/>
        </w:rPr>
        <w:t>Figure</w:t>
      </w:r>
      <w:r w:rsidRPr="00973928">
        <w:rPr>
          <w:rFonts w:ascii="Times New Roman" w:hAnsi="Times New Roman" w:cs="Times New Roman"/>
          <w:lang w:val="en-US"/>
        </w:rPr>
        <w:t xml:space="preserve"> 2. The value of the hydrolysis depth during trypsin fermentation</w:t>
      </w:r>
    </w:p>
    <w:p w:rsidR="00C42610" w:rsidRPr="00973928" w:rsidRDefault="00C42610" w:rsidP="00973928">
      <w:pPr>
        <w:pStyle w:val="Reference"/>
        <w:numPr>
          <w:ilvl w:val="0"/>
          <w:numId w:val="0"/>
        </w:numPr>
        <w:rPr>
          <w:rFonts w:ascii="Times New Roman" w:hAnsi="Times New Roman" w:cs="Times New Roman"/>
          <w:lang w:val="en-US"/>
        </w:rPr>
      </w:pP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The amount of 3-4 g of an inhibitor per 1000 g of a food product is harmless to the human body.</w:t>
      </w: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 xml:space="preserve">Wheat bran dietary fibers are represented by a number of different fiber properties: cellulose, hemicellulose, lignin, etc. This diverse chemical composition of the bran determines the complex mechanism of complexation with respect to metals and characterizes them as </w:t>
      </w:r>
      <w:proofErr w:type="spellStart"/>
      <w:r w:rsidRPr="00C42610">
        <w:rPr>
          <w:rFonts w:ascii="Times New Roman" w:hAnsi="Times New Roman" w:cs="Times New Roman"/>
        </w:rPr>
        <w:t>polyfunctional</w:t>
      </w:r>
      <w:proofErr w:type="spellEnd"/>
      <w:r w:rsidRPr="00C42610">
        <w:rPr>
          <w:rFonts w:ascii="Times New Roman" w:hAnsi="Times New Roman" w:cs="Times New Roman"/>
        </w:rPr>
        <w:t xml:space="preserve"> type cation exchangers.</w:t>
      </w: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Complexation depends on the chemical composition of the sorbent, the pH of the medium, temperature and other factors.</w:t>
      </w: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In the process of studying the sorption capacity of wheat bran, it was</w:t>
      </w:r>
      <w:r w:rsidR="00973928">
        <w:rPr>
          <w:rFonts w:ascii="Times New Roman" w:hAnsi="Times New Roman" w:cs="Times New Roman"/>
        </w:rPr>
        <w:t xml:space="preserve"> </w:t>
      </w:r>
      <w:r w:rsidRPr="00C42610">
        <w:rPr>
          <w:rFonts w:ascii="Times New Roman" w:hAnsi="Times New Roman" w:cs="Times New Roman"/>
        </w:rPr>
        <w:t xml:space="preserve">defined that the initial time (0.5 h) after contact of the bran with a solution containing salts of heavy metals, is characterized by the greatest sorption of all metals at pH 8 (Fig.3c). In this case, the sorption capacity in the amount of deposited metal for lead </w:t>
      </w:r>
      <w:proofErr w:type="gramStart"/>
      <w:r w:rsidRPr="00C42610">
        <w:rPr>
          <w:rFonts w:ascii="Times New Roman" w:hAnsi="Times New Roman" w:cs="Times New Roman"/>
        </w:rPr>
        <w:t>is</w:t>
      </w:r>
      <w:r w:rsidR="00973928">
        <w:rPr>
          <w:rFonts w:ascii="Times New Roman" w:hAnsi="Times New Roman" w:cs="Times New Roman"/>
        </w:rPr>
        <w:t xml:space="preserve">  </w:t>
      </w:r>
      <w:r w:rsidRPr="00C42610">
        <w:rPr>
          <w:rFonts w:ascii="Times New Roman" w:hAnsi="Times New Roman" w:cs="Times New Roman"/>
        </w:rPr>
        <w:t>for</w:t>
      </w:r>
      <w:proofErr w:type="gramEnd"/>
      <w:r w:rsidRPr="00C42610">
        <w:rPr>
          <w:rFonts w:ascii="Times New Roman" w:hAnsi="Times New Roman" w:cs="Times New Roman"/>
        </w:rPr>
        <w:t xml:space="preserve"> the experiment, 100% of the total number was introduced into the solution, which is: 87.5; for cadmium 75.0 and for zinc 37.5%. In an acidic medium (pH 2), the sorption value at the beginning of the experiment corresponds to 62.5% for lead, and 40.0</w:t>
      </w:r>
      <w:proofErr w:type="gramStart"/>
      <w:r w:rsidRPr="00C42610">
        <w:rPr>
          <w:rFonts w:ascii="Times New Roman" w:hAnsi="Times New Roman" w:cs="Times New Roman"/>
        </w:rPr>
        <w:t>%</w:t>
      </w:r>
      <w:r w:rsidR="00973928">
        <w:rPr>
          <w:rFonts w:ascii="Times New Roman" w:hAnsi="Times New Roman" w:cs="Times New Roman"/>
        </w:rPr>
        <w:t xml:space="preserve">  </w:t>
      </w:r>
      <w:r w:rsidRPr="00C42610">
        <w:rPr>
          <w:rFonts w:ascii="Times New Roman" w:hAnsi="Times New Roman" w:cs="Times New Roman"/>
        </w:rPr>
        <w:t>for</w:t>
      </w:r>
      <w:proofErr w:type="gramEnd"/>
      <w:r w:rsidRPr="00C42610">
        <w:rPr>
          <w:rFonts w:ascii="Times New Roman" w:hAnsi="Times New Roman" w:cs="Times New Roman"/>
        </w:rPr>
        <w:t xml:space="preserve"> cadmium it remains zero (Fig. 3a). In a neutral environment, the initial binding values ​​of lead and cadmium ions are the same and amount to 75%, and zinc does not enter into cation-exchange processes at this moment and remains at zero value (Fig. 3b).</w:t>
      </w: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lastRenderedPageBreak/>
        <w:t>After three hours in an acidic environment, the process of lead sorption continues to 87.5% and cadmium to 40.0%. Wheat bran is indifferent to zinc.</w:t>
      </w:r>
    </w:p>
    <w:p w:rsidR="00C42610" w:rsidRDefault="00C42610" w:rsidP="00C42610">
      <w:pPr>
        <w:pStyle w:val="BodytextIndented"/>
        <w:rPr>
          <w:rFonts w:ascii="Times New Roman" w:hAnsi="Times New Roman" w:cs="Times New Roman"/>
        </w:rPr>
      </w:pPr>
      <w:r w:rsidRPr="00C42610">
        <w:rPr>
          <w:rFonts w:ascii="Times New Roman" w:hAnsi="Times New Roman" w:cs="Times New Roman"/>
        </w:rPr>
        <w:t>In a neutral environment, the sorption capacity for lead and cadmium</w:t>
      </w:r>
      <w:r w:rsidR="00973928">
        <w:rPr>
          <w:rFonts w:ascii="Times New Roman" w:hAnsi="Times New Roman" w:cs="Times New Roman"/>
        </w:rPr>
        <w:t xml:space="preserve"> </w:t>
      </w:r>
      <w:r w:rsidRPr="00C42610">
        <w:rPr>
          <w:rFonts w:ascii="Times New Roman" w:hAnsi="Times New Roman" w:cs="Times New Roman"/>
        </w:rPr>
        <w:t>increased to 100%, for zinc – to 75%. At pH 8 before the expiration of three hours, the sorption capacity of wheat bran is decreases for all three metals: for cadmium to 35%, for lead to 5%, for zinc to zero.</w:t>
      </w:r>
    </w:p>
    <w:p w:rsidR="00973928" w:rsidRPr="00C42610" w:rsidRDefault="00973928" w:rsidP="00973928">
      <w:pPr>
        <w:pStyle w:val="BodytextIndented"/>
        <w:rPr>
          <w:rFonts w:ascii="Times New Roman" w:hAnsi="Times New Roman" w:cs="Times New Roman"/>
        </w:rPr>
      </w:pPr>
    </w:p>
    <w:p w:rsidR="00C42610" w:rsidRPr="00973928" w:rsidRDefault="00C42610" w:rsidP="00973928">
      <w:pPr>
        <w:pStyle w:val="Reference"/>
        <w:numPr>
          <w:ilvl w:val="0"/>
          <w:numId w:val="0"/>
        </w:numPr>
        <w:rPr>
          <w:rFonts w:ascii="Times New Roman" w:hAnsi="Times New Roman" w:cs="Times New Roman"/>
          <w:lang w:val="en-US"/>
        </w:rPr>
      </w:pPr>
      <w:r>
        <w:rPr>
          <w:rFonts w:ascii="Arial" w:hAnsi="Arial" w:cs="Arial"/>
          <w:sz w:val="24"/>
          <w:szCs w:val="24"/>
          <w:lang w:val="ru-RU" w:eastAsia="ru-RU"/>
        </w:rPr>
        <w:drawing>
          <wp:inline distT="0" distB="0" distL="0" distR="0" wp14:anchorId="139FCFBE" wp14:editId="74F164BE">
            <wp:extent cx="5600700" cy="1885950"/>
            <wp:effectExtent l="0" t="0" r="0" b="0"/>
            <wp:docPr id="1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42610" w:rsidRPr="00973928" w:rsidRDefault="00C42610" w:rsidP="00973928">
      <w:pPr>
        <w:pStyle w:val="afb"/>
        <w:tabs>
          <w:tab w:val="left" w:pos="795"/>
        </w:tabs>
        <w:spacing w:line="480" w:lineRule="auto"/>
        <w:rPr>
          <w:rFonts w:ascii="Times New Roman" w:eastAsia="Times New Roman" w:hAnsi="Times New Roman" w:cs="Times New Roman"/>
          <w:noProof/>
          <w:bdr w:val="none" w:sz="0" w:space="0" w:color="auto"/>
          <w:lang w:eastAsia="en-US"/>
        </w:rPr>
      </w:pPr>
      <w:r w:rsidRPr="00973928">
        <w:rPr>
          <w:rFonts w:ascii="Times New Roman" w:eastAsia="Times New Roman" w:hAnsi="Times New Roman" w:cs="Times New Roman"/>
          <w:noProof/>
          <w:bdr w:val="none" w:sz="0" w:space="0" w:color="auto"/>
          <w:lang w:eastAsia="en-US"/>
        </w:rPr>
        <w:t>а) рН2</w:t>
      </w:r>
    </w:p>
    <w:p w:rsidR="00C42610" w:rsidRPr="00973928" w:rsidRDefault="00C42610" w:rsidP="00973928">
      <w:pPr>
        <w:pStyle w:val="Reference"/>
        <w:numPr>
          <w:ilvl w:val="0"/>
          <w:numId w:val="0"/>
        </w:numPr>
        <w:rPr>
          <w:rFonts w:ascii="Times New Roman" w:hAnsi="Times New Roman" w:cs="Times New Roman"/>
          <w:lang w:val="en-US"/>
        </w:rPr>
      </w:pPr>
      <w:r>
        <w:rPr>
          <w:rFonts w:ascii="Arial" w:hAnsi="Arial" w:cs="Arial"/>
          <w:sz w:val="24"/>
          <w:szCs w:val="24"/>
          <w:lang w:val="ru-RU" w:eastAsia="ru-RU"/>
        </w:rPr>
        <w:drawing>
          <wp:inline distT="0" distB="0" distL="0" distR="0" wp14:anchorId="6BB2BA1E" wp14:editId="429AFCB8">
            <wp:extent cx="5600700" cy="1971675"/>
            <wp:effectExtent l="0" t="0" r="0" b="0"/>
            <wp:docPr id="9"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42610" w:rsidRPr="00973928" w:rsidRDefault="00C42610" w:rsidP="00973928">
      <w:pPr>
        <w:pStyle w:val="BodytextIndented"/>
        <w:rPr>
          <w:rFonts w:ascii="Times New Roman" w:hAnsi="Times New Roman" w:cs="Times New Roman"/>
        </w:rPr>
      </w:pPr>
      <w:r w:rsidRPr="00973928">
        <w:rPr>
          <w:rFonts w:ascii="Times New Roman" w:hAnsi="Times New Roman" w:cs="Times New Roman"/>
          <w:noProof/>
        </w:rPr>
        <w:t>а) рН7</w:t>
      </w:r>
    </w:p>
    <w:p w:rsidR="00C42610" w:rsidRPr="00973928" w:rsidRDefault="00C42610" w:rsidP="00973928">
      <w:pPr>
        <w:pStyle w:val="BodytextIndented"/>
        <w:rPr>
          <w:rFonts w:ascii="Times New Roman" w:hAnsi="Times New Roman" w:cs="Times New Roman"/>
        </w:rPr>
      </w:pPr>
    </w:p>
    <w:p w:rsidR="00C42610" w:rsidRPr="00973928" w:rsidRDefault="00C42610" w:rsidP="00973928">
      <w:pPr>
        <w:pStyle w:val="Reference"/>
        <w:numPr>
          <w:ilvl w:val="0"/>
          <w:numId w:val="0"/>
        </w:numPr>
        <w:rPr>
          <w:rFonts w:ascii="Times New Roman" w:hAnsi="Times New Roman" w:cs="Times New Roman"/>
          <w:lang w:val="en-US"/>
        </w:rPr>
      </w:pPr>
      <w:r>
        <w:rPr>
          <w:rFonts w:ascii="Arial" w:hAnsi="Arial" w:cs="Arial"/>
          <w:sz w:val="24"/>
          <w:szCs w:val="24"/>
          <w:lang w:val="ru-RU" w:eastAsia="ru-RU"/>
        </w:rPr>
        <w:drawing>
          <wp:inline distT="0" distB="0" distL="0" distR="0" wp14:anchorId="49F8C18A" wp14:editId="6725B587">
            <wp:extent cx="5629275" cy="1962150"/>
            <wp:effectExtent l="0" t="0" r="0" b="0"/>
            <wp:docPr id="8" name="Диаграмма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42610" w:rsidRPr="00973928" w:rsidRDefault="00C42610" w:rsidP="00973928">
      <w:pPr>
        <w:pStyle w:val="Reference"/>
        <w:numPr>
          <w:ilvl w:val="0"/>
          <w:numId w:val="0"/>
        </w:numPr>
        <w:rPr>
          <w:rFonts w:ascii="Times New Roman" w:hAnsi="Times New Roman" w:cs="Times New Roman"/>
          <w:lang w:val="en-US"/>
        </w:rPr>
      </w:pPr>
      <w:r w:rsidRPr="00973928">
        <w:rPr>
          <w:rFonts w:ascii="Times New Roman" w:hAnsi="Times New Roman" w:cs="Times New Roman"/>
          <w:lang w:val="en-US"/>
        </w:rPr>
        <w:t>а) рН8</w:t>
      </w:r>
    </w:p>
    <w:p w:rsidR="00C42610" w:rsidRPr="00C42610" w:rsidRDefault="00C42610" w:rsidP="00973928">
      <w:pPr>
        <w:pStyle w:val="Reference"/>
        <w:numPr>
          <w:ilvl w:val="0"/>
          <w:numId w:val="0"/>
        </w:numPr>
        <w:rPr>
          <w:rFonts w:ascii="Times New Roman" w:hAnsi="Times New Roman" w:cs="Times New Roman"/>
          <w:lang w:val="en-US"/>
        </w:rPr>
      </w:pPr>
      <w:r w:rsidRPr="00C42610">
        <w:rPr>
          <w:rFonts w:ascii="Times New Roman" w:hAnsi="Times New Roman" w:cs="Times New Roman"/>
          <w:b/>
          <w:lang w:val="en-US"/>
        </w:rPr>
        <w:t>Figure 3.</w:t>
      </w:r>
      <w:r w:rsidRPr="00C42610">
        <w:rPr>
          <w:rFonts w:ascii="Times New Roman" w:hAnsi="Times New Roman" w:cs="Times New Roman"/>
          <w:lang w:val="en-US"/>
        </w:rPr>
        <w:t>Sorption capacity of wheat bran depending on the pH of the medium</w:t>
      </w:r>
    </w:p>
    <w:p w:rsidR="00C42610" w:rsidRPr="00C42610" w:rsidRDefault="00C42610" w:rsidP="00973928">
      <w:pPr>
        <w:pStyle w:val="BodytextIndented"/>
        <w:rPr>
          <w:rFonts w:ascii="Times New Roman" w:hAnsi="Times New Roman" w:cs="Times New Roman"/>
        </w:rPr>
      </w:pPr>
      <w:r w:rsidRPr="00973928">
        <w:rPr>
          <w:rFonts w:ascii="Times New Roman" w:hAnsi="Times New Roman" w:cs="Times New Roman"/>
        </w:rPr>
        <w:t>Preliminary data during the experiment when conducting the experiment on the binding of copper, iron and zinc ions</w:t>
      </w:r>
      <w:r w:rsidRPr="00C42610">
        <w:rPr>
          <w:rFonts w:ascii="Times New Roman" w:hAnsi="Times New Roman" w:cs="Times New Roman"/>
        </w:rPr>
        <w:t xml:space="preserve"> by six types of dietary fiber, including wheat bran. It was defined that with a parallel effect on dietary fibers of solutions with different values of pH, the main amount of metals is bound at </w:t>
      </w:r>
      <w:r w:rsidRPr="00C42610">
        <w:rPr>
          <w:rFonts w:ascii="Times New Roman" w:hAnsi="Times New Roman" w:cs="Times New Roman"/>
        </w:rPr>
        <w:lastRenderedPageBreak/>
        <w:t>pH 6.8</w:t>
      </w:r>
      <w:r w:rsidR="00132B25">
        <w:rPr>
          <w:rFonts w:ascii="Times New Roman" w:hAnsi="Times New Roman" w:cs="Times New Roman"/>
        </w:rPr>
        <w:t>. [</w:t>
      </w:r>
      <w:r w:rsidR="002E6478" w:rsidRPr="009C5378">
        <w:rPr>
          <w:rFonts w:ascii="Times New Roman" w:hAnsi="Times New Roman" w:cs="Times New Roman"/>
        </w:rPr>
        <w:t>10</w:t>
      </w:r>
      <w:r w:rsidR="00132B25">
        <w:rPr>
          <w:rFonts w:ascii="Times New Roman" w:hAnsi="Times New Roman" w:cs="Times New Roman"/>
        </w:rPr>
        <w:t>]</w:t>
      </w:r>
      <w:r w:rsidRPr="00C42610">
        <w:rPr>
          <w:rFonts w:ascii="Times New Roman" w:hAnsi="Times New Roman" w:cs="Times New Roman"/>
        </w:rPr>
        <w:t>.</w:t>
      </w:r>
      <w:r w:rsidR="00973928">
        <w:rPr>
          <w:rFonts w:ascii="Times New Roman" w:hAnsi="Times New Roman" w:cs="Times New Roman"/>
        </w:rPr>
        <w:t xml:space="preserve"> </w:t>
      </w:r>
      <w:r w:rsidRPr="00C42610">
        <w:rPr>
          <w:rFonts w:ascii="Times New Roman" w:hAnsi="Times New Roman" w:cs="Times New Roman"/>
        </w:rPr>
        <w:t>Sequential treatment of the fibers with a solution of hydrochloric acid and phosphate buffer does not lead to significant changes in the sorption capacity compared to dietary fibers, which were only affected by a solution with a pH of 6.8. Based on these data, it was concluded that these metals do not</w:t>
      </w:r>
      <w:r w:rsidR="00973928">
        <w:rPr>
          <w:rFonts w:ascii="Times New Roman" w:hAnsi="Times New Roman" w:cs="Times New Roman"/>
        </w:rPr>
        <w:t xml:space="preserve"> </w:t>
      </w:r>
      <w:r w:rsidRPr="00C42610">
        <w:rPr>
          <w:rFonts w:ascii="Times New Roman" w:hAnsi="Times New Roman" w:cs="Times New Roman"/>
        </w:rPr>
        <w:t>demonstrate active sorption properties at low pH values.</w:t>
      </w: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We assumed that the metals will be bound by wheat bran already in a neutral medium and the successive effects of the acidic and alkaline medium will are not</w:t>
      </w:r>
      <w:r w:rsidR="00973928">
        <w:rPr>
          <w:rFonts w:ascii="Times New Roman" w:hAnsi="Times New Roman" w:cs="Times New Roman"/>
        </w:rPr>
        <w:t xml:space="preserve"> </w:t>
      </w:r>
      <w:r w:rsidRPr="00C42610">
        <w:rPr>
          <w:rFonts w:ascii="Times New Roman" w:hAnsi="Times New Roman" w:cs="Times New Roman"/>
        </w:rPr>
        <w:t>able to destroy the complex formed. To</w:t>
      </w:r>
      <w:r w:rsidR="00973928">
        <w:rPr>
          <w:rFonts w:ascii="Times New Roman" w:hAnsi="Times New Roman" w:cs="Times New Roman"/>
        </w:rPr>
        <w:t xml:space="preserve"> </w:t>
      </w:r>
      <w:r w:rsidRPr="00C42610">
        <w:rPr>
          <w:rFonts w:ascii="Times New Roman" w:hAnsi="Times New Roman" w:cs="Times New Roman"/>
        </w:rPr>
        <w:t>check this assumption, the series of experiments were carried out on sequential processing of model protein mass with the inclusion of 4% wheat bran with a solution of hydrochloric acid and phosphate buffer to simulate the environment of the gastrointestinal tract.</w:t>
      </w:r>
    </w:p>
    <w:p w:rsidR="00C42610" w:rsidRPr="00C42610" w:rsidRDefault="00C42610" w:rsidP="00C42610">
      <w:pPr>
        <w:pStyle w:val="BodytextIndented"/>
        <w:rPr>
          <w:rFonts w:ascii="Times New Roman" w:hAnsi="Times New Roman" w:cs="Times New Roman"/>
        </w:rPr>
      </w:pPr>
      <w:r w:rsidRPr="00C42610">
        <w:rPr>
          <w:rFonts w:ascii="Times New Roman" w:hAnsi="Times New Roman" w:cs="Times New Roman"/>
        </w:rPr>
        <w:t>Protein mass with bran and pepsin were added to the working solution (lead and zinc concentration - 40 µg/ml, cadmium - 20 µg/ml) and the pH was adjusted to 2.6 by hydrochloric acid, then it was incubated for two hours at 37 °C. After that, the sample was neutralized by sodium bicarbonate and the pH was adjusted to 8 by phosphate buffer, and trypsin was added. The incubation took place for 2 hours at the same temperature. Samples were taken at pH values of 2.6 and pH 8.0 after incub</w:t>
      </w:r>
      <w:r w:rsidR="00973928">
        <w:rPr>
          <w:rFonts w:ascii="Times New Roman" w:hAnsi="Times New Roman" w:cs="Times New Roman"/>
        </w:rPr>
        <w:t xml:space="preserve">ation Samples were taken at pH </w:t>
      </w:r>
      <w:r w:rsidRPr="00C42610">
        <w:rPr>
          <w:rFonts w:ascii="Times New Roman" w:hAnsi="Times New Roman" w:cs="Times New Roman"/>
        </w:rPr>
        <w:t>of 2.6 and 8.0 after incubation. Similarly, a blank was prepared</w:t>
      </w:r>
      <w:r w:rsidR="00973928">
        <w:rPr>
          <w:rFonts w:ascii="Times New Roman" w:hAnsi="Times New Roman" w:cs="Times New Roman"/>
        </w:rPr>
        <w:t xml:space="preserve"> </w:t>
      </w:r>
      <w:r w:rsidRPr="00C42610">
        <w:rPr>
          <w:rFonts w:ascii="Times New Roman" w:hAnsi="Times New Roman" w:cs="Times New Roman"/>
        </w:rPr>
        <w:t>under distilled water</w:t>
      </w:r>
      <w:r w:rsidR="00973928">
        <w:rPr>
          <w:rFonts w:ascii="Times New Roman" w:hAnsi="Times New Roman" w:cs="Times New Roman"/>
        </w:rPr>
        <w:t xml:space="preserve"> </w:t>
      </w:r>
      <w:r w:rsidRPr="00C42610">
        <w:rPr>
          <w:rFonts w:ascii="Times New Roman" w:hAnsi="Times New Roman" w:cs="Times New Roman"/>
        </w:rPr>
        <w:t>used instead of the working metal solution. At the end of the temperature control process, the solutions were filtered and the amounts of metals were determined on an atomic absorption spectrometer. Knowing the</w:t>
      </w:r>
      <w:r w:rsidR="00973928">
        <w:rPr>
          <w:rFonts w:ascii="Times New Roman" w:hAnsi="Times New Roman" w:cs="Times New Roman"/>
        </w:rPr>
        <w:t xml:space="preserve"> </w:t>
      </w:r>
      <w:r w:rsidRPr="00C42610">
        <w:rPr>
          <w:rFonts w:ascii="Times New Roman" w:hAnsi="Times New Roman" w:cs="Times New Roman"/>
        </w:rPr>
        <w:t>amount of metals in the standard solution, the filtrate and the blank sample, the degree of extraction of metals was determined (Fig. 4).</w:t>
      </w:r>
    </w:p>
    <w:p w:rsidR="00C42610" w:rsidRPr="00C42610" w:rsidRDefault="00C42610" w:rsidP="00C42610">
      <w:pPr>
        <w:pStyle w:val="BodytextIndented"/>
        <w:rPr>
          <w:rFonts w:ascii="Times New Roman" w:hAnsi="Times New Roman" w:cs="Times New Roman"/>
        </w:rPr>
      </w:pPr>
    </w:p>
    <w:p w:rsidR="00973928" w:rsidRDefault="00C42610" w:rsidP="00973928">
      <w:pPr>
        <w:pStyle w:val="afb"/>
        <w:spacing w:line="480" w:lineRule="auto"/>
        <w:jc w:val="center"/>
        <w:rPr>
          <w:rFonts w:ascii="Times New Roman" w:hAnsi="Times New Roman" w:cs="Times New Roman"/>
          <w:b/>
        </w:rPr>
      </w:pPr>
      <w:r w:rsidRPr="00973928">
        <w:rPr>
          <w:rFonts w:ascii="Times New Roman" w:hAnsi="Times New Roman" w:cs="Times New Roman"/>
          <w:noProof/>
          <w:sz w:val="24"/>
          <w:szCs w:val="24"/>
          <w:lang w:val="ru-RU"/>
        </w:rPr>
        <w:drawing>
          <wp:inline distT="0" distB="0" distL="0" distR="0" wp14:anchorId="01FD2B67" wp14:editId="6876B8AD">
            <wp:extent cx="5076825" cy="3019425"/>
            <wp:effectExtent l="0" t="0" r="0" b="0"/>
            <wp:docPr id="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42610" w:rsidRPr="00C42610" w:rsidRDefault="00C42610" w:rsidP="00973928">
      <w:pPr>
        <w:pStyle w:val="BodytextIndented"/>
        <w:rPr>
          <w:rFonts w:ascii="Times New Roman" w:hAnsi="Times New Roman" w:cs="Times New Roman"/>
        </w:rPr>
      </w:pPr>
      <w:r w:rsidRPr="00C42610">
        <w:rPr>
          <w:rFonts w:ascii="Times New Roman" w:hAnsi="Times New Roman" w:cs="Times New Roman"/>
          <w:b/>
        </w:rPr>
        <w:t xml:space="preserve">Figure 4. </w:t>
      </w:r>
      <w:r w:rsidRPr="00C42610">
        <w:rPr>
          <w:rFonts w:ascii="Times New Roman" w:hAnsi="Times New Roman" w:cs="Times New Roman"/>
        </w:rPr>
        <w:t>Sorption capacity of bran under conditions that imitate human gastrointestinal tract</w:t>
      </w:r>
    </w:p>
    <w:p w:rsidR="00C42610" w:rsidRPr="00C42610" w:rsidRDefault="00C42610" w:rsidP="00973928">
      <w:pPr>
        <w:pStyle w:val="BodytextIndented"/>
        <w:rPr>
          <w:rFonts w:ascii="Times New Roman" w:hAnsi="Times New Roman" w:cs="Times New Roman"/>
        </w:rPr>
      </w:pPr>
    </w:p>
    <w:p w:rsidR="00C42610" w:rsidRPr="00C42610" w:rsidRDefault="00C42610" w:rsidP="00973928">
      <w:pPr>
        <w:pStyle w:val="BodytextIndented"/>
        <w:rPr>
          <w:rFonts w:ascii="Times New Roman" w:hAnsi="Times New Roman" w:cs="Times New Roman"/>
        </w:rPr>
      </w:pPr>
      <w:r w:rsidRPr="00C42610">
        <w:rPr>
          <w:rFonts w:ascii="Times New Roman" w:hAnsi="Times New Roman" w:cs="Times New Roman"/>
        </w:rPr>
        <w:t>From the obtained results, it follows that the sorption capacity of bran under conditions that mimic the human gastrointestinal tract increases in the series: lead / zinc / cadmium. Lead sorption occurs particularly effectively - 96.5</w:t>
      </w:r>
      <w:r>
        <w:rPr>
          <w:rFonts w:ascii="Times New Roman" w:hAnsi="Times New Roman" w:cs="Times New Roman"/>
        </w:rPr>
        <w:t xml:space="preserve"> </w:t>
      </w:r>
      <w:r w:rsidRPr="00C42610">
        <w:rPr>
          <w:rFonts w:ascii="Times New Roman" w:hAnsi="Times New Roman" w:cs="Times New Roman"/>
        </w:rPr>
        <w:t>% of the amount of metal deposited, slightly less than cadmium - 73.2% and zinc - 62.3</w:t>
      </w:r>
      <w:r>
        <w:rPr>
          <w:rFonts w:ascii="Times New Roman" w:hAnsi="Times New Roman" w:cs="Times New Roman"/>
        </w:rPr>
        <w:t xml:space="preserve"> </w:t>
      </w:r>
      <w:r w:rsidRPr="00C42610">
        <w:rPr>
          <w:rFonts w:ascii="Times New Roman" w:hAnsi="Times New Roman" w:cs="Times New Roman"/>
        </w:rPr>
        <w:t>%. Then the studied metals had the highest values of sorption in a neutral environment: lead and cadmium up to 100</w:t>
      </w:r>
      <w:r>
        <w:rPr>
          <w:rFonts w:ascii="Times New Roman" w:hAnsi="Times New Roman" w:cs="Times New Roman"/>
        </w:rPr>
        <w:t xml:space="preserve"> </w:t>
      </w:r>
      <w:r w:rsidRPr="00C42610">
        <w:rPr>
          <w:rFonts w:ascii="Times New Roman" w:hAnsi="Times New Roman" w:cs="Times New Roman"/>
        </w:rPr>
        <w:t xml:space="preserve">%, zinc </w:t>
      </w:r>
      <w:r>
        <w:rPr>
          <w:rFonts w:ascii="Times New Roman" w:hAnsi="Times New Roman" w:cs="Times New Roman"/>
        </w:rPr>
        <w:t>–</w:t>
      </w:r>
      <w:r w:rsidRPr="00C42610">
        <w:rPr>
          <w:rFonts w:ascii="Times New Roman" w:hAnsi="Times New Roman" w:cs="Times New Roman"/>
        </w:rPr>
        <w:t xml:space="preserve"> 75</w:t>
      </w:r>
      <w:r>
        <w:rPr>
          <w:rFonts w:ascii="Times New Roman" w:hAnsi="Times New Roman" w:cs="Times New Roman"/>
        </w:rPr>
        <w:t xml:space="preserve"> </w:t>
      </w:r>
      <w:r w:rsidRPr="00C42610">
        <w:rPr>
          <w:rFonts w:ascii="Times New Roman" w:hAnsi="Times New Roman" w:cs="Times New Roman"/>
        </w:rPr>
        <w:t>%. Comparing this conclusion with the results of the experiment conducted under conditions simulating the gastrointestinal tract, we can say that the values are somewhat decreased, but the overall. The trend of the process confirms the assumption that the use of wheat bran in food will promote the binding and removal of metals such as zinc, cadmium and lead from the body.</w:t>
      </w:r>
    </w:p>
    <w:p w:rsidR="007777EC" w:rsidRPr="003A55E6" w:rsidRDefault="007777EC" w:rsidP="00973928">
      <w:pPr>
        <w:pStyle w:val="Section"/>
        <w:spacing w:before="0"/>
        <w:ind w:left="0"/>
        <w:rPr>
          <w:rFonts w:ascii="Times New Roman" w:hAnsi="Times New Roman" w:cs="Times New Roman"/>
          <w:lang w:eastAsia="ru-RU"/>
        </w:rPr>
      </w:pPr>
      <w:r w:rsidRPr="003A55E6">
        <w:rPr>
          <w:rFonts w:ascii="Times New Roman" w:hAnsi="Times New Roman" w:cs="Times New Roman"/>
          <w:lang w:eastAsia="ru-RU"/>
        </w:rPr>
        <w:lastRenderedPageBreak/>
        <w:t>Conclusion</w:t>
      </w:r>
    </w:p>
    <w:p w:rsidR="004F7A28" w:rsidRPr="00DF75CB" w:rsidRDefault="004F7A28" w:rsidP="00973928">
      <w:pPr>
        <w:pStyle w:val="BodytextIndented"/>
        <w:rPr>
          <w:rFonts w:ascii="Times New Roman" w:hAnsi="Times New Roman" w:cs="Times New Roman"/>
        </w:rPr>
      </w:pPr>
      <w:r w:rsidRPr="004F7A28">
        <w:rPr>
          <w:rFonts w:ascii="Times New Roman" w:hAnsi="Times New Roman" w:cs="Times New Roman"/>
        </w:rPr>
        <w:t>Wheat bran provides an opportunity to regulate the technological properties, safety and overall nutritional value of protein systems based on fish muscle tissue. Their addition contributes to the formation of the desired structural and mechanical characteristics, while there is no need for additional grinding and separation of bran into fractions. The activity of the own enzymes of the protein systems, when adding wheat bran at the recommended doses, decreases slightly, which is not a disadvantage. Their ability to absorb heavy metals will allow them to design new types of finished products that meet the requirements for organic healthy nutrition.</w:t>
      </w:r>
    </w:p>
    <w:p w:rsidR="007777EC" w:rsidRPr="003A55E6" w:rsidRDefault="007777EC" w:rsidP="00370012">
      <w:pPr>
        <w:pStyle w:val="Sectionnonumber"/>
        <w:rPr>
          <w:rFonts w:ascii="Times New Roman" w:hAnsi="Times New Roman" w:cs="Times New Roman"/>
        </w:rPr>
      </w:pPr>
      <w:r w:rsidRPr="003A55E6">
        <w:rPr>
          <w:rFonts w:ascii="Times New Roman" w:hAnsi="Times New Roman" w:cs="Times New Roman"/>
        </w:rPr>
        <w:t>References</w:t>
      </w:r>
    </w:p>
    <w:p w:rsidR="00092530" w:rsidRPr="00092530" w:rsidRDefault="00092530" w:rsidP="00263D98">
      <w:pPr>
        <w:pStyle w:val="Reference"/>
        <w:rPr>
          <w:rFonts w:ascii="Times New Roman" w:hAnsi="Times New Roman" w:cs="Times New Roman"/>
          <w:lang w:val="en-US"/>
        </w:rPr>
      </w:pPr>
      <w:r w:rsidRPr="00092530">
        <w:rPr>
          <w:rFonts w:ascii="Times New Roman" w:hAnsi="Times New Roman" w:cs="Times New Roman"/>
          <w:lang w:val="en-US"/>
        </w:rPr>
        <w:t xml:space="preserve">Guillon </w:t>
      </w:r>
      <w:r>
        <w:rPr>
          <w:rFonts w:ascii="Times New Roman" w:hAnsi="Times New Roman" w:cs="Times New Roman"/>
          <w:lang w:val="en-US"/>
        </w:rPr>
        <w:t>F</w:t>
      </w:r>
      <w:r w:rsidRPr="00092530">
        <w:rPr>
          <w:rFonts w:ascii="Times New Roman" w:hAnsi="Times New Roman" w:cs="Times New Roman"/>
          <w:lang w:val="en-US"/>
        </w:rPr>
        <w:t xml:space="preserve">, Champ </w:t>
      </w:r>
      <w:r>
        <w:rPr>
          <w:rFonts w:ascii="Times New Roman" w:hAnsi="Times New Roman" w:cs="Times New Roman"/>
          <w:lang w:val="en-US"/>
        </w:rPr>
        <w:t xml:space="preserve">M 2000 </w:t>
      </w:r>
      <w:r w:rsidRPr="007A3146">
        <w:rPr>
          <w:rFonts w:ascii="Times New Roman" w:hAnsi="Times New Roman" w:cs="Times New Roman"/>
          <w:i/>
          <w:iCs/>
          <w:lang w:val="en-US"/>
        </w:rPr>
        <w:t>Food Research International</w:t>
      </w:r>
      <w:r w:rsidR="0054552B">
        <w:rPr>
          <w:i/>
          <w:iCs/>
          <w:sz w:val="20"/>
          <w:szCs w:val="20"/>
        </w:rPr>
        <w:t xml:space="preserve"> </w:t>
      </w:r>
      <w:r w:rsidR="0054552B" w:rsidRPr="0054552B">
        <w:rPr>
          <w:rFonts w:ascii="Times New Roman" w:hAnsi="Times New Roman" w:cs="Times New Roman"/>
          <w:b/>
          <w:bCs/>
          <w:lang w:val="en-US"/>
        </w:rPr>
        <w:t>33 (3-4)</w:t>
      </w:r>
      <w:r w:rsidR="0054552B">
        <w:rPr>
          <w:i/>
          <w:iCs/>
          <w:sz w:val="20"/>
          <w:szCs w:val="20"/>
        </w:rPr>
        <w:t xml:space="preserve"> </w:t>
      </w:r>
      <w:r w:rsidR="0054552B" w:rsidRPr="0054552B">
        <w:rPr>
          <w:rFonts w:ascii="Times New Roman" w:hAnsi="Times New Roman" w:cs="Times New Roman"/>
          <w:lang w:val="en-US"/>
        </w:rPr>
        <w:t>233-245</w:t>
      </w:r>
    </w:p>
    <w:p w:rsidR="0054552B" w:rsidRDefault="0054552B" w:rsidP="00263D98">
      <w:pPr>
        <w:pStyle w:val="Reference"/>
        <w:rPr>
          <w:rFonts w:ascii="Times New Roman" w:hAnsi="Times New Roman" w:cs="Times New Roman"/>
          <w:lang w:val="en-US"/>
        </w:rPr>
      </w:pPr>
      <w:r w:rsidRPr="00092530">
        <w:rPr>
          <w:sz w:val="20"/>
          <w:szCs w:val="20"/>
        </w:rPr>
        <w:t>Zhang</w:t>
      </w:r>
      <w:r w:rsidRPr="0054552B">
        <w:rPr>
          <w:sz w:val="20"/>
          <w:szCs w:val="20"/>
        </w:rPr>
        <w:t xml:space="preserve"> </w:t>
      </w:r>
      <w:r w:rsidRPr="00092530">
        <w:rPr>
          <w:sz w:val="20"/>
          <w:szCs w:val="20"/>
        </w:rPr>
        <w:t>N, Huang</w:t>
      </w:r>
      <w:r w:rsidRPr="0054552B">
        <w:rPr>
          <w:sz w:val="20"/>
          <w:szCs w:val="20"/>
        </w:rPr>
        <w:t xml:space="preserve"> </w:t>
      </w:r>
      <w:r>
        <w:rPr>
          <w:sz w:val="20"/>
          <w:szCs w:val="20"/>
        </w:rPr>
        <w:t xml:space="preserve">C </w:t>
      </w:r>
      <w:r>
        <w:rPr>
          <w:sz w:val="20"/>
          <w:szCs w:val="20"/>
          <w:lang w:val="en-US"/>
        </w:rPr>
        <w:t xml:space="preserve">and </w:t>
      </w:r>
      <w:r w:rsidRPr="00092530">
        <w:rPr>
          <w:sz w:val="20"/>
          <w:szCs w:val="20"/>
        </w:rPr>
        <w:t xml:space="preserve"> Ou</w:t>
      </w:r>
      <w:r w:rsidRPr="0054552B">
        <w:rPr>
          <w:sz w:val="20"/>
          <w:szCs w:val="20"/>
        </w:rPr>
        <w:t xml:space="preserve"> </w:t>
      </w:r>
      <w:r>
        <w:rPr>
          <w:sz w:val="20"/>
          <w:szCs w:val="20"/>
        </w:rPr>
        <w:t xml:space="preserve">S 2011 </w:t>
      </w:r>
      <w:r w:rsidRPr="007A3146">
        <w:rPr>
          <w:rFonts w:ascii="Times New Roman" w:hAnsi="Times New Roman" w:cs="Times New Roman"/>
          <w:i/>
          <w:iCs/>
          <w:lang w:val="en-US"/>
        </w:rPr>
        <w:t>Journal of Hazardous Materials</w:t>
      </w:r>
      <w:r>
        <w:rPr>
          <w:i/>
          <w:iCs/>
          <w:sz w:val="20"/>
          <w:szCs w:val="20"/>
        </w:rPr>
        <w:t xml:space="preserve"> </w:t>
      </w:r>
      <w:r w:rsidRPr="0054552B">
        <w:rPr>
          <w:rFonts w:ascii="Times New Roman" w:hAnsi="Times New Roman" w:cs="Times New Roman"/>
          <w:b/>
          <w:bCs/>
          <w:lang w:val="en-US"/>
        </w:rPr>
        <w:t>186 (1)</w:t>
      </w:r>
      <w:r>
        <w:rPr>
          <w:i/>
          <w:iCs/>
          <w:sz w:val="20"/>
          <w:szCs w:val="20"/>
        </w:rPr>
        <w:t xml:space="preserve"> </w:t>
      </w:r>
      <w:r w:rsidRPr="0054552B">
        <w:rPr>
          <w:rFonts w:ascii="Times New Roman" w:hAnsi="Times New Roman" w:cs="Times New Roman"/>
          <w:lang w:val="en-US"/>
        </w:rPr>
        <w:t>236-239</w:t>
      </w:r>
    </w:p>
    <w:p w:rsidR="0054552B" w:rsidRDefault="0054552B" w:rsidP="00263D98">
      <w:pPr>
        <w:pStyle w:val="Reference"/>
        <w:rPr>
          <w:rFonts w:ascii="Times New Roman" w:hAnsi="Times New Roman" w:cs="Times New Roman"/>
          <w:lang w:val="en-US"/>
        </w:rPr>
      </w:pPr>
      <w:r w:rsidRPr="00092530">
        <w:rPr>
          <w:sz w:val="20"/>
          <w:szCs w:val="20"/>
        </w:rPr>
        <w:t>Lin</w:t>
      </w:r>
      <w:r w:rsidRPr="0054552B">
        <w:rPr>
          <w:sz w:val="20"/>
          <w:szCs w:val="20"/>
        </w:rPr>
        <w:t xml:space="preserve"> </w:t>
      </w:r>
      <w:r>
        <w:rPr>
          <w:sz w:val="20"/>
          <w:szCs w:val="20"/>
        </w:rPr>
        <w:t>Y</w:t>
      </w:r>
      <w:r w:rsidRPr="00092530">
        <w:rPr>
          <w:sz w:val="20"/>
          <w:szCs w:val="20"/>
        </w:rPr>
        <w:t>, Chen</w:t>
      </w:r>
      <w:r w:rsidRPr="0054552B">
        <w:rPr>
          <w:sz w:val="20"/>
          <w:szCs w:val="20"/>
        </w:rPr>
        <w:t xml:space="preserve"> </w:t>
      </w:r>
      <w:r w:rsidRPr="00092530">
        <w:rPr>
          <w:sz w:val="20"/>
          <w:szCs w:val="20"/>
        </w:rPr>
        <w:t>K,</w:t>
      </w:r>
      <w:r>
        <w:rPr>
          <w:sz w:val="20"/>
          <w:szCs w:val="20"/>
        </w:rPr>
        <w:t xml:space="preserve"> </w:t>
      </w:r>
      <w:r w:rsidRPr="00092530">
        <w:rPr>
          <w:sz w:val="20"/>
          <w:szCs w:val="20"/>
        </w:rPr>
        <w:t>Tu</w:t>
      </w:r>
      <w:r w:rsidRPr="0054552B">
        <w:rPr>
          <w:sz w:val="20"/>
          <w:szCs w:val="20"/>
        </w:rPr>
        <w:t xml:space="preserve"> </w:t>
      </w:r>
      <w:r w:rsidRPr="00092530">
        <w:rPr>
          <w:sz w:val="20"/>
          <w:szCs w:val="20"/>
        </w:rPr>
        <w:t>D, Yu</w:t>
      </w:r>
      <w:r w:rsidRPr="0054552B">
        <w:rPr>
          <w:sz w:val="20"/>
          <w:szCs w:val="20"/>
        </w:rPr>
        <w:t xml:space="preserve"> </w:t>
      </w:r>
      <w:r>
        <w:rPr>
          <w:sz w:val="20"/>
          <w:szCs w:val="20"/>
        </w:rPr>
        <w:t>X</w:t>
      </w:r>
      <w:r w:rsidRPr="00092530">
        <w:rPr>
          <w:sz w:val="20"/>
          <w:szCs w:val="20"/>
        </w:rPr>
        <w:t>, Dai</w:t>
      </w:r>
      <w:r w:rsidRPr="0054552B">
        <w:rPr>
          <w:sz w:val="20"/>
          <w:szCs w:val="20"/>
        </w:rPr>
        <w:t xml:space="preserve"> </w:t>
      </w:r>
      <w:r w:rsidRPr="00092530">
        <w:rPr>
          <w:sz w:val="20"/>
          <w:szCs w:val="20"/>
        </w:rPr>
        <w:t>Z</w:t>
      </w:r>
      <w:r>
        <w:rPr>
          <w:sz w:val="20"/>
          <w:szCs w:val="20"/>
        </w:rPr>
        <w:t xml:space="preserve"> and </w:t>
      </w:r>
      <w:r w:rsidRPr="00092530">
        <w:rPr>
          <w:sz w:val="20"/>
          <w:szCs w:val="20"/>
        </w:rPr>
        <w:t>Shen</w:t>
      </w:r>
      <w:r w:rsidRPr="0054552B">
        <w:rPr>
          <w:sz w:val="20"/>
          <w:szCs w:val="20"/>
        </w:rPr>
        <w:t xml:space="preserve"> </w:t>
      </w:r>
      <w:r>
        <w:rPr>
          <w:sz w:val="20"/>
          <w:szCs w:val="20"/>
        </w:rPr>
        <w:t xml:space="preserve">Q 2019 </w:t>
      </w:r>
      <w:r w:rsidRPr="007A3146">
        <w:rPr>
          <w:rFonts w:ascii="Times New Roman" w:hAnsi="Times New Roman" w:cs="Times New Roman"/>
          <w:i/>
          <w:iCs/>
          <w:lang w:val="en-US"/>
        </w:rPr>
        <w:t>LWT – Food Science and Technology</w:t>
      </w:r>
      <w:r>
        <w:rPr>
          <w:i/>
          <w:iCs/>
          <w:sz w:val="20"/>
          <w:szCs w:val="20"/>
        </w:rPr>
        <w:t xml:space="preserve"> </w:t>
      </w:r>
      <w:r w:rsidRPr="0054552B">
        <w:rPr>
          <w:rFonts w:ascii="Times New Roman" w:hAnsi="Times New Roman" w:cs="Times New Roman"/>
          <w:b/>
          <w:bCs/>
          <w:lang w:val="en-US"/>
        </w:rPr>
        <w:t>102</w:t>
      </w:r>
      <w:r>
        <w:rPr>
          <w:rFonts w:ascii="Times New Roman" w:hAnsi="Times New Roman" w:cs="Times New Roman"/>
          <w:b/>
          <w:bCs/>
          <w:lang w:val="en-US"/>
        </w:rPr>
        <w:t xml:space="preserve"> </w:t>
      </w:r>
      <w:r w:rsidRPr="0054552B">
        <w:rPr>
          <w:rFonts w:ascii="Times New Roman" w:hAnsi="Times New Roman" w:cs="Times New Roman"/>
          <w:lang w:val="en-US"/>
        </w:rPr>
        <w:t>106-112</w:t>
      </w:r>
    </w:p>
    <w:p w:rsidR="0054552B" w:rsidRDefault="0054552B" w:rsidP="00263D98">
      <w:pPr>
        <w:pStyle w:val="Reference"/>
        <w:rPr>
          <w:rFonts w:ascii="Times New Roman" w:hAnsi="Times New Roman" w:cs="Times New Roman"/>
          <w:lang w:val="en-US"/>
        </w:rPr>
      </w:pPr>
      <w:r>
        <w:rPr>
          <w:rFonts w:ascii="Times New Roman" w:hAnsi="Times New Roman" w:cs="Times New Roman"/>
          <w:lang w:val="en-US"/>
        </w:rPr>
        <w:t xml:space="preserve">Curro D, Iano G, Pecere S, Bibbo S and Cammarota G 2017 </w:t>
      </w:r>
      <w:r w:rsidRPr="007A3146">
        <w:rPr>
          <w:rFonts w:ascii="Times New Roman" w:hAnsi="Times New Roman" w:cs="Times New Roman"/>
          <w:i/>
          <w:iCs/>
          <w:lang w:val="en-US"/>
        </w:rPr>
        <w:t>British Journal of Pharmacology</w:t>
      </w:r>
      <w:r>
        <w:rPr>
          <w:i/>
          <w:iCs/>
          <w:sz w:val="20"/>
          <w:szCs w:val="20"/>
        </w:rPr>
        <w:t xml:space="preserve"> </w:t>
      </w:r>
      <w:r w:rsidRPr="0054552B">
        <w:rPr>
          <w:rFonts w:ascii="Times New Roman" w:hAnsi="Times New Roman" w:cs="Times New Roman"/>
          <w:b/>
          <w:bCs/>
          <w:lang w:val="en-US"/>
        </w:rPr>
        <w:t xml:space="preserve">174 (11) </w:t>
      </w:r>
      <w:r w:rsidRPr="0054552B">
        <w:rPr>
          <w:rFonts w:ascii="Times New Roman" w:hAnsi="Times New Roman" w:cs="Times New Roman"/>
          <w:lang w:val="en-US"/>
        </w:rPr>
        <w:t>1426-1449</w:t>
      </w:r>
    </w:p>
    <w:p w:rsidR="0054552B" w:rsidRDefault="007A3146" w:rsidP="00263D98">
      <w:pPr>
        <w:pStyle w:val="Reference"/>
        <w:rPr>
          <w:rFonts w:ascii="Times New Roman" w:hAnsi="Times New Roman" w:cs="Times New Roman"/>
          <w:lang w:val="en-US"/>
        </w:rPr>
      </w:pPr>
      <w:r>
        <w:rPr>
          <w:rFonts w:ascii="Times New Roman" w:hAnsi="Times New Roman" w:cs="Times New Roman"/>
          <w:lang w:val="en-US"/>
        </w:rPr>
        <w:t xml:space="preserve">Loury O H  1951 </w:t>
      </w:r>
      <w:r w:rsidRPr="007A3146">
        <w:rPr>
          <w:rFonts w:ascii="Times New Roman" w:hAnsi="Times New Roman" w:cs="Times New Roman"/>
          <w:i/>
          <w:iCs/>
          <w:lang w:val="en-US"/>
        </w:rPr>
        <w:t>J. Biol. Chem.</w:t>
      </w:r>
      <w:r>
        <w:rPr>
          <w:i/>
          <w:iCs/>
          <w:sz w:val="20"/>
          <w:szCs w:val="20"/>
        </w:rPr>
        <w:t xml:space="preserve"> </w:t>
      </w:r>
      <w:r w:rsidRPr="007A3146">
        <w:rPr>
          <w:rFonts w:ascii="Times New Roman" w:hAnsi="Times New Roman" w:cs="Times New Roman"/>
          <w:b/>
          <w:bCs/>
          <w:lang w:val="en-US"/>
        </w:rPr>
        <w:t>193 (1)</w:t>
      </w:r>
      <w:r>
        <w:rPr>
          <w:i/>
          <w:iCs/>
          <w:sz w:val="20"/>
          <w:szCs w:val="20"/>
        </w:rPr>
        <w:t xml:space="preserve"> </w:t>
      </w:r>
      <w:r w:rsidRPr="007A3146">
        <w:rPr>
          <w:rFonts w:ascii="Times New Roman" w:hAnsi="Times New Roman" w:cs="Times New Roman"/>
          <w:lang w:val="en-US"/>
        </w:rPr>
        <w:t>265-275</w:t>
      </w:r>
    </w:p>
    <w:p w:rsidR="007A3146" w:rsidRDefault="007A3146" w:rsidP="00263D98">
      <w:pPr>
        <w:pStyle w:val="Reference"/>
        <w:rPr>
          <w:rFonts w:ascii="Times New Roman" w:hAnsi="Times New Roman" w:cs="Times New Roman"/>
          <w:lang w:val="en-US"/>
        </w:rPr>
      </w:pPr>
      <w:r w:rsidRPr="007A3146">
        <w:rPr>
          <w:rFonts w:ascii="Times New Roman" w:hAnsi="Times New Roman" w:cs="Times New Roman"/>
          <w:lang w:val="en-US"/>
        </w:rPr>
        <w:t xml:space="preserve">Bligh E L, Dyer W J 1959 </w:t>
      </w:r>
      <w:r w:rsidRPr="007A3146">
        <w:rPr>
          <w:rFonts w:ascii="Times New Roman" w:hAnsi="Times New Roman" w:cs="Times New Roman"/>
          <w:i/>
          <w:iCs/>
          <w:lang w:val="en-US"/>
        </w:rPr>
        <w:t>Can. J. Biochem. Physiol</w:t>
      </w:r>
      <w:r w:rsidRPr="007A3146">
        <w:rPr>
          <w:rFonts w:ascii="Times New Roman" w:hAnsi="Times New Roman" w:cs="Times New Roman"/>
          <w:lang w:val="en-US"/>
        </w:rPr>
        <w:t xml:space="preserve">. </w:t>
      </w:r>
      <w:r w:rsidRPr="007A3146">
        <w:rPr>
          <w:rFonts w:ascii="Times New Roman" w:hAnsi="Times New Roman" w:cs="Times New Roman"/>
          <w:b/>
          <w:bCs/>
          <w:lang w:val="en-US"/>
        </w:rPr>
        <w:t>37 (8)</w:t>
      </w:r>
      <w:r w:rsidRPr="007A3146">
        <w:rPr>
          <w:rFonts w:ascii="Times New Roman" w:hAnsi="Times New Roman" w:cs="Times New Roman"/>
          <w:lang w:val="en-US"/>
        </w:rPr>
        <w:t xml:space="preserve"> 203-207</w:t>
      </w:r>
    </w:p>
    <w:p w:rsidR="007A3146" w:rsidRPr="002E6478" w:rsidRDefault="007A3146" w:rsidP="00263D98">
      <w:pPr>
        <w:pStyle w:val="Reference"/>
        <w:rPr>
          <w:rFonts w:ascii="Times New Roman" w:hAnsi="Times New Roman" w:cs="Times New Roman"/>
          <w:lang w:val="en-US"/>
        </w:rPr>
      </w:pPr>
      <w:r>
        <w:rPr>
          <w:rFonts w:ascii="Times New Roman" w:hAnsi="Times New Roman" w:cs="Times New Roman"/>
          <w:lang w:val="en-US"/>
        </w:rPr>
        <w:t xml:space="preserve">Kaverzneva E D 1971 </w:t>
      </w:r>
      <w:r w:rsidRPr="007A3146">
        <w:rPr>
          <w:rFonts w:ascii="Times New Roman" w:hAnsi="Times New Roman" w:cs="Times New Roman"/>
          <w:i/>
          <w:iCs/>
          <w:lang w:val="en-US"/>
        </w:rPr>
        <w:t>Applied biochemistry and Microbiology</w:t>
      </w:r>
      <w:r>
        <w:rPr>
          <w:rFonts w:ascii="Times New Roman" w:hAnsi="Times New Roman" w:cs="Times New Roman"/>
          <w:lang w:val="en-US"/>
        </w:rPr>
        <w:t xml:space="preserve"> </w:t>
      </w:r>
      <w:r w:rsidRPr="007A3146">
        <w:rPr>
          <w:rFonts w:ascii="Times New Roman" w:hAnsi="Times New Roman" w:cs="Times New Roman"/>
          <w:b/>
          <w:bCs/>
          <w:lang w:val="en-US"/>
        </w:rPr>
        <w:t>7 (2)</w:t>
      </w:r>
      <w:r w:rsidRPr="007A3146">
        <w:rPr>
          <w:rFonts w:ascii="Times New Roman" w:hAnsi="Times New Roman" w:cs="Times New Roman"/>
          <w:lang w:val="en-US"/>
        </w:rPr>
        <w:t xml:space="preserve"> 225-228</w:t>
      </w:r>
    </w:p>
    <w:p w:rsidR="002E6478" w:rsidRDefault="002E6478" w:rsidP="00263D98">
      <w:pPr>
        <w:pStyle w:val="Reference"/>
        <w:rPr>
          <w:rFonts w:ascii="Times New Roman" w:hAnsi="Times New Roman" w:cs="Times New Roman"/>
          <w:lang w:val="en-US"/>
        </w:rPr>
      </w:pPr>
      <w:r>
        <w:rPr>
          <w:rFonts w:ascii="Times New Roman" w:hAnsi="Times New Roman"/>
          <w:lang w:val="en-US"/>
        </w:rPr>
        <w:t>Sabirov A</w:t>
      </w:r>
      <w:r w:rsidRPr="002E6478">
        <w:rPr>
          <w:rFonts w:ascii="Times New Roman" w:hAnsi="Times New Roman"/>
          <w:lang w:val="en-US"/>
        </w:rPr>
        <w:t xml:space="preserve"> </w:t>
      </w:r>
      <w:r>
        <w:rPr>
          <w:rFonts w:ascii="Times New Roman" w:hAnsi="Times New Roman"/>
          <w:lang w:val="en-US"/>
        </w:rPr>
        <w:t>A</w:t>
      </w:r>
      <w:r w:rsidRPr="005E76E9">
        <w:rPr>
          <w:rFonts w:ascii="Times New Roman" w:hAnsi="Times New Roman"/>
          <w:lang w:val="en-US"/>
        </w:rPr>
        <w:t xml:space="preserve">, Barakova </w:t>
      </w:r>
      <w:r>
        <w:rPr>
          <w:rFonts w:ascii="Times New Roman" w:hAnsi="Times New Roman"/>
          <w:lang w:val="en-US"/>
        </w:rPr>
        <w:t>N</w:t>
      </w:r>
      <w:r w:rsidRPr="002E6478">
        <w:rPr>
          <w:rFonts w:ascii="Times New Roman" w:hAnsi="Times New Roman"/>
          <w:lang w:val="en-US"/>
        </w:rPr>
        <w:t xml:space="preserve"> </w:t>
      </w:r>
      <w:r>
        <w:rPr>
          <w:rFonts w:ascii="Times New Roman" w:hAnsi="Times New Roman"/>
          <w:lang w:val="en-US"/>
        </w:rPr>
        <w:t>V</w:t>
      </w:r>
      <w:r w:rsidRPr="002E6478">
        <w:rPr>
          <w:rFonts w:ascii="Times New Roman" w:hAnsi="Times New Roman"/>
          <w:lang w:val="en-US"/>
        </w:rPr>
        <w:t xml:space="preserve"> </w:t>
      </w:r>
      <w:r>
        <w:rPr>
          <w:rFonts w:ascii="Times New Roman" w:hAnsi="Times New Roman"/>
          <w:lang w:val="en-US"/>
        </w:rPr>
        <w:t xml:space="preserve">and Samodelkin E A 2019 </w:t>
      </w:r>
      <w:r w:rsidRPr="0080290B">
        <w:rPr>
          <w:rFonts w:ascii="Times New Roman" w:hAnsi="Times New Roman" w:cs="Times New Roman"/>
          <w:i/>
          <w:iCs/>
          <w:lang w:val="en-US"/>
        </w:rPr>
        <w:t>Proceedings of the Voronezh State University of Engineering Technologies</w:t>
      </w:r>
      <w:r w:rsidRPr="0080290B">
        <w:rPr>
          <w:rFonts w:ascii="Times New Roman" w:hAnsi="Times New Roman" w:cs="Times New Roman"/>
          <w:lang w:val="en-US"/>
        </w:rPr>
        <w:t xml:space="preserve"> </w:t>
      </w:r>
      <w:r w:rsidRPr="0080290B">
        <w:rPr>
          <w:rFonts w:ascii="Times New Roman" w:hAnsi="Times New Roman" w:cs="Times New Roman"/>
          <w:b/>
          <w:bCs/>
          <w:lang w:val="en-US"/>
        </w:rPr>
        <w:t>81(1)</w:t>
      </w:r>
      <w:r>
        <w:rPr>
          <w:rFonts w:ascii="Times New Roman" w:hAnsi="Times New Roman" w:cs="Times New Roman"/>
          <w:b/>
          <w:bCs/>
          <w:lang w:val="en-US"/>
        </w:rPr>
        <w:t xml:space="preserve"> </w:t>
      </w:r>
      <w:r>
        <w:rPr>
          <w:rFonts w:ascii="Times New Roman" w:hAnsi="Times New Roman" w:cs="Times New Roman"/>
          <w:bCs/>
          <w:lang w:val="en-US"/>
        </w:rPr>
        <w:t>99-104</w:t>
      </w:r>
    </w:p>
    <w:p w:rsidR="0080290B" w:rsidRDefault="0080290B" w:rsidP="00263D98">
      <w:pPr>
        <w:pStyle w:val="Reference"/>
        <w:rPr>
          <w:rFonts w:ascii="Times New Roman" w:hAnsi="Times New Roman" w:cs="Times New Roman"/>
          <w:lang w:val="en-US"/>
        </w:rPr>
      </w:pPr>
      <w:r w:rsidRPr="0080290B">
        <w:rPr>
          <w:rFonts w:ascii="Times New Roman" w:hAnsi="Times New Roman" w:cs="Times New Roman"/>
          <w:lang w:val="en-US"/>
        </w:rPr>
        <w:t>Antipova L V, Popova Y A</w:t>
      </w:r>
      <w:r w:rsidR="002E6478">
        <w:rPr>
          <w:rFonts w:ascii="Times New Roman" w:hAnsi="Times New Roman" w:cs="Times New Roman"/>
          <w:lang w:val="en-US"/>
        </w:rPr>
        <w:t xml:space="preserve"> and </w:t>
      </w:r>
      <w:r w:rsidRPr="0080290B">
        <w:rPr>
          <w:rFonts w:ascii="Times New Roman" w:hAnsi="Times New Roman" w:cs="Times New Roman"/>
          <w:lang w:val="en-US"/>
        </w:rPr>
        <w:t xml:space="preserve">Cherkasova A V 2019 </w:t>
      </w:r>
      <w:r w:rsidRPr="0080290B">
        <w:rPr>
          <w:rFonts w:ascii="Times New Roman" w:hAnsi="Times New Roman" w:cs="Times New Roman"/>
          <w:i/>
          <w:iCs/>
          <w:lang w:val="en-US"/>
        </w:rPr>
        <w:t>Proceedings of the Voronezh State University of Engineering Technologies</w:t>
      </w:r>
      <w:r w:rsidRPr="0080290B">
        <w:rPr>
          <w:rFonts w:ascii="Times New Roman" w:hAnsi="Times New Roman" w:cs="Times New Roman"/>
          <w:lang w:val="en-US"/>
        </w:rPr>
        <w:t xml:space="preserve"> </w:t>
      </w:r>
      <w:r w:rsidRPr="0080290B">
        <w:rPr>
          <w:rFonts w:ascii="Times New Roman" w:hAnsi="Times New Roman" w:cs="Times New Roman"/>
          <w:b/>
          <w:bCs/>
          <w:lang w:val="en-US"/>
        </w:rPr>
        <w:t>81(1)</w:t>
      </w:r>
      <w:r w:rsidRPr="0080290B">
        <w:rPr>
          <w:rFonts w:ascii="Times New Roman" w:hAnsi="Times New Roman" w:cs="Times New Roman"/>
          <w:lang w:val="en-US"/>
        </w:rPr>
        <w:t xml:space="preserve"> 225-231</w:t>
      </w:r>
    </w:p>
    <w:p w:rsidR="007A3146" w:rsidRDefault="00132B25" w:rsidP="00263D98">
      <w:pPr>
        <w:pStyle w:val="Reference"/>
        <w:rPr>
          <w:rFonts w:ascii="Times New Roman" w:hAnsi="Times New Roman" w:cs="Times New Roman"/>
          <w:lang w:val="en-US"/>
        </w:rPr>
      </w:pPr>
      <w:r w:rsidRPr="00132B25">
        <w:rPr>
          <w:rFonts w:ascii="Times New Roman" w:hAnsi="Times New Roman" w:cs="Times New Roman"/>
          <w:lang w:val="en-US"/>
        </w:rPr>
        <w:t xml:space="preserve">Thompson S, Weber C 1979 </w:t>
      </w:r>
      <w:r w:rsidRPr="00132B25">
        <w:rPr>
          <w:rFonts w:ascii="Times New Roman" w:hAnsi="Times New Roman" w:cs="Times New Roman"/>
          <w:i/>
          <w:iCs/>
          <w:lang w:val="en-US"/>
        </w:rPr>
        <w:t>J. Food Sci</w:t>
      </w:r>
      <w:r w:rsidRPr="00132B25">
        <w:rPr>
          <w:rFonts w:ascii="Times New Roman" w:hAnsi="Times New Roman" w:cs="Times New Roman"/>
          <w:lang w:val="en-US"/>
        </w:rPr>
        <w:t xml:space="preserve">. </w:t>
      </w:r>
      <w:r w:rsidRPr="00132B25">
        <w:rPr>
          <w:rFonts w:ascii="Times New Roman" w:hAnsi="Times New Roman" w:cs="Times New Roman"/>
          <w:b/>
          <w:bCs/>
          <w:lang w:val="en-US"/>
        </w:rPr>
        <w:t>4</w:t>
      </w:r>
      <w:r w:rsidRPr="00132B25">
        <w:rPr>
          <w:rFonts w:ascii="Times New Roman" w:hAnsi="Times New Roman" w:cs="Times New Roman"/>
          <w:lang w:val="en-US"/>
        </w:rPr>
        <w:t> 752-754</w:t>
      </w:r>
    </w:p>
    <w:sectPr w:rsidR="007A3146" w:rsidSect="00421582">
      <w:headerReference w:type="default" r:id="rId13"/>
      <w:footnotePr>
        <w:pos w:val="beneathText"/>
      </w:footnotePr>
      <w:endnotePr>
        <w:numFmt w:val="chicago"/>
        <w:numStart w:val="4"/>
      </w:endnotePr>
      <w:pgSz w:w="11907" w:h="16840" w:code="9"/>
      <w:pgMar w:top="2268" w:right="1418" w:bottom="1531" w:left="1418"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CDC" w:rsidRDefault="00DC6CDC">
      <w:r>
        <w:separator/>
      </w:r>
    </w:p>
  </w:endnote>
  <w:endnote w:type="continuationSeparator" w:id="0">
    <w:p w:rsidR="00DC6CDC" w:rsidRDefault="00DC6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Times">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Sabon">
    <w:altName w:val="Arial"/>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CDC" w:rsidRPr="00043761" w:rsidRDefault="00DC6CDC">
      <w:pPr>
        <w:pStyle w:val="Bulleted"/>
        <w:numPr>
          <w:ilvl w:val="0"/>
          <w:numId w:val="0"/>
        </w:numPr>
        <w:rPr>
          <w:rFonts w:ascii="Sabon" w:hAnsi="Sabon" w:cs="Sabon"/>
          <w:color w:val="auto"/>
        </w:rPr>
      </w:pPr>
      <w:r>
        <w:separator/>
      </w:r>
    </w:p>
  </w:footnote>
  <w:footnote w:type="continuationSeparator" w:id="0">
    <w:p w:rsidR="00DC6CDC" w:rsidRDefault="00DC6C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7EC" w:rsidRDefault="007777EC"/>
  <w:p w:rsidR="007777EC" w:rsidRDefault="007777EC"/>
  <w:p w:rsidR="007777EC" w:rsidRDefault="007777EC"/>
  <w:p w:rsidR="007777EC" w:rsidRDefault="007777EC"/>
  <w:p w:rsidR="007777EC" w:rsidRDefault="007777EC"/>
  <w:p w:rsidR="007777EC" w:rsidRDefault="007777E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C6A"/>
    <w:multiLevelType w:val="multilevel"/>
    <w:tmpl w:val="6D6C5F2E"/>
    <w:lvl w:ilvl="0">
      <w:start w:val="1"/>
      <w:numFmt w:val="decimal"/>
      <w:pStyle w:val="Section"/>
      <w:suff w:val="nothing"/>
      <w:lvlText w:val="%1.  "/>
      <w:lvlJc w:val="left"/>
      <w:pPr>
        <w:ind w:left="3545"/>
      </w:pPr>
      <w:rPr>
        <w:rFonts w:hint="default"/>
      </w:rPr>
    </w:lvl>
    <w:lvl w:ilvl="1">
      <w:start w:val="1"/>
      <w:numFmt w:val="decimal"/>
      <w:pStyle w:val="Subsection"/>
      <w:suff w:val="nothing"/>
      <w:lvlText w:val="%1.%2.  "/>
      <w:lvlJc w:val="left"/>
      <w:rPr>
        <w:rFonts w:hint="default"/>
      </w:rPr>
    </w:lvl>
    <w:lvl w:ilvl="2">
      <w:start w:val="1"/>
      <w:numFmt w:val="decimal"/>
      <w:pStyle w:val="Subsubsection"/>
      <w:suff w:val="nothing"/>
      <w:lvlText w:val="%1.%2.%3.  "/>
      <w:lvlJc w:val="left"/>
      <w:pPr>
        <w:ind w:firstLine="142"/>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7B85171"/>
    <w:multiLevelType w:val="hybridMultilevel"/>
    <w:tmpl w:val="F8E87F92"/>
    <w:lvl w:ilvl="0" w:tplc="6F50F20E">
      <w:start w:val="1"/>
      <w:numFmt w:val="bullet"/>
      <w:pStyle w:val="Bulleted"/>
      <w:lvlText w:val=""/>
      <w:lvlJc w:val="left"/>
      <w:pPr>
        <w:tabs>
          <w:tab w:val="num" w:pos="720"/>
        </w:tabs>
        <w:ind w:left="720" w:hanging="360"/>
      </w:pPr>
      <w:rPr>
        <w:rFonts w:ascii="Symbol" w:hAnsi="Symbol" w:cs="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3A877D64"/>
    <w:multiLevelType w:val="singleLevel"/>
    <w:tmpl w:val="D6CE2A74"/>
    <w:lvl w:ilvl="0">
      <w:start w:val="1"/>
      <w:numFmt w:val="decimal"/>
      <w:pStyle w:val="References"/>
      <w:lvlText w:val="%1."/>
      <w:lvlJc w:val="left"/>
      <w:pPr>
        <w:tabs>
          <w:tab w:val="num" w:pos="360"/>
        </w:tabs>
        <w:ind w:left="360" w:hanging="360"/>
      </w:pPr>
      <w:rPr>
        <w:rFonts w:ascii="Times New Roman" w:eastAsia="PMingLiU" w:hAnsi="Times New Roman" w:cs="Times New Roman"/>
      </w:rPr>
    </w:lvl>
  </w:abstractNum>
  <w:abstractNum w:abstractNumId="3" w15:restartNumberingAfterBreak="0">
    <w:nsid w:val="5D9556E6"/>
    <w:multiLevelType w:val="hybridMultilevel"/>
    <w:tmpl w:val="8C54D8DC"/>
    <w:lvl w:ilvl="0" w:tplc="F7F88E22">
      <w:start w:val="1"/>
      <w:numFmt w:val="decimal"/>
      <w:pStyle w:val="Reference"/>
      <w:lvlText w:val="[%1]"/>
      <w:lvlJc w:val="left"/>
      <w:pPr>
        <w:tabs>
          <w:tab w:val="num" w:pos="0"/>
        </w:tabs>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3FF09B4"/>
    <w:multiLevelType w:val="multilevel"/>
    <w:tmpl w:val="4A40E702"/>
    <w:lvl w:ilvl="0">
      <w:start w:val="1"/>
      <w:numFmt w:val="decimal"/>
      <w:pStyle w:val="section0"/>
      <w:suff w:val="space"/>
      <w:lvlText w:val="%1."/>
      <w:lvlJc w:val="left"/>
      <w:rPr>
        <w:rFonts w:hint="default"/>
      </w:rPr>
    </w:lvl>
    <w:lvl w:ilvl="1">
      <w:start w:val="1"/>
      <w:numFmt w:val="decimal"/>
      <w:pStyle w:val="subsection0"/>
      <w:suff w:val="space"/>
      <w:lvlText w:val="%1.%2."/>
      <w:lvlJc w:val="left"/>
      <w:rPr>
        <w:rFonts w:hint="default"/>
      </w:rPr>
    </w:lvl>
    <w:lvl w:ilvl="2">
      <w:start w:val="1"/>
      <w:numFmt w:val="decimal"/>
      <w:pStyle w:val="subsubsection0"/>
      <w:suff w:val="space"/>
      <w:lvlText w:val="%1.%2.%3."/>
      <w:lvlJc w:val="left"/>
      <w:pPr>
        <w:ind w:left="993" w:hanging="851"/>
      </w:pPr>
      <w:rPr>
        <w:rFonts w:hint="default"/>
        <w:i/>
        <w:iCs/>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7FCE5D00"/>
    <w:multiLevelType w:val="multilevel"/>
    <w:tmpl w:val="04090023"/>
    <w:lvl w:ilvl="0">
      <w:start w:val="1"/>
      <w:numFmt w:val="upperRoman"/>
      <w:pStyle w:val="1"/>
      <w:lvlText w:val="Article %1."/>
      <w:lvlJc w:val="left"/>
      <w:pPr>
        <w:tabs>
          <w:tab w:val="num" w:pos="1440"/>
        </w:tabs>
      </w:pPr>
    </w:lvl>
    <w:lvl w:ilvl="1">
      <w:start w:val="1"/>
      <w:numFmt w:val="decimalZero"/>
      <w:pStyle w:val="2"/>
      <w:isLgl/>
      <w:lvlText w:val="Section %1.%2"/>
      <w:lvlJc w:val="left"/>
      <w:pPr>
        <w:tabs>
          <w:tab w:val="num" w:pos="108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num w:numId="1">
    <w:abstractNumId w:val="5"/>
  </w:num>
  <w:num w:numId="2">
    <w:abstractNumId w:val="1"/>
  </w:num>
  <w:num w:numId="3">
    <w:abstractNumId w:val="0"/>
  </w:num>
  <w:num w:numId="4">
    <w:abstractNumId w:val="3"/>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851"/>
  <w:displayHorizontalDrawingGridEvery w:val="0"/>
  <w:displayVerticalDrawingGridEvery w:val="0"/>
  <w:doNotUseMarginsForDrawingGridOrigin/>
  <w:characterSpacingControl w:val="doNotCompress"/>
  <w:doNotValidateAgainstSchema/>
  <w:doNotDemarcateInvalidXml/>
  <w:footnotePr>
    <w:pos w:val="beneathText"/>
    <w:footnote w:id="-1"/>
    <w:footnote w:id="0"/>
  </w:footnotePr>
  <w:endnotePr>
    <w:numFmt w:val="chicago"/>
    <w:numStart w:val="4"/>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388"/>
    <w:rsid w:val="00000963"/>
    <w:rsid w:val="00002E1D"/>
    <w:rsid w:val="0000306B"/>
    <w:rsid w:val="00017A31"/>
    <w:rsid w:val="000309FA"/>
    <w:rsid w:val="00043761"/>
    <w:rsid w:val="00050DF1"/>
    <w:rsid w:val="00051F78"/>
    <w:rsid w:val="000604D3"/>
    <w:rsid w:val="00062F39"/>
    <w:rsid w:val="0006587A"/>
    <w:rsid w:val="00065AE1"/>
    <w:rsid w:val="00071CA9"/>
    <w:rsid w:val="00082F58"/>
    <w:rsid w:val="00083CD5"/>
    <w:rsid w:val="00092530"/>
    <w:rsid w:val="00094C14"/>
    <w:rsid w:val="000A5559"/>
    <w:rsid w:val="000A7699"/>
    <w:rsid w:val="000B71B8"/>
    <w:rsid w:val="000E5452"/>
    <w:rsid w:val="0010416D"/>
    <w:rsid w:val="00107BF0"/>
    <w:rsid w:val="0011295C"/>
    <w:rsid w:val="0011306C"/>
    <w:rsid w:val="00125735"/>
    <w:rsid w:val="00126AD9"/>
    <w:rsid w:val="00132B25"/>
    <w:rsid w:val="001447E1"/>
    <w:rsid w:val="00170695"/>
    <w:rsid w:val="001735FE"/>
    <w:rsid w:val="00176516"/>
    <w:rsid w:val="0018382E"/>
    <w:rsid w:val="001B2794"/>
    <w:rsid w:val="001D030F"/>
    <w:rsid w:val="001D395C"/>
    <w:rsid w:val="001D7C93"/>
    <w:rsid w:val="001F21B3"/>
    <w:rsid w:val="001F4DF1"/>
    <w:rsid w:val="001F574C"/>
    <w:rsid w:val="00213E90"/>
    <w:rsid w:val="00224001"/>
    <w:rsid w:val="0022672F"/>
    <w:rsid w:val="00236CD0"/>
    <w:rsid w:val="002509A1"/>
    <w:rsid w:val="002554EC"/>
    <w:rsid w:val="00262869"/>
    <w:rsid w:val="00263D98"/>
    <w:rsid w:val="00266792"/>
    <w:rsid w:val="00277E81"/>
    <w:rsid w:val="00287B8D"/>
    <w:rsid w:val="00290B80"/>
    <w:rsid w:val="002924C6"/>
    <w:rsid w:val="00296C5A"/>
    <w:rsid w:val="002A0AE8"/>
    <w:rsid w:val="002A5001"/>
    <w:rsid w:val="002C5388"/>
    <w:rsid w:val="002D35ED"/>
    <w:rsid w:val="002E4467"/>
    <w:rsid w:val="002E466D"/>
    <w:rsid w:val="002E5FE9"/>
    <w:rsid w:val="002E6478"/>
    <w:rsid w:val="002F0AF2"/>
    <w:rsid w:val="00303FA7"/>
    <w:rsid w:val="00303FCC"/>
    <w:rsid w:val="00304813"/>
    <w:rsid w:val="00320296"/>
    <w:rsid w:val="00332BB7"/>
    <w:rsid w:val="003358B5"/>
    <w:rsid w:val="00346D2E"/>
    <w:rsid w:val="003576E8"/>
    <w:rsid w:val="00370012"/>
    <w:rsid w:val="00385629"/>
    <w:rsid w:val="0039333D"/>
    <w:rsid w:val="003A3C8D"/>
    <w:rsid w:val="003A55E6"/>
    <w:rsid w:val="003B1AD8"/>
    <w:rsid w:val="003C081F"/>
    <w:rsid w:val="003C1AA4"/>
    <w:rsid w:val="003D4073"/>
    <w:rsid w:val="003D676B"/>
    <w:rsid w:val="003E6FAF"/>
    <w:rsid w:val="003E7288"/>
    <w:rsid w:val="0040575A"/>
    <w:rsid w:val="00413768"/>
    <w:rsid w:val="00421582"/>
    <w:rsid w:val="0042286B"/>
    <w:rsid w:val="0042390C"/>
    <w:rsid w:val="004278E4"/>
    <w:rsid w:val="0043030C"/>
    <w:rsid w:val="00431A41"/>
    <w:rsid w:val="00437699"/>
    <w:rsid w:val="00440942"/>
    <w:rsid w:val="004432B6"/>
    <w:rsid w:val="00455E2E"/>
    <w:rsid w:val="00461C19"/>
    <w:rsid w:val="00465861"/>
    <w:rsid w:val="00494B0C"/>
    <w:rsid w:val="004A2DDE"/>
    <w:rsid w:val="004B084A"/>
    <w:rsid w:val="004B2505"/>
    <w:rsid w:val="004C4148"/>
    <w:rsid w:val="004C6FC7"/>
    <w:rsid w:val="004E4010"/>
    <w:rsid w:val="004F0670"/>
    <w:rsid w:val="004F5528"/>
    <w:rsid w:val="004F5D30"/>
    <w:rsid w:val="004F7A28"/>
    <w:rsid w:val="005046F2"/>
    <w:rsid w:val="00522B36"/>
    <w:rsid w:val="00525CB5"/>
    <w:rsid w:val="00530CA1"/>
    <w:rsid w:val="00534DCC"/>
    <w:rsid w:val="00542631"/>
    <w:rsid w:val="0054437C"/>
    <w:rsid w:val="0054552B"/>
    <w:rsid w:val="005458AC"/>
    <w:rsid w:val="00545C08"/>
    <w:rsid w:val="00574791"/>
    <w:rsid w:val="0057776D"/>
    <w:rsid w:val="00583897"/>
    <w:rsid w:val="005863CC"/>
    <w:rsid w:val="005A0AEA"/>
    <w:rsid w:val="005A2BC3"/>
    <w:rsid w:val="005A6A20"/>
    <w:rsid w:val="005C4706"/>
    <w:rsid w:val="005E3928"/>
    <w:rsid w:val="005E3CE0"/>
    <w:rsid w:val="006046F4"/>
    <w:rsid w:val="006128A7"/>
    <w:rsid w:val="006137A8"/>
    <w:rsid w:val="006365AA"/>
    <w:rsid w:val="00637BC1"/>
    <w:rsid w:val="00642CA9"/>
    <w:rsid w:val="0065357C"/>
    <w:rsid w:val="00664341"/>
    <w:rsid w:val="006711D3"/>
    <w:rsid w:val="00682AFA"/>
    <w:rsid w:val="00692F12"/>
    <w:rsid w:val="0069782A"/>
    <w:rsid w:val="006A0193"/>
    <w:rsid w:val="006B3642"/>
    <w:rsid w:val="006B3E36"/>
    <w:rsid w:val="006C129A"/>
    <w:rsid w:val="006C2ED9"/>
    <w:rsid w:val="006E1591"/>
    <w:rsid w:val="006F1602"/>
    <w:rsid w:val="00711975"/>
    <w:rsid w:val="007341F9"/>
    <w:rsid w:val="00747A08"/>
    <w:rsid w:val="00766106"/>
    <w:rsid w:val="0077387F"/>
    <w:rsid w:val="007777EC"/>
    <w:rsid w:val="00783BF0"/>
    <w:rsid w:val="007A3146"/>
    <w:rsid w:val="007B2088"/>
    <w:rsid w:val="007B614F"/>
    <w:rsid w:val="007C2B62"/>
    <w:rsid w:val="007C38DA"/>
    <w:rsid w:val="007C54AB"/>
    <w:rsid w:val="007D36A1"/>
    <w:rsid w:val="007D7797"/>
    <w:rsid w:val="007E63EE"/>
    <w:rsid w:val="007F0849"/>
    <w:rsid w:val="007F27E3"/>
    <w:rsid w:val="0080290B"/>
    <w:rsid w:val="008109EB"/>
    <w:rsid w:val="00813F8E"/>
    <w:rsid w:val="00814810"/>
    <w:rsid w:val="0083520C"/>
    <w:rsid w:val="00840F57"/>
    <w:rsid w:val="00855D0B"/>
    <w:rsid w:val="00873DE8"/>
    <w:rsid w:val="008763A1"/>
    <w:rsid w:val="00883632"/>
    <w:rsid w:val="008A0758"/>
    <w:rsid w:val="008A1B02"/>
    <w:rsid w:val="008A43B2"/>
    <w:rsid w:val="008A5CD3"/>
    <w:rsid w:val="008A6F6A"/>
    <w:rsid w:val="008C2821"/>
    <w:rsid w:val="008C5704"/>
    <w:rsid w:val="008E7B72"/>
    <w:rsid w:val="008F1797"/>
    <w:rsid w:val="008F4A05"/>
    <w:rsid w:val="00903FF2"/>
    <w:rsid w:val="0090628C"/>
    <w:rsid w:val="009068AD"/>
    <w:rsid w:val="009151F4"/>
    <w:rsid w:val="00917844"/>
    <w:rsid w:val="00922E00"/>
    <w:rsid w:val="00923021"/>
    <w:rsid w:val="009268AD"/>
    <w:rsid w:val="00927FDC"/>
    <w:rsid w:val="00931BC1"/>
    <w:rsid w:val="00951F5F"/>
    <w:rsid w:val="00956CF7"/>
    <w:rsid w:val="00960B36"/>
    <w:rsid w:val="00973928"/>
    <w:rsid w:val="009774F7"/>
    <w:rsid w:val="009831AB"/>
    <w:rsid w:val="00983B3A"/>
    <w:rsid w:val="00992176"/>
    <w:rsid w:val="00997B41"/>
    <w:rsid w:val="009A220B"/>
    <w:rsid w:val="009A28D3"/>
    <w:rsid w:val="009A6F72"/>
    <w:rsid w:val="009B3E09"/>
    <w:rsid w:val="009B4566"/>
    <w:rsid w:val="009C5378"/>
    <w:rsid w:val="009C7C7F"/>
    <w:rsid w:val="009F7E3A"/>
    <w:rsid w:val="00A00B26"/>
    <w:rsid w:val="00A00B35"/>
    <w:rsid w:val="00A04E1F"/>
    <w:rsid w:val="00A062AA"/>
    <w:rsid w:val="00A23E30"/>
    <w:rsid w:val="00A30833"/>
    <w:rsid w:val="00A30CEE"/>
    <w:rsid w:val="00A405EC"/>
    <w:rsid w:val="00A5615E"/>
    <w:rsid w:val="00A5670B"/>
    <w:rsid w:val="00A5728E"/>
    <w:rsid w:val="00A573C3"/>
    <w:rsid w:val="00A62FA7"/>
    <w:rsid w:val="00A630D7"/>
    <w:rsid w:val="00A63EBF"/>
    <w:rsid w:val="00A65772"/>
    <w:rsid w:val="00A7305C"/>
    <w:rsid w:val="00A83FDB"/>
    <w:rsid w:val="00A9316E"/>
    <w:rsid w:val="00AA21FD"/>
    <w:rsid w:val="00AA31FB"/>
    <w:rsid w:val="00AA35A5"/>
    <w:rsid w:val="00AA4D3A"/>
    <w:rsid w:val="00AB4AFA"/>
    <w:rsid w:val="00AF29B9"/>
    <w:rsid w:val="00B021CD"/>
    <w:rsid w:val="00B1237D"/>
    <w:rsid w:val="00B20011"/>
    <w:rsid w:val="00B3116D"/>
    <w:rsid w:val="00B47D88"/>
    <w:rsid w:val="00B56428"/>
    <w:rsid w:val="00B7347E"/>
    <w:rsid w:val="00B90830"/>
    <w:rsid w:val="00B972B8"/>
    <w:rsid w:val="00BA1873"/>
    <w:rsid w:val="00BB4E53"/>
    <w:rsid w:val="00BD25F3"/>
    <w:rsid w:val="00BE30B5"/>
    <w:rsid w:val="00BF7951"/>
    <w:rsid w:val="00C06DC0"/>
    <w:rsid w:val="00C21468"/>
    <w:rsid w:val="00C215FD"/>
    <w:rsid w:val="00C23849"/>
    <w:rsid w:val="00C325EF"/>
    <w:rsid w:val="00C364D4"/>
    <w:rsid w:val="00C42610"/>
    <w:rsid w:val="00C767EE"/>
    <w:rsid w:val="00C77FB5"/>
    <w:rsid w:val="00C81445"/>
    <w:rsid w:val="00C87093"/>
    <w:rsid w:val="00C9011B"/>
    <w:rsid w:val="00C95E9A"/>
    <w:rsid w:val="00CA22D6"/>
    <w:rsid w:val="00CB6C0B"/>
    <w:rsid w:val="00CD2BF7"/>
    <w:rsid w:val="00CD4047"/>
    <w:rsid w:val="00CE2F31"/>
    <w:rsid w:val="00CE693D"/>
    <w:rsid w:val="00D02DF9"/>
    <w:rsid w:val="00D1612A"/>
    <w:rsid w:val="00D2467C"/>
    <w:rsid w:val="00D530CE"/>
    <w:rsid w:val="00D54083"/>
    <w:rsid w:val="00D65032"/>
    <w:rsid w:val="00D72BB8"/>
    <w:rsid w:val="00D7502C"/>
    <w:rsid w:val="00D774FB"/>
    <w:rsid w:val="00D7761C"/>
    <w:rsid w:val="00D8774B"/>
    <w:rsid w:val="00DA3654"/>
    <w:rsid w:val="00DC26FF"/>
    <w:rsid w:val="00DC2FB8"/>
    <w:rsid w:val="00DC3E89"/>
    <w:rsid w:val="00DC6CDC"/>
    <w:rsid w:val="00DD4DAA"/>
    <w:rsid w:val="00DE1773"/>
    <w:rsid w:val="00DF75CB"/>
    <w:rsid w:val="00E02091"/>
    <w:rsid w:val="00E152CC"/>
    <w:rsid w:val="00E1667D"/>
    <w:rsid w:val="00E261E4"/>
    <w:rsid w:val="00E54093"/>
    <w:rsid w:val="00E55260"/>
    <w:rsid w:val="00E578F0"/>
    <w:rsid w:val="00E6674E"/>
    <w:rsid w:val="00E67F3A"/>
    <w:rsid w:val="00E75795"/>
    <w:rsid w:val="00E81FAD"/>
    <w:rsid w:val="00E86D68"/>
    <w:rsid w:val="00EA3D92"/>
    <w:rsid w:val="00EA644D"/>
    <w:rsid w:val="00ED26F1"/>
    <w:rsid w:val="00EE0EFA"/>
    <w:rsid w:val="00EE7CFB"/>
    <w:rsid w:val="00EF0C84"/>
    <w:rsid w:val="00EF36B8"/>
    <w:rsid w:val="00F02DC2"/>
    <w:rsid w:val="00F15D3D"/>
    <w:rsid w:val="00F25197"/>
    <w:rsid w:val="00F37557"/>
    <w:rsid w:val="00F728C4"/>
    <w:rsid w:val="00F8082C"/>
    <w:rsid w:val="00F84D74"/>
    <w:rsid w:val="00F8658B"/>
    <w:rsid w:val="00F94E8A"/>
    <w:rsid w:val="00FA4356"/>
    <w:rsid w:val="00FC4C6F"/>
    <w:rsid w:val="00FD2E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8292D5-BE79-4932-B38B-7F3B93C0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582"/>
    <w:rPr>
      <w:rFonts w:ascii="Times" w:hAnsi="Times" w:cs="Times"/>
      <w:lang w:val="en-GB" w:eastAsia="en-US"/>
    </w:rPr>
  </w:style>
  <w:style w:type="paragraph" w:styleId="1">
    <w:name w:val="heading 1"/>
    <w:basedOn w:val="a"/>
    <w:next w:val="a"/>
    <w:link w:val="10"/>
    <w:uiPriority w:val="99"/>
    <w:qFormat/>
    <w:rsid w:val="00421582"/>
    <w:pPr>
      <w:keepNext/>
      <w:widowControl w:val="0"/>
      <w:numPr>
        <w:numId w:val="1"/>
      </w:numPr>
      <w:jc w:val="both"/>
      <w:outlineLvl w:val="0"/>
    </w:pPr>
    <w:rPr>
      <w:rFonts w:ascii="Times New Roman" w:eastAsia="SimSun" w:hAnsi="Times New Roman" w:cs="Times New Roman"/>
      <w:b/>
      <w:bCs/>
      <w:kern w:val="2"/>
      <w:sz w:val="24"/>
      <w:szCs w:val="24"/>
      <w:lang w:val="en-US" w:eastAsia="zh-CN"/>
    </w:rPr>
  </w:style>
  <w:style w:type="paragraph" w:styleId="2">
    <w:name w:val="heading 2"/>
    <w:basedOn w:val="a"/>
    <w:next w:val="a"/>
    <w:link w:val="20"/>
    <w:uiPriority w:val="99"/>
    <w:qFormat/>
    <w:rsid w:val="00421582"/>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421582"/>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uiPriority w:val="99"/>
    <w:qFormat/>
    <w:rsid w:val="00421582"/>
    <w:pPr>
      <w:keepNext/>
      <w:numPr>
        <w:ilvl w:val="3"/>
        <w:numId w:val="1"/>
      </w:numPr>
      <w:spacing w:before="240" w:after="60"/>
      <w:outlineLvl w:val="3"/>
    </w:pPr>
    <w:rPr>
      <w:b/>
      <w:bCs/>
      <w:sz w:val="28"/>
      <w:szCs w:val="28"/>
    </w:rPr>
  </w:style>
  <w:style w:type="paragraph" w:styleId="5">
    <w:name w:val="heading 5"/>
    <w:basedOn w:val="a"/>
    <w:next w:val="a"/>
    <w:link w:val="50"/>
    <w:uiPriority w:val="99"/>
    <w:qFormat/>
    <w:rsid w:val="00421582"/>
    <w:pPr>
      <w:numPr>
        <w:ilvl w:val="4"/>
        <w:numId w:val="1"/>
      </w:numPr>
      <w:spacing w:before="240" w:after="60"/>
      <w:outlineLvl w:val="4"/>
    </w:pPr>
    <w:rPr>
      <w:b/>
      <w:bCs/>
      <w:i/>
      <w:iCs/>
      <w:sz w:val="26"/>
      <w:szCs w:val="26"/>
    </w:rPr>
  </w:style>
  <w:style w:type="paragraph" w:styleId="6">
    <w:name w:val="heading 6"/>
    <w:basedOn w:val="a"/>
    <w:next w:val="a"/>
    <w:link w:val="60"/>
    <w:uiPriority w:val="99"/>
    <w:qFormat/>
    <w:rsid w:val="00421582"/>
    <w:pPr>
      <w:numPr>
        <w:ilvl w:val="5"/>
        <w:numId w:val="1"/>
      </w:numPr>
      <w:spacing w:before="240" w:after="60"/>
      <w:outlineLvl w:val="5"/>
    </w:pPr>
    <w:rPr>
      <w:b/>
      <w:bCs/>
    </w:rPr>
  </w:style>
  <w:style w:type="paragraph" w:styleId="7">
    <w:name w:val="heading 7"/>
    <w:basedOn w:val="a"/>
    <w:next w:val="a"/>
    <w:link w:val="70"/>
    <w:uiPriority w:val="99"/>
    <w:qFormat/>
    <w:rsid w:val="00421582"/>
    <w:pPr>
      <w:numPr>
        <w:ilvl w:val="6"/>
        <w:numId w:val="1"/>
      </w:numPr>
      <w:spacing w:before="240" w:after="60"/>
      <w:outlineLvl w:val="6"/>
    </w:pPr>
    <w:rPr>
      <w:sz w:val="24"/>
      <w:szCs w:val="24"/>
    </w:rPr>
  </w:style>
  <w:style w:type="paragraph" w:styleId="8">
    <w:name w:val="heading 8"/>
    <w:basedOn w:val="a"/>
    <w:next w:val="a"/>
    <w:link w:val="80"/>
    <w:uiPriority w:val="99"/>
    <w:qFormat/>
    <w:rsid w:val="00421582"/>
    <w:pPr>
      <w:numPr>
        <w:ilvl w:val="7"/>
        <w:numId w:val="1"/>
      </w:numPr>
      <w:spacing w:before="240" w:after="60"/>
      <w:outlineLvl w:val="7"/>
    </w:pPr>
    <w:rPr>
      <w:i/>
      <w:iCs/>
      <w:sz w:val="24"/>
      <w:szCs w:val="24"/>
    </w:rPr>
  </w:style>
  <w:style w:type="paragraph" w:styleId="9">
    <w:name w:val="heading 9"/>
    <w:basedOn w:val="a"/>
    <w:next w:val="a"/>
    <w:link w:val="90"/>
    <w:uiPriority w:val="99"/>
    <w:qFormat/>
    <w:rsid w:val="00421582"/>
    <w:pPr>
      <w:numPr>
        <w:ilvl w:val="8"/>
        <w:numId w:val="1"/>
      </w:numPr>
      <w:spacing w:before="240" w:after="60"/>
      <w:outlineLvl w:val="8"/>
    </w:pPr>
    <w:rPr>
      <w:rFonts w:ascii="Arial"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D4DAA"/>
    <w:rPr>
      <w:rFonts w:eastAsia="SimSun"/>
      <w:b/>
      <w:bCs/>
      <w:kern w:val="2"/>
      <w:sz w:val="24"/>
      <w:szCs w:val="24"/>
      <w:lang w:val="en-US" w:eastAsia="zh-CN"/>
    </w:rPr>
  </w:style>
  <w:style w:type="character" w:customStyle="1" w:styleId="20">
    <w:name w:val="Заголовок 2 Знак"/>
    <w:basedOn w:val="a0"/>
    <w:link w:val="2"/>
    <w:uiPriority w:val="99"/>
    <w:rsid w:val="00DD4DAA"/>
    <w:rPr>
      <w:rFonts w:ascii="Arial" w:hAnsi="Arial" w:cs="Arial"/>
      <w:b/>
      <w:bCs/>
      <w:i/>
      <w:iCs/>
      <w:sz w:val="28"/>
      <w:szCs w:val="28"/>
      <w:lang w:val="en-GB" w:eastAsia="en-US"/>
    </w:rPr>
  </w:style>
  <w:style w:type="character" w:customStyle="1" w:styleId="30">
    <w:name w:val="Заголовок 3 Знак"/>
    <w:basedOn w:val="a0"/>
    <w:link w:val="3"/>
    <w:uiPriority w:val="99"/>
    <w:rsid w:val="00DD4DAA"/>
    <w:rPr>
      <w:rFonts w:ascii="Arial" w:hAnsi="Arial" w:cs="Arial"/>
      <w:b/>
      <w:bCs/>
      <w:sz w:val="26"/>
      <w:szCs w:val="26"/>
      <w:lang w:val="en-GB" w:eastAsia="en-US"/>
    </w:rPr>
  </w:style>
  <w:style w:type="character" w:customStyle="1" w:styleId="40">
    <w:name w:val="Заголовок 4 Знак"/>
    <w:basedOn w:val="a0"/>
    <w:link w:val="4"/>
    <w:uiPriority w:val="99"/>
    <w:rsid w:val="00DD4DAA"/>
    <w:rPr>
      <w:rFonts w:ascii="Times" w:hAnsi="Times" w:cs="Times"/>
      <w:b/>
      <w:bCs/>
      <w:sz w:val="28"/>
      <w:szCs w:val="28"/>
      <w:lang w:val="en-GB" w:eastAsia="en-US"/>
    </w:rPr>
  </w:style>
  <w:style w:type="character" w:customStyle="1" w:styleId="50">
    <w:name w:val="Заголовок 5 Знак"/>
    <w:basedOn w:val="a0"/>
    <w:link w:val="5"/>
    <w:uiPriority w:val="99"/>
    <w:rsid w:val="00DD4DAA"/>
    <w:rPr>
      <w:rFonts w:ascii="Times" w:hAnsi="Times" w:cs="Times"/>
      <w:b/>
      <w:bCs/>
      <w:i/>
      <w:iCs/>
      <w:sz w:val="26"/>
      <w:szCs w:val="26"/>
      <w:lang w:val="en-GB" w:eastAsia="en-US"/>
    </w:rPr>
  </w:style>
  <w:style w:type="character" w:customStyle="1" w:styleId="60">
    <w:name w:val="Заголовок 6 Знак"/>
    <w:basedOn w:val="a0"/>
    <w:link w:val="6"/>
    <w:uiPriority w:val="99"/>
    <w:rsid w:val="00DD4DAA"/>
    <w:rPr>
      <w:rFonts w:ascii="Times" w:hAnsi="Times" w:cs="Times"/>
      <w:b/>
      <w:bCs/>
      <w:lang w:val="en-GB" w:eastAsia="en-US"/>
    </w:rPr>
  </w:style>
  <w:style w:type="character" w:customStyle="1" w:styleId="70">
    <w:name w:val="Заголовок 7 Знак"/>
    <w:basedOn w:val="a0"/>
    <w:link w:val="7"/>
    <w:uiPriority w:val="99"/>
    <w:rsid w:val="00DD4DAA"/>
    <w:rPr>
      <w:rFonts w:ascii="Times" w:hAnsi="Times" w:cs="Times"/>
      <w:sz w:val="24"/>
      <w:szCs w:val="24"/>
      <w:lang w:val="en-GB" w:eastAsia="en-US"/>
    </w:rPr>
  </w:style>
  <w:style w:type="character" w:customStyle="1" w:styleId="80">
    <w:name w:val="Заголовок 8 Знак"/>
    <w:basedOn w:val="a0"/>
    <w:link w:val="8"/>
    <w:uiPriority w:val="99"/>
    <w:rsid w:val="00DD4DAA"/>
    <w:rPr>
      <w:rFonts w:ascii="Times" w:hAnsi="Times" w:cs="Times"/>
      <w:i/>
      <w:iCs/>
      <w:sz w:val="24"/>
      <w:szCs w:val="24"/>
      <w:lang w:val="en-GB" w:eastAsia="en-US"/>
    </w:rPr>
  </w:style>
  <w:style w:type="character" w:customStyle="1" w:styleId="90">
    <w:name w:val="Заголовок 9 Знак"/>
    <w:basedOn w:val="a0"/>
    <w:link w:val="9"/>
    <w:uiPriority w:val="99"/>
    <w:rsid w:val="00DD4DAA"/>
    <w:rPr>
      <w:rFonts w:ascii="Arial" w:hAnsi="Arial" w:cs="Arial"/>
      <w:lang w:val="en-GB" w:eastAsia="en-US"/>
    </w:rPr>
  </w:style>
  <w:style w:type="paragraph" w:customStyle="1" w:styleId="Subsubsection">
    <w:name w:val="Subsubsection"/>
    <w:next w:val="Bodytext"/>
    <w:link w:val="SubsubsectionChar"/>
    <w:uiPriority w:val="99"/>
    <w:rsid w:val="00421582"/>
    <w:pPr>
      <w:numPr>
        <w:ilvl w:val="2"/>
        <w:numId w:val="3"/>
      </w:numPr>
      <w:spacing w:before="240"/>
    </w:pPr>
    <w:rPr>
      <w:rFonts w:ascii="Times" w:hAnsi="Times" w:cs="Times"/>
      <w:i/>
      <w:iCs/>
      <w:color w:val="000000"/>
      <w:lang w:val="en-GB" w:eastAsia="en-US"/>
    </w:rPr>
  </w:style>
  <w:style w:type="paragraph" w:customStyle="1" w:styleId="Bodytext">
    <w:name w:val="Bodytext"/>
    <w:next w:val="BodytextIndented"/>
    <w:uiPriority w:val="99"/>
    <w:rsid w:val="00421582"/>
    <w:pPr>
      <w:jc w:val="both"/>
    </w:pPr>
    <w:rPr>
      <w:rFonts w:ascii="Times" w:hAnsi="Times" w:cs="Times"/>
      <w:color w:val="000000"/>
      <w:lang w:val="en-US" w:eastAsia="en-US"/>
    </w:rPr>
  </w:style>
  <w:style w:type="paragraph" w:customStyle="1" w:styleId="BodytextIndented">
    <w:name w:val="BodytextIndented"/>
    <w:basedOn w:val="Bodytext"/>
    <w:uiPriority w:val="99"/>
    <w:rsid w:val="00421582"/>
    <w:pPr>
      <w:ind w:firstLine="284"/>
    </w:pPr>
  </w:style>
  <w:style w:type="character" w:customStyle="1" w:styleId="SubsubsectionChar">
    <w:name w:val="Subsubsection Char"/>
    <w:link w:val="Subsubsection"/>
    <w:uiPriority w:val="99"/>
    <w:rsid w:val="00421582"/>
    <w:rPr>
      <w:rFonts w:ascii="Times" w:hAnsi="Times" w:cs="Times"/>
      <w:i/>
      <w:iCs/>
      <w:color w:val="000000"/>
      <w:lang w:val="en-GB" w:eastAsia="en-US"/>
    </w:rPr>
  </w:style>
  <w:style w:type="paragraph" w:customStyle="1" w:styleId="Section">
    <w:name w:val="Section"/>
    <w:next w:val="Bodytext"/>
    <w:uiPriority w:val="99"/>
    <w:rsid w:val="00421582"/>
    <w:pPr>
      <w:numPr>
        <w:numId w:val="3"/>
      </w:numPr>
      <w:spacing w:before="240"/>
    </w:pPr>
    <w:rPr>
      <w:rFonts w:ascii="Times" w:hAnsi="Times" w:cs="Times"/>
      <w:b/>
      <w:bCs/>
      <w:color w:val="000000"/>
      <w:lang w:val="en-GB" w:eastAsia="en-US"/>
    </w:rPr>
  </w:style>
  <w:style w:type="paragraph" w:styleId="a3">
    <w:name w:val="footnote text"/>
    <w:basedOn w:val="a"/>
    <w:link w:val="a4"/>
    <w:uiPriority w:val="99"/>
    <w:semiHidden/>
    <w:rsid w:val="00421582"/>
    <w:rPr>
      <w:sz w:val="20"/>
      <w:szCs w:val="20"/>
    </w:rPr>
  </w:style>
  <w:style w:type="character" w:customStyle="1" w:styleId="a4">
    <w:name w:val="Текст сноски Знак"/>
    <w:basedOn w:val="a0"/>
    <w:link w:val="a3"/>
    <w:uiPriority w:val="99"/>
    <w:semiHidden/>
    <w:rsid w:val="00DD4DAA"/>
    <w:rPr>
      <w:rFonts w:ascii="Times" w:hAnsi="Times" w:cs="Times"/>
      <w:sz w:val="20"/>
      <w:szCs w:val="20"/>
      <w:lang w:val="en-GB" w:eastAsia="en-US"/>
    </w:rPr>
  </w:style>
  <w:style w:type="character" w:styleId="a5">
    <w:name w:val="footnote reference"/>
    <w:basedOn w:val="a0"/>
    <w:uiPriority w:val="99"/>
    <w:semiHidden/>
    <w:rsid w:val="00421582"/>
    <w:rPr>
      <w:rFonts w:ascii="Times New Roman" w:hAnsi="Times New Roman" w:cs="Times New Roman"/>
      <w:sz w:val="22"/>
      <w:szCs w:val="22"/>
      <w:vertAlign w:val="superscript"/>
    </w:rPr>
  </w:style>
  <w:style w:type="paragraph" w:customStyle="1" w:styleId="Bulleted">
    <w:name w:val="Bulleted"/>
    <w:uiPriority w:val="99"/>
    <w:rsid w:val="00421582"/>
    <w:pPr>
      <w:numPr>
        <w:numId w:val="2"/>
      </w:numPr>
      <w:jc w:val="both"/>
    </w:pPr>
    <w:rPr>
      <w:rFonts w:ascii="Times" w:hAnsi="Times" w:cs="Times"/>
      <w:color w:val="000000"/>
      <w:lang w:val="en-GB" w:eastAsia="en-US"/>
    </w:rPr>
  </w:style>
  <w:style w:type="paragraph" w:styleId="a6">
    <w:name w:val="endnote text"/>
    <w:basedOn w:val="a"/>
    <w:link w:val="a7"/>
    <w:uiPriority w:val="99"/>
    <w:semiHidden/>
    <w:rsid w:val="00421582"/>
    <w:rPr>
      <w:sz w:val="20"/>
      <w:szCs w:val="20"/>
    </w:rPr>
  </w:style>
  <w:style w:type="character" w:customStyle="1" w:styleId="a7">
    <w:name w:val="Текст концевой сноски Знак"/>
    <w:basedOn w:val="a0"/>
    <w:link w:val="a6"/>
    <w:uiPriority w:val="99"/>
    <w:rsid w:val="00CD4047"/>
    <w:rPr>
      <w:rFonts w:ascii="Times" w:hAnsi="Times" w:cs="Times"/>
      <w:lang w:val="en-GB" w:eastAsia="en-US"/>
    </w:rPr>
  </w:style>
  <w:style w:type="character" w:styleId="a8">
    <w:name w:val="endnote reference"/>
    <w:basedOn w:val="a0"/>
    <w:uiPriority w:val="99"/>
    <w:semiHidden/>
    <w:rsid w:val="00421582"/>
    <w:rPr>
      <w:vertAlign w:val="superscript"/>
    </w:rPr>
  </w:style>
  <w:style w:type="paragraph" w:customStyle="1" w:styleId="Subsection">
    <w:name w:val="Subsection"/>
    <w:next w:val="Bodytext"/>
    <w:uiPriority w:val="99"/>
    <w:rsid w:val="00421582"/>
    <w:pPr>
      <w:numPr>
        <w:ilvl w:val="1"/>
        <w:numId w:val="3"/>
      </w:numPr>
      <w:spacing w:before="240"/>
    </w:pPr>
    <w:rPr>
      <w:rFonts w:ascii="Times" w:hAnsi="Times" w:cs="Times"/>
      <w:color w:val="000000"/>
      <w:lang w:val="en-GB" w:eastAsia="en-US"/>
    </w:rPr>
  </w:style>
  <w:style w:type="paragraph" w:customStyle="1" w:styleId="E-mail">
    <w:name w:val="E-mail"/>
    <w:next w:val="Abstract"/>
    <w:uiPriority w:val="99"/>
    <w:rsid w:val="00421582"/>
    <w:pPr>
      <w:spacing w:after="240"/>
      <w:ind w:left="1418"/>
    </w:pPr>
    <w:rPr>
      <w:rFonts w:ascii="Times" w:hAnsi="Times" w:cs="Times"/>
      <w:noProof/>
      <w:lang w:val="en-US" w:eastAsia="en-US"/>
    </w:rPr>
  </w:style>
  <w:style w:type="paragraph" w:customStyle="1" w:styleId="Abstract">
    <w:name w:val="Abstract"/>
    <w:next w:val="Section"/>
    <w:uiPriority w:val="99"/>
    <w:rsid w:val="00421582"/>
    <w:pPr>
      <w:spacing w:after="454"/>
      <w:ind w:left="1418"/>
      <w:jc w:val="both"/>
    </w:pPr>
    <w:rPr>
      <w:rFonts w:ascii="Times" w:hAnsi="Times" w:cs="Times"/>
      <w:color w:val="000000"/>
      <w:sz w:val="20"/>
      <w:szCs w:val="20"/>
      <w:lang w:val="en-GB" w:eastAsia="en-US"/>
    </w:rPr>
  </w:style>
  <w:style w:type="paragraph" w:customStyle="1" w:styleId="Sectionnonumber">
    <w:name w:val="Section (no number)"/>
    <w:next w:val="Bodytext"/>
    <w:uiPriority w:val="99"/>
    <w:rsid w:val="00421582"/>
    <w:pPr>
      <w:spacing w:before="240"/>
    </w:pPr>
    <w:rPr>
      <w:rFonts w:ascii="Times" w:hAnsi="Times" w:cs="Times"/>
      <w:b/>
      <w:bCs/>
      <w:color w:val="000000"/>
      <w:lang w:val="en-US" w:eastAsia="en-US"/>
    </w:rPr>
  </w:style>
  <w:style w:type="character" w:styleId="a9">
    <w:name w:val="page number"/>
    <w:basedOn w:val="a0"/>
    <w:uiPriority w:val="99"/>
    <w:semiHidden/>
    <w:rsid w:val="00421582"/>
  </w:style>
  <w:style w:type="paragraph" w:styleId="aa">
    <w:name w:val="Title"/>
    <w:basedOn w:val="a"/>
    <w:next w:val="Authors"/>
    <w:link w:val="ab"/>
    <w:uiPriority w:val="99"/>
    <w:qFormat/>
    <w:rsid w:val="00421582"/>
    <w:pPr>
      <w:spacing w:before="1588" w:after="567"/>
    </w:pPr>
    <w:rPr>
      <w:b/>
      <w:bCs/>
      <w:sz w:val="34"/>
      <w:szCs w:val="34"/>
    </w:rPr>
  </w:style>
  <w:style w:type="character" w:customStyle="1" w:styleId="ab">
    <w:name w:val="Заголовок Знак"/>
    <w:basedOn w:val="a0"/>
    <w:link w:val="aa"/>
    <w:uiPriority w:val="99"/>
    <w:rsid w:val="00DD4DAA"/>
    <w:rPr>
      <w:rFonts w:ascii="Cambria" w:hAnsi="Cambria" w:cs="Cambria"/>
      <w:b/>
      <w:bCs/>
      <w:kern w:val="28"/>
      <w:sz w:val="32"/>
      <w:szCs w:val="32"/>
      <w:lang w:val="en-GB" w:eastAsia="en-US"/>
    </w:rPr>
  </w:style>
  <w:style w:type="paragraph" w:customStyle="1" w:styleId="Authors">
    <w:name w:val="Authors"/>
    <w:next w:val="Addresses"/>
    <w:uiPriority w:val="99"/>
    <w:rsid w:val="00421582"/>
    <w:pPr>
      <w:spacing w:after="113"/>
      <w:ind w:left="1418"/>
    </w:pPr>
    <w:rPr>
      <w:rFonts w:ascii="Times" w:hAnsi="Times" w:cs="Times"/>
      <w:b/>
      <w:bCs/>
      <w:lang w:val="en-GB" w:eastAsia="en-US"/>
    </w:rPr>
  </w:style>
  <w:style w:type="paragraph" w:customStyle="1" w:styleId="Addresses">
    <w:name w:val="Addresses"/>
    <w:next w:val="E-mail"/>
    <w:uiPriority w:val="99"/>
    <w:rsid w:val="00421582"/>
    <w:pPr>
      <w:spacing w:after="240"/>
      <w:ind w:left="1418"/>
    </w:pPr>
    <w:rPr>
      <w:rFonts w:ascii="Times" w:hAnsi="Times" w:cs="Times"/>
      <w:lang w:val="en-GB" w:eastAsia="en-US"/>
    </w:rPr>
  </w:style>
  <w:style w:type="paragraph" w:customStyle="1" w:styleId="FigureCaption">
    <w:name w:val="FigureCaption"/>
    <w:uiPriority w:val="99"/>
    <w:rsid w:val="00421582"/>
    <w:pPr>
      <w:spacing w:before="170"/>
      <w:ind w:left="28"/>
      <w:jc w:val="center"/>
    </w:pPr>
    <w:rPr>
      <w:rFonts w:ascii="Times" w:hAnsi="Times" w:cs="Times"/>
      <w:color w:val="000000"/>
      <w:lang w:val="en-GB" w:eastAsia="en-US"/>
    </w:rPr>
  </w:style>
  <w:style w:type="paragraph" w:customStyle="1" w:styleId="Referencenonumber">
    <w:name w:val="Reference (no number)"/>
    <w:basedOn w:val="Reference"/>
    <w:uiPriority w:val="99"/>
    <w:rsid w:val="00421582"/>
    <w:pPr>
      <w:numPr>
        <w:numId w:val="0"/>
      </w:numPr>
      <w:ind w:left="851" w:hanging="284"/>
    </w:pPr>
  </w:style>
  <w:style w:type="paragraph" w:customStyle="1" w:styleId="Reference">
    <w:name w:val="Reference"/>
    <w:uiPriority w:val="99"/>
    <w:rsid w:val="00421582"/>
    <w:pPr>
      <w:widowControl w:val="0"/>
      <w:numPr>
        <w:numId w:val="4"/>
      </w:numPr>
      <w:tabs>
        <w:tab w:val="left" w:pos="567"/>
      </w:tabs>
      <w:jc w:val="both"/>
    </w:pPr>
    <w:rPr>
      <w:rFonts w:ascii="Times" w:hAnsi="Times" w:cs="Times"/>
      <w:noProof/>
      <w:color w:val="000000"/>
      <w:lang w:val="en-GB" w:eastAsia="en-US"/>
    </w:rPr>
  </w:style>
  <w:style w:type="character" w:styleId="ac">
    <w:name w:val="Hyperlink"/>
    <w:basedOn w:val="a0"/>
    <w:uiPriority w:val="99"/>
    <w:rsid w:val="00E6674E"/>
    <w:rPr>
      <w:rFonts w:ascii="Arial" w:hAnsi="Arial" w:cs="Arial"/>
      <w:color w:val="003399"/>
      <w:u w:val="none"/>
      <w:effect w:val="none"/>
    </w:rPr>
  </w:style>
  <w:style w:type="character" w:customStyle="1" w:styleId="apple-style-span">
    <w:name w:val="apple-style-span"/>
    <w:basedOn w:val="a0"/>
    <w:uiPriority w:val="99"/>
    <w:rsid w:val="002C5388"/>
  </w:style>
  <w:style w:type="character" w:customStyle="1" w:styleId="apple-converted-space">
    <w:name w:val="apple-converted-space"/>
    <w:basedOn w:val="a0"/>
    <w:uiPriority w:val="99"/>
    <w:rsid w:val="00B3116D"/>
  </w:style>
  <w:style w:type="paragraph" w:styleId="HTML">
    <w:name w:val="HTML Preformatted"/>
    <w:basedOn w:val="a"/>
    <w:link w:val="HTML0"/>
    <w:uiPriority w:val="99"/>
    <w:rsid w:val="00AA3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AA31FB"/>
    <w:rPr>
      <w:rFonts w:ascii="Courier New" w:hAnsi="Courier New" w:cs="Courier New"/>
    </w:rPr>
  </w:style>
  <w:style w:type="paragraph" w:styleId="ad">
    <w:name w:val="footer"/>
    <w:basedOn w:val="a"/>
    <w:link w:val="ae"/>
    <w:uiPriority w:val="99"/>
    <w:semiHidden/>
    <w:rsid w:val="001735FE"/>
    <w:pPr>
      <w:tabs>
        <w:tab w:val="center" w:pos="4677"/>
        <w:tab w:val="right" w:pos="9355"/>
      </w:tabs>
    </w:pPr>
  </w:style>
  <w:style w:type="character" w:customStyle="1" w:styleId="ae">
    <w:name w:val="Нижний колонтитул Знак"/>
    <w:basedOn w:val="a0"/>
    <w:link w:val="ad"/>
    <w:uiPriority w:val="99"/>
    <w:semiHidden/>
    <w:rsid w:val="001735FE"/>
    <w:rPr>
      <w:rFonts w:ascii="Times" w:hAnsi="Times" w:cs="Times"/>
      <w:sz w:val="22"/>
      <w:szCs w:val="22"/>
      <w:lang w:val="en-GB" w:eastAsia="en-US"/>
    </w:rPr>
  </w:style>
  <w:style w:type="paragraph" w:styleId="af">
    <w:name w:val="header"/>
    <w:basedOn w:val="a"/>
    <w:link w:val="af0"/>
    <w:uiPriority w:val="99"/>
    <w:semiHidden/>
    <w:rsid w:val="001735FE"/>
    <w:pPr>
      <w:tabs>
        <w:tab w:val="center" w:pos="4677"/>
        <w:tab w:val="right" w:pos="9355"/>
      </w:tabs>
    </w:pPr>
  </w:style>
  <w:style w:type="character" w:customStyle="1" w:styleId="af0">
    <w:name w:val="Верхний колонтитул Знак"/>
    <w:basedOn w:val="a0"/>
    <w:link w:val="af"/>
    <w:uiPriority w:val="99"/>
    <w:semiHidden/>
    <w:rsid w:val="001735FE"/>
    <w:rPr>
      <w:rFonts w:ascii="Times" w:hAnsi="Times" w:cs="Times"/>
      <w:sz w:val="22"/>
      <w:szCs w:val="22"/>
      <w:lang w:val="en-GB" w:eastAsia="en-US"/>
    </w:rPr>
  </w:style>
  <w:style w:type="paragraph" w:customStyle="1" w:styleId="TTPParagraph1st">
    <w:name w:val="TTP Paragraph (1st)"/>
    <w:basedOn w:val="a"/>
    <w:next w:val="a"/>
    <w:uiPriority w:val="99"/>
    <w:rsid w:val="00DA3654"/>
    <w:pPr>
      <w:autoSpaceDE w:val="0"/>
      <w:autoSpaceDN w:val="0"/>
      <w:jc w:val="both"/>
    </w:pPr>
    <w:rPr>
      <w:sz w:val="24"/>
      <w:szCs w:val="24"/>
      <w:lang w:val="en-US" w:eastAsia="ru-RU"/>
    </w:rPr>
  </w:style>
  <w:style w:type="paragraph" w:customStyle="1" w:styleId="TTPParagraphothers">
    <w:name w:val="TTP Paragraph (others)"/>
    <w:basedOn w:val="TTPParagraph1st"/>
    <w:uiPriority w:val="99"/>
    <w:rsid w:val="00DA3654"/>
    <w:pPr>
      <w:ind w:firstLine="283"/>
    </w:pPr>
  </w:style>
  <w:style w:type="paragraph" w:styleId="af1">
    <w:name w:val="Balloon Text"/>
    <w:basedOn w:val="a"/>
    <w:link w:val="af2"/>
    <w:uiPriority w:val="99"/>
    <w:semiHidden/>
    <w:rsid w:val="00050DF1"/>
    <w:rPr>
      <w:rFonts w:ascii="Tahoma" w:hAnsi="Tahoma" w:cs="Tahoma"/>
      <w:sz w:val="16"/>
      <w:szCs w:val="16"/>
    </w:rPr>
  </w:style>
  <w:style w:type="character" w:customStyle="1" w:styleId="af2">
    <w:name w:val="Текст выноски Знак"/>
    <w:basedOn w:val="a0"/>
    <w:link w:val="af1"/>
    <w:uiPriority w:val="99"/>
    <w:semiHidden/>
    <w:rsid w:val="00050DF1"/>
    <w:rPr>
      <w:rFonts w:ascii="Tahoma" w:hAnsi="Tahoma" w:cs="Tahoma"/>
      <w:sz w:val="16"/>
      <w:szCs w:val="16"/>
      <w:lang w:val="en-GB" w:eastAsia="en-US"/>
    </w:rPr>
  </w:style>
  <w:style w:type="paragraph" w:styleId="af3">
    <w:name w:val="List Paragraph"/>
    <w:basedOn w:val="a"/>
    <w:uiPriority w:val="99"/>
    <w:qFormat/>
    <w:rsid w:val="007C38DA"/>
    <w:pPr>
      <w:ind w:left="720"/>
      <w:contextualSpacing/>
    </w:pPr>
  </w:style>
  <w:style w:type="character" w:styleId="af4">
    <w:name w:val="annotation reference"/>
    <w:basedOn w:val="a0"/>
    <w:uiPriority w:val="99"/>
    <w:semiHidden/>
    <w:rsid w:val="002F0AF2"/>
    <w:rPr>
      <w:sz w:val="16"/>
      <w:szCs w:val="16"/>
    </w:rPr>
  </w:style>
  <w:style w:type="paragraph" w:styleId="af5">
    <w:name w:val="annotation text"/>
    <w:basedOn w:val="a"/>
    <w:link w:val="af6"/>
    <w:uiPriority w:val="99"/>
    <w:semiHidden/>
    <w:rsid w:val="002F0AF2"/>
    <w:rPr>
      <w:sz w:val="20"/>
      <w:szCs w:val="20"/>
    </w:rPr>
  </w:style>
  <w:style w:type="character" w:customStyle="1" w:styleId="af6">
    <w:name w:val="Текст примечания Знак"/>
    <w:basedOn w:val="a0"/>
    <w:link w:val="af5"/>
    <w:uiPriority w:val="99"/>
    <w:semiHidden/>
    <w:rsid w:val="002F0AF2"/>
    <w:rPr>
      <w:rFonts w:ascii="Times" w:hAnsi="Times" w:cs="Times"/>
      <w:lang w:val="en-GB" w:eastAsia="en-US"/>
    </w:rPr>
  </w:style>
  <w:style w:type="paragraph" w:styleId="af7">
    <w:name w:val="annotation subject"/>
    <w:basedOn w:val="af5"/>
    <w:next w:val="af5"/>
    <w:link w:val="af8"/>
    <w:uiPriority w:val="99"/>
    <w:semiHidden/>
    <w:rsid w:val="002F0AF2"/>
    <w:rPr>
      <w:b/>
      <w:bCs/>
    </w:rPr>
  </w:style>
  <w:style w:type="character" w:customStyle="1" w:styleId="af8">
    <w:name w:val="Тема примечания Знак"/>
    <w:basedOn w:val="af6"/>
    <w:link w:val="af7"/>
    <w:uiPriority w:val="99"/>
    <w:semiHidden/>
    <w:rsid w:val="002F0AF2"/>
    <w:rPr>
      <w:rFonts w:ascii="Times" w:hAnsi="Times" w:cs="Times"/>
      <w:b/>
      <w:bCs/>
      <w:lang w:val="en-GB" w:eastAsia="en-US"/>
    </w:rPr>
  </w:style>
  <w:style w:type="table" w:customStyle="1" w:styleId="TableNormal1">
    <w:name w:val="Table Normal1"/>
    <w:uiPriority w:val="99"/>
    <w:semiHidden/>
    <w:rsid w:val="00FD2E3C"/>
    <w:pPr>
      <w:widowControl w:val="0"/>
    </w:pPr>
    <w:rPr>
      <w:rFonts w:ascii="Calibri" w:hAnsi="Calibri" w:cs="Calibri"/>
      <w:lang w:val="en-US" w:eastAsia="en-US"/>
    </w:rPr>
    <w:tblPr>
      <w:tblInd w:w="0" w:type="dxa"/>
      <w:tblCellMar>
        <w:top w:w="0" w:type="dxa"/>
        <w:left w:w="0" w:type="dxa"/>
        <w:bottom w:w="0" w:type="dxa"/>
        <w:right w:w="0" w:type="dxa"/>
      </w:tblCellMar>
    </w:tblPr>
  </w:style>
  <w:style w:type="paragraph" w:styleId="af9">
    <w:name w:val="Body Text"/>
    <w:basedOn w:val="a"/>
    <w:link w:val="afa"/>
    <w:uiPriority w:val="99"/>
    <w:rsid w:val="00FD2E3C"/>
    <w:pPr>
      <w:widowControl w:val="0"/>
      <w:spacing w:before="3"/>
      <w:ind w:left="102" w:firstLine="566"/>
    </w:pPr>
    <w:rPr>
      <w:sz w:val="28"/>
      <w:szCs w:val="28"/>
      <w:lang w:val="en-US"/>
    </w:rPr>
  </w:style>
  <w:style w:type="character" w:customStyle="1" w:styleId="afa">
    <w:name w:val="Основной текст Знак"/>
    <w:basedOn w:val="a0"/>
    <w:link w:val="af9"/>
    <w:uiPriority w:val="99"/>
    <w:rsid w:val="00FD2E3C"/>
    <w:rPr>
      <w:sz w:val="28"/>
      <w:szCs w:val="28"/>
      <w:lang w:val="en-US" w:eastAsia="en-US"/>
    </w:rPr>
  </w:style>
  <w:style w:type="paragraph" w:customStyle="1" w:styleId="TableParagraph">
    <w:name w:val="Table Paragraph"/>
    <w:basedOn w:val="a"/>
    <w:uiPriority w:val="99"/>
    <w:rsid w:val="00FD2E3C"/>
    <w:pPr>
      <w:widowControl w:val="0"/>
    </w:pPr>
    <w:rPr>
      <w:rFonts w:ascii="Calibri" w:hAnsi="Calibri" w:cs="Calibri"/>
      <w:lang w:val="en-US"/>
    </w:rPr>
  </w:style>
  <w:style w:type="paragraph" w:customStyle="1" w:styleId="BodyChar">
    <w:name w:val="Body Char"/>
    <w:link w:val="BodyCharChar"/>
    <w:uiPriority w:val="99"/>
    <w:rsid w:val="00F15D3D"/>
    <w:pPr>
      <w:tabs>
        <w:tab w:val="left" w:pos="567"/>
      </w:tabs>
      <w:jc w:val="both"/>
    </w:pPr>
    <w:rPr>
      <w:rFonts w:ascii="Times" w:hAnsi="Times" w:cs="Times"/>
      <w:color w:val="000000"/>
      <w:lang w:val="en-GB" w:eastAsia="en-US"/>
    </w:rPr>
  </w:style>
  <w:style w:type="character" w:customStyle="1" w:styleId="BodyCharChar">
    <w:name w:val="Body Char Char"/>
    <w:link w:val="BodyChar"/>
    <w:uiPriority w:val="99"/>
    <w:rsid w:val="00F15D3D"/>
    <w:rPr>
      <w:rFonts w:ascii="Times" w:hAnsi="Times" w:cs="Times"/>
      <w:color w:val="000000"/>
      <w:sz w:val="22"/>
      <w:szCs w:val="22"/>
      <w:lang w:val="en-GB" w:eastAsia="en-US"/>
    </w:rPr>
  </w:style>
  <w:style w:type="paragraph" w:customStyle="1" w:styleId="subsection0">
    <w:name w:val="subsection"/>
    <w:uiPriority w:val="99"/>
    <w:rsid w:val="00DF75CB"/>
    <w:pPr>
      <w:numPr>
        <w:ilvl w:val="1"/>
        <w:numId w:val="5"/>
      </w:numPr>
      <w:tabs>
        <w:tab w:val="left" w:pos="567"/>
      </w:tabs>
      <w:spacing w:before="240"/>
    </w:pPr>
    <w:rPr>
      <w:rFonts w:ascii="Times" w:hAnsi="Times" w:cs="Times"/>
      <w:i/>
      <w:iCs/>
      <w:color w:val="000000"/>
      <w:lang w:val="en-US" w:eastAsia="en-US"/>
    </w:rPr>
  </w:style>
  <w:style w:type="paragraph" w:customStyle="1" w:styleId="section0">
    <w:name w:val="section"/>
    <w:link w:val="sectionChar"/>
    <w:autoRedefine/>
    <w:uiPriority w:val="99"/>
    <w:rsid w:val="00DF75CB"/>
    <w:pPr>
      <w:numPr>
        <w:numId w:val="5"/>
      </w:numPr>
      <w:tabs>
        <w:tab w:val="left" w:pos="567"/>
      </w:tabs>
      <w:spacing w:before="240"/>
    </w:pPr>
    <w:rPr>
      <w:rFonts w:ascii="Times" w:hAnsi="Times" w:cs="Times"/>
      <w:b/>
      <w:bCs/>
      <w:color w:val="000000"/>
      <w:lang w:eastAsia="en-US"/>
    </w:rPr>
  </w:style>
  <w:style w:type="paragraph" w:customStyle="1" w:styleId="subsubsection0">
    <w:name w:val="subsubsection"/>
    <w:autoRedefine/>
    <w:uiPriority w:val="99"/>
    <w:rsid w:val="00DF75CB"/>
    <w:pPr>
      <w:numPr>
        <w:ilvl w:val="2"/>
        <w:numId w:val="5"/>
      </w:numPr>
      <w:tabs>
        <w:tab w:val="left" w:pos="567"/>
      </w:tabs>
      <w:spacing w:before="240"/>
      <w:ind w:left="0" w:firstLine="0"/>
      <w:jc w:val="both"/>
    </w:pPr>
    <w:rPr>
      <w:rFonts w:ascii="Times" w:hAnsi="Times" w:cs="Times"/>
      <w:i/>
      <w:iCs/>
      <w:color w:val="000000"/>
      <w:lang w:val="en-US" w:eastAsia="en-US"/>
    </w:rPr>
  </w:style>
  <w:style w:type="character" w:customStyle="1" w:styleId="sectionChar">
    <w:name w:val="section Char"/>
    <w:link w:val="section0"/>
    <w:uiPriority w:val="99"/>
    <w:rsid w:val="00DF75CB"/>
    <w:rPr>
      <w:rFonts w:ascii="Times" w:hAnsi="Times" w:cs="Times"/>
      <w:b/>
      <w:bCs/>
      <w:color w:val="000000"/>
      <w:lang w:eastAsia="en-US"/>
    </w:rPr>
  </w:style>
  <w:style w:type="paragraph" w:customStyle="1" w:styleId="afb">
    <w:name w:val="По умолчанию"/>
    <w:rsid w:val="00C9011B"/>
    <w:pPr>
      <w:pBdr>
        <w:top w:val="nil"/>
        <w:left w:val="nil"/>
        <w:bottom w:val="nil"/>
        <w:right w:val="nil"/>
        <w:between w:val="nil"/>
        <w:bar w:val="nil"/>
      </w:pBdr>
    </w:pPr>
    <w:rPr>
      <w:rFonts w:ascii="Helvetica Neue" w:eastAsia="Arial Unicode MS" w:hAnsi="Helvetica Neue" w:cs="Arial Unicode MS"/>
      <w:color w:val="000000"/>
      <w:bdr w:val="nil"/>
      <w:lang w:val="en-US"/>
    </w:rPr>
  </w:style>
  <w:style w:type="character" w:customStyle="1" w:styleId="tlid-translation">
    <w:name w:val="tlid-translation"/>
    <w:rsid w:val="004F7A28"/>
  </w:style>
  <w:style w:type="table" w:styleId="afc">
    <w:name w:val="Table Grid"/>
    <w:basedOn w:val="TableNormal1"/>
    <w:uiPriority w:val="39"/>
    <w:rsid w:val="004F7A28"/>
    <w:pPr>
      <w:pBdr>
        <w:top w:val="nil"/>
        <w:left w:val="nil"/>
        <w:bottom w:val="nil"/>
        <w:right w:val="nil"/>
        <w:between w:val="nil"/>
        <w:bar w:val="nil"/>
      </w:pBdr>
    </w:pPr>
    <w:rPr>
      <w:rFonts w:eastAsia="Arial Unicode MS"/>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Стиль таблицы 2"/>
    <w:rsid w:val="00C42610"/>
    <w:pPr>
      <w:pBdr>
        <w:top w:val="nil"/>
        <w:left w:val="nil"/>
        <w:bottom w:val="nil"/>
        <w:right w:val="nil"/>
        <w:between w:val="nil"/>
        <w:bar w:val="nil"/>
      </w:pBdr>
    </w:pPr>
    <w:rPr>
      <w:rFonts w:ascii="Helvetica Neue" w:eastAsia="Helvetica Neue" w:hAnsi="Helvetica Neue" w:cs="Helvetica Neue"/>
      <w:color w:val="000000"/>
      <w:sz w:val="20"/>
      <w:szCs w:val="20"/>
      <w:bdr w:val="nil"/>
    </w:rPr>
  </w:style>
  <w:style w:type="paragraph" w:customStyle="1" w:styleId="References">
    <w:name w:val="References"/>
    <w:basedOn w:val="a"/>
    <w:rsid w:val="004B2505"/>
    <w:pPr>
      <w:numPr>
        <w:numId w:val="6"/>
      </w:numPr>
      <w:autoSpaceDE w:val="0"/>
      <w:autoSpaceDN w:val="0"/>
      <w:jc w:val="both"/>
    </w:pPr>
    <w:rPr>
      <w:rFonts w:ascii="Times New Roman" w:eastAsia="PMingLiU" w:hAnsi="Times New Roman" w:cs="Times New Roman"/>
      <w:sz w:val="16"/>
      <w:szCs w:val="16"/>
      <w:lang w:val="en-US"/>
    </w:rPr>
  </w:style>
  <w:style w:type="character" w:customStyle="1" w:styleId="anchortext">
    <w:name w:val="anchortext"/>
    <w:basedOn w:val="a0"/>
    <w:rsid w:val="00545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5320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Rar$DI00.503\JPCSA4Template.dot"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_____Microsoft_Excel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_____Microsoft_Excel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endParaRPr lang="ru-RU"/>
          </a:p>
          <a:p>
            <a:pPr>
              <a:defRPr/>
            </a:pPr>
            <a:endParaRPr lang="ru-RU"/>
          </a:p>
        </c:rich>
      </c:tx>
      <c:overlay val="0"/>
      <c:spPr>
        <a:noFill/>
        <a:ln w="25398">
          <a:noFill/>
        </a:ln>
      </c:spPr>
    </c:title>
    <c:autoTitleDeleted val="0"/>
    <c:plotArea>
      <c:layout>
        <c:manualLayout>
          <c:layoutTarget val="inner"/>
          <c:xMode val="edge"/>
          <c:yMode val="edge"/>
          <c:x val="5.9960309839318868E-2"/>
          <c:y val="7.877547124791219E-2"/>
          <c:w val="0.94003973260248541"/>
          <c:h val="0.8908849121132586"/>
        </c:manualLayout>
      </c:layout>
      <c:barChart>
        <c:barDir val="col"/>
        <c:grouping val="clustered"/>
        <c:varyColors val="0"/>
        <c:ser>
          <c:idx val="0"/>
          <c:order val="0"/>
          <c:tx>
            <c:strRef>
              <c:f>Лист1!$B$1</c:f>
              <c:strCache>
                <c:ptCount val="1"/>
                <c:pt idx="0">
                  <c:v>The depth of hydrolysis of the sample without additives</c:v>
                </c:pt>
              </c:strCache>
            </c:strRef>
          </c:tx>
          <c:spPr>
            <a:solidFill>
              <a:srgbClr val="5B9BD5"/>
            </a:solidFill>
            <a:ln w="25398">
              <a:noFill/>
            </a:ln>
          </c:spPr>
          <c:invertIfNegative val="0"/>
          <c:dLbls>
            <c:dLbl>
              <c:idx val="0"/>
              <c:layout>
                <c:manualLayout>
                  <c:x val="-2.2579898100972672E-5"/>
                  <c:y val="-6.425734433798184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A97-4940-B783-BC2C76CBEA33}"/>
                </c:ext>
              </c:extLst>
            </c:dLbl>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numRef>
              <c:f>Лист1!$A$2</c:f>
              <c:numCache>
                <c:formatCode>General</c:formatCode>
                <c:ptCount val="1"/>
              </c:numCache>
            </c:numRef>
          </c:cat>
          <c:val>
            <c:numRef>
              <c:f>Лист1!$B$2</c:f>
              <c:numCache>
                <c:formatCode>General</c:formatCode>
                <c:ptCount val="1"/>
                <c:pt idx="0">
                  <c:v>12.9</c:v>
                </c:pt>
              </c:numCache>
            </c:numRef>
          </c:val>
          <c:extLst>
            <c:ext xmlns:c16="http://schemas.microsoft.com/office/drawing/2014/chart" uri="{C3380CC4-5D6E-409C-BE32-E72D297353CC}">
              <c16:uniqueId val="{00000001-1A97-4940-B783-BC2C76CBEA33}"/>
            </c:ext>
          </c:extLst>
        </c:ser>
        <c:ser>
          <c:idx val="1"/>
          <c:order val="1"/>
          <c:tx>
            <c:strRef>
              <c:f>Лист1!$C$1</c:f>
              <c:strCache>
                <c:ptCount val="1"/>
                <c:pt idx="0">
                  <c:v>The depth of hydrolysis of the sample with 2% MKC</c:v>
                </c:pt>
              </c:strCache>
            </c:strRef>
          </c:tx>
          <c:spPr>
            <a:solidFill>
              <a:srgbClr val="ED7D31"/>
            </a:solidFill>
            <a:ln w="25398">
              <a:noFill/>
            </a:ln>
          </c:spPr>
          <c:invertIfNegative val="0"/>
          <c:dLbls>
            <c:dLbl>
              <c:idx val="0"/>
              <c:layout>
                <c:manualLayout>
                  <c:x val="1.2281920642272657E-2"/>
                  <c:y val="-5.62248995983935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A97-4940-B783-BC2C76CBEA33}"/>
                </c:ext>
              </c:extLst>
            </c:dLbl>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numRef>
              <c:f>Лист1!$A$2</c:f>
              <c:numCache>
                <c:formatCode>General</c:formatCode>
                <c:ptCount val="1"/>
              </c:numCache>
            </c:numRef>
          </c:cat>
          <c:val>
            <c:numRef>
              <c:f>Лист1!$C$2</c:f>
              <c:numCache>
                <c:formatCode>General</c:formatCode>
                <c:ptCount val="1"/>
                <c:pt idx="0">
                  <c:v>12.55</c:v>
                </c:pt>
              </c:numCache>
            </c:numRef>
          </c:val>
          <c:extLst>
            <c:ext xmlns:c16="http://schemas.microsoft.com/office/drawing/2014/chart" uri="{C3380CC4-5D6E-409C-BE32-E72D297353CC}">
              <c16:uniqueId val="{00000003-1A97-4940-B783-BC2C76CBEA33}"/>
            </c:ext>
          </c:extLst>
        </c:ser>
        <c:ser>
          <c:idx val="2"/>
          <c:order val="2"/>
          <c:tx>
            <c:strRef>
              <c:f>Лист1!$D$1</c:f>
              <c:strCache>
                <c:ptCount val="1"/>
                <c:pt idx="0">
                  <c:v>The depth of hydrolysis of the sample with 4% PO</c:v>
                </c:pt>
              </c:strCache>
            </c:strRef>
          </c:tx>
          <c:spPr>
            <a:solidFill>
              <a:srgbClr val="A5A5A5"/>
            </a:solidFill>
            <a:ln w="25398">
              <a:noFill/>
            </a:ln>
          </c:spPr>
          <c:invertIfNegative val="0"/>
          <c:dLbls>
            <c:dLbl>
              <c:idx val="0"/>
              <c:layout>
                <c:manualLayout>
                  <c:x val="-2.3878724718233752E-3"/>
                  <c:y val="-5.620055023242574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A97-4940-B783-BC2C76CBEA33}"/>
                </c:ext>
              </c:extLst>
            </c:dLbl>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numRef>
              <c:f>Лист1!$A$2</c:f>
              <c:numCache>
                <c:formatCode>General</c:formatCode>
                <c:ptCount val="1"/>
              </c:numCache>
            </c:numRef>
          </c:cat>
          <c:val>
            <c:numRef>
              <c:f>Лист1!$D$2</c:f>
              <c:numCache>
                <c:formatCode>General</c:formatCode>
                <c:ptCount val="1"/>
                <c:pt idx="0">
                  <c:v>12.47</c:v>
                </c:pt>
              </c:numCache>
            </c:numRef>
          </c:val>
          <c:extLst>
            <c:ext xmlns:c16="http://schemas.microsoft.com/office/drawing/2014/chart" uri="{C3380CC4-5D6E-409C-BE32-E72D297353CC}">
              <c16:uniqueId val="{00000005-1A97-4940-B783-BC2C76CBEA33}"/>
            </c:ext>
          </c:extLst>
        </c:ser>
        <c:ser>
          <c:idx val="3"/>
          <c:order val="3"/>
          <c:tx>
            <c:strRef>
              <c:f>Лист1!$E$1</c:f>
              <c:strCache>
                <c:ptCount val="1"/>
                <c:pt idx="0">
                  <c:v>Столбец1</c:v>
                </c:pt>
              </c:strCache>
            </c:strRef>
          </c:tx>
          <c:spPr>
            <a:solidFill>
              <a:srgbClr val="FFC000"/>
            </a:solidFill>
            <a:ln w="25398">
              <a:noFill/>
            </a:ln>
          </c:spPr>
          <c:invertIfNegative val="0"/>
          <c:dLbls>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stdErr"/>
            <c:noEndCap val="0"/>
          </c:errBars>
          <c:cat>
            <c:numRef>
              <c:f>Лист1!$A$2</c:f>
              <c:numCache>
                <c:formatCode>General</c:formatCode>
                <c:ptCount val="1"/>
              </c:numCache>
            </c:numRef>
          </c:cat>
          <c:val>
            <c:numRef>
              <c:f>Лист1!$E$2</c:f>
              <c:numCache>
                <c:formatCode>General</c:formatCode>
                <c:ptCount val="1"/>
              </c:numCache>
            </c:numRef>
          </c:val>
          <c:extLst>
            <c:ext xmlns:c16="http://schemas.microsoft.com/office/drawing/2014/chart" uri="{C3380CC4-5D6E-409C-BE32-E72D297353CC}">
              <c16:uniqueId val="{00000006-1A97-4940-B783-BC2C76CBEA33}"/>
            </c:ext>
          </c:extLst>
        </c:ser>
        <c:dLbls>
          <c:showLegendKey val="0"/>
          <c:showVal val="0"/>
          <c:showCatName val="0"/>
          <c:showSerName val="0"/>
          <c:showPercent val="0"/>
          <c:showBubbleSize val="0"/>
        </c:dLbls>
        <c:gapWidth val="219"/>
        <c:overlap val="-27"/>
        <c:axId val="1390383552"/>
        <c:axId val="1390387360"/>
      </c:barChart>
      <c:catAx>
        <c:axId val="1390383552"/>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vert="horz"/>
          <a:lstStyle/>
          <a:p>
            <a:pPr>
              <a:defRPr/>
            </a:pPr>
            <a:endParaRPr lang="ru-RU"/>
          </a:p>
        </c:txPr>
        <c:crossAx val="1390387360"/>
        <c:crosses val="autoZero"/>
        <c:auto val="1"/>
        <c:lblAlgn val="ctr"/>
        <c:lblOffset val="100"/>
        <c:noMultiLvlLbl val="0"/>
      </c:catAx>
      <c:valAx>
        <c:axId val="1390387360"/>
        <c:scaling>
          <c:orientation val="minMax"/>
          <c:min val="0"/>
        </c:scaling>
        <c:delete val="0"/>
        <c:axPos val="l"/>
        <c:title>
          <c:tx>
            <c:rich>
              <a:bodyPr rot="0" vert="horz"/>
              <a:lstStyle/>
              <a:p>
                <a:pPr algn="ctr">
                  <a:defRPr/>
                </a:pPr>
                <a:r>
                  <a:rPr lang="ru-RU"/>
                  <a:t>r.r.,%</a:t>
                </a:r>
              </a:p>
            </c:rich>
          </c:tx>
          <c:layout>
            <c:manualLayout>
              <c:xMode val="edge"/>
              <c:yMode val="edge"/>
              <c:x val="6.6712955439669472E-2"/>
              <c:y val="6.9094488188976384E-3"/>
            </c:manualLayout>
          </c:layout>
          <c:overlay val="0"/>
          <c:spPr>
            <a:noFill/>
            <a:ln w="25398">
              <a:noFill/>
            </a:ln>
          </c:spPr>
        </c:title>
        <c:numFmt formatCode="General" sourceLinked="1"/>
        <c:majorTickMark val="none"/>
        <c:minorTickMark val="none"/>
        <c:tickLblPos val="nextTo"/>
        <c:spPr>
          <a:ln w="6349">
            <a:noFill/>
          </a:ln>
        </c:spPr>
        <c:txPr>
          <a:bodyPr rot="-60000000" vert="horz"/>
          <a:lstStyle/>
          <a:p>
            <a:pPr>
              <a:defRPr/>
            </a:pPr>
            <a:endParaRPr lang="ru-RU"/>
          </a:p>
        </c:txPr>
        <c:crossAx val="1390383552"/>
        <c:crosses val="autoZero"/>
        <c:crossBetween val="between"/>
      </c:valAx>
      <c:spPr>
        <a:noFill/>
        <a:ln w="25398">
          <a:noFill/>
        </a:ln>
      </c:spPr>
    </c:plotArea>
    <c:legend>
      <c:legendPos val="r"/>
      <c:legendEntry>
        <c:idx val="3"/>
        <c:delete val="1"/>
      </c:legendEntry>
      <c:layout>
        <c:manualLayout>
          <c:xMode val="edge"/>
          <c:yMode val="edge"/>
          <c:x val="0.73246931449745256"/>
          <c:y val="0.11635220125786164"/>
          <c:w val="0.2468150764242705"/>
          <c:h val="0.57444866078487178"/>
        </c:manualLayout>
      </c:layout>
      <c:overlay val="0"/>
      <c:spPr>
        <a:noFill/>
        <a:ln w="25398">
          <a:noFill/>
        </a:ln>
      </c:spPr>
      <c:txPr>
        <a:bodyPr rot="0" vert="horz"/>
        <a:lstStyle/>
        <a:p>
          <a:pPr>
            <a:defRPr/>
          </a:pPr>
          <a:endParaRPr lang="ru-RU"/>
        </a:p>
      </c:txPr>
    </c:legend>
    <c:plotVisOnly val="1"/>
    <c:dispBlanksAs val="gap"/>
    <c:showDLblsOverMax val="0"/>
  </c:chart>
  <c:spPr>
    <a:solidFill>
      <a:schemeClr val="bg1"/>
    </a:solidFill>
    <a:ln w="9524" cap="flat" cmpd="sng" algn="ctr">
      <a:noFill/>
      <a:round/>
    </a:ln>
    <a:effectLst>
      <a:outerShdw dist="50800" dir="5400000" sx="21000" sy="21000" algn="ctr" rotWithShape="0">
        <a:srgbClr val="000000">
          <a:alpha val="0"/>
        </a:srgbClr>
      </a:outerShdw>
    </a:effectLst>
  </c:spPr>
  <c:txPr>
    <a:bodyPr/>
    <a:lstStyle/>
    <a:p>
      <a:pPr>
        <a:defRPr b="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endParaRPr lang="ru-RU"/>
          </a:p>
          <a:p>
            <a:pPr>
              <a:defRPr/>
            </a:pPr>
            <a:endParaRPr lang="ru-RU"/>
          </a:p>
        </c:rich>
      </c:tx>
      <c:overlay val="0"/>
      <c:spPr>
        <a:noFill/>
        <a:ln w="25398">
          <a:noFill/>
        </a:ln>
      </c:spPr>
    </c:title>
    <c:autoTitleDeleted val="0"/>
    <c:plotArea>
      <c:layout>
        <c:manualLayout>
          <c:layoutTarget val="inner"/>
          <c:xMode val="edge"/>
          <c:yMode val="edge"/>
          <c:x val="5.996024394009572E-2"/>
          <c:y val="4.6647060683679603E-2"/>
          <c:w val="0.94003973260248541"/>
          <c:h val="0.9149811845808431"/>
        </c:manualLayout>
      </c:layout>
      <c:barChart>
        <c:barDir val="col"/>
        <c:grouping val="clustered"/>
        <c:varyColors val="0"/>
        <c:ser>
          <c:idx val="0"/>
          <c:order val="0"/>
          <c:tx>
            <c:strRef>
              <c:f>Лист1!$B$1</c:f>
              <c:strCache>
                <c:ptCount val="1"/>
                <c:pt idx="0">
                  <c:v>The depth of hydrolysis of the sample without additives</c:v>
                </c:pt>
              </c:strCache>
            </c:strRef>
          </c:tx>
          <c:spPr>
            <a:solidFill>
              <a:srgbClr val="5B9BD5"/>
            </a:solidFill>
            <a:ln w="25398">
              <a:noFill/>
            </a:ln>
          </c:spPr>
          <c:invertIfNegative val="0"/>
          <c:dLbls>
            <c:dLbl>
              <c:idx val="0"/>
              <c:layout>
                <c:manualLayout>
                  <c:x val="-7.3755210745715611E-3"/>
                  <c:y val="-3.614457831325303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0B6-4720-B0A8-E96496B6498C}"/>
                </c:ext>
              </c:extLst>
            </c:dLbl>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numRef>
              <c:f>Лист1!$A$2</c:f>
              <c:numCache>
                <c:formatCode>General</c:formatCode>
                <c:ptCount val="1"/>
              </c:numCache>
            </c:numRef>
          </c:cat>
          <c:val>
            <c:numRef>
              <c:f>Лист1!$B$2</c:f>
              <c:numCache>
                <c:formatCode>General</c:formatCode>
                <c:ptCount val="1"/>
                <c:pt idx="0">
                  <c:v>12.97</c:v>
                </c:pt>
              </c:numCache>
            </c:numRef>
          </c:val>
          <c:extLst>
            <c:ext xmlns:c16="http://schemas.microsoft.com/office/drawing/2014/chart" uri="{C3380CC4-5D6E-409C-BE32-E72D297353CC}">
              <c16:uniqueId val="{00000001-F0B6-4720-B0A8-E96496B6498C}"/>
            </c:ext>
          </c:extLst>
        </c:ser>
        <c:ser>
          <c:idx val="1"/>
          <c:order val="1"/>
          <c:tx>
            <c:strRef>
              <c:f>Лист1!$C$1</c:f>
              <c:strCache>
                <c:ptCount val="1"/>
                <c:pt idx="0">
                  <c:v>The depth of hydrolysis of the sample with 2% MKC</c:v>
                </c:pt>
              </c:strCache>
            </c:strRef>
          </c:tx>
          <c:spPr>
            <a:solidFill>
              <a:srgbClr val="ED7D31"/>
            </a:solidFill>
            <a:ln w="25398">
              <a:noFill/>
            </a:ln>
          </c:spPr>
          <c:invertIfNegative val="0"/>
          <c:dLbls>
            <c:dLbl>
              <c:idx val="0"/>
              <c:layout>
                <c:manualLayout>
                  <c:x val="1.473290103442952E-2"/>
                  <c:y val="-3.6144578313253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0B6-4720-B0A8-E96496B6498C}"/>
                </c:ext>
              </c:extLst>
            </c:dLbl>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numRef>
              <c:f>Лист1!$A$2</c:f>
              <c:numCache>
                <c:formatCode>General</c:formatCode>
                <c:ptCount val="1"/>
              </c:numCache>
            </c:numRef>
          </c:cat>
          <c:val>
            <c:numRef>
              <c:f>Лист1!$C$2</c:f>
              <c:numCache>
                <c:formatCode>General</c:formatCode>
                <c:ptCount val="1"/>
                <c:pt idx="0">
                  <c:v>12.86</c:v>
                </c:pt>
              </c:numCache>
            </c:numRef>
          </c:val>
          <c:extLst>
            <c:ext xmlns:c16="http://schemas.microsoft.com/office/drawing/2014/chart" uri="{C3380CC4-5D6E-409C-BE32-E72D297353CC}">
              <c16:uniqueId val="{00000003-F0B6-4720-B0A8-E96496B6498C}"/>
            </c:ext>
          </c:extLst>
        </c:ser>
        <c:ser>
          <c:idx val="2"/>
          <c:order val="2"/>
          <c:tx>
            <c:strRef>
              <c:f>Лист1!$D$1</c:f>
              <c:strCache>
                <c:ptCount val="1"/>
                <c:pt idx="0">
                  <c:v>The depth of hydrolysis of the sample with 4% PO</c:v>
                </c:pt>
              </c:strCache>
            </c:strRef>
          </c:tx>
          <c:spPr>
            <a:solidFill>
              <a:srgbClr val="A5A5A5"/>
            </a:solidFill>
            <a:ln w="25398">
              <a:noFill/>
            </a:ln>
          </c:spPr>
          <c:invertIfNegative val="0"/>
          <c:dLbls>
            <c:dLbl>
              <c:idx val="0"/>
              <c:layout>
                <c:manualLayout>
                  <c:x val="0"/>
                  <c:y val="-4.41767068273092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0B6-4720-B0A8-E96496B6498C}"/>
                </c:ext>
              </c:extLst>
            </c:dLbl>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numRef>
              <c:f>Лист1!$A$2</c:f>
              <c:numCache>
                <c:formatCode>General</c:formatCode>
                <c:ptCount val="1"/>
              </c:numCache>
            </c:numRef>
          </c:cat>
          <c:val>
            <c:numRef>
              <c:f>Лист1!$D$2</c:f>
              <c:numCache>
                <c:formatCode>General</c:formatCode>
                <c:ptCount val="1"/>
                <c:pt idx="0">
                  <c:v>10.29</c:v>
                </c:pt>
              </c:numCache>
            </c:numRef>
          </c:val>
          <c:extLst>
            <c:ext xmlns:c16="http://schemas.microsoft.com/office/drawing/2014/chart" uri="{C3380CC4-5D6E-409C-BE32-E72D297353CC}">
              <c16:uniqueId val="{00000005-F0B6-4720-B0A8-E96496B6498C}"/>
            </c:ext>
          </c:extLst>
        </c:ser>
        <c:ser>
          <c:idx val="3"/>
          <c:order val="3"/>
          <c:tx>
            <c:strRef>
              <c:f>Лист1!$E$1</c:f>
              <c:strCache>
                <c:ptCount val="1"/>
                <c:pt idx="0">
                  <c:v>Столбец1</c:v>
                </c:pt>
              </c:strCache>
            </c:strRef>
          </c:tx>
          <c:spPr>
            <a:solidFill>
              <a:srgbClr val="FFC000"/>
            </a:solidFill>
            <a:ln w="25398">
              <a:noFill/>
            </a:ln>
          </c:spPr>
          <c:invertIfNegative val="0"/>
          <c:dLbls>
            <c:spPr>
              <a:noFill/>
              <a:ln w="25398">
                <a:noFill/>
              </a:ln>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c:f>
              <c:numCache>
                <c:formatCode>General</c:formatCode>
                <c:ptCount val="1"/>
              </c:numCache>
            </c:numRef>
          </c:cat>
          <c:val>
            <c:numRef>
              <c:f>Лист1!$E$2</c:f>
              <c:numCache>
                <c:formatCode>General</c:formatCode>
                <c:ptCount val="1"/>
              </c:numCache>
            </c:numRef>
          </c:val>
          <c:extLst>
            <c:ext xmlns:c16="http://schemas.microsoft.com/office/drawing/2014/chart" uri="{C3380CC4-5D6E-409C-BE32-E72D297353CC}">
              <c16:uniqueId val="{00000006-F0B6-4720-B0A8-E96496B6498C}"/>
            </c:ext>
          </c:extLst>
        </c:ser>
        <c:dLbls>
          <c:showLegendKey val="0"/>
          <c:showVal val="0"/>
          <c:showCatName val="0"/>
          <c:showSerName val="0"/>
          <c:showPercent val="0"/>
          <c:showBubbleSize val="0"/>
        </c:dLbls>
        <c:gapWidth val="219"/>
        <c:overlap val="-27"/>
        <c:axId val="1390382464"/>
        <c:axId val="1390386816"/>
      </c:barChart>
      <c:catAx>
        <c:axId val="1390382464"/>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vert="horz"/>
          <a:lstStyle/>
          <a:p>
            <a:pPr>
              <a:defRPr/>
            </a:pPr>
            <a:endParaRPr lang="ru-RU"/>
          </a:p>
        </c:txPr>
        <c:crossAx val="1390386816"/>
        <c:crosses val="autoZero"/>
        <c:auto val="1"/>
        <c:lblAlgn val="ctr"/>
        <c:lblOffset val="100"/>
        <c:noMultiLvlLbl val="0"/>
      </c:catAx>
      <c:valAx>
        <c:axId val="1390386816"/>
        <c:scaling>
          <c:orientation val="minMax"/>
        </c:scaling>
        <c:delete val="0"/>
        <c:axPos val="l"/>
        <c:title>
          <c:tx>
            <c:rich>
              <a:bodyPr rot="0" vert="horz"/>
              <a:lstStyle/>
              <a:p>
                <a:pPr algn="ctr">
                  <a:defRPr/>
                </a:pPr>
                <a:r>
                  <a:rPr lang="ru-RU"/>
                  <a:t>r.r.,%</a:t>
                </a:r>
              </a:p>
            </c:rich>
          </c:tx>
          <c:layout>
            <c:manualLayout>
              <c:xMode val="edge"/>
              <c:yMode val="edge"/>
              <c:x val="5.1925853018372693E-2"/>
              <c:y val="2.8691142522847299E-3"/>
            </c:manualLayout>
          </c:layout>
          <c:overlay val="0"/>
          <c:spPr>
            <a:noFill/>
            <a:ln w="25398">
              <a:noFill/>
            </a:ln>
          </c:spPr>
        </c:title>
        <c:numFmt formatCode="General" sourceLinked="1"/>
        <c:majorTickMark val="none"/>
        <c:minorTickMark val="none"/>
        <c:tickLblPos val="nextTo"/>
        <c:spPr>
          <a:ln w="6349">
            <a:noFill/>
          </a:ln>
        </c:spPr>
        <c:txPr>
          <a:bodyPr rot="-60000000" vert="horz"/>
          <a:lstStyle/>
          <a:p>
            <a:pPr>
              <a:defRPr/>
            </a:pPr>
            <a:endParaRPr lang="ru-RU"/>
          </a:p>
        </c:txPr>
        <c:crossAx val="1390382464"/>
        <c:crosses val="autoZero"/>
        <c:crossBetween val="between"/>
      </c:valAx>
      <c:spPr>
        <a:noFill/>
        <a:ln w="25398">
          <a:noFill/>
        </a:ln>
      </c:spPr>
    </c:plotArea>
    <c:legend>
      <c:legendPos val="r"/>
      <c:legendEntry>
        <c:idx val="3"/>
        <c:delete val="1"/>
      </c:legendEntry>
      <c:layout>
        <c:manualLayout>
          <c:xMode val="edge"/>
          <c:yMode val="edge"/>
          <c:x val="0.74472421645823694"/>
          <c:y val="0.11635220125786164"/>
          <c:w val="0.23456017446348618"/>
          <c:h val="0.78730006640736172"/>
        </c:manualLayout>
      </c:layout>
      <c:overlay val="0"/>
      <c:spPr>
        <a:noFill/>
        <a:ln w="25398">
          <a:noFill/>
        </a:ln>
      </c:spPr>
      <c:txPr>
        <a:bodyPr rot="0" vert="horz"/>
        <a:lstStyle/>
        <a:p>
          <a:pPr>
            <a:defRPr/>
          </a:pPr>
          <a:endParaRPr lang="ru-RU"/>
        </a:p>
      </c:txPr>
    </c:legend>
    <c:plotVisOnly val="1"/>
    <c:dispBlanksAs val="gap"/>
    <c:showDLblsOverMax val="0"/>
  </c:chart>
  <c:spPr>
    <a:solidFill>
      <a:schemeClr val="bg1"/>
    </a:solidFill>
    <a:ln w="9524" cap="flat" cmpd="sng" algn="ctr">
      <a:noFill/>
      <a:round/>
    </a:ln>
    <a:effectLst>
      <a:outerShdw dist="50800" dir="5400000" sx="21000" sy="21000" algn="ctr" rotWithShape="0">
        <a:srgbClr val="000000">
          <a:alpha val="0"/>
        </a:srgbClr>
      </a:outerShdw>
    </a:effectLst>
  </c:spPr>
  <c:txPr>
    <a:bodyPr/>
    <a:lstStyle/>
    <a:p>
      <a:pPr>
        <a:defRPr b="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233595800524934"/>
          <c:y val="0.12952020997375327"/>
          <c:w val="0.80310385680956542"/>
          <c:h val="0.760761038203558"/>
        </c:manualLayout>
      </c:layout>
      <c:lineChart>
        <c:grouping val="standard"/>
        <c:varyColors val="0"/>
        <c:ser>
          <c:idx val="0"/>
          <c:order val="0"/>
          <c:tx>
            <c:strRef>
              <c:f>Лист1!$B$1</c:f>
              <c:strCache>
                <c:ptCount val="1"/>
                <c:pt idx="0">
                  <c:v>Pb</c:v>
                </c:pt>
              </c:strCache>
            </c:strRef>
          </c:tx>
          <c:spPr>
            <a:ln w="28537" cap="rnd">
              <a:solidFill>
                <a:schemeClr val="accent1"/>
              </a:solidFill>
              <a:round/>
              <a:headEnd type="oval"/>
              <a:tailEnd type="oval"/>
            </a:ln>
            <a:effectLst/>
          </c:spPr>
          <c:marker>
            <c:symbol val="none"/>
          </c:marker>
          <c:dLbls>
            <c:dLbl>
              <c:idx val="1"/>
              <c:layout>
                <c:manualLayout>
                  <c:x val="-7.8853714714232151E-2"/>
                  <c:y val="-1.7839285240860106E-2"/>
                </c:manualLayout>
              </c:layout>
              <c:tx>
                <c:rich>
                  <a:bodyPr/>
                  <a:lstStyle/>
                  <a:p>
                    <a:r>
                      <a:rPr lang="en-US"/>
                      <a:t>62,5</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5BE-4FDD-AC67-BA671E7CDD73}"/>
                </c:ext>
              </c:extLst>
            </c:dLbl>
            <c:dLbl>
              <c:idx val="2"/>
              <c:layout>
                <c:manualLayout>
                  <c:x val="0.12499999999999992"/>
                  <c:y val="-0.10714285714285714"/>
                </c:manualLayout>
              </c:layout>
              <c:dLblPos val="r"/>
              <c:showLegendKey val="0"/>
              <c:showVal val="0"/>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1-F5BE-4FDD-AC67-BA671E7CDD73}"/>
                </c:ext>
              </c:extLst>
            </c:dLbl>
            <c:dLbl>
              <c:idx val="3"/>
              <c:delete val="1"/>
              <c:extLst>
                <c:ext xmlns:c15="http://schemas.microsoft.com/office/drawing/2012/chart" uri="{CE6537A1-D6FC-4f65-9D91-7224C49458BB}"/>
                <c:ext xmlns:c16="http://schemas.microsoft.com/office/drawing/2014/chart" uri="{C3380CC4-5D6E-409C-BE32-E72D297353CC}">
                  <c16:uniqueId val="{00000002-F5BE-4FDD-AC67-BA671E7CDD73}"/>
                </c:ext>
              </c:extLst>
            </c:dLbl>
            <c:dLbl>
              <c:idx val="4"/>
              <c:delete val="1"/>
              <c:extLst>
                <c:ext xmlns:c15="http://schemas.microsoft.com/office/drawing/2012/chart" uri="{CE6537A1-D6FC-4f65-9D91-7224C49458BB}"/>
                <c:ext xmlns:c16="http://schemas.microsoft.com/office/drawing/2014/chart" uri="{C3380CC4-5D6E-409C-BE32-E72D297353CC}">
                  <c16:uniqueId val="{00000003-F5BE-4FDD-AC67-BA671E7CDD73}"/>
                </c:ext>
              </c:extLst>
            </c:dLbl>
            <c:dLbl>
              <c:idx val="5"/>
              <c:delete val="1"/>
              <c:extLst>
                <c:ext xmlns:c15="http://schemas.microsoft.com/office/drawing/2012/chart" uri="{CE6537A1-D6FC-4f65-9D91-7224C49458BB}"/>
                <c:ext xmlns:c16="http://schemas.microsoft.com/office/drawing/2014/chart" uri="{C3380CC4-5D6E-409C-BE32-E72D297353CC}">
                  <c16:uniqueId val="{00000004-F5BE-4FDD-AC67-BA671E7CDD73}"/>
                </c:ext>
              </c:extLst>
            </c:dLbl>
            <c:dLbl>
              <c:idx val="6"/>
              <c:delete val="1"/>
              <c:extLst>
                <c:ext xmlns:c15="http://schemas.microsoft.com/office/drawing/2012/chart" uri="{CE6537A1-D6FC-4f65-9D91-7224C49458BB}"/>
                <c:ext xmlns:c16="http://schemas.microsoft.com/office/drawing/2014/chart" uri="{C3380CC4-5D6E-409C-BE32-E72D297353CC}">
                  <c16:uniqueId val="{00000005-F5BE-4FDD-AC67-BA671E7CDD73}"/>
                </c:ext>
              </c:extLst>
            </c:dLbl>
            <c:dLbl>
              <c:idx val="7"/>
              <c:layout>
                <c:manualLayout>
                  <c:x val="5.4486046387058756E-3"/>
                  <c:y val="-1.9030196982952888E-2"/>
                </c:manualLayout>
              </c:layout>
              <c:tx>
                <c:rich>
                  <a:bodyPr/>
                  <a:lstStyle/>
                  <a:p>
                    <a:r>
                      <a:rPr lang="en-US"/>
                      <a:t>87,5</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5BE-4FDD-AC67-BA671E7CDD73}"/>
                </c:ext>
              </c:extLst>
            </c:dLbl>
            <c:spPr>
              <a:noFill/>
              <a:ln w="25366">
                <a:noFill/>
              </a:ln>
            </c:spPr>
            <c:txPr>
              <a:bodyPr rot="0" vert="horz"/>
              <a:lstStyle/>
              <a:p>
                <a:pPr>
                  <a:defRPr/>
                </a:pPr>
                <a:endParaRPr lang="ru-RU"/>
              </a:p>
            </c:txPr>
            <c:dLblPos val="t"/>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Лист1!$A$2:$A$9</c:f>
              <c:numCache>
                <c:formatCode>0.00</c:formatCode>
                <c:ptCount val="8"/>
                <c:pt idx="1">
                  <c:v>0.5</c:v>
                </c:pt>
                <c:pt idx="2">
                  <c:v>1</c:v>
                </c:pt>
                <c:pt idx="3">
                  <c:v>1.5</c:v>
                </c:pt>
                <c:pt idx="4">
                  <c:v>2</c:v>
                </c:pt>
                <c:pt idx="5">
                  <c:v>2.5</c:v>
                </c:pt>
                <c:pt idx="6">
                  <c:v>3</c:v>
                </c:pt>
                <c:pt idx="7">
                  <c:v>3.5</c:v>
                </c:pt>
              </c:numCache>
            </c:numRef>
          </c:cat>
          <c:val>
            <c:numRef>
              <c:f>Лист1!$B$2:$B$9</c:f>
              <c:numCache>
                <c:formatCode>0.00</c:formatCode>
                <c:ptCount val="8"/>
                <c:pt idx="1">
                  <c:v>62</c:v>
                </c:pt>
                <c:pt idx="2">
                  <c:v>66.5</c:v>
                </c:pt>
                <c:pt idx="3">
                  <c:v>71</c:v>
                </c:pt>
                <c:pt idx="4">
                  <c:v>75</c:v>
                </c:pt>
                <c:pt idx="5">
                  <c:v>79</c:v>
                </c:pt>
                <c:pt idx="6">
                  <c:v>83</c:v>
                </c:pt>
                <c:pt idx="7">
                  <c:v>87.5</c:v>
                </c:pt>
              </c:numCache>
            </c:numRef>
          </c:val>
          <c:smooth val="0"/>
          <c:extLst>
            <c:ext xmlns:c16="http://schemas.microsoft.com/office/drawing/2014/chart" uri="{C3380CC4-5D6E-409C-BE32-E72D297353CC}">
              <c16:uniqueId val="{00000007-F5BE-4FDD-AC67-BA671E7CDD73}"/>
            </c:ext>
          </c:extLst>
        </c:ser>
        <c:ser>
          <c:idx val="1"/>
          <c:order val="1"/>
          <c:tx>
            <c:strRef>
              <c:f>Лист1!$C$1</c:f>
              <c:strCache>
                <c:ptCount val="1"/>
                <c:pt idx="0">
                  <c:v>Cd</c:v>
                </c:pt>
              </c:strCache>
            </c:strRef>
          </c:tx>
          <c:spPr>
            <a:ln w="28537" cap="rnd">
              <a:solidFill>
                <a:schemeClr val="accent2"/>
              </a:solidFill>
              <a:round/>
              <a:headEnd type="oval"/>
              <a:tailEnd type="oval"/>
            </a:ln>
            <a:effectLst/>
          </c:spPr>
          <c:marker>
            <c:symbol val="none"/>
          </c:marker>
          <c:dLbls>
            <c:dLbl>
              <c:idx val="1"/>
              <c:layout>
                <c:manualLayout>
                  <c:x val="-6.4031817451389958E-2"/>
                  <c:y val="-6.9084546249901201E-3"/>
                </c:manualLayout>
              </c:layout>
              <c:tx>
                <c:rich>
                  <a:bodyPr/>
                  <a:lstStyle/>
                  <a:p>
                    <a:r>
                      <a:rPr lang="en-US"/>
                      <a:t>40</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5BE-4FDD-AC67-BA671E7CDD73}"/>
                </c:ext>
              </c:extLst>
            </c:dLbl>
            <c:dLbl>
              <c:idx val="2"/>
              <c:layout>
                <c:manualLayout>
                  <c:x val="0.15740740740740741"/>
                  <c:y val="-3.9682539682539611E-2"/>
                </c:manualLayout>
              </c:layout>
              <c:dLblPos val="r"/>
              <c:showLegendKey val="0"/>
              <c:showVal val="0"/>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9-F5BE-4FDD-AC67-BA671E7CDD73}"/>
                </c:ext>
              </c:extLst>
            </c:dLbl>
            <c:dLbl>
              <c:idx val="3"/>
              <c:delete val="1"/>
              <c:extLst>
                <c:ext xmlns:c15="http://schemas.microsoft.com/office/drawing/2012/chart" uri="{CE6537A1-D6FC-4f65-9D91-7224C49458BB}"/>
                <c:ext xmlns:c16="http://schemas.microsoft.com/office/drawing/2014/chart" uri="{C3380CC4-5D6E-409C-BE32-E72D297353CC}">
                  <c16:uniqueId val="{0000000A-F5BE-4FDD-AC67-BA671E7CDD73}"/>
                </c:ext>
              </c:extLst>
            </c:dLbl>
            <c:dLbl>
              <c:idx val="4"/>
              <c:delete val="1"/>
              <c:extLst>
                <c:ext xmlns:c15="http://schemas.microsoft.com/office/drawing/2012/chart" uri="{CE6537A1-D6FC-4f65-9D91-7224C49458BB}"/>
                <c:ext xmlns:c16="http://schemas.microsoft.com/office/drawing/2014/chart" uri="{C3380CC4-5D6E-409C-BE32-E72D297353CC}">
                  <c16:uniqueId val="{0000000B-F5BE-4FDD-AC67-BA671E7CDD73}"/>
                </c:ext>
              </c:extLst>
            </c:dLbl>
            <c:dLbl>
              <c:idx val="5"/>
              <c:delete val="1"/>
              <c:extLst>
                <c:ext xmlns:c15="http://schemas.microsoft.com/office/drawing/2012/chart" uri="{CE6537A1-D6FC-4f65-9D91-7224C49458BB}"/>
                <c:ext xmlns:c16="http://schemas.microsoft.com/office/drawing/2014/chart" uri="{C3380CC4-5D6E-409C-BE32-E72D297353CC}">
                  <c16:uniqueId val="{0000000C-F5BE-4FDD-AC67-BA671E7CDD73}"/>
                </c:ext>
              </c:extLst>
            </c:dLbl>
            <c:dLbl>
              <c:idx val="6"/>
              <c:delete val="1"/>
              <c:extLst>
                <c:ext xmlns:c15="http://schemas.microsoft.com/office/drawing/2012/chart" uri="{CE6537A1-D6FC-4f65-9D91-7224C49458BB}"/>
                <c:ext xmlns:c16="http://schemas.microsoft.com/office/drawing/2014/chart" uri="{C3380CC4-5D6E-409C-BE32-E72D297353CC}">
                  <c16:uniqueId val="{0000000D-F5BE-4FDD-AC67-BA671E7CDD73}"/>
                </c:ext>
              </c:extLst>
            </c:dLbl>
            <c:dLbl>
              <c:idx val="7"/>
              <c:layout>
                <c:manualLayout>
                  <c:x val="-6.9444444444446141E-3"/>
                  <c:y val="-7.275048233154282E-17"/>
                </c:manualLayout>
              </c:layout>
              <c:tx>
                <c:rich>
                  <a:bodyPr/>
                  <a:lstStyle/>
                  <a:p>
                    <a:r>
                      <a:rPr lang="en-US" baseline="0"/>
                      <a:t>40</a:t>
                    </a:r>
                    <a:endParaRPr lang="en-US"/>
                  </a:p>
                </c:rich>
              </c:tx>
              <c:dLblPos val="r"/>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E-F5BE-4FDD-AC67-BA671E7CDD73}"/>
                </c:ext>
              </c:extLst>
            </c:dLbl>
            <c:spPr>
              <a:noFill/>
              <a:ln w="25366">
                <a:noFill/>
              </a:ln>
            </c:spPr>
            <c:txPr>
              <a:bodyPr rot="0" vert="horz"/>
              <a:lstStyle/>
              <a:p>
                <a:pPr>
                  <a:defRPr/>
                </a:pPr>
                <a:endParaRPr lang="ru-RU"/>
              </a:p>
            </c:txP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Лист1!$A$2:$A$9</c:f>
              <c:numCache>
                <c:formatCode>0.00</c:formatCode>
                <c:ptCount val="8"/>
                <c:pt idx="1">
                  <c:v>0.5</c:v>
                </c:pt>
                <c:pt idx="2">
                  <c:v>1</c:v>
                </c:pt>
                <c:pt idx="3">
                  <c:v>1.5</c:v>
                </c:pt>
                <c:pt idx="4">
                  <c:v>2</c:v>
                </c:pt>
                <c:pt idx="5">
                  <c:v>2.5</c:v>
                </c:pt>
                <c:pt idx="6">
                  <c:v>3</c:v>
                </c:pt>
                <c:pt idx="7">
                  <c:v>3.5</c:v>
                </c:pt>
              </c:numCache>
            </c:numRef>
          </c:cat>
          <c:val>
            <c:numRef>
              <c:f>Лист1!$C$2:$C$9</c:f>
              <c:numCache>
                <c:formatCode>0.00</c:formatCode>
                <c:ptCount val="8"/>
                <c:pt idx="1">
                  <c:v>40</c:v>
                </c:pt>
                <c:pt idx="2">
                  <c:v>40</c:v>
                </c:pt>
                <c:pt idx="3">
                  <c:v>40</c:v>
                </c:pt>
                <c:pt idx="4">
                  <c:v>40</c:v>
                </c:pt>
                <c:pt idx="5">
                  <c:v>40</c:v>
                </c:pt>
                <c:pt idx="6">
                  <c:v>40</c:v>
                </c:pt>
                <c:pt idx="7">
                  <c:v>40</c:v>
                </c:pt>
              </c:numCache>
            </c:numRef>
          </c:val>
          <c:smooth val="0"/>
          <c:extLst>
            <c:ext xmlns:c16="http://schemas.microsoft.com/office/drawing/2014/chart" uri="{C3380CC4-5D6E-409C-BE32-E72D297353CC}">
              <c16:uniqueId val="{0000000F-F5BE-4FDD-AC67-BA671E7CDD73}"/>
            </c:ext>
          </c:extLst>
        </c:ser>
        <c:ser>
          <c:idx val="2"/>
          <c:order val="2"/>
          <c:tx>
            <c:strRef>
              <c:f>Лист1!$D$1</c:f>
              <c:strCache>
                <c:ptCount val="1"/>
                <c:pt idx="0">
                  <c:v>Zn</c:v>
                </c:pt>
              </c:strCache>
            </c:strRef>
          </c:tx>
          <c:spPr>
            <a:ln w="28537" cap="rnd">
              <a:solidFill>
                <a:schemeClr val="accent3"/>
              </a:solidFill>
              <a:round/>
              <a:headEnd type="oval"/>
              <a:tailEnd type="oval"/>
            </a:ln>
            <a:effectLst/>
          </c:spPr>
          <c:marker>
            <c:symbol val="none"/>
          </c:marker>
          <c:dLbls>
            <c:dLbl>
              <c:idx val="1"/>
              <c:layout>
                <c:manualLayout>
                  <c:x val="0.25"/>
                  <c:y val="-4.7619047619047616E-2"/>
                </c:manualLayout>
              </c:layout>
              <c:tx>
                <c:rich>
                  <a:bodyPr/>
                  <a:lstStyle/>
                  <a:p>
                    <a:r>
                      <a:rPr lang="en-US"/>
                      <a:t>Zn</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F5BE-4FDD-AC67-BA671E7CDD73}"/>
                </c:ext>
              </c:extLst>
            </c:dLbl>
            <c:dLbl>
              <c:idx val="2"/>
              <c:delete val="1"/>
              <c:extLst>
                <c:ext xmlns:c15="http://schemas.microsoft.com/office/drawing/2012/chart" uri="{CE6537A1-D6FC-4f65-9D91-7224C49458BB}"/>
                <c:ext xmlns:c16="http://schemas.microsoft.com/office/drawing/2014/chart" uri="{C3380CC4-5D6E-409C-BE32-E72D297353CC}">
                  <c16:uniqueId val="{00000011-F5BE-4FDD-AC67-BA671E7CDD73}"/>
                </c:ext>
              </c:extLst>
            </c:dLbl>
            <c:dLbl>
              <c:idx val="3"/>
              <c:delete val="1"/>
              <c:extLst>
                <c:ext xmlns:c15="http://schemas.microsoft.com/office/drawing/2012/chart" uri="{CE6537A1-D6FC-4f65-9D91-7224C49458BB}"/>
                <c:ext xmlns:c16="http://schemas.microsoft.com/office/drawing/2014/chart" uri="{C3380CC4-5D6E-409C-BE32-E72D297353CC}">
                  <c16:uniqueId val="{00000012-F5BE-4FDD-AC67-BA671E7CDD73}"/>
                </c:ext>
              </c:extLst>
            </c:dLbl>
            <c:dLbl>
              <c:idx val="4"/>
              <c:delete val="1"/>
              <c:extLst>
                <c:ext xmlns:c15="http://schemas.microsoft.com/office/drawing/2012/chart" uri="{CE6537A1-D6FC-4f65-9D91-7224C49458BB}"/>
                <c:ext xmlns:c16="http://schemas.microsoft.com/office/drawing/2014/chart" uri="{C3380CC4-5D6E-409C-BE32-E72D297353CC}">
                  <c16:uniqueId val="{00000013-F5BE-4FDD-AC67-BA671E7CDD73}"/>
                </c:ext>
              </c:extLst>
            </c:dLbl>
            <c:dLbl>
              <c:idx val="5"/>
              <c:delete val="1"/>
              <c:extLst>
                <c:ext xmlns:c15="http://schemas.microsoft.com/office/drawing/2012/chart" uri="{CE6537A1-D6FC-4f65-9D91-7224C49458BB}"/>
                <c:ext xmlns:c16="http://schemas.microsoft.com/office/drawing/2014/chart" uri="{C3380CC4-5D6E-409C-BE32-E72D297353CC}">
                  <c16:uniqueId val="{00000014-F5BE-4FDD-AC67-BA671E7CDD73}"/>
                </c:ext>
              </c:extLst>
            </c:dLbl>
            <c:dLbl>
              <c:idx val="6"/>
              <c:delete val="1"/>
              <c:extLst>
                <c:ext xmlns:c15="http://schemas.microsoft.com/office/drawing/2012/chart" uri="{CE6537A1-D6FC-4f65-9D91-7224C49458BB}"/>
                <c:ext xmlns:c16="http://schemas.microsoft.com/office/drawing/2014/chart" uri="{C3380CC4-5D6E-409C-BE32-E72D297353CC}">
                  <c16:uniqueId val="{00000015-F5BE-4FDD-AC67-BA671E7CDD73}"/>
                </c:ext>
              </c:extLst>
            </c:dLbl>
            <c:dLbl>
              <c:idx val="7"/>
              <c:delete val="1"/>
              <c:extLst>
                <c:ext xmlns:c15="http://schemas.microsoft.com/office/drawing/2012/chart" uri="{CE6537A1-D6FC-4f65-9D91-7224C49458BB}"/>
                <c:ext xmlns:c16="http://schemas.microsoft.com/office/drawing/2014/chart" uri="{C3380CC4-5D6E-409C-BE32-E72D297353CC}">
                  <c16:uniqueId val="{00000016-F5BE-4FDD-AC67-BA671E7CDD73}"/>
                </c:ext>
              </c:extLst>
            </c:dLbl>
            <c:spPr>
              <a:noFill/>
              <a:ln w="25366">
                <a:noFill/>
              </a:ln>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Лист1!$A$2:$A$9</c:f>
              <c:numCache>
                <c:formatCode>0.00</c:formatCode>
                <c:ptCount val="8"/>
                <c:pt idx="1">
                  <c:v>0.5</c:v>
                </c:pt>
                <c:pt idx="2">
                  <c:v>1</c:v>
                </c:pt>
                <c:pt idx="3">
                  <c:v>1.5</c:v>
                </c:pt>
                <c:pt idx="4">
                  <c:v>2</c:v>
                </c:pt>
                <c:pt idx="5">
                  <c:v>2.5</c:v>
                </c:pt>
                <c:pt idx="6">
                  <c:v>3</c:v>
                </c:pt>
                <c:pt idx="7">
                  <c:v>3.5</c:v>
                </c:pt>
              </c:numCache>
            </c:numRef>
          </c:cat>
          <c:val>
            <c:numRef>
              <c:f>Лист1!$D$2:$D$9</c:f>
              <c:numCache>
                <c:formatCode>0.00</c:formatCode>
                <c:ptCount val="8"/>
                <c:pt idx="1">
                  <c:v>0.1</c:v>
                </c:pt>
                <c:pt idx="2">
                  <c:v>0.1</c:v>
                </c:pt>
                <c:pt idx="3">
                  <c:v>0.1</c:v>
                </c:pt>
                <c:pt idx="4">
                  <c:v>0.1</c:v>
                </c:pt>
                <c:pt idx="5">
                  <c:v>0.1</c:v>
                </c:pt>
                <c:pt idx="6">
                  <c:v>0.1</c:v>
                </c:pt>
                <c:pt idx="7">
                  <c:v>0.1</c:v>
                </c:pt>
              </c:numCache>
            </c:numRef>
          </c:val>
          <c:smooth val="0"/>
          <c:extLst>
            <c:ext xmlns:c16="http://schemas.microsoft.com/office/drawing/2014/chart" uri="{C3380CC4-5D6E-409C-BE32-E72D297353CC}">
              <c16:uniqueId val="{00000017-F5BE-4FDD-AC67-BA671E7CDD73}"/>
            </c:ext>
          </c:extLst>
        </c:ser>
        <c:dLbls>
          <c:showLegendKey val="0"/>
          <c:showVal val="0"/>
          <c:showCatName val="0"/>
          <c:showSerName val="0"/>
          <c:showPercent val="0"/>
          <c:showBubbleSize val="0"/>
        </c:dLbls>
        <c:smooth val="0"/>
        <c:axId val="1390384640"/>
        <c:axId val="1390387904"/>
      </c:lineChart>
      <c:catAx>
        <c:axId val="1390384640"/>
        <c:scaling>
          <c:orientation val="minMax"/>
        </c:scaling>
        <c:delete val="0"/>
        <c:axPos val="b"/>
        <c:title>
          <c:tx>
            <c:rich>
              <a:bodyPr/>
              <a:lstStyle/>
              <a:p>
                <a:pPr>
                  <a:defRPr/>
                </a:pPr>
                <a:r>
                  <a:rPr lang="ru-RU"/>
                  <a:t>t,ч</a:t>
                </a:r>
              </a:p>
            </c:rich>
          </c:tx>
          <c:layout>
            <c:manualLayout>
              <c:xMode val="edge"/>
              <c:yMode val="edge"/>
              <c:x val="0.90678711954766489"/>
              <c:y val="0.89601197046630854"/>
            </c:manualLayout>
          </c:layout>
          <c:overlay val="0"/>
          <c:spPr>
            <a:noFill/>
            <a:ln w="25366">
              <a:noFill/>
            </a:ln>
          </c:spPr>
        </c:title>
        <c:numFmt formatCode="0.00" sourceLinked="1"/>
        <c:majorTickMark val="none"/>
        <c:minorTickMark val="none"/>
        <c:tickLblPos val="nextTo"/>
        <c:spPr>
          <a:noFill/>
          <a:ln w="9512" cap="flat" cmpd="sng" algn="ctr">
            <a:solidFill>
              <a:schemeClr val="tx1">
                <a:lumMod val="15000"/>
                <a:lumOff val="85000"/>
              </a:schemeClr>
            </a:solidFill>
            <a:round/>
          </a:ln>
          <a:effectLst/>
        </c:spPr>
        <c:txPr>
          <a:bodyPr rot="-60000000" vert="horz"/>
          <a:lstStyle/>
          <a:p>
            <a:pPr>
              <a:defRPr/>
            </a:pPr>
            <a:endParaRPr lang="ru-RU"/>
          </a:p>
        </c:txPr>
        <c:crossAx val="1390387904"/>
        <c:crosses val="autoZero"/>
        <c:auto val="1"/>
        <c:lblAlgn val="ctr"/>
        <c:lblOffset val="100"/>
        <c:noMultiLvlLbl val="0"/>
      </c:catAx>
      <c:valAx>
        <c:axId val="1390387904"/>
        <c:scaling>
          <c:orientation val="minMax"/>
        </c:scaling>
        <c:delete val="0"/>
        <c:axPos val="l"/>
        <c:title>
          <c:tx>
            <c:rich>
              <a:bodyPr rot="0" vert="horz"/>
              <a:lstStyle/>
              <a:p>
                <a:pPr algn="ctr">
                  <a:defRPr/>
                </a:pPr>
                <a:r>
                  <a:rPr lang="en-US"/>
                  <a:t>Sorption at pH 2,%</a:t>
                </a:r>
              </a:p>
            </c:rich>
          </c:tx>
          <c:layout>
            <c:manualLayout>
              <c:xMode val="edge"/>
              <c:yMode val="edge"/>
              <c:x val="9.0277796731214485E-2"/>
              <c:y val="4.5013368656020798E-2"/>
            </c:manualLayout>
          </c:layout>
          <c:overlay val="0"/>
          <c:spPr>
            <a:noFill/>
            <a:ln w="25366">
              <a:noFill/>
            </a:ln>
          </c:spPr>
        </c:title>
        <c:numFmt formatCode="0.00" sourceLinked="1"/>
        <c:majorTickMark val="none"/>
        <c:minorTickMark val="none"/>
        <c:tickLblPos val="nextTo"/>
        <c:spPr>
          <a:ln w="6342">
            <a:noFill/>
          </a:ln>
        </c:spPr>
        <c:txPr>
          <a:bodyPr rot="-60000000" vert="horz"/>
          <a:lstStyle/>
          <a:p>
            <a:pPr>
              <a:defRPr/>
            </a:pPr>
            <a:endParaRPr lang="ru-RU"/>
          </a:p>
        </c:txPr>
        <c:crossAx val="1390384640"/>
        <c:crosses val="autoZero"/>
        <c:crossBetween val="between"/>
      </c:valAx>
      <c:spPr>
        <a:noFill/>
        <a:ln>
          <a:solidFill>
            <a:schemeClr val="bg1"/>
          </a:solidFill>
        </a:ln>
        <a:effectLst/>
      </c:spPr>
    </c:plotArea>
    <c:plotVisOnly val="1"/>
    <c:dispBlanksAs val="gap"/>
    <c:showDLblsOverMax val="0"/>
  </c:chart>
  <c:spPr>
    <a:solidFill>
      <a:schemeClr val="bg1"/>
    </a:solidFill>
    <a:ln w="9512"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1502558835663925E-2"/>
          <c:y val="0.13489548746165766"/>
          <c:w val="0.80310385680956542"/>
          <c:h val="0.76076084239470065"/>
        </c:manualLayout>
      </c:layout>
      <c:lineChart>
        <c:grouping val="standard"/>
        <c:varyColors val="0"/>
        <c:ser>
          <c:idx val="0"/>
          <c:order val="0"/>
          <c:tx>
            <c:strRef>
              <c:f>Лист1!$B$1</c:f>
              <c:strCache>
                <c:ptCount val="1"/>
                <c:pt idx="0">
                  <c:v>Pb</c:v>
                </c:pt>
              </c:strCache>
            </c:strRef>
          </c:tx>
          <c:spPr>
            <a:ln w="28553" cap="rnd">
              <a:solidFill>
                <a:schemeClr val="accent1"/>
              </a:solidFill>
              <a:round/>
              <a:headEnd type="oval"/>
              <a:tailEnd type="oval"/>
            </a:ln>
            <a:effectLst/>
          </c:spPr>
          <c:marker>
            <c:symbol val="none"/>
          </c:marker>
          <c:dLbls>
            <c:dLbl>
              <c:idx val="1"/>
              <c:layout>
                <c:manualLayout>
                  <c:x val="-7.3849340261038773E-2"/>
                  <c:y val="-1.0868424055688691E-2"/>
                </c:manualLayout>
              </c:layout>
              <c:tx>
                <c:rich>
                  <a:bodyPr/>
                  <a:lstStyle/>
                  <a:p>
                    <a:r>
                      <a:rPr lang="en-US" baseline="0"/>
                      <a:t>75</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B93-4E1F-8EA2-8292779280C2}"/>
                </c:ext>
              </c:extLst>
            </c:dLbl>
            <c:dLbl>
              <c:idx val="2"/>
              <c:layout>
                <c:manualLayout>
                  <c:x val="7.7853304051279215E-2"/>
                  <c:y val="-0.10909860905068022"/>
                </c:manualLayout>
              </c:layout>
              <c:tx>
                <c:rich>
                  <a:bodyPr/>
                  <a:lstStyle/>
                  <a:p>
                    <a:r>
                      <a:rPr lang="en-US"/>
                      <a:t>Pb, Cd</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B93-4E1F-8EA2-8292779280C2}"/>
                </c:ext>
              </c:extLst>
            </c:dLbl>
            <c:dLbl>
              <c:idx val="3"/>
              <c:delete val="1"/>
              <c:extLst>
                <c:ext xmlns:c15="http://schemas.microsoft.com/office/drawing/2012/chart" uri="{CE6537A1-D6FC-4f65-9D91-7224C49458BB}"/>
                <c:ext xmlns:c16="http://schemas.microsoft.com/office/drawing/2014/chart" uri="{C3380CC4-5D6E-409C-BE32-E72D297353CC}">
                  <c16:uniqueId val="{00000002-8B93-4E1F-8EA2-8292779280C2}"/>
                </c:ext>
              </c:extLst>
            </c:dLbl>
            <c:dLbl>
              <c:idx val="4"/>
              <c:delete val="1"/>
              <c:extLst>
                <c:ext xmlns:c15="http://schemas.microsoft.com/office/drawing/2012/chart" uri="{CE6537A1-D6FC-4f65-9D91-7224C49458BB}"/>
                <c:ext xmlns:c16="http://schemas.microsoft.com/office/drawing/2014/chart" uri="{C3380CC4-5D6E-409C-BE32-E72D297353CC}">
                  <c16:uniqueId val="{00000003-8B93-4E1F-8EA2-8292779280C2}"/>
                </c:ext>
              </c:extLst>
            </c:dLbl>
            <c:dLbl>
              <c:idx val="5"/>
              <c:delete val="1"/>
              <c:extLst>
                <c:ext xmlns:c15="http://schemas.microsoft.com/office/drawing/2012/chart" uri="{CE6537A1-D6FC-4f65-9D91-7224C49458BB}"/>
                <c:ext xmlns:c16="http://schemas.microsoft.com/office/drawing/2014/chart" uri="{C3380CC4-5D6E-409C-BE32-E72D297353CC}">
                  <c16:uniqueId val="{00000004-8B93-4E1F-8EA2-8292779280C2}"/>
                </c:ext>
              </c:extLst>
            </c:dLbl>
            <c:dLbl>
              <c:idx val="6"/>
              <c:tx>
                <c:rich>
                  <a:bodyPr/>
                  <a:lstStyle/>
                  <a:p>
                    <a:r>
                      <a:rPr lang="en-US"/>
                      <a:t>100</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B93-4E1F-8EA2-8292779280C2}"/>
                </c:ext>
              </c:extLst>
            </c:dLbl>
            <c:spPr>
              <a:noFill/>
              <a:ln w="25381">
                <a:noFill/>
              </a:ln>
            </c:spPr>
            <c:txPr>
              <a:bodyPr rot="0" vert="horz"/>
              <a:lstStyle/>
              <a:p>
                <a:pPr>
                  <a:defRPr/>
                </a:pPr>
                <a:endParaRPr lang="ru-RU"/>
              </a:p>
            </c:txPr>
            <c:dLblPos val="t"/>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Лист1!$A$2:$A$9</c:f>
              <c:numCache>
                <c:formatCode>General</c:formatCode>
                <c:ptCount val="8"/>
                <c:pt idx="1">
                  <c:v>0.5</c:v>
                </c:pt>
                <c:pt idx="2">
                  <c:v>1</c:v>
                </c:pt>
                <c:pt idx="3">
                  <c:v>1.5</c:v>
                </c:pt>
                <c:pt idx="4">
                  <c:v>2</c:v>
                </c:pt>
                <c:pt idx="5">
                  <c:v>2.5</c:v>
                </c:pt>
                <c:pt idx="6">
                  <c:v>3</c:v>
                </c:pt>
                <c:pt idx="7">
                  <c:v>3.5</c:v>
                </c:pt>
              </c:numCache>
            </c:numRef>
          </c:cat>
          <c:val>
            <c:numRef>
              <c:f>Лист1!$B$2:$B$9</c:f>
              <c:numCache>
                <c:formatCode>General</c:formatCode>
                <c:ptCount val="8"/>
                <c:pt idx="1">
                  <c:v>75</c:v>
                </c:pt>
                <c:pt idx="2">
                  <c:v>80</c:v>
                </c:pt>
                <c:pt idx="3">
                  <c:v>85</c:v>
                </c:pt>
                <c:pt idx="4">
                  <c:v>90</c:v>
                </c:pt>
                <c:pt idx="5">
                  <c:v>95</c:v>
                </c:pt>
                <c:pt idx="6">
                  <c:v>100</c:v>
                </c:pt>
              </c:numCache>
            </c:numRef>
          </c:val>
          <c:smooth val="0"/>
          <c:extLst>
            <c:ext xmlns:c16="http://schemas.microsoft.com/office/drawing/2014/chart" uri="{C3380CC4-5D6E-409C-BE32-E72D297353CC}">
              <c16:uniqueId val="{00000006-8B93-4E1F-8EA2-8292779280C2}"/>
            </c:ext>
          </c:extLst>
        </c:ser>
        <c:ser>
          <c:idx val="1"/>
          <c:order val="1"/>
          <c:tx>
            <c:strRef>
              <c:f>Лист1!$C$1</c:f>
              <c:strCache>
                <c:ptCount val="1"/>
                <c:pt idx="0">
                  <c:v>Cd</c:v>
                </c:pt>
              </c:strCache>
            </c:strRef>
          </c:tx>
          <c:spPr>
            <a:ln w="28553" cap="rnd">
              <a:solidFill>
                <a:schemeClr val="accent2"/>
              </a:solidFill>
              <a:round/>
              <a:headEnd type="oval"/>
              <a:tailEnd type="oval"/>
            </a:ln>
            <a:effectLst/>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7-8B93-4E1F-8EA2-8292779280C2}"/>
                </c:ext>
              </c:extLst>
            </c:dLbl>
            <c:dLbl>
              <c:idx val="2"/>
              <c:layout>
                <c:manualLayout>
                  <c:x val="5.3240740740740741E-2"/>
                  <c:y val="-0.15873015873015872"/>
                </c:manualLayout>
              </c:layout>
              <c:tx>
                <c:rich>
                  <a:bodyPr/>
                  <a:lstStyle/>
                  <a:p>
                    <a:r>
                      <a:rPr lang="en-US"/>
                      <a:t>Zn</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B93-4E1F-8EA2-8292779280C2}"/>
                </c:ext>
              </c:extLst>
            </c:dLbl>
            <c:dLbl>
              <c:idx val="3"/>
              <c:delete val="1"/>
              <c:extLst>
                <c:ext xmlns:c15="http://schemas.microsoft.com/office/drawing/2012/chart" uri="{CE6537A1-D6FC-4f65-9D91-7224C49458BB}"/>
                <c:ext xmlns:c16="http://schemas.microsoft.com/office/drawing/2014/chart" uri="{C3380CC4-5D6E-409C-BE32-E72D297353CC}">
                  <c16:uniqueId val="{00000009-8B93-4E1F-8EA2-8292779280C2}"/>
                </c:ext>
              </c:extLst>
            </c:dLbl>
            <c:dLbl>
              <c:idx val="4"/>
              <c:delete val="1"/>
              <c:extLst>
                <c:ext xmlns:c15="http://schemas.microsoft.com/office/drawing/2012/chart" uri="{CE6537A1-D6FC-4f65-9D91-7224C49458BB}"/>
                <c:ext xmlns:c16="http://schemas.microsoft.com/office/drawing/2014/chart" uri="{C3380CC4-5D6E-409C-BE32-E72D297353CC}">
                  <c16:uniqueId val="{0000000A-8B93-4E1F-8EA2-8292779280C2}"/>
                </c:ext>
              </c:extLst>
            </c:dLbl>
            <c:dLbl>
              <c:idx val="5"/>
              <c:delete val="1"/>
              <c:extLst>
                <c:ext xmlns:c15="http://schemas.microsoft.com/office/drawing/2012/chart" uri="{CE6537A1-D6FC-4f65-9D91-7224C49458BB}"/>
                <c:ext xmlns:c16="http://schemas.microsoft.com/office/drawing/2014/chart" uri="{C3380CC4-5D6E-409C-BE32-E72D297353CC}">
                  <c16:uniqueId val="{0000000B-8B93-4E1F-8EA2-8292779280C2}"/>
                </c:ext>
              </c:extLst>
            </c:dLbl>
            <c:dLbl>
              <c:idx val="6"/>
              <c:tx>
                <c:rich>
                  <a:bodyPr/>
                  <a:lstStyle/>
                  <a:p>
                    <a:r>
                      <a:rPr lang="en-US"/>
                      <a:t>75</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8B93-4E1F-8EA2-8292779280C2}"/>
                </c:ext>
              </c:extLst>
            </c:dLbl>
            <c:dLbl>
              <c:idx val="7"/>
              <c:layout>
                <c:manualLayout>
                  <c:x val="-6.9444444444446141E-3"/>
                  <c:y val="-7.275048233154282E-17"/>
                </c:manualLayout>
              </c:layout>
              <c:dLblPos val="r"/>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D-8B93-4E1F-8EA2-8292779280C2}"/>
                </c:ext>
              </c:extLst>
            </c:dLbl>
            <c:spPr>
              <a:noFill/>
              <a:ln w="25381">
                <a:noFill/>
              </a:ln>
            </c:spPr>
            <c:txPr>
              <a:bodyPr rot="0" vert="horz"/>
              <a:lstStyle/>
              <a:p>
                <a:pPr>
                  <a:defRPr/>
                </a:pPr>
                <a:endParaRPr lang="ru-RU"/>
              </a:p>
            </c:tx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Лист1!$A$2:$A$9</c:f>
              <c:numCache>
                <c:formatCode>General</c:formatCode>
                <c:ptCount val="8"/>
                <c:pt idx="1">
                  <c:v>0.5</c:v>
                </c:pt>
                <c:pt idx="2">
                  <c:v>1</c:v>
                </c:pt>
                <c:pt idx="3">
                  <c:v>1.5</c:v>
                </c:pt>
                <c:pt idx="4">
                  <c:v>2</c:v>
                </c:pt>
                <c:pt idx="5">
                  <c:v>2.5</c:v>
                </c:pt>
                <c:pt idx="6">
                  <c:v>3</c:v>
                </c:pt>
                <c:pt idx="7">
                  <c:v>3.5</c:v>
                </c:pt>
              </c:numCache>
            </c:numRef>
          </c:cat>
          <c:val>
            <c:numRef>
              <c:f>Лист1!$C$2:$C$9</c:f>
              <c:numCache>
                <c:formatCode>General</c:formatCode>
                <c:ptCount val="8"/>
                <c:pt idx="1">
                  <c:v>0</c:v>
                </c:pt>
                <c:pt idx="2">
                  <c:v>15.5</c:v>
                </c:pt>
                <c:pt idx="3">
                  <c:v>30</c:v>
                </c:pt>
                <c:pt idx="4">
                  <c:v>44.5</c:v>
                </c:pt>
                <c:pt idx="5">
                  <c:v>60</c:v>
                </c:pt>
                <c:pt idx="6">
                  <c:v>75</c:v>
                </c:pt>
              </c:numCache>
            </c:numRef>
          </c:val>
          <c:smooth val="0"/>
          <c:extLst>
            <c:ext xmlns:c16="http://schemas.microsoft.com/office/drawing/2014/chart" uri="{C3380CC4-5D6E-409C-BE32-E72D297353CC}">
              <c16:uniqueId val="{0000000E-8B93-4E1F-8EA2-8292779280C2}"/>
            </c:ext>
          </c:extLst>
        </c:ser>
        <c:ser>
          <c:idx val="2"/>
          <c:order val="2"/>
          <c:tx>
            <c:strRef>
              <c:f>Лист1!$D$1</c:f>
              <c:strCache>
                <c:ptCount val="1"/>
              </c:strCache>
            </c:strRef>
          </c:tx>
          <c:spPr>
            <a:ln w="28553" cap="rnd">
              <a:solidFill>
                <a:schemeClr val="accent3"/>
              </a:solidFill>
              <a:round/>
              <a:headEnd type="oval"/>
              <a:tailEnd type="oval"/>
            </a:ln>
            <a:effectLst/>
          </c:spPr>
          <c:marker>
            <c:symbol val="none"/>
          </c:marker>
          <c:cat>
            <c:numRef>
              <c:f>Лист1!$A$2:$A$9</c:f>
              <c:numCache>
                <c:formatCode>General</c:formatCode>
                <c:ptCount val="8"/>
                <c:pt idx="1">
                  <c:v>0.5</c:v>
                </c:pt>
                <c:pt idx="2">
                  <c:v>1</c:v>
                </c:pt>
                <c:pt idx="3">
                  <c:v>1.5</c:v>
                </c:pt>
                <c:pt idx="4">
                  <c:v>2</c:v>
                </c:pt>
                <c:pt idx="5">
                  <c:v>2.5</c:v>
                </c:pt>
                <c:pt idx="6">
                  <c:v>3</c:v>
                </c:pt>
                <c:pt idx="7">
                  <c:v>3.5</c:v>
                </c:pt>
              </c:numCache>
            </c:numRef>
          </c:cat>
          <c:val>
            <c:numRef>
              <c:f>Лист1!$D$2:$D$9</c:f>
              <c:numCache>
                <c:formatCode>General</c:formatCode>
                <c:ptCount val="8"/>
              </c:numCache>
            </c:numRef>
          </c:val>
          <c:smooth val="0"/>
          <c:extLst>
            <c:ext xmlns:c16="http://schemas.microsoft.com/office/drawing/2014/chart" uri="{C3380CC4-5D6E-409C-BE32-E72D297353CC}">
              <c16:uniqueId val="{0000000F-8B93-4E1F-8EA2-8292779280C2}"/>
            </c:ext>
          </c:extLst>
        </c:ser>
        <c:dLbls>
          <c:showLegendKey val="0"/>
          <c:showVal val="0"/>
          <c:showCatName val="0"/>
          <c:showSerName val="0"/>
          <c:showPercent val="0"/>
          <c:showBubbleSize val="0"/>
        </c:dLbls>
        <c:smooth val="0"/>
        <c:axId val="1390383008"/>
        <c:axId val="1390388448"/>
      </c:lineChart>
      <c:catAx>
        <c:axId val="1390383008"/>
        <c:scaling>
          <c:orientation val="minMax"/>
        </c:scaling>
        <c:delete val="0"/>
        <c:axPos val="b"/>
        <c:title>
          <c:tx>
            <c:rich>
              <a:bodyPr/>
              <a:lstStyle/>
              <a:p>
                <a:pPr>
                  <a:defRPr/>
                </a:pPr>
                <a:r>
                  <a:rPr lang="ru-RU"/>
                  <a:t>t,ч</a:t>
                </a:r>
              </a:p>
            </c:rich>
          </c:tx>
          <c:layout>
            <c:manualLayout>
              <c:xMode val="edge"/>
              <c:yMode val="edge"/>
              <c:x val="0.90678721377885685"/>
              <c:y val="0.8960118220516553"/>
            </c:manualLayout>
          </c:layout>
          <c:overlay val="0"/>
          <c:spPr>
            <a:noFill/>
            <a:ln w="25381">
              <a:noFill/>
            </a:ln>
          </c:spPr>
        </c:title>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vert="horz"/>
          <a:lstStyle/>
          <a:p>
            <a:pPr>
              <a:defRPr/>
            </a:pPr>
            <a:endParaRPr lang="ru-RU"/>
          </a:p>
        </c:txPr>
        <c:crossAx val="1390388448"/>
        <c:crosses val="autoZero"/>
        <c:auto val="1"/>
        <c:lblAlgn val="ctr"/>
        <c:lblOffset val="100"/>
        <c:noMultiLvlLbl val="0"/>
      </c:catAx>
      <c:valAx>
        <c:axId val="1390388448"/>
        <c:scaling>
          <c:orientation val="minMax"/>
        </c:scaling>
        <c:delete val="0"/>
        <c:axPos val="l"/>
        <c:title>
          <c:tx>
            <c:rich>
              <a:bodyPr rot="0" vert="horz"/>
              <a:lstStyle/>
              <a:p>
                <a:pPr algn="ctr">
                  <a:defRPr/>
                </a:pPr>
                <a:r>
                  <a:rPr lang="ru-RU"/>
                  <a:t>Sorption at pH 7,%</a:t>
                </a:r>
              </a:p>
            </c:rich>
          </c:tx>
          <c:layout>
            <c:manualLayout>
              <c:xMode val="edge"/>
              <c:yMode val="edge"/>
              <c:x val="7.6388952232759655E-2"/>
              <c:y val="6.8822867729769074E-2"/>
            </c:manualLayout>
          </c:layout>
          <c:overlay val="0"/>
          <c:spPr>
            <a:noFill/>
            <a:ln w="25381">
              <a:noFill/>
            </a:ln>
          </c:spPr>
        </c:title>
        <c:numFmt formatCode="General" sourceLinked="1"/>
        <c:majorTickMark val="none"/>
        <c:minorTickMark val="none"/>
        <c:tickLblPos val="nextTo"/>
        <c:spPr>
          <a:ln w="6345">
            <a:noFill/>
          </a:ln>
        </c:spPr>
        <c:txPr>
          <a:bodyPr rot="-60000000" vert="horz"/>
          <a:lstStyle/>
          <a:p>
            <a:pPr>
              <a:defRPr/>
            </a:pPr>
            <a:endParaRPr lang="ru-RU"/>
          </a:p>
        </c:txPr>
        <c:crossAx val="1390383008"/>
        <c:crosses val="autoZero"/>
        <c:crossBetween val="between"/>
      </c:valAx>
      <c:spPr>
        <a:noFill/>
        <a:ln w="25381">
          <a:noFill/>
        </a:ln>
      </c:spPr>
    </c:plotArea>
    <c:plotVisOnly val="1"/>
    <c:dispBlanksAs val="gap"/>
    <c:showDLblsOverMax val="0"/>
  </c:chart>
  <c:spPr>
    <a:solidFill>
      <a:schemeClr val="bg1"/>
    </a:solidFill>
    <a:ln w="9518"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136021068432436"/>
          <c:y val="8.9970185765614247E-2"/>
          <c:w val="0.80310385680956542"/>
          <c:h val="0.7901913717096043"/>
        </c:manualLayout>
      </c:layout>
      <c:lineChart>
        <c:grouping val="standard"/>
        <c:varyColors val="0"/>
        <c:ser>
          <c:idx val="0"/>
          <c:order val="0"/>
          <c:tx>
            <c:strRef>
              <c:f>Лист1!$B$1</c:f>
              <c:strCache>
                <c:ptCount val="1"/>
                <c:pt idx="0">
                  <c:v>Pb</c:v>
                </c:pt>
              </c:strCache>
            </c:strRef>
          </c:tx>
          <c:spPr>
            <a:ln w="28562" cap="rnd">
              <a:solidFill>
                <a:schemeClr val="accent1"/>
              </a:solidFill>
              <a:round/>
              <a:headEnd type="oval"/>
              <a:tailEnd type="oval"/>
            </a:ln>
            <a:effectLst/>
          </c:spPr>
          <c:marker>
            <c:symbol val="none"/>
          </c:marker>
          <c:dLbls>
            <c:dLbl>
              <c:idx val="1"/>
              <c:layout>
                <c:manualLayout>
                  <c:x val="5.3337384273871798E-5"/>
                  <c:y val="-4.7598608313495695E-2"/>
                </c:manualLayout>
              </c:layout>
              <c:tx>
                <c:rich>
                  <a:bodyPr/>
                  <a:lstStyle/>
                  <a:p>
                    <a:r>
                      <a:rPr lang="en-US"/>
                      <a:t>87,5</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50D-4C8B-87A4-005A0DE80CE1}"/>
                </c:ext>
              </c:extLst>
            </c:dLbl>
            <c:dLbl>
              <c:idx val="2"/>
              <c:layout>
                <c:manualLayout>
                  <c:x val="0.29321768789053659"/>
                  <c:y val="0.29114644650001276"/>
                </c:manualLayout>
              </c:layout>
              <c:tx>
                <c:rich>
                  <a:bodyPr/>
                  <a:lstStyle/>
                  <a:p>
                    <a:r>
                      <a:rPr lang="en-US"/>
                      <a:t>Pb</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50D-4C8B-87A4-005A0DE80CE1}"/>
                </c:ext>
              </c:extLst>
            </c:dLbl>
            <c:dLbl>
              <c:idx val="3"/>
              <c:delete val="1"/>
              <c:extLst>
                <c:ext xmlns:c15="http://schemas.microsoft.com/office/drawing/2012/chart" uri="{CE6537A1-D6FC-4f65-9D91-7224C49458BB}"/>
                <c:ext xmlns:c16="http://schemas.microsoft.com/office/drawing/2014/chart" uri="{C3380CC4-5D6E-409C-BE32-E72D297353CC}">
                  <c16:uniqueId val="{00000002-850D-4C8B-87A4-005A0DE80CE1}"/>
                </c:ext>
              </c:extLst>
            </c:dLbl>
            <c:dLbl>
              <c:idx val="4"/>
              <c:delete val="1"/>
              <c:extLst>
                <c:ext xmlns:c15="http://schemas.microsoft.com/office/drawing/2012/chart" uri="{CE6537A1-D6FC-4f65-9D91-7224C49458BB}"/>
                <c:ext xmlns:c16="http://schemas.microsoft.com/office/drawing/2014/chart" uri="{C3380CC4-5D6E-409C-BE32-E72D297353CC}">
                  <c16:uniqueId val="{00000003-850D-4C8B-87A4-005A0DE80CE1}"/>
                </c:ext>
              </c:extLst>
            </c:dLbl>
            <c:dLbl>
              <c:idx val="5"/>
              <c:delete val="1"/>
              <c:extLst>
                <c:ext xmlns:c15="http://schemas.microsoft.com/office/drawing/2012/chart" uri="{CE6537A1-D6FC-4f65-9D91-7224C49458BB}"/>
                <c:ext xmlns:c16="http://schemas.microsoft.com/office/drawing/2014/chart" uri="{C3380CC4-5D6E-409C-BE32-E72D297353CC}">
                  <c16:uniqueId val="{00000004-850D-4C8B-87A4-005A0DE80CE1}"/>
                </c:ext>
              </c:extLst>
            </c:dLbl>
            <c:dLbl>
              <c:idx val="6"/>
              <c:tx>
                <c:rich>
                  <a:bodyPr/>
                  <a:lstStyle/>
                  <a:p>
                    <a:r>
                      <a:rPr lang="en-US"/>
                      <a:t>5</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50D-4C8B-87A4-005A0DE80CE1}"/>
                </c:ext>
              </c:extLst>
            </c:dLbl>
            <c:dLbl>
              <c:idx val="7"/>
              <c:layout>
                <c:manualLayout>
                  <c:x val="-1.4959536307961504E-2"/>
                  <c:y val="-2.5763967004124484E-2"/>
                </c:manualLayout>
              </c:layout>
              <c:tx>
                <c:rich>
                  <a:bodyPr/>
                  <a:lstStyle/>
                  <a:p>
                    <a:r>
                      <a:rPr lang="en-US"/>
                      <a:t>87,5</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50D-4C8B-87A4-005A0DE80CE1}"/>
                </c:ext>
              </c:extLst>
            </c:dLbl>
            <c:spPr>
              <a:noFill/>
              <a:ln w="25389">
                <a:noFill/>
              </a:ln>
            </c:spPr>
            <c:txPr>
              <a:bodyPr rot="0" vert="horz"/>
              <a:lstStyle/>
              <a:p>
                <a:pPr>
                  <a:defRPr/>
                </a:pPr>
                <a:endParaRPr lang="ru-RU"/>
              </a:p>
            </c:txPr>
            <c:dLblPos val="t"/>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1">
                  <c:v>0.5</c:v>
                </c:pt>
                <c:pt idx="2">
                  <c:v>1</c:v>
                </c:pt>
                <c:pt idx="3">
                  <c:v>1.5</c:v>
                </c:pt>
                <c:pt idx="4">
                  <c:v>2</c:v>
                </c:pt>
                <c:pt idx="5">
                  <c:v>2.5</c:v>
                </c:pt>
                <c:pt idx="6">
                  <c:v>3</c:v>
                </c:pt>
              </c:numCache>
            </c:numRef>
          </c:cat>
          <c:val>
            <c:numRef>
              <c:f>Лист1!$B$2:$B$8</c:f>
              <c:numCache>
                <c:formatCode>General</c:formatCode>
                <c:ptCount val="7"/>
                <c:pt idx="1">
                  <c:v>87.5</c:v>
                </c:pt>
                <c:pt idx="2">
                  <c:v>72</c:v>
                </c:pt>
                <c:pt idx="3">
                  <c:v>57</c:v>
                </c:pt>
                <c:pt idx="4">
                  <c:v>41</c:v>
                </c:pt>
                <c:pt idx="5">
                  <c:v>23</c:v>
                </c:pt>
                <c:pt idx="6">
                  <c:v>5</c:v>
                </c:pt>
              </c:numCache>
            </c:numRef>
          </c:val>
          <c:smooth val="0"/>
          <c:extLst>
            <c:ext xmlns:c16="http://schemas.microsoft.com/office/drawing/2014/chart" uri="{C3380CC4-5D6E-409C-BE32-E72D297353CC}">
              <c16:uniqueId val="{00000007-850D-4C8B-87A4-005A0DE80CE1}"/>
            </c:ext>
          </c:extLst>
        </c:ser>
        <c:ser>
          <c:idx val="1"/>
          <c:order val="1"/>
          <c:tx>
            <c:strRef>
              <c:f>Лист1!$C$1</c:f>
              <c:strCache>
                <c:ptCount val="1"/>
                <c:pt idx="0">
                  <c:v>Cd</c:v>
                </c:pt>
              </c:strCache>
            </c:strRef>
          </c:tx>
          <c:spPr>
            <a:ln w="28562" cap="rnd">
              <a:solidFill>
                <a:schemeClr val="accent2"/>
              </a:solidFill>
              <a:round/>
              <a:headEnd type="oval"/>
              <a:tailEnd type="oval"/>
            </a:ln>
            <a:effectLst/>
          </c:spPr>
          <c:marker>
            <c:symbol val="none"/>
          </c:marker>
          <c:dLbls>
            <c:dLbl>
              <c:idx val="1"/>
              <c:layout>
                <c:manualLayout>
                  <c:x val="-6.7808732030323574E-2"/>
                  <c:y val="0"/>
                </c:manualLayout>
              </c:layout>
              <c:tx>
                <c:rich>
                  <a:bodyPr/>
                  <a:lstStyle/>
                  <a:p>
                    <a:r>
                      <a:rPr lang="en-US"/>
                      <a:t>75</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50D-4C8B-87A4-005A0DE80CE1}"/>
                </c:ext>
              </c:extLst>
            </c:dLbl>
            <c:dLbl>
              <c:idx val="2"/>
              <c:layout>
                <c:manualLayout>
                  <c:x val="0.13425925925925927"/>
                  <c:y val="3.968253968253968E-2"/>
                </c:manualLayout>
              </c:layout>
              <c:tx>
                <c:rich>
                  <a:bodyPr/>
                  <a:lstStyle/>
                  <a:p>
                    <a:r>
                      <a:rPr lang="en-US"/>
                      <a:t>Cd</a:t>
                    </a:r>
                  </a:p>
                </c:rich>
              </c:tx>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50D-4C8B-87A4-005A0DE80CE1}"/>
                </c:ext>
              </c:extLst>
            </c:dLbl>
            <c:dLbl>
              <c:idx val="3"/>
              <c:delete val="1"/>
              <c:extLst>
                <c:ext xmlns:c15="http://schemas.microsoft.com/office/drawing/2012/chart" uri="{CE6537A1-D6FC-4f65-9D91-7224C49458BB}"/>
                <c:ext xmlns:c16="http://schemas.microsoft.com/office/drawing/2014/chart" uri="{C3380CC4-5D6E-409C-BE32-E72D297353CC}">
                  <c16:uniqueId val="{0000000A-850D-4C8B-87A4-005A0DE80CE1}"/>
                </c:ext>
              </c:extLst>
            </c:dLbl>
            <c:dLbl>
              <c:idx val="4"/>
              <c:delete val="1"/>
              <c:extLst>
                <c:ext xmlns:c15="http://schemas.microsoft.com/office/drawing/2012/chart" uri="{CE6537A1-D6FC-4f65-9D91-7224C49458BB}"/>
                <c:ext xmlns:c16="http://schemas.microsoft.com/office/drawing/2014/chart" uri="{C3380CC4-5D6E-409C-BE32-E72D297353CC}">
                  <c16:uniqueId val="{0000000B-850D-4C8B-87A4-005A0DE80CE1}"/>
                </c:ext>
              </c:extLst>
            </c:dLbl>
            <c:dLbl>
              <c:idx val="5"/>
              <c:delete val="1"/>
              <c:extLst>
                <c:ext xmlns:c15="http://schemas.microsoft.com/office/drawing/2012/chart" uri="{CE6537A1-D6FC-4f65-9D91-7224C49458BB}"/>
                <c:ext xmlns:c16="http://schemas.microsoft.com/office/drawing/2014/chart" uri="{C3380CC4-5D6E-409C-BE32-E72D297353CC}">
                  <c16:uniqueId val="{0000000C-850D-4C8B-87A4-005A0DE80CE1}"/>
                </c:ext>
              </c:extLst>
            </c:dLbl>
            <c:dLbl>
              <c:idx val="6"/>
              <c:tx>
                <c:rich>
                  <a:bodyPr/>
                  <a:lstStyle/>
                  <a:p>
                    <a:r>
                      <a:rPr lang="en-US"/>
                      <a:t>35</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50D-4C8B-87A4-005A0DE80CE1}"/>
                </c:ext>
              </c:extLst>
            </c:dLbl>
            <c:dLbl>
              <c:idx val="7"/>
              <c:layout>
                <c:manualLayout>
                  <c:x val="-6.9444444444446141E-3"/>
                  <c:y val="-7.275048233154282E-17"/>
                </c:manualLayout>
              </c:layout>
              <c:tx>
                <c:rich>
                  <a:bodyPr/>
                  <a:lstStyle/>
                  <a:p>
                    <a:fld id="{8B2E99F3-4FA7-45DE-8768-F2FCF70C52D7}" type="VALUE">
                      <a:rPr lang="en-US" baseline="0"/>
                      <a:pPr/>
                      <a:t>[ЗНАЧЕНИЕ]</a:t>
                    </a:fld>
                    <a:endParaRPr lang="ru-RU"/>
                  </a:p>
                </c:rich>
              </c:tx>
              <c:dLblPos val="r"/>
              <c:showLegendKey val="0"/>
              <c:showVal val="0"/>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E-850D-4C8B-87A4-005A0DE80CE1}"/>
                </c:ext>
              </c:extLst>
            </c:dLbl>
            <c:spPr>
              <a:noFill/>
              <a:ln w="25389">
                <a:noFill/>
              </a:ln>
            </c:spPr>
            <c:txPr>
              <a:bodyPr rot="0" vert="horz"/>
              <a:lstStyle/>
              <a:p>
                <a:pPr>
                  <a:defRPr/>
                </a:pPr>
                <a:endParaRPr lang="ru-RU"/>
              </a:p>
            </c:txPr>
            <c:showLegendKey val="0"/>
            <c:showVal val="1"/>
            <c:showCatName val="1"/>
            <c:showSerName val="1"/>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1">
                  <c:v>0.5</c:v>
                </c:pt>
                <c:pt idx="2">
                  <c:v>1</c:v>
                </c:pt>
                <c:pt idx="3">
                  <c:v>1.5</c:v>
                </c:pt>
                <c:pt idx="4">
                  <c:v>2</c:v>
                </c:pt>
                <c:pt idx="5">
                  <c:v>2.5</c:v>
                </c:pt>
                <c:pt idx="6">
                  <c:v>3</c:v>
                </c:pt>
              </c:numCache>
            </c:numRef>
          </c:cat>
          <c:val>
            <c:numRef>
              <c:f>Лист1!$C$2:$C$8</c:f>
              <c:numCache>
                <c:formatCode>General</c:formatCode>
                <c:ptCount val="7"/>
                <c:pt idx="1">
                  <c:v>75</c:v>
                </c:pt>
                <c:pt idx="2">
                  <c:v>66.5</c:v>
                </c:pt>
                <c:pt idx="3">
                  <c:v>58</c:v>
                </c:pt>
                <c:pt idx="4">
                  <c:v>50.5</c:v>
                </c:pt>
                <c:pt idx="5">
                  <c:v>43</c:v>
                </c:pt>
                <c:pt idx="6">
                  <c:v>35</c:v>
                </c:pt>
              </c:numCache>
            </c:numRef>
          </c:val>
          <c:smooth val="0"/>
          <c:extLst>
            <c:ext xmlns:c16="http://schemas.microsoft.com/office/drawing/2014/chart" uri="{C3380CC4-5D6E-409C-BE32-E72D297353CC}">
              <c16:uniqueId val="{0000000F-850D-4C8B-87A4-005A0DE80CE1}"/>
            </c:ext>
          </c:extLst>
        </c:ser>
        <c:ser>
          <c:idx val="2"/>
          <c:order val="2"/>
          <c:tx>
            <c:strRef>
              <c:f>Лист1!$D$1</c:f>
              <c:strCache>
                <c:ptCount val="1"/>
                <c:pt idx="0">
                  <c:v>Zn</c:v>
                </c:pt>
              </c:strCache>
            </c:strRef>
          </c:tx>
          <c:dLbls>
            <c:dLbl>
              <c:idx val="1"/>
              <c:layout>
                <c:manualLayout>
                  <c:x val="-8.5730400451212677E-2"/>
                  <c:y val="-6.4724919093851726E-3"/>
                </c:manualLayout>
              </c:layout>
              <c:tx>
                <c:rich>
                  <a:bodyPr/>
                  <a:lstStyle/>
                  <a:p>
                    <a:r>
                      <a:rPr lang="en-US"/>
                      <a:t>37,5</a:t>
                    </a:r>
                  </a:p>
                </c:rich>
              </c:tx>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10-850D-4C8B-87A4-005A0DE80CE1}"/>
                </c:ext>
              </c:extLst>
            </c:dLbl>
            <c:dLbl>
              <c:idx val="2"/>
              <c:delete val="1"/>
              <c:extLst>
                <c:ext xmlns:c15="http://schemas.microsoft.com/office/drawing/2012/chart" uri="{CE6537A1-D6FC-4f65-9D91-7224C49458BB}"/>
                <c:ext xmlns:c16="http://schemas.microsoft.com/office/drawing/2014/chart" uri="{C3380CC4-5D6E-409C-BE32-E72D297353CC}">
                  <c16:uniqueId val="{00000011-850D-4C8B-87A4-005A0DE80CE1}"/>
                </c:ext>
              </c:extLst>
            </c:dLbl>
            <c:dLbl>
              <c:idx val="3"/>
              <c:layout>
                <c:manualLayout>
                  <c:x val="6.7681895093062603E-3"/>
                  <c:y val="-5.1779935275080909E-2"/>
                </c:manualLayout>
              </c:layout>
              <c:tx>
                <c:rich>
                  <a:bodyPr/>
                  <a:lstStyle/>
                  <a:p>
                    <a:r>
                      <a:rPr lang="en-US"/>
                      <a:t>Zn</a:t>
                    </a:r>
                  </a:p>
                </c:rich>
              </c:tx>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12-850D-4C8B-87A4-005A0DE80CE1}"/>
                </c:ext>
              </c:extLst>
            </c:dLbl>
            <c:dLbl>
              <c:idx val="4"/>
              <c:delete val="1"/>
              <c:extLst>
                <c:ext xmlns:c15="http://schemas.microsoft.com/office/drawing/2012/chart" uri="{CE6537A1-D6FC-4f65-9D91-7224C49458BB}"/>
                <c:ext xmlns:c16="http://schemas.microsoft.com/office/drawing/2014/chart" uri="{C3380CC4-5D6E-409C-BE32-E72D297353CC}">
                  <c16:uniqueId val="{00000013-850D-4C8B-87A4-005A0DE80CE1}"/>
                </c:ext>
              </c:extLst>
            </c:dLbl>
            <c:dLbl>
              <c:idx val="5"/>
              <c:delete val="1"/>
              <c:extLst>
                <c:ext xmlns:c15="http://schemas.microsoft.com/office/drawing/2012/chart" uri="{CE6537A1-D6FC-4f65-9D91-7224C49458BB}"/>
                <c:ext xmlns:c16="http://schemas.microsoft.com/office/drawing/2014/chart" uri="{C3380CC4-5D6E-409C-BE32-E72D297353CC}">
                  <c16:uniqueId val="{00000014-850D-4C8B-87A4-005A0DE80CE1}"/>
                </c:ext>
              </c:extLst>
            </c:dLbl>
            <c:dLbl>
              <c:idx val="6"/>
              <c:delete val="1"/>
              <c:extLst>
                <c:ext xmlns:c15="http://schemas.microsoft.com/office/drawing/2012/chart" uri="{CE6537A1-D6FC-4f65-9D91-7224C49458BB}"/>
                <c:ext xmlns:c16="http://schemas.microsoft.com/office/drawing/2014/chart" uri="{C3380CC4-5D6E-409C-BE32-E72D297353CC}">
                  <c16:uniqueId val="{00000015-850D-4C8B-87A4-005A0DE80CE1}"/>
                </c:ext>
              </c:extLst>
            </c:dLbl>
            <c:spPr>
              <a:noFill/>
              <a:ln>
                <a:noFill/>
              </a:ln>
              <a:effectLst/>
            </c:spPr>
            <c:showLegendKey val="0"/>
            <c:showVal val="1"/>
            <c:showCatName val="0"/>
            <c:showSerName val="1"/>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1">
                  <c:v>0.5</c:v>
                </c:pt>
                <c:pt idx="2">
                  <c:v>1</c:v>
                </c:pt>
                <c:pt idx="3">
                  <c:v>1.5</c:v>
                </c:pt>
                <c:pt idx="4">
                  <c:v>2</c:v>
                </c:pt>
                <c:pt idx="5">
                  <c:v>2.5</c:v>
                </c:pt>
                <c:pt idx="6">
                  <c:v>3</c:v>
                </c:pt>
              </c:numCache>
            </c:numRef>
          </c:cat>
          <c:val>
            <c:numRef>
              <c:f>Лист1!$D$2:$D$8</c:f>
              <c:numCache>
                <c:formatCode>General</c:formatCode>
                <c:ptCount val="7"/>
                <c:pt idx="1">
                  <c:v>37.5</c:v>
                </c:pt>
                <c:pt idx="2">
                  <c:v>30</c:v>
                </c:pt>
                <c:pt idx="3">
                  <c:v>22</c:v>
                </c:pt>
                <c:pt idx="4">
                  <c:v>14.5</c:v>
                </c:pt>
                <c:pt idx="5">
                  <c:v>7</c:v>
                </c:pt>
                <c:pt idx="6">
                  <c:v>0</c:v>
                </c:pt>
              </c:numCache>
            </c:numRef>
          </c:val>
          <c:smooth val="0"/>
          <c:extLst>
            <c:ext xmlns:c16="http://schemas.microsoft.com/office/drawing/2014/chart" uri="{C3380CC4-5D6E-409C-BE32-E72D297353CC}">
              <c16:uniqueId val="{00000016-850D-4C8B-87A4-005A0DE80CE1}"/>
            </c:ext>
          </c:extLst>
        </c:ser>
        <c:dLbls>
          <c:showLegendKey val="0"/>
          <c:showVal val="0"/>
          <c:showCatName val="0"/>
          <c:showSerName val="0"/>
          <c:showPercent val="0"/>
          <c:showBubbleSize val="0"/>
        </c:dLbls>
        <c:smooth val="0"/>
        <c:axId val="1390393344"/>
        <c:axId val="1390393888"/>
      </c:lineChart>
      <c:catAx>
        <c:axId val="1390393344"/>
        <c:scaling>
          <c:orientation val="minMax"/>
        </c:scaling>
        <c:delete val="0"/>
        <c:axPos val="b"/>
        <c:title>
          <c:tx>
            <c:rich>
              <a:bodyPr/>
              <a:lstStyle/>
              <a:p>
                <a:pPr>
                  <a:defRPr/>
                </a:pPr>
                <a:r>
                  <a:rPr lang="ru-RU"/>
                  <a:t>t,ч</a:t>
                </a:r>
              </a:p>
            </c:rich>
          </c:tx>
          <c:layout>
            <c:manualLayout>
              <c:xMode val="edge"/>
              <c:yMode val="edge"/>
              <c:x val="0.90678718731587127"/>
              <c:y val="0.89601174260800331"/>
            </c:manualLayout>
          </c:layout>
          <c:overlay val="0"/>
          <c:spPr>
            <a:noFill/>
            <a:ln w="25389">
              <a:noFill/>
            </a:ln>
          </c:spPr>
        </c:title>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vert="horz"/>
          <a:lstStyle/>
          <a:p>
            <a:pPr>
              <a:defRPr/>
            </a:pPr>
            <a:endParaRPr lang="ru-RU"/>
          </a:p>
        </c:txPr>
        <c:crossAx val="1390393888"/>
        <c:crosses val="autoZero"/>
        <c:auto val="1"/>
        <c:lblAlgn val="ctr"/>
        <c:lblOffset val="100"/>
        <c:noMultiLvlLbl val="0"/>
      </c:catAx>
      <c:valAx>
        <c:axId val="1390393888"/>
        <c:scaling>
          <c:orientation val="minMax"/>
        </c:scaling>
        <c:delete val="0"/>
        <c:axPos val="l"/>
        <c:title>
          <c:tx>
            <c:rich>
              <a:bodyPr rot="0" vert="horz"/>
              <a:lstStyle/>
              <a:p>
                <a:pPr algn="ctr">
                  <a:defRPr/>
                </a:pPr>
                <a:r>
                  <a:rPr lang="en-US"/>
                  <a:t>Sorption at pH 8,%</a:t>
                </a:r>
              </a:p>
            </c:rich>
          </c:tx>
          <c:layout>
            <c:manualLayout>
              <c:xMode val="edge"/>
              <c:yMode val="edge"/>
              <c:x val="9.0277822415055262E-2"/>
              <c:y val="4.5012998967546118E-2"/>
            </c:manualLayout>
          </c:layout>
          <c:overlay val="0"/>
          <c:spPr>
            <a:noFill/>
            <a:ln w="25389">
              <a:noFill/>
            </a:ln>
          </c:spPr>
        </c:title>
        <c:numFmt formatCode="General" sourceLinked="1"/>
        <c:majorTickMark val="none"/>
        <c:minorTickMark val="none"/>
        <c:tickLblPos val="nextTo"/>
        <c:spPr>
          <a:ln w="6347">
            <a:noFill/>
          </a:ln>
        </c:spPr>
        <c:txPr>
          <a:bodyPr rot="-60000000" vert="horz"/>
          <a:lstStyle/>
          <a:p>
            <a:pPr>
              <a:defRPr/>
            </a:pPr>
            <a:endParaRPr lang="ru-RU"/>
          </a:p>
        </c:txPr>
        <c:crossAx val="1390393344"/>
        <c:crosses val="autoZero"/>
        <c:crossBetween val="between"/>
      </c:valAx>
      <c:spPr>
        <a:noFill/>
        <a:ln>
          <a:solidFill>
            <a:schemeClr val="bg1"/>
          </a:solidFill>
        </a:ln>
        <a:effectLst/>
      </c:spPr>
    </c:plotArea>
    <c:plotVisOnly val="1"/>
    <c:dispBlanksAs val="gap"/>
    <c:showDLblsOverMax val="0"/>
  </c:chart>
  <c:spPr>
    <a:solidFill>
      <a:schemeClr val="bg1"/>
    </a:solidFill>
    <a:ln w="9521"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Pb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dLbl>
              <c:idx val="0"/>
              <c:layout>
                <c:manualLayout>
                  <c:x val="0"/>
                  <c:y val="-5.04731861198738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F83-4280-9FA6-7153F7257AAE}"/>
                </c:ext>
              </c:extLst>
            </c:dLbl>
            <c:dLbl>
              <c:idx val="1"/>
              <c:layout>
                <c:manualLayout>
                  <c:x val="7.5046904315196079E-3"/>
                  <c:y val="-4.2060988433228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83-4280-9FA6-7153F7257AAE}"/>
                </c:ext>
              </c:extLst>
            </c:dLbl>
            <c:spPr>
              <a:noFill/>
              <a:ln w="25385">
                <a:noFill/>
              </a:ln>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Лист1!$A$2:$A$3</c:f>
              <c:strCache>
                <c:ptCount val="2"/>
                <c:pt idx="0">
                  <c:v>рН2,6</c:v>
                </c:pt>
                <c:pt idx="1">
                  <c:v>рН8,0</c:v>
                </c:pt>
              </c:strCache>
            </c:strRef>
          </c:cat>
          <c:val>
            <c:numRef>
              <c:f>Лист1!$B$2:$B$3</c:f>
              <c:numCache>
                <c:formatCode>General</c:formatCode>
                <c:ptCount val="2"/>
                <c:pt idx="0">
                  <c:v>51.3</c:v>
                </c:pt>
                <c:pt idx="1">
                  <c:v>96.5</c:v>
                </c:pt>
              </c:numCache>
            </c:numRef>
          </c:val>
          <c:extLst>
            <c:ext xmlns:c16="http://schemas.microsoft.com/office/drawing/2014/chart" uri="{C3380CC4-5D6E-409C-BE32-E72D297353CC}">
              <c16:uniqueId val="{00000002-1F83-4280-9FA6-7153F7257AAE}"/>
            </c:ext>
          </c:extLst>
        </c:ser>
        <c:ser>
          <c:idx val="1"/>
          <c:order val="1"/>
          <c:tx>
            <c:strRef>
              <c:f>Лист1!$C$1</c:f>
              <c:strCache>
                <c:ptCount val="1"/>
                <c:pt idx="0">
                  <c:v>Cd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dLbls>
            <c:dLbl>
              <c:idx val="0"/>
              <c:layout>
                <c:manualLayout>
                  <c:x val="5.0031269543464665E-3"/>
                  <c:y val="-2.52365930599369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F83-4280-9FA6-7153F7257AAE}"/>
                </c:ext>
              </c:extLst>
            </c:dLbl>
            <c:dLbl>
              <c:idx val="1"/>
              <c:layout>
                <c:manualLayout>
                  <c:x val="5.0031269543464665E-3"/>
                  <c:y val="-3.78548895899053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F83-4280-9FA6-7153F7257AAE}"/>
                </c:ext>
              </c:extLst>
            </c:dLbl>
            <c:spPr>
              <a:noFill/>
              <a:ln w="25385">
                <a:noFill/>
              </a:ln>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errBars>
            <c:errBarType val="both"/>
            <c:errValType val="percentage"/>
            <c:noEndCap val="0"/>
            <c:val val="5"/>
          </c:errBars>
          <c:cat>
            <c:strRef>
              <c:f>Лист1!$A$2:$A$3</c:f>
              <c:strCache>
                <c:ptCount val="2"/>
                <c:pt idx="0">
                  <c:v>рН2,6</c:v>
                </c:pt>
                <c:pt idx="1">
                  <c:v>рН8,0</c:v>
                </c:pt>
              </c:strCache>
            </c:strRef>
          </c:cat>
          <c:val>
            <c:numRef>
              <c:f>Лист1!$C$2:$C$3</c:f>
              <c:numCache>
                <c:formatCode>General</c:formatCode>
                <c:ptCount val="2"/>
                <c:pt idx="0">
                  <c:v>37.5</c:v>
                </c:pt>
                <c:pt idx="1">
                  <c:v>73.2</c:v>
                </c:pt>
              </c:numCache>
            </c:numRef>
          </c:val>
          <c:extLst>
            <c:ext xmlns:c16="http://schemas.microsoft.com/office/drawing/2014/chart" uri="{C3380CC4-5D6E-409C-BE32-E72D297353CC}">
              <c16:uniqueId val="{00000005-1F83-4280-9FA6-7153F7257AAE}"/>
            </c:ext>
          </c:extLst>
        </c:ser>
        <c:ser>
          <c:idx val="2"/>
          <c:order val="2"/>
          <c:tx>
            <c:strRef>
              <c:f>Лист1!$D$1</c:f>
              <c:strCache>
                <c:ptCount val="1"/>
                <c:pt idx="0">
                  <c:v>Zn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invertIfNegative val="0"/>
          <c:dLbls>
            <c:spPr>
              <a:noFill/>
              <a:ln w="25385">
                <a:noFill/>
              </a:ln>
            </c:spPr>
            <c:txPr>
              <a:bodyPr rot="0" vert="horz"/>
              <a:lstStyle/>
              <a:p>
                <a:pPr>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Лист1!$A$2:$A$3</c:f>
              <c:strCache>
                <c:ptCount val="2"/>
                <c:pt idx="0">
                  <c:v>рН2,6</c:v>
                </c:pt>
                <c:pt idx="1">
                  <c:v>рН8,0</c:v>
                </c:pt>
              </c:strCache>
            </c:strRef>
          </c:cat>
          <c:val>
            <c:numRef>
              <c:f>Лист1!$D$2:$D$3</c:f>
              <c:numCache>
                <c:formatCode>General</c:formatCode>
                <c:ptCount val="2"/>
                <c:pt idx="0">
                  <c:v>0</c:v>
                </c:pt>
                <c:pt idx="1">
                  <c:v>62.3</c:v>
                </c:pt>
              </c:numCache>
            </c:numRef>
          </c:val>
          <c:extLst>
            <c:ext xmlns:c16="http://schemas.microsoft.com/office/drawing/2014/chart" uri="{C3380CC4-5D6E-409C-BE32-E72D297353CC}">
              <c16:uniqueId val="{00000006-1F83-4280-9FA6-7153F7257AAE}"/>
            </c:ext>
          </c:extLst>
        </c:ser>
        <c:dLbls>
          <c:showLegendKey val="0"/>
          <c:showVal val="0"/>
          <c:showCatName val="0"/>
          <c:showSerName val="0"/>
          <c:showPercent val="0"/>
          <c:showBubbleSize val="0"/>
        </c:dLbls>
        <c:gapWidth val="150"/>
        <c:axId val="1390396064"/>
        <c:axId val="1390394976"/>
      </c:barChart>
      <c:catAx>
        <c:axId val="1390396064"/>
        <c:scaling>
          <c:orientation val="minMax"/>
        </c:scaling>
        <c:delete val="0"/>
        <c:axPos val="b"/>
        <c:numFmt formatCode="General" sourceLinked="1"/>
        <c:majorTickMark val="none"/>
        <c:minorTickMark val="none"/>
        <c:tickLblPos val="nextTo"/>
        <c:spPr>
          <a:noFill/>
          <a:ln w="9520" cap="flat" cmpd="sng" algn="ctr">
            <a:solidFill>
              <a:schemeClr val="tx2">
                <a:lumMod val="15000"/>
                <a:lumOff val="85000"/>
              </a:schemeClr>
            </a:solidFill>
            <a:round/>
          </a:ln>
          <a:effectLst/>
        </c:spPr>
        <c:txPr>
          <a:bodyPr rot="-60000000" vert="horz"/>
          <a:lstStyle/>
          <a:p>
            <a:pPr>
              <a:defRPr/>
            </a:pPr>
            <a:endParaRPr lang="ru-RU"/>
          </a:p>
        </c:txPr>
        <c:crossAx val="1390394976"/>
        <c:crosses val="autoZero"/>
        <c:auto val="1"/>
        <c:lblAlgn val="ctr"/>
        <c:lblOffset val="100"/>
        <c:noMultiLvlLbl val="0"/>
      </c:catAx>
      <c:valAx>
        <c:axId val="1390394976"/>
        <c:scaling>
          <c:orientation val="minMax"/>
        </c:scaling>
        <c:delete val="0"/>
        <c:axPos val="l"/>
        <c:majorGridlines>
          <c:spPr>
            <a:ln w="9520" cap="flat" cmpd="sng" algn="ctr">
              <a:solidFill>
                <a:schemeClr val="tx2">
                  <a:lumMod val="15000"/>
                  <a:lumOff val="85000"/>
                </a:schemeClr>
              </a:solidFill>
              <a:round/>
            </a:ln>
            <a:effectLst/>
          </c:spPr>
        </c:majorGridlines>
        <c:title>
          <c:tx>
            <c:rich>
              <a:bodyPr/>
              <a:lstStyle/>
              <a:p>
                <a:pPr>
                  <a:defRPr b="0"/>
                </a:pPr>
                <a:r>
                  <a:rPr lang="en-US" b="0"/>
                  <a:t>The degree of cure from the introduction of the amount of metals, %</a:t>
                </a:r>
              </a:p>
            </c:rich>
          </c:tx>
          <c:overlay val="0"/>
          <c:spPr>
            <a:noFill/>
            <a:ln w="25385">
              <a:noFill/>
            </a:ln>
          </c:spPr>
        </c:title>
        <c:numFmt formatCode="General" sourceLinked="1"/>
        <c:majorTickMark val="none"/>
        <c:minorTickMark val="none"/>
        <c:tickLblPos val="nextTo"/>
        <c:spPr>
          <a:ln w="6346">
            <a:noFill/>
          </a:ln>
        </c:spPr>
        <c:txPr>
          <a:bodyPr rot="-60000000" vert="horz"/>
          <a:lstStyle/>
          <a:p>
            <a:pPr>
              <a:defRPr/>
            </a:pPr>
            <a:endParaRPr lang="ru-RU"/>
          </a:p>
        </c:txPr>
        <c:crossAx val="1390396064"/>
        <c:crosses val="autoZero"/>
        <c:crossBetween val="between"/>
      </c:valAx>
      <c:spPr>
        <a:noFill/>
        <a:ln w="25400">
          <a:noFill/>
        </a:ln>
      </c:spPr>
    </c:plotArea>
    <c:legend>
      <c:legendPos val="b"/>
      <c:overlay val="0"/>
      <c:spPr>
        <a:noFill/>
        <a:ln w="25385">
          <a:noFill/>
        </a:ln>
      </c:spPr>
      <c:txPr>
        <a:bodyPr rot="0" vert="horz"/>
        <a:lstStyle/>
        <a:p>
          <a:pPr>
            <a:defRPr/>
          </a:pPr>
          <a:endParaRPr lang="ru-RU"/>
        </a:p>
      </c:txPr>
    </c:legend>
    <c:plotVisOnly val="1"/>
    <c:dispBlanksAs val="gap"/>
    <c:showDLblsOverMax val="0"/>
  </c:chart>
  <c:spPr>
    <a:solidFill>
      <a:schemeClr val="bg1"/>
    </a:solidFill>
    <a:ln w="9520"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0.06004</cdr:x>
      <cdr:y>0.08202</cdr:y>
    </cdr:from>
    <cdr:to>
      <cdr:x>0.06004</cdr:x>
      <cdr:y>0.9653</cdr:y>
    </cdr:to>
    <cdr:cxnSp macro="">
      <cdr:nvCxnSpPr>
        <cdr:cNvPr id="3" name="Прямая соединительная линия 2"/>
        <cdr:cNvCxnSpPr/>
      </cdr:nvCxnSpPr>
      <cdr:spPr>
        <a:xfrm xmlns:a="http://schemas.openxmlformats.org/drawingml/2006/main" flipV="1">
          <a:off x="304800" y="247650"/>
          <a:ext cx="0" cy="2667001"/>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0.06018</cdr:x>
      <cdr:y>0.96239</cdr:y>
    </cdr:from>
    <cdr:to>
      <cdr:x>0.96824</cdr:x>
      <cdr:y>0.96239</cdr:y>
    </cdr:to>
    <cdr:cxnSp macro="">
      <cdr:nvCxnSpPr>
        <cdr:cNvPr id="8" name="Прямая соединительная линия 7"/>
        <cdr:cNvCxnSpPr/>
      </cdr:nvCxnSpPr>
      <cdr:spPr>
        <a:xfrm xmlns:a="http://schemas.openxmlformats.org/drawingml/2006/main">
          <a:off x="311233" y="3025044"/>
          <a:ext cx="4696594" cy="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0.06004</cdr:x>
      <cdr:y>0.08202</cdr:y>
    </cdr:from>
    <cdr:to>
      <cdr:x>0.06004</cdr:x>
      <cdr:y>0.9653</cdr:y>
    </cdr:to>
    <cdr:cxnSp macro="">
      <cdr:nvCxnSpPr>
        <cdr:cNvPr id="3" name="Прямая соединительная линия 2"/>
        <cdr:cNvCxnSpPr/>
      </cdr:nvCxnSpPr>
      <cdr:spPr>
        <a:xfrm xmlns:a="http://schemas.openxmlformats.org/drawingml/2006/main" flipV="1">
          <a:off x="304800" y="247650"/>
          <a:ext cx="0" cy="2667001"/>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0.06018</cdr:x>
      <cdr:y>0.96239</cdr:y>
    </cdr:from>
    <cdr:to>
      <cdr:x>0.96824</cdr:x>
      <cdr:y>0.96239</cdr:y>
    </cdr:to>
    <cdr:cxnSp macro="">
      <cdr:nvCxnSpPr>
        <cdr:cNvPr id="8" name="Прямая соединительная линия 7"/>
        <cdr:cNvCxnSpPr/>
      </cdr:nvCxnSpPr>
      <cdr:spPr>
        <a:xfrm xmlns:a="http://schemas.openxmlformats.org/drawingml/2006/main">
          <a:off x="311233" y="3025044"/>
          <a:ext cx="4696594" cy="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0.10417</cdr:x>
      <cdr:y>0.11905</cdr:y>
    </cdr:from>
    <cdr:to>
      <cdr:x>0.10417</cdr:x>
      <cdr:y>0.89286</cdr:y>
    </cdr:to>
    <cdr:cxnSp macro="">
      <cdr:nvCxnSpPr>
        <cdr:cNvPr id="3" name="Прямая соединительная линия 2"/>
        <cdr:cNvCxnSpPr/>
      </cdr:nvCxnSpPr>
      <cdr:spPr>
        <a:xfrm xmlns:a="http://schemas.openxmlformats.org/drawingml/2006/main" flipH="1" flipV="1">
          <a:off x="571500" y="381000"/>
          <a:ext cx="1" cy="2476501"/>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0.10764</cdr:x>
      <cdr:y>0.89881</cdr:y>
    </cdr:from>
    <cdr:to>
      <cdr:x>0.9184</cdr:x>
      <cdr:y>0.90179</cdr:y>
    </cdr:to>
    <cdr:cxnSp macro="">
      <cdr:nvCxnSpPr>
        <cdr:cNvPr id="7" name="Прямая соединительная линия 6"/>
        <cdr:cNvCxnSpPr/>
      </cdr:nvCxnSpPr>
      <cdr:spPr>
        <a:xfrm xmlns:a="http://schemas.openxmlformats.org/drawingml/2006/main">
          <a:off x="590550" y="2876550"/>
          <a:ext cx="4448175" cy="952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drawings/drawing4.xml><?xml version="1.0" encoding="utf-8"?>
<c:userShapes xmlns:c="http://schemas.openxmlformats.org/drawingml/2006/chart">
  <cdr:relSizeAnchor xmlns:cdr="http://schemas.openxmlformats.org/drawingml/2006/chartDrawing">
    <cdr:from>
      <cdr:x>0.0886</cdr:x>
      <cdr:y>0.16771</cdr:y>
    </cdr:from>
    <cdr:to>
      <cdr:x>0.0886</cdr:x>
      <cdr:y>0.9326</cdr:y>
    </cdr:to>
    <cdr:cxnSp macro="">
      <cdr:nvCxnSpPr>
        <cdr:cNvPr id="3" name="Прямая соединительная линия 2"/>
        <cdr:cNvCxnSpPr/>
      </cdr:nvCxnSpPr>
      <cdr:spPr>
        <a:xfrm xmlns:a="http://schemas.openxmlformats.org/drawingml/2006/main">
          <a:off x="503845" y="396174"/>
          <a:ext cx="0" cy="1806823"/>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0.08694</cdr:x>
      <cdr:y>0.92559</cdr:y>
    </cdr:from>
    <cdr:to>
      <cdr:x>0.89944</cdr:x>
      <cdr:y>0.92857</cdr:y>
    </cdr:to>
    <cdr:cxnSp macro="">
      <cdr:nvCxnSpPr>
        <cdr:cNvPr id="7" name="Прямая соединительная линия 6"/>
        <cdr:cNvCxnSpPr/>
      </cdr:nvCxnSpPr>
      <cdr:spPr>
        <a:xfrm xmlns:a="http://schemas.openxmlformats.org/drawingml/2006/main" flipV="1">
          <a:off x="494406" y="2186433"/>
          <a:ext cx="4620220" cy="7039"/>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drawings/drawing5.xml><?xml version="1.0" encoding="utf-8"?>
<c:userShapes xmlns:c="http://schemas.openxmlformats.org/drawingml/2006/chart">
  <cdr:relSizeAnchor xmlns:cdr="http://schemas.openxmlformats.org/drawingml/2006/chartDrawing">
    <cdr:from>
      <cdr:x>0.10417</cdr:x>
      <cdr:y>0.11905</cdr:y>
    </cdr:from>
    <cdr:to>
      <cdr:x>0.10417</cdr:x>
      <cdr:y>0.89286</cdr:y>
    </cdr:to>
    <cdr:cxnSp macro="">
      <cdr:nvCxnSpPr>
        <cdr:cNvPr id="3" name="Прямая соединительная линия 2"/>
        <cdr:cNvCxnSpPr/>
      </cdr:nvCxnSpPr>
      <cdr:spPr>
        <a:xfrm xmlns:a="http://schemas.openxmlformats.org/drawingml/2006/main" flipH="1" flipV="1">
          <a:off x="571500" y="381000"/>
          <a:ext cx="1" cy="2476501"/>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0.10417</cdr:x>
      <cdr:y>0.88653</cdr:y>
    </cdr:from>
    <cdr:to>
      <cdr:x>0.90972</cdr:x>
      <cdr:y>0.89249</cdr:y>
    </cdr:to>
    <cdr:cxnSp macro="">
      <cdr:nvCxnSpPr>
        <cdr:cNvPr id="4" name="Прямая соединительная линия 3"/>
        <cdr:cNvCxnSpPr/>
      </cdr:nvCxnSpPr>
      <cdr:spPr>
        <a:xfrm xmlns:a="http://schemas.openxmlformats.org/drawingml/2006/main">
          <a:off x="308580" y="1815498"/>
          <a:ext cx="2386261" cy="1220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JPCSA4Template</Template>
  <TotalTime>0</TotalTime>
  <Pages>7</Pages>
  <Words>2400</Words>
  <Characters>13680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Open Access proceedings Journal of Physics: Conference series</vt:lpstr>
    </vt:vector>
  </TitlesOfParts>
  <Company>IOP Publishing</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 Access proceedings Journal of Physics: Conference series</dc:title>
  <dc:creator>comp</dc:creator>
  <cp:keywords>open access, proceedings, template, fast, affordable, flexible</cp:keywords>
  <cp:lastModifiedBy>Lenovo</cp:lastModifiedBy>
  <cp:revision>2</cp:revision>
  <cp:lastPrinted>2005-02-25T04:52:00Z</cp:lastPrinted>
  <dcterms:created xsi:type="dcterms:W3CDTF">2020-06-15T05:33:00Z</dcterms:created>
  <dcterms:modified xsi:type="dcterms:W3CDTF">2020-06-15T05:33:00Z</dcterms:modified>
</cp:coreProperties>
</file>